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53503" w14:textId="77777777" w:rsidR="00C61797" w:rsidRPr="0011645D" w:rsidRDefault="00C61797" w:rsidP="00C61797">
      <w:pPr>
        <w:pStyle w:val="Heading1"/>
        <w:rPr>
          <w:rFonts w:ascii="Calibri" w:eastAsia="Calibri" w:hAnsi="Calibri"/>
          <w:color w:val="auto"/>
          <w:szCs w:val="24"/>
        </w:rPr>
      </w:pPr>
      <w:bookmarkStart w:id="0" w:name="_Hlk7474327"/>
      <w:r w:rsidRPr="0011645D">
        <w:rPr>
          <w:rFonts w:eastAsia="Times New Roman"/>
          <w:color w:val="auto"/>
        </w:rPr>
        <w:t>Title</w:t>
      </w:r>
    </w:p>
    <w:p w14:paraId="542F97AB" w14:textId="77777777" w:rsidR="00C61797" w:rsidRPr="0011645D" w:rsidRDefault="00C61797" w:rsidP="00C61797">
      <w:pPr>
        <w:jc w:val="both"/>
        <w:rPr>
          <w:rFonts w:ascii="Calibri" w:eastAsia="Calibri" w:hAnsi="Calibri" w:cs="Times New Roman"/>
          <w:b/>
          <w:szCs w:val="24"/>
        </w:rPr>
      </w:pPr>
      <w:r w:rsidRPr="0011645D">
        <w:rPr>
          <w:rFonts w:ascii="Calibri" w:eastAsia="Calibri" w:hAnsi="Calibri" w:cs="Times New Roman"/>
          <w:b/>
          <w:szCs w:val="24"/>
        </w:rPr>
        <w:t>Management and Outcomes of Heart Failure patients with CKD – experience from an Inter-disciplinary Clinic</w:t>
      </w:r>
    </w:p>
    <w:p w14:paraId="40DA6452" w14:textId="77777777" w:rsidR="00C61797" w:rsidRPr="0011645D" w:rsidRDefault="00C61797" w:rsidP="00C61797">
      <w:pPr>
        <w:jc w:val="both"/>
        <w:rPr>
          <w:rFonts w:ascii="Calibri" w:eastAsia="Calibri" w:hAnsi="Calibri" w:cs="Times New Roman"/>
          <w:sz w:val="20"/>
        </w:rPr>
      </w:pPr>
    </w:p>
    <w:p w14:paraId="15477888" w14:textId="758AECBB" w:rsidR="00C61797" w:rsidRPr="0011645D" w:rsidRDefault="00C61797" w:rsidP="00C61797">
      <w:pPr>
        <w:jc w:val="both"/>
        <w:rPr>
          <w:rFonts w:ascii="Calibri" w:eastAsia="Calibri" w:hAnsi="Calibri" w:cs="Times New Roman"/>
          <w:sz w:val="20"/>
        </w:rPr>
      </w:pPr>
      <w:r w:rsidRPr="0011645D">
        <w:rPr>
          <w:rFonts w:ascii="Calibri" w:eastAsia="Calibri" w:hAnsi="Calibri" w:cs="Times New Roman"/>
          <w:sz w:val="20"/>
        </w:rPr>
        <w:t>Authors: Mai Nguyen</w:t>
      </w:r>
      <w:r w:rsidRPr="0011645D">
        <w:rPr>
          <w:rFonts w:ascii="Calibri" w:eastAsia="Calibri" w:hAnsi="Calibri" w:cs="Times New Roman"/>
          <w:sz w:val="20"/>
          <w:vertAlign w:val="superscript"/>
        </w:rPr>
        <w:t>1,2</w:t>
      </w:r>
      <w:r w:rsidRPr="0011645D">
        <w:rPr>
          <w:rFonts w:ascii="Calibri" w:eastAsia="Calibri" w:hAnsi="Calibri" w:cs="Times New Roman"/>
          <w:sz w:val="20"/>
        </w:rPr>
        <w:t>, Samir Rumjaun</w:t>
      </w:r>
      <w:r w:rsidRPr="0011645D">
        <w:rPr>
          <w:rFonts w:ascii="Calibri" w:eastAsia="Calibri" w:hAnsi="Calibri" w:cs="Times New Roman"/>
          <w:sz w:val="20"/>
          <w:vertAlign w:val="superscript"/>
        </w:rPr>
        <w:t>1</w:t>
      </w:r>
      <w:r w:rsidRPr="0011645D">
        <w:rPr>
          <w:rFonts w:ascii="Calibri" w:eastAsia="Calibri" w:hAnsi="Calibri" w:cs="Times New Roman"/>
          <w:sz w:val="20"/>
        </w:rPr>
        <w:t>, Racquel Lowe-Jones</w:t>
      </w:r>
      <w:r w:rsidRPr="0011645D">
        <w:rPr>
          <w:rFonts w:ascii="Calibri" w:eastAsia="Calibri" w:hAnsi="Calibri" w:cs="Times New Roman"/>
          <w:sz w:val="20"/>
          <w:vertAlign w:val="superscript"/>
        </w:rPr>
        <w:t>1,2</w:t>
      </w:r>
      <w:r w:rsidRPr="0011645D">
        <w:rPr>
          <w:rFonts w:ascii="Calibri" w:eastAsia="Calibri" w:hAnsi="Calibri" w:cs="Times New Roman"/>
          <w:sz w:val="20"/>
        </w:rPr>
        <w:t>, Irina Chis Ster</w:t>
      </w:r>
      <w:r w:rsidRPr="0011645D">
        <w:rPr>
          <w:rFonts w:ascii="Calibri" w:eastAsia="Calibri" w:hAnsi="Calibri" w:cs="Times New Roman"/>
          <w:sz w:val="20"/>
          <w:vertAlign w:val="superscript"/>
        </w:rPr>
        <w:t>3</w:t>
      </w:r>
      <w:r w:rsidRPr="0011645D">
        <w:rPr>
          <w:rFonts w:ascii="Calibri" w:eastAsia="Calibri" w:hAnsi="Calibri" w:cs="Times New Roman"/>
          <w:sz w:val="20"/>
        </w:rPr>
        <w:t>, Giuseppe Rosano</w:t>
      </w:r>
      <w:r w:rsidRPr="0011645D">
        <w:rPr>
          <w:rFonts w:ascii="Calibri" w:eastAsia="Calibri" w:hAnsi="Calibri" w:cs="Times New Roman"/>
          <w:sz w:val="20"/>
          <w:vertAlign w:val="superscript"/>
        </w:rPr>
        <w:t>2</w:t>
      </w:r>
      <w:r w:rsidRPr="0011645D">
        <w:rPr>
          <w:rFonts w:ascii="Calibri" w:eastAsia="Calibri" w:hAnsi="Calibri" w:cs="Times New Roman"/>
          <w:sz w:val="20"/>
        </w:rPr>
        <w:t>, Lisa Anderson</w:t>
      </w:r>
      <w:r w:rsidRPr="0011645D">
        <w:rPr>
          <w:rFonts w:ascii="Calibri" w:eastAsia="Calibri" w:hAnsi="Calibri" w:cs="Times New Roman"/>
          <w:sz w:val="20"/>
          <w:vertAlign w:val="superscript"/>
        </w:rPr>
        <w:t>2</w:t>
      </w:r>
      <w:r w:rsidRPr="0011645D">
        <w:rPr>
          <w:rFonts w:ascii="Calibri" w:eastAsia="Calibri" w:hAnsi="Calibri" w:cs="Times New Roman"/>
          <w:sz w:val="20"/>
        </w:rPr>
        <w:t>, Debasish Banerjee</w:t>
      </w:r>
      <w:r w:rsidRPr="0011645D">
        <w:rPr>
          <w:rFonts w:ascii="Calibri" w:eastAsia="Calibri" w:hAnsi="Calibri" w:cs="Times New Roman"/>
          <w:sz w:val="20"/>
          <w:vertAlign w:val="superscript"/>
        </w:rPr>
        <w:t>1,2</w:t>
      </w:r>
    </w:p>
    <w:p w14:paraId="71E7AB9B" w14:textId="77777777" w:rsidR="00C61797" w:rsidRPr="0011645D" w:rsidRDefault="00C61797" w:rsidP="00C61797">
      <w:pPr>
        <w:jc w:val="both"/>
        <w:rPr>
          <w:rFonts w:ascii="Calibri" w:eastAsia="Calibri" w:hAnsi="Calibri" w:cs="Times New Roman"/>
          <w:sz w:val="20"/>
        </w:rPr>
      </w:pPr>
      <w:r w:rsidRPr="0011645D">
        <w:rPr>
          <w:rFonts w:ascii="Calibri" w:eastAsia="Calibri" w:hAnsi="Calibri" w:cs="Times New Roman"/>
          <w:sz w:val="20"/>
        </w:rPr>
        <w:t xml:space="preserve">Institutions: </w:t>
      </w:r>
      <w:r w:rsidRPr="0011645D">
        <w:rPr>
          <w:rFonts w:ascii="Calibri" w:eastAsia="Calibri" w:hAnsi="Calibri" w:cs="Times New Roman"/>
          <w:sz w:val="20"/>
          <w:vertAlign w:val="superscript"/>
        </w:rPr>
        <w:t>1</w:t>
      </w:r>
      <w:r w:rsidRPr="0011645D">
        <w:rPr>
          <w:rFonts w:ascii="Calibri" w:eastAsia="Calibri" w:hAnsi="Calibri" w:cs="Times New Roman"/>
          <w:sz w:val="20"/>
        </w:rPr>
        <w:t xml:space="preserve"> Renal and Transplantation Unit, St George’s University Hospital NHS Foundation Trust; </w:t>
      </w:r>
      <w:r w:rsidRPr="0011645D">
        <w:rPr>
          <w:rFonts w:ascii="Calibri" w:eastAsia="Calibri" w:hAnsi="Calibri" w:cs="Times New Roman"/>
          <w:sz w:val="20"/>
          <w:vertAlign w:val="superscript"/>
        </w:rPr>
        <w:t>2</w:t>
      </w:r>
      <w:r w:rsidRPr="0011645D">
        <w:rPr>
          <w:rFonts w:ascii="Calibri" w:eastAsia="Calibri" w:hAnsi="Calibri" w:cs="Times New Roman"/>
          <w:sz w:val="20"/>
        </w:rPr>
        <w:t xml:space="preserve"> Cardiology Clinical Academic Group, Molecular and Clinical Sciences Research Institute, St George’s University of London; </w:t>
      </w:r>
      <w:r w:rsidRPr="0011645D">
        <w:rPr>
          <w:rFonts w:ascii="Calibri" w:eastAsia="Calibri" w:hAnsi="Calibri" w:cs="Times New Roman"/>
          <w:sz w:val="20"/>
          <w:vertAlign w:val="superscript"/>
        </w:rPr>
        <w:t>3</w:t>
      </w:r>
      <w:r w:rsidRPr="0011645D">
        <w:rPr>
          <w:rFonts w:ascii="Calibri" w:eastAsia="Calibri" w:hAnsi="Calibri" w:cs="Times New Roman"/>
          <w:sz w:val="20"/>
        </w:rPr>
        <w:t xml:space="preserve"> Institute of Infection and Immunity, St George’s University of London</w:t>
      </w:r>
    </w:p>
    <w:p w14:paraId="5FAF4DF8" w14:textId="77777777" w:rsidR="00C61797" w:rsidRPr="0011645D" w:rsidRDefault="00C61797" w:rsidP="00C61797">
      <w:pPr>
        <w:jc w:val="both"/>
        <w:rPr>
          <w:rFonts w:ascii="Calibri" w:eastAsia="Calibri" w:hAnsi="Calibri" w:cs="Times New Roman"/>
          <w:sz w:val="20"/>
        </w:rPr>
      </w:pPr>
    </w:p>
    <w:p w14:paraId="634F1C40" w14:textId="77777777" w:rsidR="00C61797" w:rsidRPr="0011645D" w:rsidRDefault="00C61797" w:rsidP="00C61797">
      <w:pPr>
        <w:jc w:val="both"/>
        <w:rPr>
          <w:rFonts w:ascii="Calibri" w:eastAsia="Calibri" w:hAnsi="Calibri" w:cs="Times New Roman"/>
          <w:sz w:val="20"/>
        </w:rPr>
      </w:pPr>
    </w:p>
    <w:p w14:paraId="6CFBB86F" w14:textId="77777777" w:rsidR="00C61797" w:rsidRPr="0011645D" w:rsidRDefault="00C61797" w:rsidP="00C61797">
      <w:pPr>
        <w:jc w:val="both"/>
        <w:rPr>
          <w:rFonts w:ascii="Calibri" w:eastAsia="Calibri" w:hAnsi="Calibri" w:cs="Times New Roman"/>
          <w:sz w:val="20"/>
        </w:rPr>
      </w:pPr>
    </w:p>
    <w:p w14:paraId="0FDF7DD4" w14:textId="77777777" w:rsidR="00C61797" w:rsidRPr="0011645D" w:rsidRDefault="00C61797" w:rsidP="00C61797">
      <w:pPr>
        <w:jc w:val="both"/>
        <w:rPr>
          <w:rFonts w:ascii="Calibri" w:eastAsia="Calibri" w:hAnsi="Calibri" w:cs="Times New Roman"/>
          <w:sz w:val="20"/>
        </w:rPr>
      </w:pPr>
    </w:p>
    <w:p w14:paraId="0BEAD91A" w14:textId="77777777" w:rsidR="00C61797" w:rsidRPr="0011645D" w:rsidRDefault="00C61797" w:rsidP="00C61797">
      <w:pPr>
        <w:jc w:val="both"/>
        <w:rPr>
          <w:rFonts w:ascii="Calibri" w:eastAsia="Calibri" w:hAnsi="Calibri" w:cs="Times New Roman"/>
          <w:sz w:val="20"/>
        </w:rPr>
      </w:pPr>
    </w:p>
    <w:p w14:paraId="4B977EEE" w14:textId="77777777" w:rsidR="00C61797" w:rsidRPr="0011645D" w:rsidRDefault="00C61797" w:rsidP="00C61797">
      <w:pPr>
        <w:jc w:val="both"/>
        <w:rPr>
          <w:rFonts w:ascii="Calibri" w:eastAsia="Calibri" w:hAnsi="Calibri" w:cs="Times New Roman"/>
          <w:sz w:val="20"/>
        </w:rPr>
      </w:pPr>
      <w:r w:rsidRPr="0011645D">
        <w:rPr>
          <w:rFonts w:ascii="Calibri" w:eastAsia="Calibri" w:hAnsi="Calibri" w:cs="Times New Roman"/>
          <w:sz w:val="20"/>
        </w:rPr>
        <w:t xml:space="preserve">Running title: </w:t>
      </w:r>
      <w:proofErr w:type="spellStart"/>
      <w:r w:rsidRPr="0011645D">
        <w:rPr>
          <w:rFonts w:ascii="Calibri" w:eastAsia="Calibri" w:hAnsi="Calibri" w:cs="Times New Roman"/>
          <w:sz w:val="20"/>
        </w:rPr>
        <w:t>RAASi</w:t>
      </w:r>
      <w:proofErr w:type="spellEnd"/>
      <w:r w:rsidRPr="0011645D">
        <w:rPr>
          <w:rFonts w:ascii="Calibri" w:eastAsia="Calibri" w:hAnsi="Calibri" w:cs="Times New Roman"/>
          <w:sz w:val="20"/>
        </w:rPr>
        <w:t xml:space="preserve"> and iron therapy in CKD-HF clinic </w:t>
      </w:r>
    </w:p>
    <w:p w14:paraId="0DED4B0D" w14:textId="0B11E560" w:rsidR="00C61797" w:rsidRPr="0011645D" w:rsidRDefault="00C61797" w:rsidP="00C61797">
      <w:pPr>
        <w:jc w:val="both"/>
        <w:rPr>
          <w:rFonts w:ascii="Calibri" w:eastAsia="Calibri" w:hAnsi="Calibri" w:cs="Times New Roman"/>
          <w:sz w:val="20"/>
        </w:rPr>
      </w:pPr>
      <w:r w:rsidRPr="0011645D">
        <w:rPr>
          <w:rFonts w:ascii="Calibri" w:eastAsia="Calibri" w:hAnsi="Calibri" w:cs="Times New Roman"/>
          <w:sz w:val="20"/>
        </w:rPr>
        <w:t xml:space="preserve">Word Count: </w:t>
      </w:r>
      <w:r w:rsidR="00A85FC4" w:rsidRPr="0011645D">
        <w:rPr>
          <w:rFonts w:ascii="Calibri" w:eastAsia="Calibri" w:hAnsi="Calibri" w:cs="Times New Roman"/>
          <w:sz w:val="20"/>
        </w:rPr>
        <w:t>14</w:t>
      </w:r>
      <w:r w:rsidR="004E042B" w:rsidRPr="0011645D">
        <w:rPr>
          <w:rFonts w:ascii="Calibri" w:eastAsia="Calibri" w:hAnsi="Calibri" w:cs="Times New Roman"/>
          <w:b/>
          <w:bCs/>
          <w:sz w:val="20"/>
        </w:rPr>
        <w:t>90</w:t>
      </w:r>
      <w:r w:rsidR="00A85FC4" w:rsidRPr="0011645D">
        <w:rPr>
          <w:rFonts w:ascii="Calibri" w:eastAsia="Calibri" w:hAnsi="Calibri" w:cs="Times New Roman"/>
          <w:sz w:val="20"/>
        </w:rPr>
        <w:t>; Abstract 2</w:t>
      </w:r>
      <w:r w:rsidR="004E042B" w:rsidRPr="0011645D">
        <w:rPr>
          <w:rFonts w:ascii="Calibri" w:eastAsia="Calibri" w:hAnsi="Calibri" w:cs="Times New Roman"/>
          <w:b/>
          <w:bCs/>
          <w:sz w:val="20"/>
        </w:rPr>
        <w:t>66</w:t>
      </w:r>
    </w:p>
    <w:p w14:paraId="6364FC59" w14:textId="77777777" w:rsidR="00C61797" w:rsidRPr="0011645D" w:rsidRDefault="00C61797" w:rsidP="00C61797">
      <w:pPr>
        <w:jc w:val="both"/>
        <w:rPr>
          <w:rFonts w:ascii="Calibri" w:eastAsia="Calibri" w:hAnsi="Calibri" w:cs="Times New Roman"/>
          <w:sz w:val="20"/>
        </w:rPr>
      </w:pPr>
      <w:r w:rsidRPr="0011645D">
        <w:rPr>
          <w:rFonts w:ascii="Calibri" w:eastAsia="Calibri" w:hAnsi="Calibri" w:cs="Times New Roman"/>
          <w:sz w:val="20"/>
        </w:rPr>
        <w:t>Tables: 4</w:t>
      </w:r>
    </w:p>
    <w:p w14:paraId="3431DF3D" w14:textId="77777777" w:rsidR="00C61797" w:rsidRPr="0011645D" w:rsidRDefault="00C61797" w:rsidP="00C61797">
      <w:pPr>
        <w:jc w:val="both"/>
        <w:rPr>
          <w:rFonts w:ascii="Calibri" w:eastAsia="Calibri" w:hAnsi="Calibri" w:cs="Times New Roman"/>
          <w:sz w:val="20"/>
        </w:rPr>
      </w:pPr>
      <w:r w:rsidRPr="0011645D">
        <w:rPr>
          <w:rFonts w:ascii="Calibri" w:eastAsia="Calibri" w:hAnsi="Calibri" w:cs="Times New Roman"/>
          <w:sz w:val="20"/>
        </w:rPr>
        <w:t>Figures: 2</w:t>
      </w:r>
    </w:p>
    <w:p w14:paraId="784DF921" w14:textId="77777777" w:rsidR="00C61797" w:rsidRPr="0011645D" w:rsidRDefault="00C61797" w:rsidP="00C61797">
      <w:pPr>
        <w:jc w:val="both"/>
        <w:rPr>
          <w:rFonts w:ascii="Calibri" w:eastAsia="Calibri" w:hAnsi="Calibri" w:cs="Times New Roman"/>
          <w:sz w:val="20"/>
        </w:rPr>
      </w:pPr>
    </w:p>
    <w:p w14:paraId="625B5C40" w14:textId="77777777" w:rsidR="00C61797" w:rsidRPr="0011645D" w:rsidRDefault="00C61797" w:rsidP="00C61797">
      <w:pPr>
        <w:jc w:val="both"/>
        <w:rPr>
          <w:rFonts w:ascii="Calibri" w:eastAsia="Calibri" w:hAnsi="Calibri" w:cs="Times New Roman"/>
          <w:sz w:val="20"/>
        </w:rPr>
      </w:pPr>
    </w:p>
    <w:p w14:paraId="65EEE76D" w14:textId="77777777" w:rsidR="00C61797" w:rsidRPr="0011645D" w:rsidRDefault="00C61797" w:rsidP="00C61797">
      <w:pPr>
        <w:jc w:val="both"/>
        <w:rPr>
          <w:rFonts w:ascii="Calibri" w:eastAsia="Calibri" w:hAnsi="Calibri" w:cs="Times New Roman"/>
          <w:sz w:val="20"/>
        </w:rPr>
      </w:pPr>
    </w:p>
    <w:p w14:paraId="19313B2F" w14:textId="77777777" w:rsidR="00C61797" w:rsidRPr="0011645D" w:rsidRDefault="00C61797" w:rsidP="00C61797">
      <w:pPr>
        <w:jc w:val="both"/>
        <w:rPr>
          <w:rFonts w:ascii="Calibri" w:eastAsia="Calibri" w:hAnsi="Calibri" w:cs="Times New Roman"/>
          <w:sz w:val="20"/>
        </w:rPr>
      </w:pPr>
    </w:p>
    <w:p w14:paraId="10B833D9" w14:textId="77777777" w:rsidR="00C61797" w:rsidRPr="0011645D" w:rsidRDefault="00C61797" w:rsidP="00C61797">
      <w:pPr>
        <w:jc w:val="both"/>
        <w:rPr>
          <w:rFonts w:ascii="Calibri" w:eastAsia="Calibri" w:hAnsi="Calibri" w:cs="Times New Roman"/>
          <w:sz w:val="20"/>
        </w:rPr>
      </w:pPr>
    </w:p>
    <w:p w14:paraId="05A9C109" w14:textId="77777777" w:rsidR="00C61797" w:rsidRPr="0011645D" w:rsidRDefault="00C61797" w:rsidP="00C61797">
      <w:pPr>
        <w:jc w:val="both"/>
        <w:rPr>
          <w:rFonts w:ascii="Calibri" w:eastAsia="Calibri" w:hAnsi="Calibri" w:cs="Times New Roman"/>
          <w:sz w:val="20"/>
        </w:rPr>
      </w:pPr>
    </w:p>
    <w:p w14:paraId="5C5F2865" w14:textId="77777777" w:rsidR="00C61797" w:rsidRPr="0011645D" w:rsidRDefault="00C61797" w:rsidP="00C61797">
      <w:pPr>
        <w:jc w:val="both"/>
        <w:rPr>
          <w:rFonts w:ascii="Calibri" w:eastAsia="Calibri" w:hAnsi="Calibri" w:cs="Times New Roman"/>
          <w:sz w:val="20"/>
        </w:rPr>
      </w:pPr>
    </w:p>
    <w:p w14:paraId="499D9863" w14:textId="77777777" w:rsidR="00C61797" w:rsidRPr="0011645D" w:rsidRDefault="00C61797" w:rsidP="00C61797">
      <w:pPr>
        <w:jc w:val="both"/>
        <w:rPr>
          <w:rFonts w:ascii="Calibri" w:eastAsia="Calibri" w:hAnsi="Calibri" w:cs="Times New Roman"/>
          <w:sz w:val="20"/>
        </w:rPr>
      </w:pPr>
    </w:p>
    <w:p w14:paraId="3DEBE4CF" w14:textId="77777777" w:rsidR="00C61797" w:rsidRPr="0011645D" w:rsidRDefault="00C61797" w:rsidP="00C61797">
      <w:pPr>
        <w:jc w:val="both"/>
        <w:rPr>
          <w:rFonts w:ascii="Calibri" w:eastAsia="Calibri" w:hAnsi="Calibri" w:cs="Times New Roman"/>
          <w:sz w:val="20"/>
        </w:rPr>
      </w:pPr>
      <w:r w:rsidRPr="0011645D">
        <w:rPr>
          <w:rFonts w:ascii="Calibri" w:eastAsia="Calibri" w:hAnsi="Calibri" w:cs="Times New Roman"/>
          <w:sz w:val="20"/>
        </w:rPr>
        <w:t>Corresponding address:</w:t>
      </w:r>
    </w:p>
    <w:p w14:paraId="1DB5A0AF" w14:textId="77777777" w:rsidR="00C61797" w:rsidRPr="0011645D" w:rsidRDefault="00C61797" w:rsidP="00C61797">
      <w:pPr>
        <w:spacing w:after="0"/>
        <w:jc w:val="both"/>
        <w:rPr>
          <w:rFonts w:ascii="Calibri" w:eastAsia="Calibri" w:hAnsi="Calibri" w:cs="Times New Roman"/>
          <w:sz w:val="20"/>
        </w:rPr>
      </w:pPr>
      <w:r w:rsidRPr="0011645D">
        <w:rPr>
          <w:rFonts w:ascii="Calibri" w:eastAsia="Calibri" w:hAnsi="Calibri" w:cs="Times New Roman"/>
          <w:sz w:val="20"/>
        </w:rPr>
        <w:t xml:space="preserve">Debasish Banerjee MD FASN FHEA FRCP </w:t>
      </w:r>
    </w:p>
    <w:p w14:paraId="5BE217FD" w14:textId="77777777" w:rsidR="00C61797" w:rsidRPr="0011645D" w:rsidRDefault="00C61797" w:rsidP="00C61797">
      <w:pPr>
        <w:spacing w:after="0"/>
        <w:jc w:val="both"/>
        <w:rPr>
          <w:rFonts w:ascii="Calibri" w:eastAsia="Calibri" w:hAnsi="Calibri" w:cs="Times New Roman"/>
          <w:sz w:val="20"/>
        </w:rPr>
      </w:pPr>
      <w:r w:rsidRPr="0011645D">
        <w:rPr>
          <w:rFonts w:ascii="Calibri" w:eastAsia="Calibri" w:hAnsi="Calibri" w:cs="Times New Roman"/>
          <w:sz w:val="20"/>
        </w:rPr>
        <w:t>Grosvenor Wing Room 2.113</w:t>
      </w:r>
    </w:p>
    <w:p w14:paraId="0BBF2A84" w14:textId="77777777" w:rsidR="00C61797" w:rsidRPr="0011645D" w:rsidRDefault="00C61797" w:rsidP="00C61797">
      <w:pPr>
        <w:spacing w:after="0"/>
        <w:jc w:val="both"/>
        <w:rPr>
          <w:rFonts w:ascii="Calibri" w:eastAsia="Calibri" w:hAnsi="Calibri" w:cs="Times New Roman"/>
          <w:sz w:val="20"/>
        </w:rPr>
      </w:pPr>
      <w:r w:rsidRPr="0011645D">
        <w:rPr>
          <w:rFonts w:ascii="Calibri" w:eastAsia="Calibri" w:hAnsi="Calibri" w:cs="Times New Roman"/>
          <w:sz w:val="20"/>
        </w:rPr>
        <w:t>St Georges Hospital</w:t>
      </w:r>
    </w:p>
    <w:p w14:paraId="3FCEC91E" w14:textId="77777777" w:rsidR="00C61797" w:rsidRPr="0011645D" w:rsidRDefault="00C61797" w:rsidP="00C61797">
      <w:pPr>
        <w:spacing w:after="0"/>
        <w:jc w:val="both"/>
        <w:rPr>
          <w:rFonts w:ascii="Calibri" w:eastAsia="Calibri" w:hAnsi="Calibri" w:cs="Times New Roman"/>
          <w:sz w:val="20"/>
        </w:rPr>
      </w:pPr>
      <w:proofErr w:type="spellStart"/>
      <w:r w:rsidRPr="0011645D">
        <w:rPr>
          <w:rFonts w:ascii="Calibri" w:eastAsia="Calibri" w:hAnsi="Calibri" w:cs="Times New Roman"/>
          <w:sz w:val="20"/>
        </w:rPr>
        <w:t>Blackshaw</w:t>
      </w:r>
      <w:proofErr w:type="spellEnd"/>
      <w:r w:rsidRPr="0011645D">
        <w:rPr>
          <w:rFonts w:ascii="Calibri" w:eastAsia="Calibri" w:hAnsi="Calibri" w:cs="Times New Roman"/>
          <w:sz w:val="20"/>
        </w:rPr>
        <w:t xml:space="preserve"> Road, Tooting, London, UK SW170QT</w:t>
      </w:r>
    </w:p>
    <w:p w14:paraId="7B066274" w14:textId="77777777" w:rsidR="00C61797" w:rsidRPr="0011645D" w:rsidRDefault="00C61797" w:rsidP="00C61797">
      <w:pPr>
        <w:spacing w:after="0"/>
        <w:jc w:val="both"/>
        <w:rPr>
          <w:rFonts w:ascii="Calibri" w:eastAsia="Calibri" w:hAnsi="Calibri" w:cs="Times New Roman"/>
          <w:sz w:val="20"/>
        </w:rPr>
      </w:pPr>
      <w:r w:rsidRPr="0011645D">
        <w:rPr>
          <w:rFonts w:ascii="Calibri" w:eastAsia="Calibri" w:hAnsi="Calibri" w:cs="Times New Roman"/>
          <w:sz w:val="20"/>
        </w:rPr>
        <w:t>Tel +44 2087251673</w:t>
      </w:r>
    </w:p>
    <w:p w14:paraId="3EFC052F" w14:textId="77777777" w:rsidR="00C61797" w:rsidRPr="0011645D" w:rsidRDefault="00C61797" w:rsidP="00C61797">
      <w:pPr>
        <w:spacing w:after="0"/>
        <w:jc w:val="both"/>
        <w:rPr>
          <w:rFonts w:ascii="Calibri" w:eastAsia="Calibri" w:hAnsi="Calibri" w:cs="Times New Roman"/>
          <w:sz w:val="20"/>
        </w:rPr>
      </w:pPr>
      <w:r w:rsidRPr="0011645D">
        <w:rPr>
          <w:rFonts w:ascii="Calibri" w:eastAsia="Calibri" w:hAnsi="Calibri" w:cs="Times New Roman"/>
          <w:sz w:val="20"/>
        </w:rPr>
        <w:t>Fax +44 2087252068</w:t>
      </w:r>
    </w:p>
    <w:p w14:paraId="655FBE74" w14:textId="77777777" w:rsidR="00C61797" w:rsidRPr="0011645D" w:rsidRDefault="00C61797" w:rsidP="00C61797">
      <w:pPr>
        <w:spacing w:after="0"/>
        <w:jc w:val="both"/>
        <w:rPr>
          <w:rFonts w:ascii="Calibri" w:eastAsia="Calibri" w:hAnsi="Calibri" w:cs="Times New Roman"/>
          <w:sz w:val="20"/>
        </w:rPr>
      </w:pPr>
      <w:r w:rsidRPr="0011645D">
        <w:rPr>
          <w:rFonts w:ascii="Calibri" w:eastAsia="Calibri" w:hAnsi="Calibri" w:cs="Times New Roman"/>
          <w:sz w:val="20"/>
        </w:rPr>
        <w:t xml:space="preserve">Email: </w:t>
      </w:r>
      <w:hyperlink r:id="rId8" w:history="1">
        <w:r w:rsidRPr="0011645D">
          <w:rPr>
            <w:rFonts w:ascii="Calibri" w:eastAsia="Calibri" w:hAnsi="Calibri" w:cs="Times New Roman"/>
            <w:sz w:val="20"/>
            <w:u w:val="single"/>
          </w:rPr>
          <w:t>Debasish.Banerjee@stgeorges.nhs.uk</w:t>
        </w:r>
      </w:hyperlink>
    </w:p>
    <w:p w14:paraId="06965930" w14:textId="5404DE66" w:rsidR="00B41760" w:rsidRPr="0011645D" w:rsidRDefault="00B41760" w:rsidP="00B41760">
      <w:pPr>
        <w:jc w:val="both"/>
        <w:rPr>
          <w:sz w:val="20"/>
          <w:szCs w:val="20"/>
        </w:rPr>
      </w:pPr>
    </w:p>
    <w:p w14:paraId="1544E3D7" w14:textId="77777777" w:rsidR="00C61797" w:rsidRPr="0011645D" w:rsidRDefault="00C61797">
      <w:pPr>
        <w:rPr>
          <w:rFonts w:asciiTheme="majorHAnsi" w:eastAsiaTheme="majorEastAsia" w:hAnsiTheme="majorHAnsi" w:cstheme="majorBidi"/>
          <w:b/>
          <w:sz w:val="20"/>
          <w:szCs w:val="20"/>
        </w:rPr>
      </w:pPr>
      <w:r w:rsidRPr="0011645D">
        <w:rPr>
          <w:b/>
          <w:sz w:val="20"/>
          <w:szCs w:val="20"/>
        </w:rPr>
        <w:br w:type="page"/>
      </w:r>
      <w:bookmarkStart w:id="1" w:name="_GoBack"/>
      <w:bookmarkEnd w:id="1"/>
    </w:p>
    <w:p w14:paraId="06BD5367" w14:textId="77777777" w:rsidR="00314DAD" w:rsidRPr="0011645D" w:rsidRDefault="00314DAD" w:rsidP="00A85FC4">
      <w:pPr>
        <w:pStyle w:val="Heading1"/>
        <w:rPr>
          <w:bCs/>
          <w:color w:val="auto"/>
          <w:sz w:val="20"/>
        </w:rPr>
      </w:pPr>
      <w:r w:rsidRPr="0011645D">
        <w:rPr>
          <w:color w:val="auto"/>
        </w:rPr>
        <w:lastRenderedPageBreak/>
        <w:t>Abstract</w:t>
      </w:r>
    </w:p>
    <w:p w14:paraId="283556B5" w14:textId="17FD8203" w:rsidR="00314DAD" w:rsidRPr="0011645D" w:rsidRDefault="002D0C12" w:rsidP="00314DAD">
      <w:pPr>
        <w:jc w:val="both"/>
        <w:rPr>
          <w:b/>
          <w:bCs/>
          <w:sz w:val="20"/>
        </w:rPr>
      </w:pPr>
      <w:r w:rsidRPr="0011645D">
        <w:rPr>
          <w:b/>
          <w:bCs/>
          <w:sz w:val="20"/>
        </w:rPr>
        <w:t>Aims</w:t>
      </w:r>
      <w:r w:rsidR="00314DAD" w:rsidRPr="0011645D">
        <w:rPr>
          <w:b/>
          <w:bCs/>
          <w:sz w:val="20"/>
        </w:rPr>
        <w:t>:</w:t>
      </w:r>
    </w:p>
    <w:p w14:paraId="214C31C0" w14:textId="77777777" w:rsidR="00314DAD" w:rsidRPr="0011645D" w:rsidRDefault="00314DAD" w:rsidP="00314DAD">
      <w:pPr>
        <w:jc w:val="both"/>
        <w:rPr>
          <w:sz w:val="20"/>
        </w:rPr>
      </w:pPr>
      <w:r w:rsidRPr="0011645D">
        <w:rPr>
          <w:sz w:val="20"/>
        </w:rPr>
        <w:t xml:space="preserve">CKD-HF patients suffer excess hospitalisation and mortality, often under-treated with life-prolonging medications due to fear of worsening renal function and hyperkalaemia. Yet, role of inter-disciplinary working in improving therapy is unknown; which this study aims to investigate. </w:t>
      </w:r>
    </w:p>
    <w:p w14:paraId="031D5DFB" w14:textId="03CEA558" w:rsidR="00314DAD" w:rsidRPr="0011645D" w:rsidRDefault="00314DAD" w:rsidP="00314DAD">
      <w:pPr>
        <w:jc w:val="both"/>
        <w:rPr>
          <w:b/>
          <w:bCs/>
          <w:sz w:val="20"/>
        </w:rPr>
      </w:pPr>
      <w:r w:rsidRPr="0011645D">
        <w:rPr>
          <w:b/>
          <w:bCs/>
          <w:sz w:val="20"/>
        </w:rPr>
        <w:t>Method</w:t>
      </w:r>
      <w:r w:rsidR="002D0C12" w:rsidRPr="0011645D">
        <w:rPr>
          <w:b/>
          <w:bCs/>
          <w:sz w:val="20"/>
        </w:rPr>
        <w:t>s</w:t>
      </w:r>
      <w:r w:rsidRPr="0011645D">
        <w:rPr>
          <w:b/>
          <w:bCs/>
          <w:sz w:val="20"/>
        </w:rPr>
        <w:t>:</w:t>
      </w:r>
    </w:p>
    <w:p w14:paraId="18AB27C0" w14:textId="75BA8EE4" w:rsidR="00314DAD" w:rsidRPr="0011645D" w:rsidRDefault="00314DAD" w:rsidP="00314DAD">
      <w:pPr>
        <w:jc w:val="both"/>
        <w:rPr>
          <w:sz w:val="20"/>
        </w:rPr>
      </w:pPr>
      <w:r w:rsidRPr="0011645D">
        <w:rPr>
          <w:sz w:val="20"/>
        </w:rPr>
        <w:t xml:space="preserve">Clinical, biochemical data and medications at first and last clinic visit were obtained from patient records for 124 patients seen in Kidney Failure–Heart Failure clinic (23/3/2017–11/04/2019). Medication dose groups (None, Low and High dose), number of </w:t>
      </w:r>
      <w:proofErr w:type="spellStart"/>
      <w:r w:rsidRPr="0011645D">
        <w:rPr>
          <w:sz w:val="20"/>
        </w:rPr>
        <w:t>RAASi</w:t>
      </w:r>
      <w:proofErr w:type="spellEnd"/>
      <w:r w:rsidRPr="0011645D">
        <w:rPr>
          <w:sz w:val="20"/>
        </w:rPr>
        <w:t xml:space="preserve"> agents and blood test results were compared between first and last visit in patients with at least two clinic visits</w:t>
      </w:r>
      <w:r w:rsidR="002D0C12" w:rsidRPr="0011645D">
        <w:rPr>
          <w:sz w:val="20"/>
        </w:rPr>
        <w:t xml:space="preserve"> </w:t>
      </w:r>
      <w:r w:rsidRPr="0011645D">
        <w:rPr>
          <w:sz w:val="20"/>
        </w:rPr>
        <w:t>(n=97).</w:t>
      </w:r>
    </w:p>
    <w:p w14:paraId="7920A1C1" w14:textId="77777777" w:rsidR="00314DAD" w:rsidRPr="0011645D" w:rsidRDefault="00314DAD" w:rsidP="00314DAD">
      <w:pPr>
        <w:jc w:val="both"/>
        <w:rPr>
          <w:sz w:val="20"/>
        </w:rPr>
      </w:pPr>
      <w:r w:rsidRPr="0011645D">
        <w:rPr>
          <w:b/>
          <w:bCs/>
          <w:sz w:val="20"/>
        </w:rPr>
        <w:t>Results:</w:t>
      </w:r>
      <w:r w:rsidRPr="0011645D">
        <w:rPr>
          <w:sz w:val="20"/>
        </w:rPr>
        <w:t xml:space="preserve"> </w:t>
      </w:r>
    </w:p>
    <w:p w14:paraId="73EA5203" w14:textId="50062D1D" w:rsidR="00314DAD" w:rsidRPr="0011645D" w:rsidRDefault="00314DAD" w:rsidP="00314DAD">
      <w:pPr>
        <w:jc w:val="both"/>
        <w:rPr>
          <w:sz w:val="20"/>
        </w:rPr>
      </w:pPr>
      <w:r w:rsidRPr="0011645D">
        <w:rPr>
          <w:sz w:val="20"/>
        </w:rPr>
        <w:t>Patient characteristics were: age 78.5</w:t>
      </w:r>
      <w:r w:rsidR="002D0C12" w:rsidRPr="0011645D">
        <w:rPr>
          <w:sz w:val="20"/>
        </w:rPr>
        <w:t xml:space="preserve"> </w:t>
      </w:r>
      <w:r w:rsidRPr="0011645D">
        <w:rPr>
          <w:sz w:val="20"/>
        </w:rPr>
        <w:t>years</w:t>
      </w:r>
      <w:r w:rsidR="002D0C12" w:rsidRPr="0011645D">
        <w:rPr>
          <w:sz w:val="20"/>
        </w:rPr>
        <w:t xml:space="preserve"> </w:t>
      </w:r>
      <w:r w:rsidRPr="0011645D">
        <w:rPr>
          <w:sz w:val="20"/>
        </w:rPr>
        <w:t>(IQR 68.1-84.4</w:t>
      </w:r>
      <w:r w:rsidR="002D0C12" w:rsidRPr="0011645D">
        <w:rPr>
          <w:sz w:val="20"/>
        </w:rPr>
        <w:t xml:space="preserve"> </w:t>
      </w:r>
      <w:r w:rsidRPr="0011645D">
        <w:rPr>
          <w:sz w:val="20"/>
        </w:rPr>
        <w:t>years), male 67.7%, diabetes 51.6%, moderate</w:t>
      </w:r>
      <w:r w:rsidR="002D0C12" w:rsidRPr="0011645D">
        <w:rPr>
          <w:sz w:val="20"/>
        </w:rPr>
        <w:t xml:space="preserve"> </w:t>
      </w:r>
      <w:r w:rsidRPr="0011645D">
        <w:rPr>
          <w:sz w:val="20"/>
        </w:rPr>
        <w:t>(45.2%) vs. severe</w:t>
      </w:r>
      <w:r w:rsidR="002D0C12" w:rsidRPr="0011645D">
        <w:rPr>
          <w:sz w:val="20"/>
        </w:rPr>
        <w:t xml:space="preserve"> </w:t>
      </w:r>
      <w:r w:rsidRPr="0011645D">
        <w:rPr>
          <w:sz w:val="20"/>
        </w:rPr>
        <w:t xml:space="preserve">(39.5%) CKD, </w:t>
      </w:r>
      <w:r w:rsidRPr="0011645D">
        <w:rPr>
          <w:b/>
          <w:bCs/>
          <w:sz w:val="20"/>
        </w:rPr>
        <w:t>HF</w:t>
      </w:r>
      <w:r w:rsidR="002D0C12" w:rsidRPr="0011645D">
        <w:rPr>
          <w:b/>
          <w:bCs/>
          <w:sz w:val="20"/>
        </w:rPr>
        <w:t xml:space="preserve"> with reduced ejection fraction</w:t>
      </w:r>
      <w:r w:rsidR="002D0C12" w:rsidRPr="0011645D">
        <w:rPr>
          <w:sz w:val="20"/>
        </w:rPr>
        <w:t xml:space="preserve"> (</w:t>
      </w:r>
      <w:proofErr w:type="spellStart"/>
      <w:r w:rsidR="002D0C12" w:rsidRPr="0011645D">
        <w:rPr>
          <w:sz w:val="20"/>
        </w:rPr>
        <w:t>HFrEF</w:t>
      </w:r>
      <w:proofErr w:type="spellEnd"/>
      <w:r w:rsidR="002D0C12" w:rsidRPr="0011645D">
        <w:rPr>
          <w:sz w:val="20"/>
        </w:rPr>
        <w:t xml:space="preserve">) </w:t>
      </w:r>
      <w:r w:rsidRPr="0011645D">
        <w:rPr>
          <w:sz w:val="20"/>
        </w:rPr>
        <w:t>(49.2%), follow-up 234</w:t>
      </w:r>
      <w:r w:rsidR="002D0C12" w:rsidRPr="0011645D">
        <w:rPr>
          <w:sz w:val="20"/>
        </w:rPr>
        <w:t xml:space="preserve"> </w:t>
      </w:r>
      <w:r w:rsidRPr="0011645D">
        <w:rPr>
          <w:sz w:val="20"/>
        </w:rPr>
        <w:t>days</w:t>
      </w:r>
      <w:r w:rsidR="002D0C12" w:rsidRPr="0011645D">
        <w:rPr>
          <w:sz w:val="20"/>
        </w:rPr>
        <w:t xml:space="preserve"> </w:t>
      </w:r>
      <w:r w:rsidRPr="0011645D">
        <w:rPr>
          <w:sz w:val="20"/>
        </w:rPr>
        <w:t>(IQR 121-441</w:t>
      </w:r>
      <w:r w:rsidR="002D0C12" w:rsidRPr="0011645D">
        <w:rPr>
          <w:sz w:val="20"/>
        </w:rPr>
        <w:t xml:space="preserve"> </w:t>
      </w:r>
      <w:r w:rsidRPr="0011645D">
        <w:rPr>
          <w:sz w:val="20"/>
        </w:rPr>
        <w:t xml:space="preserve">days). </w:t>
      </w:r>
      <w:proofErr w:type="spellStart"/>
      <w:r w:rsidRPr="0011645D">
        <w:rPr>
          <w:sz w:val="20"/>
        </w:rPr>
        <w:t>HFrEF</w:t>
      </w:r>
      <w:proofErr w:type="spellEnd"/>
      <w:r w:rsidRPr="0011645D">
        <w:rPr>
          <w:sz w:val="20"/>
        </w:rPr>
        <w:t xml:space="preserve"> was associated with increased risk of death (adjusted OR 4.49, 95%CI 1.43–14.05; p=0.01).</w:t>
      </w:r>
    </w:p>
    <w:p w14:paraId="7F592250" w14:textId="70F05E50" w:rsidR="00314DAD" w:rsidRPr="0011645D" w:rsidRDefault="00314DAD" w:rsidP="00314DAD">
      <w:pPr>
        <w:jc w:val="both"/>
        <w:rPr>
          <w:sz w:val="20"/>
        </w:rPr>
      </w:pPr>
      <w:r w:rsidRPr="0011645D">
        <w:rPr>
          <w:sz w:val="20"/>
        </w:rPr>
        <w:t xml:space="preserve">Distributions of patients according to number of </w:t>
      </w:r>
      <w:proofErr w:type="spellStart"/>
      <w:r w:rsidRPr="0011645D">
        <w:rPr>
          <w:sz w:val="20"/>
        </w:rPr>
        <w:t>RAASi</w:t>
      </w:r>
      <w:proofErr w:type="spellEnd"/>
      <w:r w:rsidRPr="0011645D">
        <w:rPr>
          <w:sz w:val="20"/>
        </w:rPr>
        <w:t xml:space="preserve"> agents they were on differed between first and last visit</w:t>
      </w:r>
      <w:r w:rsidR="002D0C12" w:rsidRPr="0011645D">
        <w:rPr>
          <w:sz w:val="20"/>
        </w:rPr>
        <w:t xml:space="preserve"> </w:t>
      </w:r>
      <w:r w:rsidRPr="0011645D">
        <w:rPr>
          <w:sz w:val="20"/>
        </w:rPr>
        <w:t xml:space="preserve">(p=0.03). Dosage was increased in 25.9% for beta-blockers, 33.0% for </w:t>
      </w:r>
      <w:proofErr w:type="spellStart"/>
      <w:r w:rsidRPr="0011645D">
        <w:rPr>
          <w:sz w:val="20"/>
        </w:rPr>
        <w:t>ACEi</w:t>
      </w:r>
      <w:proofErr w:type="spellEnd"/>
      <w:r w:rsidRPr="0011645D">
        <w:rPr>
          <w:sz w:val="20"/>
        </w:rPr>
        <w:t>/ARBs, 17.5% for MRAs. Distributions of patients across MRAs dosage groups was different</w:t>
      </w:r>
      <w:r w:rsidR="002D0C12" w:rsidRPr="0011645D">
        <w:rPr>
          <w:sz w:val="20"/>
        </w:rPr>
        <w:t xml:space="preserve"> </w:t>
      </w:r>
      <w:r w:rsidRPr="0011645D">
        <w:rPr>
          <w:sz w:val="20"/>
        </w:rPr>
        <w:t>(p=0.03), with higher proportions on higher dosages at last visit, without significant changes in serum potassium or creatinine.</w:t>
      </w:r>
    </w:p>
    <w:p w14:paraId="1986668E" w14:textId="77777777" w:rsidR="00314DAD" w:rsidRPr="0011645D" w:rsidRDefault="00314DAD" w:rsidP="00314DAD">
      <w:pPr>
        <w:jc w:val="both"/>
        <w:rPr>
          <w:sz w:val="20"/>
        </w:rPr>
      </w:pPr>
      <w:r w:rsidRPr="0011645D">
        <w:rPr>
          <w:sz w:val="20"/>
        </w:rPr>
        <w:t>Serum ferritin improved (131.0vs.267.5</w:t>
      </w:r>
      <w:r w:rsidRPr="0011645D">
        <w:rPr>
          <w:rFonts w:cstheme="minorHAnsi"/>
          <w:sz w:val="20"/>
        </w:rPr>
        <w:t>μ</w:t>
      </w:r>
      <w:r w:rsidRPr="0011645D">
        <w:rPr>
          <w:sz w:val="20"/>
        </w:rPr>
        <w:t>g/L; p&lt;0.001) and fewer patients had iron deficiency (56.7%vs.26.8%; p=0.002) at last visit compared to the first.</w:t>
      </w:r>
    </w:p>
    <w:p w14:paraId="54190311" w14:textId="29A9E4C8" w:rsidR="00314DAD" w:rsidRPr="0011645D" w:rsidRDefault="00314DAD" w:rsidP="00314DAD">
      <w:pPr>
        <w:jc w:val="both"/>
        <w:rPr>
          <w:b/>
          <w:bCs/>
          <w:sz w:val="20"/>
        </w:rPr>
      </w:pPr>
      <w:r w:rsidRPr="0011645D">
        <w:rPr>
          <w:b/>
          <w:bCs/>
          <w:sz w:val="20"/>
        </w:rPr>
        <w:t>Conclusion</w:t>
      </w:r>
      <w:r w:rsidR="002D0C12" w:rsidRPr="0011645D">
        <w:rPr>
          <w:b/>
          <w:bCs/>
          <w:sz w:val="20"/>
        </w:rPr>
        <w:t>s</w:t>
      </w:r>
      <w:r w:rsidRPr="0011645D">
        <w:rPr>
          <w:b/>
          <w:bCs/>
          <w:sz w:val="20"/>
        </w:rPr>
        <w:t>:</w:t>
      </w:r>
    </w:p>
    <w:p w14:paraId="5E9786D4" w14:textId="77777777" w:rsidR="00314DAD" w:rsidRPr="0011645D" w:rsidRDefault="00314DAD" w:rsidP="00314DAD">
      <w:pPr>
        <w:jc w:val="both"/>
        <w:rPr>
          <w:sz w:val="20"/>
        </w:rPr>
      </w:pPr>
      <w:r w:rsidRPr="0011645D">
        <w:rPr>
          <w:sz w:val="20"/>
        </w:rPr>
        <w:t>This inter-disciplinary clinic improved guideline-recommended medications prescription, MRA dosages in CKD-HF patients without significant biochemical abnormality; and iron status. A prospectively-designed study with medication titration protocol and defined patient-centred outcomes is needed to further assess effectiveness of such clinic.</w:t>
      </w:r>
    </w:p>
    <w:p w14:paraId="3A15D8B1" w14:textId="77777777" w:rsidR="00314DAD" w:rsidRPr="0011645D" w:rsidRDefault="00314DAD" w:rsidP="00314DAD">
      <w:pPr>
        <w:jc w:val="both"/>
        <w:rPr>
          <w:sz w:val="20"/>
        </w:rPr>
      </w:pPr>
      <w:r w:rsidRPr="0011645D">
        <w:rPr>
          <w:b/>
          <w:sz w:val="20"/>
        </w:rPr>
        <w:t>Key words</w:t>
      </w:r>
      <w:r w:rsidRPr="0011645D">
        <w:rPr>
          <w:sz w:val="20"/>
        </w:rPr>
        <w:t>: Chronic Kidney Disease, Kidney Failure, Heart Failure, angiotensin converting enzyme inhibitors, aldosterone antagonists, systolic heart failure</w:t>
      </w:r>
    </w:p>
    <w:p w14:paraId="341C304E" w14:textId="77777777" w:rsidR="00314DAD" w:rsidRPr="0011645D" w:rsidRDefault="00314DAD">
      <w:pPr>
        <w:rPr>
          <w:rFonts w:asciiTheme="majorHAnsi" w:eastAsiaTheme="majorEastAsia" w:hAnsiTheme="majorHAnsi" w:cstheme="majorBidi"/>
          <w:b/>
          <w:sz w:val="20"/>
          <w:szCs w:val="20"/>
        </w:rPr>
      </w:pPr>
      <w:r w:rsidRPr="0011645D">
        <w:rPr>
          <w:b/>
          <w:sz w:val="20"/>
          <w:szCs w:val="20"/>
        </w:rPr>
        <w:br w:type="page"/>
      </w:r>
    </w:p>
    <w:p w14:paraId="59D4DBED" w14:textId="7326D73D" w:rsidR="00B41760" w:rsidRPr="0011645D" w:rsidRDefault="004E6C2C" w:rsidP="00DB3AF4">
      <w:pPr>
        <w:pStyle w:val="Heading1"/>
        <w:jc w:val="both"/>
        <w:rPr>
          <w:b/>
          <w:color w:val="auto"/>
          <w:sz w:val="20"/>
          <w:szCs w:val="20"/>
        </w:rPr>
      </w:pPr>
      <w:r w:rsidRPr="0011645D">
        <w:rPr>
          <w:b/>
          <w:color w:val="auto"/>
          <w:sz w:val="20"/>
          <w:szCs w:val="20"/>
        </w:rPr>
        <w:lastRenderedPageBreak/>
        <w:t>Background</w:t>
      </w:r>
    </w:p>
    <w:p w14:paraId="399B04C1" w14:textId="39BCFCA5" w:rsidR="008F2D3A" w:rsidRPr="0011645D" w:rsidRDefault="008F2D3A" w:rsidP="00B41760">
      <w:pPr>
        <w:jc w:val="both"/>
        <w:rPr>
          <w:sz w:val="20"/>
          <w:szCs w:val="20"/>
        </w:rPr>
      </w:pPr>
      <w:r w:rsidRPr="0011645D">
        <w:rPr>
          <w:sz w:val="20"/>
          <w:szCs w:val="20"/>
        </w:rPr>
        <w:t>A population of patients with concurrent chronic kidney disease (CKD) and heart failure (HF) has been increasing due to each disease’s increasing prevalence in the aging population as well as complex interactions between these two disease entities. Despite their well-known survival benefits in HF patients, there is no clear guidance on the use of beta-blockers, angiotensin</w:t>
      </w:r>
      <w:r w:rsidR="00965191" w:rsidRPr="0011645D">
        <w:rPr>
          <w:sz w:val="20"/>
          <w:szCs w:val="20"/>
        </w:rPr>
        <w:t>-</w:t>
      </w:r>
      <w:r w:rsidRPr="0011645D">
        <w:rPr>
          <w:sz w:val="20"/>
          <w:szCs w:val="20"/>
        </w:rPr>
        <w:t>converting enzyme inhibitors (</w:t>
      </w:r>
      <w:proofErr w:type="spellStart"/>
      <w:r w:rsidRPr="0011645D">
        <w:rPr>
          <w:sz w:val="20"/>
          <w:szCs w:val="20"/>
        </w:rPr>
        <w:t>ACEis</w:t>
      </w:r>
      <w:proofErr w:type="spellEnd"/>
      <w:r w:rsidRPr="0011645D">
        <w:rPr>
          <w:sz w:val="20"/>
          <w:szCs w:val="20"/>
        </w:rPr>
        <w:t>), angiotensin</w:t>
      </w:r>
      <w:r w:rsidR="00965191" w:rsidRPr="0011645D">
        <w:rPr>
          <w:sz w:val="20"/>
          <w:szCs w:val="20"/>
        </w:rPr>
        <w:t>-</w:t>
      </w:r>
      <w:r w:rsidRPr="0011645D">
        <w:rPr>
          <w:sz w:val="20"/>
          <w:szCs w:val="20"/>
        </w:rPr>
        <w:t xml:space="preserve">receptor blockers (ARBs) and </w:t>
      </w:r>
      <w:proofErr w:type="spellStart"/>
      <w:r w:rsidRPr="0011645D">
        <w:rPr>
          <w:sz w:val="20"/>
          <w:szCs w:val="20"/>
        </w:rPr>
        <w:t>mineralo</w:t>
      </w:r>
      <w:proofErr w:type="spellEnd"/>
      <w:r w:rsidRPr="0011645D">
        <w:rPr>
          <w:sz w:val="20"/>
          <w:szCs w:val="20"/>
        </w:rPr>
        <w:t>-corticoid receptor antagonists (MRAs) in CKD-HF patient</w:t>
      </w:r>
      <w:r w:rsidR="00C45D61" w:rsidRPr="0011645D">
        <w:rPr>
          <w:sz w:val="20"/>
          <w:szCs w:val="20"/>
        </w:rPr>
        <w:t>s</w:t>
      </w:r>
      <w:r w:rsidRPr="0011645D">
        <w:rPr>
          <w:sz w:val="20"/>
          <w:szCs w:val="20"/>
        </w:rPr>
        <w:t xml:space="preserve"> due to exclusion of severe CKD</w:t>
      </w:r>
      <w:r w:rsidR="00E11C5E" w:rsidRPr="0011645D">
        <w:rPr>
          <w:sz w:val="20"/>
          <w:szCs w:val="20"/>
        </w:rPr>
        <w:t xml:space="preserve"> patients</w:t>
      </w:r>
      <w:r w:rsidRPr="0011645D">
        <w:rPr>
          <w:sz w:val="20"/>
          <w:szCs w:val="20"/>
        </w:rPr>
        <w:t xml:space="preserve"> from major clinical trials</w:t>
      </w:r>
      <w:r w:rsidR="004F472F" w:rsidRPr="0011645D">
        <w:rPr>
          <w:sz w:val="20"/>
          <w:szCs w:val="20"/>
        </w:rPr>
        <w:fldChar w:fldCharType="begin" w:fldLock="1"/>
      </w:r>
      <w:r w:rsidR="006D65F4" w:rsidRPr="0011645D">
        <w:rPr>
          <w:sz w:val="20"/>
          <w:szCs w:val="20"/>
        </w:rPr>
        <w:instrText>ADDIN CSL_CITATION {"citationItems":[{"id":"ITEM-1","itemData":{"DOI":"10.1016/j.jacc.2013.11.031","ISSN":"15583597","abstract":"Chronic kidney disease (CKD) is increasingly prevalent in patients with chronic systolic heart failure. Therefore, evidence-based therapies are more and more being used in patients with some degree of renal dysfunction. However, most pivotal randomized clinical trials specifically excluded patients with (severe) renal dysfunction. The benefit of these evidence-based therapies in this high-risk patient group is largely unknown. This paper reviews data from randomized clinical trials in systolic heart failure and the interactions between baseline renal dysfunction and the effect of randomized treatment. It highlights that most evidence-based therapies show consistent outcome benefit in patients with moderate renal insufficiency (stage 3 CKD), whereas there are very scarce data on patients with severe (stage 4 to 5 CKD) renal insufficiency. If any, the outcome benefit might be even greater in stage 3 CKD compared with those with relatively preserved renal function. However, prescription of therapies should be individualized with consideration of possible harm and benefit, especially in those with stage 4 to 5 CKD where limited data are available.","author":[{"dropping-particle":"","family":"Damman","given":"Kevin","non-dropping-particle":"","parse-names":false,"suffix":""},{"dropping-particle":"","family":"Tang","given":"W. H.Wilson","non-dropping-particle":"","parse-names":false,"suffix":""},{"dropping-particle":"","family":"Felker","given":"G. Michael","non-dropping-particle":"","parse-names":false,"suffix":""},{"dropping-particle":"","family":"Lassus","given":"Johan","non-dropping-particle":"","parse-names":false,"suffix":""},{"dropping-particle":"","family":"Zannad","given":"Faiez","non-dropping-particle":"","parse-names":false,"suffix":""},{"dropping-particle":"","family":"Krum","given":"Henry","non-dropping-particle":"","parse-names":false,"suffix":""},{"dropping-particle":"","family":"McMurray","given":"John J.V.","non-dropping-particle":"","parse-names":false,"suffix":""}],"container-title":"Journal of the American College of Cardiology","id":"ITEM-1","issue":"9","issued":{"date-parts":[["2014"]]},"page":"853-871","title":"Current evidence on treatment of patients with chronic systolic heart failure and renal insufficiency: Practical considerations from published data","type":"article","volume":"63"},"uris":["http://www.mendeley.com/documents/?uuid=26baafd6-1e41-49f4-b786-7cc262dbfdd3"]}],"mendeley":{"formattedCitation":"&lt;sup&gt;1&lt;/sup&gt;","plainTextFormattedCitation":"1","previouslyFormattedCitation":"&lt;sup&gt;1&lt;/sup&gt;"},"properties":{"noteIndex":0},"schema":"https://github.com/citation-style-language/schema/raw/master/csl-citation.json"}</w:instrText>
      </w:r>
      <w:r w:rsidR="004F472F" w:rsidRPr="0011645D">
        <w:rPr>
          <w:sz w:val="20"/>
          <w:szCs w:val="20"/>
        </w:rPr>
        <w:fldChar w:fldCharType="separate"/>
      </w:r>
      <w:r w:rsidR="006D65F4" w:rsidRPr="0011645D">
        <w:rPr>
          <w:noProof/>
          <w:sz w:val="20"/>
          <w:szCs w:val="20"/>
          <w:vertAlign w:val="superscript"/>
        </w:rPr>
        <w:t>1</w:t>
      </w:r>
      <w:r w:rsidR="004F472F" w:rsidRPr="0011645D">
        <w:rPr>
          <w:sz w:val="20"/>
          <w:szCs w:val="20"/>
        </w:rPr>
        <w:fldChar w:fldCharType="end"/>
      </w:r>
      <w:r w:rsidR="006D65F4" w:rsidRPr="0011645D">
        <w:rPr>
          <w:sz w:val="20"/>
          <w:szCs w:val="20"/>
        </w:rPr>
        <w:t>.</w:t>
      </w:r>
      <w:r w:rsidR="00C45D61" w:rsidRPr="0011645D">
        <w:rPr>
          <w:sz w:val="20"/>
          <w:szCs w:val="20"/>
        </w:rPr>
        <w:t xml:space="preserve"> </w:t>
      </w:r>
      <w:r w:rsidR="009500C0" w:rsidRPr="0011645D">
        <w:rPr>
          <w:sz w:val="20"/>
          <w:szCs w:val="20"/>
        </w:rPr>
        <w:t>Clinicians often hesitate to initiate or up-titrate renin-angiotensin-aldosterone system inhibitors (</w:t>
      </w:r>
      <w:proofErr w:type="spellStart"/>
      <w:r w:rsidR="009500C0" w:rsidRPr="0011645D">
        <w:rPr>
          <w:sz w:val="20"/>
          <w:szCs w:val="20"/>
        </w:rPr>
        <w:t>RAASi</w:t>
      </w:r>
      <w:proofErr w:type="spellEnd"/>
      <w:r w:rsidR="009500C0" w:rsidRPr="0011645D">
        <w:rPr>
          <w:sz w:val="20"/>
          <w:szCs w:val="20"/>
        </w:rPr>
        <w:t xml:space="preserve">) due to concerns regarding </w:t>
      </w:r>
      <w:r w:rsidR="00965191" w:rsidRPr="0011645D">
        <w:rPr>
          <w:sz w:val="20"/>
          <w:szCs w:val="20"/>
        </w:rPr>
        <w:t xml:space="preserve">potential </w:t>
      </w:r>
      <w:r w:rsidR="009500C0" w:rsidRPr="0011645D">
        <w:rPr>
          <w:sz w:val="20"/>
          <w:szCs w:val="20"/>
        </w:rPr>
        <w:t>deterioration in renal function or hyperkalaemia.</w:t>
      </w:r>
      <w:r w:rsidR="00965191" w:rsidRPr="0011645D">
        <w:rPr>
          <w:sz w:val="20"/>
          <w:szCs w:val="20"/>
        </w:rPr>
        <w:t xml:space="preserve"> </w:t>
      </w:r>
      <w:r w:rsidR="009500C0" w:rsidRPr="0011645D">
        <w:rPr>
          <w:sz w:val="20"/>
          <w:szCs w:val="20"/>
        </w:rPr>
        <w:t>CKD-HF patients, who already suffer high hospitalisation and mortality</w:t>
      </w:r>
      <w:r w:rsidR="006D65F4" w:rsidRPr="0011645D">
        <w:rPr>
          <w:sz w:val="20"/>
          <w:szCs w:val="20"/>
        </w:rPr>
        <w:fldChar w:fldCharType="begin" w:fldLock="1"/>
      </w:r>
      <w:r w:rsidR="006D65F4" w:rsidRPr="0011645D">
        <w:rPr>
          <w:sz w:val="20"/>
          <w:szCs w:val="20"/>
        </w:rPr>
        <w:instrText>ADDIN CSL_CITATION {"citationItems":[{"id":"ITEM-1","itemData":{"DOI":"10.1016/j.jacc.2013.11.031","ISSN":"15583597","abstract":"Chronic kidney disease (CKD) is increasingly prevalent in patients with chronic systolic heart failure. Therefore, evidence-based therapies are more and more being used in patients with some degree of renal dysfunction. However, most pivotal randomized clinical trials specifically excluded patients with (severe) renal dysfunction. The benefit of these evidence-based therapies in this high-risk patient group is largely unknown. This paper reviews data from randomized clinical trials in systolic heart failure and the interactions between baseline renal dysfunction and the effect of randomized treatment. It highlights that most evidence-based therapies show consistent outcome benefit in patients with moderate renal insufficiency (stage 3 CKD), whereas there are very scarce data on patients with severe (stage 4 to 5 CKD) renal insufficiency. If any, the outcome benefit might be even greater in stage 3 CKD compared with those with relatively preserved renal function. However, prescription of therapies should be individualized with consideration of possible harm and benefit, especially in those with stage 4 to 5 CKD where limited data are available.","author":[{"dropping-particle":"","family":"Damman","given":"Kevin","non-dropping-particle":"","parse-names":false,"suffix":""},{"dropping-particle":"","family":"Tang","given":"W. H.Wilson","non-dropping-particle":"","parse-names":false,"suffix":""},{"dropping-particle":"","family":"Felker","given":"G. Michael","non-dropping-particle":"","parse-names":false,"suffix":""},{"dropping-particle":"","family":"Lassus","given":"Johan","non-dropping-particle":"","parse-names":false,"suffix":""},{"dropping-particle":"","family":"Zannad","given":"Faiez","non-dropping-particle":"","parse-names":false,"suffix":""},{"dropping-particle":"","family":"Krum","given":"Henry","non-dropping-particle":"","parse-names":false,"suffix":""},{"dropping-particle":"","family":"McMurray","given":"John J.V.","non-dropping-particle":"","parse-names":false,"suffix":""}],"container-title":"Journal of the American College of Cardiology","id":"ITEM-1","issue":"9","issued":{"date-parts":[["2014"]]},"page":"853-871","title":"Current evidence on treatment of patients with chronic systolic heart failure and renal insufficiency: Practical considerations from published data","type":"article","volume":"63"},"uris":["http://www.mendeley.com/documents/?uuid=26baafd6-1e41-49f4-b786-7cc262dbfdd3"]}],"mendeley":{"formattedCitation":"&lt;sup&gt;1&lt;/sup&gt;","plainTextFormattedCitation":"1","previouslyFormattedCitation":"&lt;sup&gt;1&lt;/sup&gt;"},"properties":{"noteIndex":0},"schema":"https://github.com/citation-style-language/schema/raw/master/csl-citation.json"}</w:instrText>
      </w:r>
      <w:r w:rsidR="006D65F4" w:rsidRPr="0011645D">
        <w:rPr>
          <w:sz w:val="20"/>
          <w:szCs w:val="20"/>
        </w:rPr>
        <w:fldChar w:fldCharType="separate"/>
      </w:r>
      <w:r w:rsidR="006D65F4" w:rsidRPr="0011645D">
        <w:rPr>
          <w:noProof/>
          <w:sz w:val="20"/>
          <w:szCs w:val="20"/>
          <w:vertAlign w:val="superscript"/>
        </w:rPr>
        <w:t>1</w:t>
      </w:r>
      <w:r w:rsidR="006D65F4" w:rsidRPr="0011645D">
        <w:rPr>
          <w:sz w:val="20"/>
          <w:szCs w:val="20"/>
        </w:rPr>
        <w:fldChar w:fldCharType="end"/>
      </w:r>
      <w:r w:rsidR="006D65F4" w:rsidRPr="0011645D">
        <w:rPr>
          <w:sz w:val="20"/>
          <w:szCs w:val="20"/>
        </w:rPr>
        <w:t>,</w:t>
      </w:r>
      <w:r w:rsidR="009500C0" w:rsidRPr="0011645D">
        <w:rPr>
          <w:sz w:val="20"/>
          <w:szCs w:val="20"/>
        </w:rPr>
        <w:t xml:space="preserve"> are often under-treated with </w:t>
      </w:r>
      <w:r w:rsidR="00C45D61" w:rsidRPr="0011645D">
        <w:rPr>
          <w:sz w:val="20"/>
          <w:szCs w:val="20"/>
        </w:rPr>
        <w:t xml:space="preserve">these </w:t>
      </w:r>
      <w:r w:rsidR="009500C0" w:rsidRPr="0011645D">
        <w:rPr>
          <w:sz w:val="20"/>
          <w:szCs w:val="20"/>
        </w:rPr>
        <w:t>life-prolonging medications</w:t>
      </w:r>
      <w:r w:rsidR="00965191" w:rsidRPr="0011645D">
        <w:rPr>
          <w:sz w:val="20"/>
          <w:szCs w:val="20"/>
        </w:rPr>
        <w:t xml:space="preserve"> due to these challenges</w:t>
      </w:r>
      <w:r w:rsidR="006D65F4" w:rsidRPr="0011645D">
        <w:rPr>
          <w:sz w:val="20"/>
          <w:szCs w:val="20"/>
        </w:rPr>
        <w:fldChar w:fldCharType="begin" w:fldLock="1"/>
      </w:r>
      <w:r w:rsidR="006D65F4" w:rsidRPr="0011645D">
        <w:rPr>
          <w:sz w:val="20"/>
          <w:szCs w:val="20"/>
        </w:rPr>
        <w:instrText>ADDIN CSL_CITATION {"citationItems":[{"id":"ITEM-1","itemData":{"DOI":"10.1016/j.amjcard.2009.12.016","ISSN":"00029149","abstract":"Guidelines have been established for the treatment of patients with heart failure (HF) and left ventricular dysfunction, but renal dysfunction might limit adherence to these guidelines. Few data have characterized the use of guideline-recommended therapy for patients with HF, left ventricular dysfunction, and renal dysfunction who are treated in outpatient settings. The Registry to Improve the Use of Evidence-Based Heart Failure Therapies in the Outpatient Setting (IMPROVE HF) was a prospective study of patients receiving treatment as outpatients in cardiology practices in the United States. The rates of adherence to 7 guideline-recommended therapies were evaluated for patients with a left ventricular ejection fraction of ≤35%. The estimated glomerular filtration rate was estimated using the Modification of Diet in Renal Disease formula for 13,164 patients who were categorized as having stage 1 through stage 4/5 chronic kidney disease (CKD). More than 1/2 (52.2%) of the patients had stage 3 or 4/5 CKD. Older patients and women were at increased risk of higher stage CKD, and the rates of co-morbid health conditions were significantly greater among patients with more severe CKD. The patients with more severe CKD were significantly less likely to receive all interventions except cardiac resynchronization therapy. However, multivariate analysis controlling for patient characteristics revealed that the severity of CKD was an independent predictor of adherence to angiotensin-converting enzyme inhibitor/angiotensin receptor blocker therapy but not to any of the 6 other guideline-recommended measures. In conclusion, these results confirm that CKD is common in patients with HF and left ventricular dysfunction but is not independently associated with adherence to guideline-recommended therapy in outpatient cardiology practices, with the exception of angiotensin-converting enzyme inhibitor/angiotensin receptor blocker therapy. © 2010.","author":[{"dropping-particle":"","family":"Heywood","given":"J. Thomas","non-dropping-particle":"","parse-names":false,"suffix":""},{"dropping-particle":"","family":"Fonarow","given":"Gregg C.","non-dropping-particle":"","parse-names":false,"suffix":""},{"dropping-particle":"","family":"Yancy","given":"Clyde W.","non-dropping-particle":"","parse-names":false,"suffix":""},{"dropping-particle":"","family":"Albert","given":"Nancy M.","non-dropping-particle":"","parse-names":false,"suffix":""},{"dropping-particle":"","family":"Curtis","given":"Anne B.","non-dropping-particle":"","parse-names":false,"suffix":""},{"dropping-particle":"","family":"Stough","given":"Wendy Gattis","non-dropping-particle":"","parse-names":false,"suffix":""},{"dropping-particle":"","family":"Gheorghiade","given":"Mihai","non-dropping-particle":"","parse-names":false,"suffix":""},{"dropping-particle":"","family":"McBride","given":"Mark L.","non-dropping-particle":"","parse-names":false,"suffix":""},{"dropping-particle":"","family":"Mehra","given":"Mandeep R.","non-dropping-particle":"","parse-names":false,"suffix":""},{"dropping-particle":"","family":"O'Connor","given":"Christopher M.","non-dropping-particle":"","parse-names":false,"suffix":""},{"dropping-particle":"","family":"Reynolds","given":"Dwight","non-dropping-particle":"","parse-names":false,"suffix":""},{"dropping-particle":"","family":"Walsh","given":"Mary Norine","non-dropping-particle":"","parse-names":false,"suffix":""}],"container-title":"American Journal of Cardiology","id":"ITEM-1","issue":"8","issued":{"date-parts":[["2010"]]},"page":"1140-1146","publisher":"Elsevier Inc.","title":"Influence of Renal Function on the Use of Guideline-Recommended Therapies for Patients With Heart Failure","type":"article-journal","volume":"105"},"uris":["http://www.mendeley.com/documents/?uuid=610f4d6c-fb02-4278-bd35-46f105308ef6"]}],"mendeley":{"formattedCitation":"&lt;sup&gt;2&lt;/sup&gt;","plainTextFormattedCitation":"2","previouslyFormattedCitation":"&lt;sup&gt;2&lt;/sup&gt;"},"properties":{"noteIndex":0},"schema":"https://github.com/citation-style-language/schema/raw/master/csl-citation.json"}</w:instrText>
      </w:r>
      <w:r w:rsidR="006D65F4" w:rsidRPr="0011645D">
        <w:rPr>
          <w:sz w:val="20"/>
          <w:szCs w:val="20"/>
        </w:rPr>
        <w:fldChar w:fldCharType="separate"/>
      </w:r>
      <w:r w:rsidR="006D65F4" w:rsidRPr="0011645D">
        <w:rPr>
          <w:noProof/>
          <w:sz w:val="20"/>
          <w:szCs w:val="20"/>
          <w:vertAlign w:val="superscript"/>
        </w:rPr>
        <w:t>2</w:t>
      </w:r>
      <w:r w:rsidR="006D65F4" w:rsidRPr="0011645D">
        <w:rPr>
          <w:sz w:val="20"/>
          <w:szCs w:val="20"/>
        </w:rPr>
        <w:fldChar w:fldCharType="end"/>
      </w:r>
      <w:r w:rsidR="006D65F4" w:rsidRPr="0011645D">
        <w:rPr>
          <w:sz w:val="20"/>
          <w:szCs w:val="20"/>
        </w:rPr>
        <w:t>.</w:t>
      </w:r>
    </w:p>
    <w:p w14:paraId="6EC2B183" w14:textId="68373FD3" w:rsidR="00B41760" w:rsidRPr="0011645D" w:rsidRDefault="009500C0" w:rsidP="00B41760">
      <w:pPr>
        <w:jc w:val="both"/>
        <w:rPr>
          <w:sz w:val="20"/>
          <w:szCs w:val="20"/>
        </w:rPr>
      </w:pPr>
      <w:r w:rsidRPr="0011645D">
        <w:rPr>
          <w:sz w:val="20"/>
          <w:szCs w:val="20"/>
        </w:rPr>
        <w:t>A multi</w:t>
      </w:r>
      <w:r w:rsidR="00965191" w:rsidRPr="0011645D">
        <w:rPr>
          <w:sz w:val="20"/>
          <w:szCs w:val="20"/>
        </w:rPr>
        <w:t>-</w:t>
      </w:r>
      <w:r w:rsidRPr="0011645D">
        <w:rPr>
          <w:sz w:val="20"/>
          <w:szCs w:val="20"/>
        </w:rPr>
        <w:t>disciplinary approach has been recommended for management of CKD-HF patients due to demonstrated improved patient outcomes</w:t>
      </w:r>
      <w:r w:rsidR="007A2666" w:rsidRPr="0011645D">
        <w:rPr>
          <w:sz w:val="20"/>
          <w:szCs w:val="20"/>
        </w:rPr>
        <w:fldChar w:fldCharType="begin" w:fldLock="1"/>
      </w:r>
      <w:r w:rsidR="004F7AEA" w:rsidRPr="0011645D">
        <w:rPr>
          <w:sz w:val="20"/>
          <w:szCs w:val="20"/>
        </w:rPr>
        <w:instrText>ADDIN CSL_CITATION {"citationItems":[{"id":"ITEM-1","itemData":{"DOI":"10.1016/j.kint.2019.02.022","ISSN":"00852538","abstract":"The incidence and prevalence of heart failure (HF) and chronic kidney disease (CKD) are increasing, and as such a better understanding of the interface between both conditions is imperative for developing optimal strategies for their detection, prevention, diagnosis, and management. To this end, Kidney Disease: Improving Global Outcomes (KDIGO) convened an international, multidisciplinary Controversies Conference titled Heart Failure in CKD. Breakout group discussions included (i) HF with preserved ejection fraction (HFpEF) and nondialysis CKD, (ii) HF with reduced ejection fraction (HFrEF) and nondialysis CKD, (iii) HFpEF and dialysis-dependent CKD, (iv) HFrEF and dialysis-dependent CKD, and (v) HF in kidney transplant patients. The questions that formed the basis of discussions are available on the KDIGO website http://kdigo.org/conferences/heart-failure-in-ckd/, and the deliberations from the conference are summarized here.","author":[{"dropping-particle":"","family":"House","given":"Andrew A.","non-dropping-particle":"","parse-names":false,"suffix":""},{"dropping-particle":"","family":"Wanner","given":"Christoph","non-dropping-particle":"","parse-names":false,"suffix":""},{"dropping-particle":"","family":"Sarnak","given":"Mark J.","non-dropping-particle":"","parse-names":false,"suffix":""},{"dropping-particle":"","family":"Piña","given":"Ileana L.","non-dropping-particle":"","parse-names":false,"suffix":""},{"dropping-particle":"","family":"McIntyre","given":"Christopher W.","non-dropping-particle":"","parse-names":false,"suffix":""},{"dropping-particle":"","family":"Komenda","given":"Paul","non-dropping-particle":"","parse-names":false,"suffix":""},{"dropping-particle":"","family":"Kasiske","given":"Bertram L.","non-dropping-particle":"","parse-names":false,"suffix":""},{"dropping-particle":"","family":"Deswal","given":"Anita","non-dropping-particle":"","parse-names":false,"suffix":""},{"dropping-particle":"","family":"DeFilippi","given":"Christopher R.","non-dropping-particle":"","parse-names":false,"suffix":""},{"dropping-particle":"","family":"Cleland","given":"John G.F.","non-dropping-particle":"","parse-names":false,"suffix":""},{"dropping-particle":"","family":"Anker","given":"Stefan D.","non-dropping-particle":"","parse-names":false,"suffix":""},{"dropping-particle":"","family":"Herzog","given":"Charles A.","non-dropping-particle":"","parse-names":false,"suffix":""},{"dropping-particle":"","family":"Cheung","given":"Michael","non-dropping-particle":"","parse-names":false,"suffix":""},{"dropping-particle":"","family":"Wheeler","given":"David C.","non-dropping-particle":"","parse-names":false,"suffix":""},{"dropping-particle":"","family":"Winkelmayer","given":"Wolfgang C.","non-dropping-particle":"","parse-names":false,"suffix":""},{"dropping-particle":"","family":"McCullough","given":"Peter A.","non-dropping-particle":"","parse-names":false,"suffix":""},{"dropping-particle":"","family":"Abu-Alfa","given":"Ali K.","non-dropping-particle":"","parse-names":false,"suffix":""},{"dropping-particle":"","family":"Amann","given":"Kerstin","non-dropping-particle":"","parse-names":false,"suffix":""},{"dropping-particle":"","family":"Aonuma","given":"Kazutaka","non-dropping-particle":"","parse-names":false,"suffix":""},{"dropping-particle":"","family":"Appel","given":"Lawrence J.","non-dropping-particle":"","parse-names":false,"suffix":""},{"dropping-particle":"","family":"Baigent","given":"Colin","non-dropping-particle":"","parse-names":false,"suffix":""},{"dropping-particle":"","family":"Bakris","given":"George L.","non-dropping-particle":"","parse-names":false,"suffix":""},{"dropping-particle":"","family":"Banerjee","given":"Debasish","non-dropping-particle":"","parse-names":false,"suffix":""},{"dropping-particle":"","family":"Boletis","given":"John N.","non-dropping-particle":"","parse-names":false,"suffix":""},{"dropping-particle":"","family":"Bozkurt","given":"Biykem","non-dropping-particle":"","parse-names":false,"suffix":""},{"dropping-particle":"","family":"Butler","given":"Javed","non-dropping-particle":"","parse-names":false,"suffix":""},{"dropping-particle":"","family":"Chan","given":"Christopher T.","non-dropping-particle":"","parse-names":false,"suffix":""},{"dropping-particle":"","family":"Costanzo","given":"Maria Rosa","non-dropping-particle":"","parse-names":false,"suffix":""},{"dropping-particle":"","family":"Dubin","given":"Ruth F.","non-dropping-particle":"","parse-names":false,"suffix":""},{"dropping-particle":"","family":"Filippatos","given":"Gerasimos","non-dropping-particle":"","parse-names":false,"suffix":""},{"dropping-particle":"","family":"Gikonyo","given":"Betty M.","non-dropping-particle":"","parse-names":false,"suffix":""},{"dropping-particle":"","family":"Gikonyo","given":"Dan K.","non-dropping-particle":"","parse-names":false,"suffix":""},{"dropping-particle":"","family":"Hajjar","given":"Roger J.","non-dropping-particle":"","parse-names":false,"suffix":""},{"dropping-particle":"","family":"Iseki","given":"Kunitoshi","non-dropping-particle":"","parse-names":false,"suffix":""},{"dropping-particle":"","family":"Ishii","given":"Hideki","non-dropping-particle":"","parse-names":false,"suffix":""},{"dropping-particle":"","family":"Knoll","given":"Greg A.","non-dropping-particle":"","parse-names":false,"suffix":""},{"dropping-particle":"","family":"Lenihan","given":"Colin R.","non-dropping-particle":"","parse-names":false,"suffix":""},{"dropping-particle":"","family":"Lentine","given":"Krista L.","non-dropping-particle":"","parse-names":false,"suffix":""},{"dropping-particle":"V.","family":"Lerma","given":"Edgar","non-dropping-particle":"","parse-names":false,"suffix":""},{"dropping-particle":"","family":"Macedo","given":"Etienne","non-dropping-particle":"","parse-names":false,"suffix":""},{"dropping-particle":"","family":"Mark","given":"Patrick B.","non-dropping-particle":"","parse-names":false,"suffix":""},{"dropping-particle":"","family":"Noiri","given":"Eisei","non-dropping-particle":"","parse-names":false,"suffix":""},{"dropping-particle":"","family":"Palazzuoli","given":"Alberto","non-dropping-particle":"","parse-names":false,"suffix":""},{"dropping-particle":"","family":"Pecoits-Filho","given":"Roberto","non-dropping-particle":"","parse-names":false,"suffix":""},{"dropping-particle":"","family":"Pitt","given":"Bertram","non-dropping-particle":"","parse-names":false,"suffix":""},{"dropping-particle":"","family":"Rigatto","given":"Claudio","non-dropping-particle":"","parse-names":false,"suffix":""},{"dropping-particle":"","family":"Rossignol","given":"Patrick","non-dropping-particle":"","parse-names":false,"suffix":""},{"dropping-particle":"","family":"Setoguchi","given":"Soko","non-dropping-particle":"","parse-names":false,"suffix":""},{"dropping-particle":"","family":"Sood","given":"Manish M.","non-dropping-particle":"","parse-names":false,"suffix":""},{"dropping-particle":"","family":"Störk","given":"Stefan","non-dropping-particle":"","parse-names":false,"suffix":""},{"dropping-particle":"","family":"Suri","given":"Rita S.","non-dropping-particle":"","parse-names":false,"suffix":""},{"dropping-particle":"","family":"Szummer","given":"Karolina","non-dropping-particle":"","parse-names":false,"suffix":""},{"dropping-particle":"","family":"Tang","given":"Sydney C.W.","non-dropping-particle":"","parse-names":false,"suffix":""},{"dropping-particle":"","family":"Tangri","given":"Navdeep","non-dropping-particle":"","parse-names":false,"suffix":""},{"dropping-particle":"","family":"Thompson","given":"Aliza","non-dropping-particle":"","parse-names":false,"suffix":""},{"dropping-particle":"","family":"Vijayaraghavan","given":"Krishnaswami","non-dropping-particle":"","parse-names":false,"suffix":""},{"dropping-particle":"","family":"Walsh","given":"Michael","non-dropping-particle":"","parse-names":false,"suffix":""},{"dropping-particle":"","family":"Wang","given":"Angela Yee-Moon","non-dropping-particle":"","parse-names":false,"suffix":""},{"dropping-particle":"","family":"Weir","given":"Matthew R.","non-dropping-particle":"","parse-names":false,"suffix":""}],"container-title":"Kidney International","id":"ITEM-1","issue":"6","issued":{"date-parts":[["2019","6"]]},"page":"1304-1317","title":"Heart failure in chronic kidney disease: conclusions from a Kidney Disease: Improving Global Outcomes (KDIGO) Controversies Conference","type":"article-journal","volume":"95"},"uris":["http://www.mendeley.com/documents/?uuid=cc89d093-38df-4cf0-b6bb-de7e42f3c054"]},{"id":"ITEM-2","itemData":{"DOI":"10.1093/eurheartj/ehw128","ISSN":"0195-668X","author":[{"dropping-particle":"","family":"Ponikowski","given":"Piotr","non-dropping-particle":"","parse-names":false,"suffix":""},{"dropping-particle":"","family":"Voors","given":"Adriaan A.","non-dropping-particle":"","parse-names":false,"suffix":""},{"dropping-particle":"","family":"Anker","given":"Stefan D.","non-dropping-particle":"","parse-names":false,"suffix":""},{"dropping-particle":"","family":"Bueno","given":"Héctor","non-dropping-particle":"","parse-names":false,"suffix":""},{"dropping-particle":"","family":"Cleland","given":"John G. F.","non-dropping-particle":"","parse-names":false,"suffix":""},{"dropping-particle":"","family":"Coats","given":"Andrew J. S.","non-dropping-particle":"","parse-names":false,"suffix":""},{"dropping-particle":"","family":"Falk","given":"Volkmar","non-dropping-particle":"","parse-names":false,"suffix":""},{"dropping-particle":"","family":"González-Juanatey","given":"José Ramón","non-dropping-particle":"","parse-names":false,"suffix":""},{"dropping-particle":"","family":"Harjola","given":"Veli-Pekka","non-dropping-particle":"","parse-names":false,"suffix":""},{"dropping-particle":"","family":"Jankowska","given":"Ewa A.","non-dropping-particle":"","parse-names":false,"suffix":""},{"dropping-particle":"","family":"Jessup","given":"Mariell","non-dropping-particle":"","parse-names":false,"suffix":""},{"dropping-particle":"","family":"Linde","given":"Cecilia","non-dropping-particle":"","parse-names":false,"suffix":""},{"dropping-particle":"","family":"Nihoyannopoulos","given":"Petros","non-dropping-particle":"","parse-names":false,"suffix":""},{"dropping-particle":"","family":"Parissis","given":"John T.","non-dropping-particle":"","parse-names":false,"suffix":""},{"dropping-particle":"","family":"Pieske","given":"Burkert","non-dropping-particle":"","parse-names":false,"suffix":""},{"dropping-particle":"","family":"Riley","given":"Jillian P.","non-dropping-particle":"","parse-names":false,"suffix":""},{"dropping-particle":"","family":"Rosano","given":"Giuseppe M. C.","non-dropping-particle":"","parse-names":false,"suffix":""},{"dropping-particle":"","family":"Ruilope","given":"Luis M.","non-dropping-particle":"","parse-names":false,"suffix":""},{"dropping-particle":"","family":"Ruschitzka","given":"Frank","non-dropping-particle":"","parse-names":false,"suffix":""},{"dropping-particle":"","family":"Rutten","given":"Frans H.","non-dropping-particle":"","parse-names":false,"suffix":""},{"dropping-particle":"","family":"Meer","given":"Peter","non-dropping-particle":"van der","parse-names":false,"suffix":""}],"container-title":"European Heart Journal","id":"ITEM-2","issue":"27","issued":{"date-parts":[["2016","7","14"]]},"page":"2129-2200","title":"2016 ESC Guidelines for the diagnosis and treatment of acute and chronic heart failure","type":"article-journal","volume":"37"},"uris":["http://www.mendeley.com/documents/?uuid=314ab32c-f2fb-40c7-ab7e-18be06ac5681"]},{"id":"ITEM-3","itemData":{"DOI":"10.1681/ASN.2006080860","ISSN":"1046-6673","PMID":"17267742","abstract":"The effectiveness of multidisciplinary care (MDC) in improving health outcomes for patients with chronic kidney disease (CKD) is uncertain. This study sought to determine the association among MDC, survival, and risk for hospitalization among elderly outpatients with CKD. A total of 6978 patients who were 66 yr and older and had CKD were identified between July 1 and December 31, 2001, and followed to December 31, 2004; 187 (2.7%) were followed in an MDC clinic. Logistic regression was used to determine the propensity score (probability of MDC) for each patient, and MDC and non-MDC patients then were matched 1:1 on the basis of their score. A Cox model was used to determine the association between MDC and risk for death and hospitalization. After adjustment for age, gender, baseline GFR, diabetes, and comorbidity score, there was a 50% reduction in the risk for death for the MDC compared with the non-MDC group (hazard ratio [HR] 0.50; 95% confidence interval [CI] 0.35 to 0.71). There was no difference in the risk for all-cause (HR 0.83; 95% CI 0.64 to 1.06) or cardiovascular-specific hospitalization (HR 0.76; 95% CI 0.54 to 1.06) for the MDC compared with the non-MDC group. In conclusion, it was found that MDC was associated with a significant reduction in the risk for all-cause mortality and, although not statistically significant, a trend toward a reduction in risk for all-cause and cardiovascular-specific hospitalizations. The benefits of MDC and an assessment of their economic impact should be tested in a randomized, controlled trial. Copyright © 2007 by the American Society of Nephrology.","author":[{"dropping-particle":"","family":"Hemmelgarn","given":"Brenda R.","non-dropping-particle":"","parse-names":false,"suffix":""},{"dropping-particle":"","family":"Manns","given":"Braden J.","non-dropping-particle":"","parse-names":false,"suffix":""},{"dropping-particle":"","family":"Zhang","given":"Jianguo","non-dropping-particle":"","parse-names":false,"suffix":""},{"dropping-particle":"","family":"Tonelli","given":"Marcello","non-dropping-particle":"","parse-names":false,"suffix":""},{"dropping-particle":"","family":"Klarenbach","given":"Scott","non-dropping-particle":"","parse-names":false,"suffix":""},{"dropping-particle":"","family":"Walsh","given":"Michael","non-dropping-particle":"","parse-names":false,"suffix":""},{"dropping-particle":"","family":"Culleton","given":"Bruce F.","non-dropping-particle":"","parse-names":false,"suffix":""}],"container-title":"Journal of the American Society of Nephrology","id":"ITEM-3","issue":"3","issued":{"date-parts":[["2007","3"]]},"page":"993-999","title":"Association between Multidisciplinary Care and Survival for Elderly Patients with Chronic Kidney Disease","type":"article-journal","volume":"18"},"uris":["http://www.mendeley.com/documents/?uuid=7b682587-310a-4ff4-a9f8-c898121d3f03"]},{"id":"ITEM-4","itemData":{"DOI":"10.1186/s12882-015-0158-6","author":[{"dropping-particle":"","family":"Johns","given":"Tanya S","non-dropping-particle":"","parse-names":false,"suffix":""},{"dropping-particle":"","family":"Yee","given":"Jerry","non-dropping-particle":"","parse-names":false,"suffix":""},{"dropping-particle":"","family":"Smith-jules","given":"Terrian","non-dropping-particle":"","parse-names":false,"suffix":""},{"dropping-particle":"","family":"Campbell","given":"Ruth C","non-dropping-particle":"","parse-names":false,"suffix":""},{"dropping-particle":"","family":"Bauer","given":"Carolyn","non-dropping-particle":"","parse-names":false,"suffix":""}],"id":"ITEM-4","issued":{"date-parts":[["2015"]]},"publisher":"BMC Nephrology","title":"Interdisciplinary care clinics in chronic kidney disease","type":"article-journal"},"uris":["http://www.mendeley.com/documents/?uuid=424d918c-d571-4dfb-a68e-e38ec8f100bb"]}],"mendeley":{"formattedCitation":"&lt;sup&gt;3–6&lt;/sup&gt;","plainTextFormattedCitation":"3–6","previouslyFormattedCitation":"&lt;sup&gt;3–6&lt;/sup&gt;"},"properties":{"noteIndex":0},"schema":"https://github.com/citation-style-language/schema/raw/master/csl-citation.json"}</w:instrText>
      </w:r>
      <w:r w:rsidR="007A2666" w:rsidRPr="0011645D">
        <w:rPr>
          <w:sz w:val="20"/>
          <w:szCs w:val="20"/>
        </w:rPr>
        <w:fldChar w:fldCharType="separate"/>
      </w:r>
      <w:r w:rsidR="007A2666" w:rsidRPr="0011645D">
        <w:rPr>
          <w:noProof/>
          <w:sz w:val="20"/>
          <w:szCs w:val="20"/>
          <w:vertAlign w:val="superscript"/>
        </w:rPr>
        <w:t>3–6</w:t>
      </w:r>
      <w:r w:rsidR="007A2666" w:rsidRPr="0011645D">
        <w:rPr>
          <w:sz w:val="20"/>
          <w:szCs w:val="20"/>
        </w:rPr>
        <w:fldChar w:fldCharType="end"/>
      </w:r>
      <w:r w:rsidR="00C45D61" w:rsidRPr="0011645D">
        <w:rPr>
          <w:sz w:val="20"/>
          <w:szCs w:val="20"/>
        </w:rPr>
        <w:t>.</w:t>
      </w:r>
      <w:r w:rsidRPr="0011645D">
        <w:rPr>
          <w:sz w:val="20"/>
          <w:szCs w:val="20"/>
        </w:rPr>
        <w:t xml:space="preserve"> </w:t>
      </w:r>
      <w:r w:rsidR="00C45D61" w:rsidRPr="0011645D">
        <w:rPr>
          <w:sz w:val="20"/>
          <w:szCs w:val="20"/>
        </w:rPr>
        <w:t>T</w:t>
      </w:r>
      <w:r w:rsidRPr="0011645D">
        <w:rPr>
          <w:sz w:val="20"/>
          <w:szCs w:val="20"/>
        </w:rPr>
        <w:t>o our knowledge, there has never been an inter</w:t>
      </w:r>
      <w:r w:rsidR="00965191" w:rsidRPr="0011645D">
        <w:rPr>
          <w:sz w:val="20"/>
          <w:szCs w:val="20"/>
        </w:rPr>
        <w:t>-</w:t>
      </w:r>
      <w:r w:rsidRPr="0011645D">
        <w:rPr>
          <w:sz w:val="20"/>
          <w:szCs w:val="20"/>
        </w:rPr>
        <w:t>disciplinary clinic with input from nephrologist</w:t>
      </w:r>
      <w:r w:rsidR="00C25E10" w:rsidRPr="0011645D">
        <w:rPr>
          <w:sz w:val="20"/>
          <w:szCs w:val="20"/>
        </w:rPr>
        <w:t xml:space="preserve"> and</w:t>
      </w:r>
      <w:r w:rsidRPr="0011645D">
        <w:rPr>
          <w:sz w:val="20"/>
          <w:szCs w:val="20"/>
        </w:rPr>
        <w:t xml:space="preserve"> cardiologist</w:t>
      </w:r>
      <w:r w:rsidR="00C25E10" w:rsidRPr="0011645D">
        <w:rPr>
          <w:sz w:val="20"/>
          <w:szCs w:val="20"/>
        </w:rPr>
        <w:t xml:space="preserve"> for joint decision regarding medication optimisation</w:t>
      </w:r>
      <w:r w:rsidR="00765DA0" w:rsidRPr="0011645D">
        <w:rPr>
          <w:sz w:val="20"/>
          <w:szCs w:val="20"/>
        </w:rPr>
        <w:t>.</w:t>
      </w:r>
      <w:r w:rsidR="00D63B85" w:rsidRPr="0011645D">
        <w:rPr>
          <w:sz w:val="20"/>
          <w:szCs w:val="20"/>
        </w:rPr>
        <w:t xml:space="preserve"> This report describes experience of such novel combined kidney failure – heart failure (KFHF) clinic</w:t>
      </w:r>
      <w:r w:rsidR="006E280D" w:rsidRPr="0011645D">
        <w:rPr>
          <w:sz w:val="20"/>
          <w:szCs w:val="20"/>
        </w:rPr>
        <w:t xml:space="preserve">, </w:t>
      </w:r>
      <w:r w:rsidR="008F5CF8" w:rsidRPr="0011645D">
        <w:rPr>
          <w:sz w:val="20"/>
          <w:szCs w:val="20"/>
        </w:rPr>
        <w:t xml:space="preserve">evaluating its effectiveness and </w:t>
      </w:r>
      <w:r w:rsidR="00D63B85" w:rsidRPr="0011645D">
        <w:rPr>
          <w:sz w:val="20"/>
          <w:szCs w:val="20"/>
        </w:rPr>
        <w:t>explor</w:t>
      </w:r>
      <w:r w:rsidR="00965191" w:rsidRPr="0011645D">
        <w:rPr>
          <w:sz w:val="20"/>
          <w:szCs w:val="20"/>
        </w:rPr>
        <w:t>ing</w:t>
      </w:r>
      <w:r w:rsidR="00D63B85" w:rsidRPr="0011645D">
        <w:rPr>
          <w:sz w:val="20"/>
          <w:szCs w:val="20"/>
        </w:rPr>
        <w:t xml:space="preserve"> patient outcomes</w:t>
      </w:r>
      <w:r w:rsidR="006E280D" w:rsidRPr="0011645D">
        <w:rPr>
          <w:sz w:val="20"/>
          <w:szCs w:val="20"/>
        </w:rPr>
        <w:t>.</w:t>
      </w:r>
    </w:p>
    <w:p w14:paraId="0A16EBBD" w14:textId="77777777" w:rsidR="00AC2B41" w:rsidRPr="0011645D" w:rsidRDefault="00B41760" w:rsidP="00DB3AF4">
      <w:pPr>
        <w:pStyle w:val="Heading1"/>
        <w:jc w:val="both"/>
        <w:rPr>
          <w:b/>
          <w:color w:val="auto"/>
          <w:sz w:val="20"/>
          <w:szCs w:val="20"/>
        </w:rPr>
      </w:pPr>
      <w:r w:rsidRPr="0011645D">
        <w:rPr>
          <w:b/>
          <w:color w:val="auto"/>
          <w:sz w:val="20"/>
          <w:szCs w:val="20"/>
        </w:rPr>
        <w:t>Methods</w:t>
      </w:r>
      <w:bookmarkStart w:id="2" w:name="_Hlk9589843"/>
    </w:p>
    <w:p w14:paraId="6AFABBCD" w14:textId="0AFF966C" w:rsidR="00AC2B41" w:rsidRPr="0011645D" w:rsidRDefault="00965191" w:rsidP="00AC2B41">
      <w:pPr>
        <w:jc w:val="both"/>
        <w:rPr>
          <w:sz w:val="20"/>
          <w:szCs w:val="20"/>
        </w:rPr>
      </w:pPr>
      <w:r w:rsidRPr="0011645D">
        <w:rPr>
          <w:sz w:val="20"/>
          <w:szCs w:val="20"/>
        </w:rPr>
        <w:t xml:space="preserve">Criteria for referral to </w:t>
      </w:r>
      <w:r w:rsidR="00AC2B41" w:rsidRPr="0011645D">
        <w:rPr>
          <w:sz w:val="20"/>
          <w:szCs w:val="20"/>
        </w:rPr>
        <w:t>Kidney Failure Heart Failure (KFHF) clinic</w:t>
      </w:r>
      <w:r w:rsidRPr="0011645D">
        <w:rPr>
          <w:sz w:val="20"/>
          <w:szCs w:val="20"/>
        </w:rPr>
        <w:t xml:space="preserve"> were</w:t>
      </w:r>
      <w:r w:rsidR="00AC2B41" w:rsidRPr="0011645D">
        <w:rPr>
          <w:sz w:val="20"/>
          <w:szCs w:val="20"/>
        </w:rPr>
        <w:t xml:space="preserve"> concomitant CKD </w:t>
      </w:r>
      <w:r w:rsidR="00C45D61" w:rsidRPr="0011645D">
        <w:rPr>
          <w:sz w:val="20"/>
          <w:szCs w:val="20"/>
        </w:rPr>
        <w:t>(</w:t>
      </w:r>
      <w:r w:rsidR="00AC2B41" w:rsidRPr="0011645D">
        <w:rPr>
          <w:sz w:val="20"/>
          <w:szCs w:val="20"/>
        </w:rPr>
        <w:t>stage 3 or above</w:t>
      </w:r>
      <w:r w:rsidR="00C45D61" w:rsidRPr="0011645D">
        <w:rPr>
          <w:sz w:val="20"/>
          <w:szCs w:val="20"/>
        </w:rPr>
        <w:t>)</w:t>
      </w:r>
      <w:r w:rsidR="00AC2B41" w:rsidRPr="0011645D">
        <w:rPr>
          <w:sz w:val="20"/>
          <w:szCs w:val="20"/>
        </w:rPr>
        <w:t xml:space="preserve"> and heart failure.</w:t>
      </w:r>
      <w:bookmarkEnd w:id="2"/>
      <w:r w:rsidR="00AC2B41" w:rsidRPr="0011645D">
        <w:rPr>
          <w:sz w:val="20"/>
          <w:szCs w:val="20"/>
        </w:rPr>
        <w:t xml:space="preserve"> Patients </w:t>
      </w:r>
      <w:r w:rsidR="00541AAF" w:rsidRPr="0011645D">
        <w:rPr>
          <w:sz w:val="20"/>
          <w:szCs w:val="20"/>
        </w:rPr>
        <w:t xml:space="preserve">were </w:t>
      </w:r>
      <w:r w:rsidR="00AC2B41" w:rsidRPr="0011645D">
        <w:rPr>
          <w:sz w:val="20"/>
          <w:szCs w:val="20"/>
        </w:rPr>
        <w:t>followed up at varying frequencies as per clinical needs, and discharged when they are stable on maximal</w:t>
      </w:r>
      <w:r w:rsidR="00B83BAB" w:rsidRPr="0011645D">
        <w:rPr>
          <w:sz w:val="20"/>
          <w:szCs w:val="20"/>
        </w:rPr>
        <w:t xml:space="preserve">ly </w:t>
      </w:r>
      <w:r w:rsidR="00CB2455" w:rsidRPr="0011645D">
        <w:rPr>
          <w:sz w:val="20"/>
          <w:szCs w:val="20"/>
        </w:rPr>
        <w:t>tolerated</w:t>
      </w:r>
      <w:r w:rsidR="00AC2B41" w:rsidRPr="0011645D">
        <w:rPr>
          <w:sz w:val="20"/>
          <w:szCs w:val="20"/>
        </w:rPr>
        <w:t xml:space="preserve"> therapy of life-prolonging medications.</w:t>
      </w:r>
    </w:p>
    <w:p w14:paraId="3C791A13" w14:textId="2A987B90" w:rsidR="00965191" w:rsidRPr="0011645D" w:rsidRDefault="00276671" w:rsidP="0015552C">
      <w:pPr>
        <w:jc w:val="both"/>
        <w:rPr>
          <w:sz w:val="20"/>
          <w:szCs w:val="20"/>
        </w:rPr>
      </w:pPr>
      <w:r w:rsidRPr="0011645D">
        <w:rPr>
          <w:sz w:val="20"/>
          <w:szCs w:val="20"/>
        </w:rPr>
        <w:t xml:space="preserve">Patient demographics, clinical and biochemical data was acquired from electronic records and clinic letters. Blood test results and doses of medications (beta-blockers, </w:t>
      </w:r>
      <w:proofErr w:type="spellStart"/>
      <w:r w:rsidRPr="0011645D">
        <w:rPr>
          <w:sz w:val="20"/>
          <w:szCs w:val="20"/>
        </w:rPr>
        <w:t>ACEi</w:t>
      </w:r>
      <w:proofErr w:type="spellEnd"/>
      <w:r w:rsidRPr="0011645D">
        <w:rPr>
          <w:sz w:val="20"/>
          <w:szCs w:val="20"/>
        </w:rPr>
        <w:t>/ARBs and MRAs) were recorded for first and last clinic visit</w:t>
      </w:r>
      <w:r w:rsidR="00C45D61" w:rsidRPr="0011645D">
        <w:rPr>
          <w:sz w:val="20"/>
          <w:szCs w:val="20"/>
        </w:rPr>
        <w:t>s</w:t>
      </w:r>
      <w:r w:rsidRPr="0011645D">
        <w:rPr>
          <w:sz w:val="20"/>
          <w:szCs w:val="20"/>
        </w:rPr>
        <w:t>.</w:t>
      </w:r>
      <w:r w:rsidR="00965191" w:rsidRPr="0011645D">
        <w:rPr>
          <w:sz w:val="20"/>
          <w:szCs w:val="20"/>
        </w:rPr>
        <w:t xml:space="preserve"> </w:t>
      </w:r>
      <w:r w:rsidR="0015552C" w:rsidRPr="0011645D">
        <w:rPr>
          <w:sz w:val="20"/>
          <w:szCs w:val="20"/>
        </w:rPr>
        <w:t>Patients were categorised into three HF subgroups</w:t>
      </w:r>
      <w:r w:rsidR="00377AE0" w:rsidRPr="0011645D">
        <w:rPr>
          <w:sz w:val="20"/>
          <w:szCs w:val="20"/>
        </w:rPr>
        <w:t xml:space="preserve"> according to ejection fraction (EF)</w:t>
      </w:r>
      <w:r w:rsidR="0015552C" w:rsidRPr="0011645D">
        <w:rPr>
          <w:sz w:val="20"/>
          <w:szCs w:val="20"/>
        </w:rPr>
        <w:t>: reduced (</w:t>
      </w:r>
      <w:proofErr w:type="spellStart"/>
      <w:r w:rsidR="0015552C" w:rsidRPr="0011645D">
        <w:rPr>
          <w:sz w:val="20"/>
          <w:szCs w:val="20"/>
        </w:rPr>
        <w:t>HFrEF</w:t>
      </w:r>
      <w:proofErr w:type="spellEnd"/>
      <w:r w:rsidR="0015552C" w:rsidRPr="0011645D">
        <w:rPr>
          <w:sz w:val="20"/>
          <w:szCs w:val="20"/>
        </w:rPr>
        <w:t xml:space="preserve">) </w:t>
      </w:r>
      <w:r w:rsidR="00377AE0" w:rsidRPr="0011645D">
        <w:rPr>
          <w:sz w:val="20"/>
          <w:szCs w:val="20"/>
        </w:rPr>
        <w:t>(</w:t>
      </w:r>
      <w:r w:rsidR="0015552C" w:rsidRPr="0011645D">
        <w:rPr>
          <w:sz w:val="20"/>
          <w:szCs w:val="20"/>
        </w:rPr>
        <w:t>EF &lt;40</w:t>
      </w:r>
      <w:r w:rsidR="00377AE0" w:rsidRPr="0011645D">
        <w:rPr>
          <w:sz w:val="20"/>
          <w:szCs w:val="20"/>
        </w:rPr>
        <w:t>)</w:t>
      </w:r>
      <w:r w:rsidR="0015552C" w:rsidRPr="0011645D">
        <w:rPr>
          <w:sz w:val="20"/>
          <w:szCs w:val="20"/>
        </w:rPr>
        <w:t>, mid-range (</w:t>
      </w:r>
      <w:proofErr w:type="spellStart"/>
      <w:r w:rsidR="0015552C" w:rsidRPr="0011645D">
        <w:rPr>
          <w:sz w:val="20"/>
          <w:szCs w:val="20"/>
        </w:rPr>
        <w:t>HFmEF</w:t>
      </w:r>
      <w:proofErr w:type="spellEnd"/>
      <w:r w:rsidR="0015552C" w:rsidRPr="0011645D">
        <w:rPr>
          <w:sz w:val="20"/>
          <w:szCs w:val="20"/>
        </w:rPr>
        <w:t xml:space="preserve">) </w:t>
      </w:r>
      <w:r w:rsidR="00377AE0" w:rsidRPr="0011645D">
        <w:rPr>
          <w:sz w:val="20"/>
          <w:szCs w:val="20"/>
        </w:rPr>
        <w:t>(</w:t>
      </w:r>
      <w:r w:rsidR="0015552C" w:rsidRPr="0011645D">
        <w:rPr>
          <w:sz w:val="20"/>
          <w:szCs w:val="20"/>
        </w:rPr>
        <w:t>40</w:t>
      </w:r>
      <w:r w:rsidR="0015552C" w:rsidRPr="0011645D">
        <w:rPr>
          <w:rFonts w:cstheme="minorHAnsi"/>
          <w:sz w:val="20"/>
          <w:szCs w:val="20"/>
        </w:rPr>
        <w:t>≤</w:t>
      </w:r>
      <w:r w:rsidR="0015552C" w:rsidRPr="0011645D">
        <w:rPr>
          <w:sz w:val="20"/>
          <w:szCs w:val="20"/>
        </w:rPr>
        <w:t>EF&lt;50</w:t>
      </w:r>
      <w:r w:rsidR="00377AE0" w:rsidRPr="0011645D">
        <w:rPr>
          <w:sz w:val="20"/>
          <w:szCs w:val="20"/>
        </w:rPr>
        <w:t>)</w:t>
      </w:r>
      <w:r w:rsidR="0015552C" w:rsidRPr="0011645D">
        <w:rPr>
          <w:sz w:val="20"/>
          <w:szCs w:val="20"/>
        </w:rPr>
        <w:t xml:space="preserve"> and preserved (</w:t>
      </w:r>
      <w:proofErr w:type="spellStart"/>
      <w:r w:rsidR="0015552C" w:rsidRPr="0011645D">
        <w:rPr>
          <w:sz w:val="20"/>
          <w:szCs w:val="20"/>
        </w:rPr>
        <w:t>HFpEF</w:t>
      </w:r>
      <w:proofErr w:type="spellEnd"/>
      <w:r w:rsidR="0015552C" w:rsidRPr="0011645D">
        <w:rPr>
          <w:sz w:val="20"/>
          <w:szCs w:val="20"/>
        </w:rPr>
        <w:t xml:space="preserve">) </w:t>
      </w:r>
      <w:r w:rsidR="007116F1" w:rsidRPr="0011645D">
        <w:rPr>
          <w:sz w:val="20"/>
          <w:szCs w:val="20"/>
        </w:rPr>
        <w:t>(</w:t>
      </w:r>
      <w:r w:rsidR="0015552C" w:rsidRPr="0011645D">
        <w:rPr>
          <w:sz w:val="20"/>
          <w:szCs w:val="20"/>
        </w:rPr>
        <w:t>EF</w:t>
      </w:r>
      <w:r w:rsidR="0015552C" w:rsidRPr="0011645D">
        <w:rPr>
          <w:rFonts w:cstheme="minorHAnsi"/>
          <w:sz w:val="20"/>
          <w:szCs w:val="20"/>
        </w:rPr>
        <w:t>≥</w:t>
      </w:r>
      <w:r w:rsidR="0015552C" w:rsidRPr="0011645D">
        <w:rPr>
          <w:sz w:val="20"/>
          <w:szCs w:val="20"/>
        </w:rPr>
        <w:t>50</w:t>
      </w:r>
      <w:r w:rsidR="007116F1" w:rsidRPr="0011645D">
        <w:rPr>
          <w:sz w:val="20"/>
          <w:szCs w:val="20"/>
        </w:rPr>
        <w:t>)</w:t>
      </w:r>
      <w:r w:rsidR="0015552C" w:rsidRPr="0011645D">
        <w:rPr>
          <w:sz w:val="20"/>
          <w:szCs w:val="20"/>
        </w:rPr>
        <w:t>, and two CKD subgroups: moderate (stage 3) and severe (stage 4/5/dialysis).</w:t>
      </w:r>
      <w:bookmarkStart w:id="3" w:name="_Hlk14822291"/>
    </w:p>
    <w:p w14:paraId="3656E77A" w14:textId="6B0BBDB1" w:rsidR="0015552C" w:rsidRPr="0011645D" w:rsidRDefault="007116F1" w:rsidP="0015552C">
      <w:pPr>
        <w:jc w:val="both"/>
        <w:rPr>
          <w:sz w:val="20"/>
          <w:szCs w:val="20"/>
        </w:rPr>
      </w:pPr>
      <w:r w:rsidRPr="0011645D">
        <w:rPr>
          <w:sz w:val="20"/>
          <w:szCs w:val="20"/>
        </w:rPr>
        <w:t>Effect of different variables on death was analysed using univariate and multiple variable logistic regression analysis and presented by the resulting odds ratios (OR) and 95% confidence interval (95% CI).</w:t>
      </w:r>
      <w:bookmarkEnd w:id="3"/>
    </w:p>
    <w:p w14:paraId="17BC9734" w14:textId="4F3C8D16" w:rsidR="00B52888" w:rsidRPr="0011645D" w:rsidRDefault="0015552C" w:rsidP="0015552C">
      <w:pPr>
        <w:jc w:val="both"/>
        <w:rPr>
          <w:sz w:val="20"/>
          <w:szCs w:val="20"/>
        </w:rPr>
      </w:pPr>
      <w:r w:rsidRPr="0011645D">
        <w:rPr>
          <w:sz w:val="20"/>
          <w:szCs w:val="20"/>
        </w:rPr>
        <w:t>Daily doses of individual therapeutic agents were categorised into: None, Low and High dose (</w:t>
      </w:r>
      <w:r w:rsidRPr="0011645D">
        <w:rPr>
          <w:rFonts w:cstheme="minorHAnsi"/>
          <w:sz w:val="20"/>
          <w:szCs w:val="20"/>
        </w:rPr>
        <w:t>≥</w:t>
      </w:r>
      <w:r w:rsidRPr="0011645D">
        <w:rPr>
          <w:sz w:val="20"/>
          <w:szCs w:val="20"/>
        </w:rPr>
        <w:t xml:space="preserve">50% of maximum dose). Patients were categorised into: None, Single and Dual therapy depending on the number of </w:t>
      </w:r>
      <w:proofErr w:type="spellStart"/>
      <w:r w:rsidRPr="0011645D">
        <w:rPr>
          <w:sz w:val="20"/>
          <w:szCs w:val="20"/>
        </w:rPr>
        <w:t>RAASi</w:t>
      </w:r>
      <w:proofErr w:type="spellEnd"/>
      <w:r w:rsidRPr="0011645D">
        <w:rPr>
          <w:sz w:val="20"/>
          <w:szCs w:val="20"/>
        </w:rPr>
        <w:t xml:space="preserve"> agents they were on. These categorisations generated ordinal variables and analysed accordingly.</w:t>
      </w:r>
    </w:p>
    <w:p w14:paraId="5B80D0C6" w14:textId="77777777" w:rsidR="00B52888" w:rsidRPr="0011645D" w:rsidRDefault="00B52888" w:rsidP="00DB3AF4">
      <w:pPr>
        <w:pStyle w:val="Heading1"/>
        <w:jc w:val="both"/>
        <w:rPr>
          <w:b/>
          <w:color w:val="auto"/>
          <w:sz w:val="20"/>
          <w:szCs w:val="20"/>
        </w:rPr>
      </w:pPr>
      <w:r w:rsidRPr="0011645D">
        <w:rPr>
          <w:b/>
          <w:color w:val="auto"/>
          <w:sz w:val="20"/>
          <w:szCs w:val="20"/>
        </w:rPr>
        <w:t>Results</w:t>
      </w:r>
    </w:p>
    <w:p w14:paraId="78595631" w14:textId="2343FDFB" w:rsidR="00B52888" w:rsidRPr="0011645D" w:rsidRDefault="00E11C5E" w:rsidP="00E11C5E">
      <w:pPr>
        <w:jc w:val="both"/>
        <w:rPr>
          <w:sz w:val="20"/>
          <w:szCs w:val="20"/>
        </w:rPr>
      </w:pPr>
      <w:r w:rsidRPr="0011645D">
        <w:rPr>
          <w:sz w:val="20"/>
          <w:szCs w:val="20"/>
        </w:rPr>
        <w:t>KFHF clinic received 154 referrals from March 2017 to April 2019: 30</w:t>
      </w:r>
      <w:r w:rsidR="00B52888" w:rsidRPr="0011645D">
        <w:rPr>
          <w:sz w:val="20"/>
          <w:szCs w:val="20"/>
        </w:rPr>
        <w:t xml:space="preserve"> patients were </w:t>
      </w:r>
      <w:r w:rsidR="00CB7EC4" w:rsidRPr="0011645D">
        <w:rPr>
          <w:sz w:val="20"/>
          <w:szCs w:val="20"/>
        </w:rPr>
        <w:t>excluded</w:t>
      </w:r>
      <w:r w:rsidR="00B52888" w:rsidRPr="0011645D">
        <w:rPr>
          <w:sz w:val="20"/>
          <w:szCs w:val="20"/>
        </w:rPr>
        <w:t xml:space="preserve"> </w:t>
      </w:r>
      <w:r w:rsidRPr="0011645D">
        <w:rPr>
          <w:sz w:val="20"/>
          <w:szCs w:val="20"/>
        </w:rPr>
        <w:t>f</w:t>
      </w:r>
      <w:r w:rsidR="00B52888" w:rsidRPr="0011645D">
        <w:rPr>
          <w:sz w:val="20"/>
          <w:szCs w:val="20"/>
        </w:rPr>
        <w:t>o</w:t>
      </w:r>
      <w:r w:rsidRPr="0011645D">
        <w:rPr>
          <w:sz w:val="20"/>
          <w:szCs w:val="20"/>
        </w:rPr>
        <w:t>r</w:t>
      </w:r>
      <w:r w:rsidR="00B52888" w:rsidRPr="0011645D">
        <w:rPr>
          <w:sz w:val="20"/>
          <w:szCs w:val="20"/>
        </w:rPr>
        <w:t xml:space="preserve"> non-attendance or inappropriate referral</w:t>
      </w:r>
      <w:bookmarkStart w:id="4" w:name="_Hlk9591602"/>
      <w:r w:rsidRPr="0011645D">
        <w:rPr>
          <w:sz w:val="20"/>
          <w:szCs w:val="20"/>
        </w:rPr>
        <w:t xml:space="preserve">, </w:t>
      </w:r>
      <w:r w:rsidR="00B52888" w:rsidRPr="0011645D">
        <w:rPr>
          <w:sz w:val="20"/>
          <w:szCs w:val="20"/>
        </w:rPr>
        <w:t>124 patients were seen and followed up</w:t>
      </w:r>
      <w:r w:rsidRPr="0011645D">
        <w:rPr>
          <w:sz w:val="20"/>
          <w:szCs w:val="20"/>
        </w:rPr>
        <w:t>; of whom</w:t>
      </w:r>
      <w:r w:rsidR="00B52888" w:rsidRPr="0011645D">
        <w:rPr>
          <w:sz w:val="20"/>
          <w:szCs w:val="20"/>
        </w:rPr>
        <w:t>, 97 had had at least two clinic visits</w:t>
      </w:r>
      <w:r w:rsidR="008F5CF8" w:rsidRPr="0011645D">
        <w:rPr>
          <w:sz w:val="20"/>
          <w:szCs w:val="20"/>
        </w:rPr>
        <w:t xml:space="preserve"> (hence included in analysis of medication titration and blood test results).</w:t>
      </w:r>
    </w:p>
    <w:bookmarkEnd w:id="4"/>
    <w:p w14:paraId="2AFB50C2" w14:textId="259CB2B0" w:rsidR="00CB7EC4" w:rsidRPr="0011645D" w:rsidRDefault="00B52888" w:rsidP="00B52888">
      <w:pPr>
        <w:jc w:val="both"/>
        <w:rPr>
          <w:sz w:val="20"/>
          <w:szCs w:val="20"/>
        </w:rPr>
      </w:pPr>
      <w:r w:rsidRPr="0011645D">
        <w:rPr>
          <w:sz w:val="20"/>
          <w:szCs w:val="20"/>
        </w:rPr>
        <w:t>Patient characteristics were: median age 78.5 years (IQR 68.1-84.4 years), male 67.7%, diabetes mellitus 51.6%, median follow-up time 234 days (IQR 121-441 days, minimum 6 days, maximum 749 days).</w:t>
      </w:r>
      <w:r w:rsidR="00CB7EC4" w:rsidRPr="0011645D">
        <w:rPr>
          <w:sz w:val="20"/>
          <w:szCs w:val="20"/>
        </w:rPr>
        <w:t xml:space="preserve"> </w:t>
      </w:r>
      <w:r w:rsidR="00DB3AF4" w:rsidRPr="0011645D">
        <w:rPr>
          <w:sz w:val="20"/>
          <w:szCs w:val="20"/>
        </w:rPr>
        <w:t>T</w:t>
      </w:r>
      <w:r w:rsidR="00CB7EC4" w:rsidRPr="0011645D">
        <w:rPr>
          <w:sz w:val="20"/>
          <w:szCs w:val="20"/>
        </w:rPr>
        <w:t>here was no difference among CKD or HF subgroups</w:t>
      </w:r>
      <w:r w:rsidR="00DB3AF4" w:rsidRPr="0011645D">
        <w:rPr>
          <w:sz w:val="20"/>
          <w:szCs w:val="20"/>
        </w:rPr>
        <w:t xml:space="preserve"> </w:t>
      </w:r>
      <w:r w:rsidR="00CB7EC4" w:rsidRPr="0011645D">
        <w:rPr>
          <w:sz w:val="20"/>
          <w:szCs w:val="20"/>
        </w:rPr>
        <w:t>with regards to patient characteristics and baseline blood tests (Table 1).</w:t>
      </w:r>
    </w:p>
    <w:p w14:paraId="1199A7E8" w14:textId="77777777" w:rsidR="00B52888" w:rsidRPr="0011645D" w:rsidRDefault="00B52888" w:rsidP="00E64D70">
      <w:pPr>
        <w:jc w:val="both"/>
        <w:rPr>
          <w:b/>
          <w:bCs/>
          <w:sz w:val="20"/>
          <w:szCs w:val="20"/>
        </w:rPr>
      </w:pPr>
      <w:r w:rsidRPr="0011645D">
        <w:rPr>
          <w:b/>
          <w:bCs/>
          <w:sz w:val="20"/>
          <w:szCs w:val="20"/>
        </w:rPr>
        <w:t>Inpatient admission and death</w:t>
      </w:r>
    </w:p>
    <w:p w14:paraId="5C0DF54B" w14:textId="6E1A3FC9" w:rsidR="00CB7EC4" w:rsidRPr="0011645D" w:rsidRDefault="00B52888" w:rsidP="00B52888">
      <w:pPr>
        <w:jc w:val="both"/>
        <w:rPr>
          <w:sz w:val="20"/>
          <w:szCs w:val="20"/>
        </w:rPr>
      </w:pPr>
      <w:r w:rsidRPr="0011645D">
        <w:rPr>
          <w:sz w:val="20"/>
          <w:szCs w:val="20"/>
        </w:rPr>
        <w:t xml:space="preserve">Patients with </w:t>
      </w:r>
      <w:proofErr w:type="spellStart"/>
      <w:r w:rsidRPr="0011645D">
        <w:rPr>
          <w:sz w:val="20"/>
          <w:szCs w:val="20"/>
        </w:rPr>
        <w:t>HFrEF</w:t>
      </w:r>
      <w:proofErr w:type="spellEnd"/>
      <w:r w:rsidRPr="0011645D">
        <w:rPr>
          <w:sz w:val="20"/>
          <w:szCs w:val="20"/>
        </w:rPr>
        <w:t xml:space="preserve"> were significantly more likely to have inpatient admissions compared to those </w:t>
      </w:r>
      <w:r w:rsidR="007116F1" w:rsidRPr="0011645D">
        <w:rPr>
          <w:sz w:val="20"/>
          <w:szCs w:val="20"/>
        </w:rPr>
        <w:t>with non-reduced EF</w:t>
      </w:r>
      <w:r w:rsidRPr="0011645D">
        <w:rPr>
          <w:sz w:val="20"/>
          <w:szCs w:val="20"/>
        </w:rPr>
        <w:t xml:space="preserve"> (60.7% vs 40.3%; p=0.03).</w:t>
      </w:r>
      <w:r w:rsidR="00CB7EC4" w:rsidRPr="0011645D">
        <w:rPr>
          <w:sz w:val="20"/>
          <w:szCs w:val="20"/>
        </w:rPr>
        <w:t xml:space="preserve"> They were also 4.5 times (95%CI 1.43 – 14.05; p=0.01) more likely to die</w:t>
      </w:r>
      <w:r w:rsidR="007116F1" w:rsidRPr="0011645D">
        <w:rPr>
          <w:sz w:val="20"/>
          <w:szCs w:val="20"/>
        </w:rPr>
        <w:t>; this was</w:t>
      </w:r>
      <w:r w:rsidR="00CB7EC4" w:rsidRPr="0011645D">
        <w:rPr>
          <w:sz w:val="20"/>
          <w:szCs w:val="20"/>
        </w:rPr>
        <w:t xml:space="preserve"> adjusted for age, sex, diabetes and CKD status (Table 2).</w:t>
      </w:r>
      <w:r w:rsidR="00965191" w:rsidRPr="0011645D">
        <w:rPr>
          <w:sz w:val="20"/>
          <w:szCs w:val="20"/>
        </w:rPr>
        <w:t xml:space="preserve"> </w:t>
      </w:r>
    </w:p>
    <w:p w14:paraId="4ECB2561" w14:textId="4B7E1293" w:rsidR="00B52888" w:rsidRPr="0011645D" w:rsidRDefault="00CB7EC4" w:rsidP="00B52888">
      <w:pPr>
        <w:jc w:val="both"/>
        <w:rPr>
          <w:sz w:val="20"/>
          <w:szCs w:val="20"/>
        </w:rPr>
      </w:pPr>
      <w:r w:rsidRPr="0011645D">
        <w:rPr>
          <w:sz w:val="20"/>
          <w:szCs w:val="20"/>
        </w:rPr>
        <w:t>T</w:t>
      </w:r>
      <w:r w:rsidR="00B52888" w:rsidRPr="0011645D">
        <w:rPr>
          <w:sz w:val="20"/>
          <w:szCs w:val="20"/>
        </w:rPr>
        <w:t>here was no difference in the likelihood of having hospital admission</w:t>
      </w:r>
      <w:r w:rsidR="0060058B" w:rsidRPr="0011645D">
        <w:rPr>
          <w:sz w:val="20"/>
          <w:szCs w:val="20"/>
        </w:rPr>
        <w:t>s (42.6% vs. 58.9%; p=0.10)</w:t>
      </w:r>
      <w:r w:rsidRPr="0011645D">
        <w:rPr>
          <w:sz w:val="20"/>
          <w:szCs w:val="20"/>
        </w:rPr>
        <w:t xml:space="preserve"> or risk of death</w:t>
      </w:r>
      <w:r w:rsidR="00B52888" w:rsidRPr="0011645D">
        <w:rPr>
          <w:sz w:val="20"/>
          <w:szCs w:val="20"/>
        </w:rPr>
        <w:t xml:space="preserve"> </w:t>
      </w:r>
      <w:r w:rsidR="0060058B" w:rsidRPr="0011645D">
        <w:rPr>
          <w:sz w:val="20"/>
          <w:szCs w:val="20"/>
        </w:rPr>
        <w:t xml:space="preserve">(17.9% vs. 14.7%; p=0.81) </w:t>
      </w:r>
      <w:r w:rsidR="00B52888" w:rsidRPr="0011645D">
        <w:rPr>
          <w:sz w:val="20"/>
          <w:szCs w:val="20"/>
        </w:rPr>
        <w:t xml:space="preserve">between </w:t>
      </w:r>
      <w:r w:rsidR="0060058B" w:rsidRPr="0011645D">
        <w:rPr>
          <w:sz w:val="20"/>
          <w:szCs w:val="20"/>
        </w:rPr>
        <w:t>two</w:t>
      </w:r>
      <w:r w:rsidR="00B52888" w:rsidRPr="0011645D">
        <w:rPr>
          <w:sz w:val="20"/>
          <w:szCs w:val="20"/>
        </w:rPr>
        <w:t xml:space="preserve"> CKD </w:t>
      </w:r>
      <w:r w:rsidR="0060058B" w:rsidRPr="0011645D">
        <w:rPr>
          <w:sz w:val="20"/>
          <w:szCs w:val="20"/>
        </w:rPr>
        <w:t>sub</w:t>
      </w:r>
      <w:r w:rsidR="00B52888" w:rsidRPr="0011645D">
        <w:rPr>
          <w:sz w:val="20"/>
          <w:szCs w:val="20"/>
        </w:rPr>
        <w:t xml:space="preserve">groups </w:t>
      </w:r>
      <w:r w:rsidR="0060058B" w:rsidRPr="0011645D">
        <w:rPr>
          <w:sz w:val="20"/>
          <w:szCs w:val="20"/>
        </w:rPr>
        <w:t>(Table 1).</w:t>
      </w:r>
    </w:p>
    <w:p w14:paraId="785A8B5D" w14:textId="77777777" w:rsidR="00B52888" w:rsidRPr="0011645D" w:rsidRDefault="00B52888" w:rsidP="00E64D70">
      <w:pPr>
        <w:jc w:val="both"/>
        <w:rPr>
          <w:b/>
          <w:bCs/>
          <w:sz w:val="20"/>
          <w:szCs w:val="20"/>
        </w:rPr>
      </w:pPr>
      <w:r w:rsidRPr="0011645D">
        <w:rPr>
          <w:b/>
          <w:bCs/>
          <w:sz w:val="20"/>
          <w:szCs w:val="20"/>
        </w:rPr>
        <w:t>Medications</w:t>
      </w:r>
    </w:p>
    <w:p w14:paraId="44A1707C" w14:textId="04688421" w:rsidR="00B52888" w:rsidRPr="0011645D" w:rsidRDefault="00B52888" w:rsidP="00B52888">
      <w:pPr>
        <w:jc w:val="both"/>
        <w:rPr>
          <w:sz w:val="20"/>
          <w:szCs w:val="20"/>
        </w:rPr>
      </w:pPr>
      <w:r w:rsidRPr="0011645D">
        <w:rPr>
          <w:sz w:val="20"/>
          <w:szCs w:val="20"/>
        </w:rPr>
        <w:t xml:space="preserve">There was some evidence which supported a difference between the first and last visit with regards to number of </w:t>
      </w:r>
      <w:proofErr w:type="spellStart"/>
      <w:r w:rsidRPr="0011645D">
        <w:rPr>
          <w:sz w:val="20"/>
          <w:szCs w:val="20"/>
        </w:rPr>
        <w:t>RAASi</w:t>
      </w:r>
      <w:proofErr w:type="spellEnd"/>
      <w:r w:rsidRPr="0011645D">
        <w:rPr>
          <w:sz w:val="20"/>
          <w:szCs w:val="20"/>
        </w:rPr>
        <w:t xml:space="preserve"> agents </w:t>
      </w:r>
      <w:r w:rsidR="007116F1" w:rsidRPr="0011645D">
        <w:rPr>
          <w:sz w:val="20"/>
          <w:szCs w:val="20"/>
        </w:rPr>
        <w:t>used</w:t>
      </w:r>
      <w:r w:rsidRPr="0011645D">
        <w:rPr>
          <w:sz w:val="20"/>
          <w:szCs w:val="20"/>
        </w:rPr>
        <w:t xml:space="preserve"> (p=0.03). Proportions of patients on </w:t>
      </w:r>
      <w:r w:rsidR="00E11C5E" w:rsidRPr="0011645D">
        <w:rPr>
          <w:sz w:val="20"/>
          <w:szCs w:val="20"/>
        </w:rPr>
        <w:t>N</w:t>
      </w:r>
      <w:r w:rsidRPr="0011645D">
        <w:rPr>
          <w:sz w:val="20"/>
          <w:szCs w:val="20"/>
        </w:rPr>
        <w:t xml:space="preserve">o </w:t>
      </w:r>
      <w:proofErr w:type="spellStart"/>
      <w:r w:rsidRPr="0011645D">
        <w:rPr>
          <w:sz w:val="20"/>
          <w:szCs w:val="20"/>
        </w:rPr>
        <w:t>RAASi</w:t>
      </w:r>
      <w:proofErr w:type="spellEnd"/>
      <w:r w:rsidRPr="0011645D">
        <w:rPr>
          <w:sz w:val="20"/>
          <w:szCs w:val="20"/>
        </w:rPr>
        <w:t xml:space="preserve"> </w:t>
      </w:r>
      <w:r w:rsidR="00DB3AF4" w:rsidRPr="0011645D">
        <w:rPr>
          <w:sz w:val="20"/>
          <w:szCs w:val="20"/>
        </w:rPr>
        <w:t>decreased</w:t>
      </w:r>
      <w:r w:rsidRPr="0011645D">
        <w:rPr>
          <w:sz w:val="20"/>
          <w:szCs w:val="20"/>
        </w:rPr>
        <w:t xml:space="preserve"> from 41.2% to 29.9% while those on Single or Dual therapy </w:t>
      </w:r>
      <w:r w:rsidR="00DB3AF4" w:rsidRPr="0011645D">
        <w:rPr>
          <w:sz w:val="20"/>
          <w:szCs w:val="20"/>
        </w:rPr>
        <w:t>increased</w:t>
      </w:r>
      <w:r w:rsidRPr="0011645D">
        <w:rPr>
          <w:sz w:val="20"/>
          <w:szCs w:val="20"/>
        </w:rPr>
        <w:t xml:space="preserve"> from 45.4% to 50.5% and 13.4% to 19.6% respectively (Figure 1).</w:t>
      </w:r>
      <w:r w:rsidR="002D0C12" w:rsidRPr="0011645D">
        <w:rPr>
          <w:sz w:val="20"/>
          <w:szCs w:val="20"/>
        </w:rPr>
        <w:t xml:space="preserve"> </w:t>
      </w:r>
      <w:r w:rsidR="002D0C12" w:rsidRPr="0011645D">
        <w:rPr>
          <w:b/>
          <w:bCs/>
          <w:sz w:val="20"/>
          <w:szCs w:val="20"/>
        </w:rPr>
        <w:t xml:space="preserve">At the end of follow up, 7.2% of patients were receiving no key therapies (beta-blockers or </w:t>
      </w:r>
      <w:proofErr w:type="spellStart"/>
      <w:r w:rsidR="002D0C12" w:rsidRPr="0011645D">
        <w:rPr>
          <w:b/>
          <w:bCs/>
          <w:sz w:val="20"/>
          <w:szCs w:val="20"/>
        </w:rPr>
        <w:t>RAASi</w:t>
      </w:r>
      <w:proofErr w:type="spellEnd"/>
      <w:r w:rsidR="002D0C12" w:rsidRPr="0011645D">
        <w:rPr>
          <w:b/>
          <w:bCs/>
          <w:sz w:val="20"/>
          <w:szCs w:val="20"/>
        </w:rPr>
        <w:t xml:space="preserve"> agents).</w:t>
      </w:r>
    </w:p>
    <w:p w14:paraId="00652F13" w14:textId="0B2A3AB1" w:rsidR="00B52888" w:rsidRPr="0011645D" w:rsidRDefault="00B52888" w:rsidP="00B52888">
      <w:pPr>
        <w:jc w:val="both"/>
        <w:rPr>
          <w:sz w:val="20"/>
          <w:szCs w:val="20"/>
        </w:rPr>
      </w:pPr>
      <w:r w:rsidRPr="0011645D">
        <w:rPr>
          <w:sz w:val="20"/>
          <w:szCs w:val="20"/>
        </w:rPr>
        <w:t xml:space="preserve">Dosage was increased in 25.9% of patients for beta-blockers, 33.0% for </w:t>
      </w:r>
      <w:proofErr w:type="spellStart"/>
      <w:r w:rsidRPr="0011645D">
        <w:rPr>
          <w:sz w:val="20"/>
          <w:szCs w:val="20"/>
        </w:rPr>
        <w:t>ACEi</w:t>
      </w:r>
      <w:proofErr w:type="spellEnd"/>
      <w:r w:rsidRPr="0011645D">
        <w:rPr>
          <w:sz w:val="20"/>
          <w:szCs w:val="20"/>
        </w:rPr>
        <w:t xml:space="preserve">/ARBs, and 17.5% for MRAs. There was no evidence to suggest any difference in distributions of patients across dosage groups for beta-blockers (p=0.46) and </w:t>
      </w:r>
      <w:proofErr w:type="spellStart"/>
      <w:r w:rsidRPr="0011645D">
        <w:rPr>
          <w:sz w:val="20"/>
          <w:szCs w:val="20"/>
        </w:rPr>
        <w:lastRenderedPageBreak/>
        <w:t>ACEi</w:t>
      </w:r>
      <w:proofErr w:type="spellEnd"/>
      <w:r w:rsidRPr="0011645D">
        <w:rPr>
          <w:sz w:val="20"/>
          <w:szCs w:val="20"/>
        </w:rPr>
        <w:t xml:space="preserve">/ARBs (p=0.20) (Figure 2). </w:t>
      </w:r>
      <w:r w:rsidR="00E11C5E" w:rsidRPr="0011645D">
        <w:rPr>
          <w:sz w:val="20"/>
          <w:szCs w:val="20"/>
        </w:rPr>
        <w:t>The distribution of patients</w:t>
      </w:r>
      <w:r w:rsidRPr="0011645D">
        <w:rPr>
          <w:sz w:val="20"/>
          <w:szCs w:val="20"/>
        </w:rPr>
        <w:t xml:space="preserve"> of patients across MRAs dose categories was different (p=0.03)</w:t>
      </w:r>
      <w:r w:rsidR="00E11C5E" w:rsidRPr="0011645D">
        <w:rPr>
          <w:sz w:val="20"/>
          <w:szCs w:val="20"/>
        </w:rPr>
        <w:t>,</w:t>
      </w:r>
      <w:r w:rsidRPr="0011645D">
        <w:rPr>
          <w:sz w:val="20"/>
          <w:szCs w:val="20"/>
        </w:rPr>
        <w:t xml:space="preserve"> with </w:t>
      </w:r>
      <w:r w:rsidR="00323738" w:rsidRPr="0011645D">
        <w:rPr>
          <w:sz w:val="20"/>
          <w:szCs w:val="20"/>
        </w:rPr>
        <w:t>more</w:t>
      </w:r>
      <w:r w:rsidRPr="0011645D">
        <w:rPr>
          <w:sz w:val="20"/>
          <w:szCs w:val="20"/>
        </w:rPr>
        <w:t xml:space="preserve"> patients being on Low and High dose at the last visit compared to the first (Figure 2). There was no significant difference in the likelihood of each medication dose being up-titrated, across CKD and HF </w:t>
      </w:r>
      <w:r w:rsidR="00965191" w:rsidRPr="0011645D">
        <w:rPr>
          <w:sz w:val="20"/>
          <w:szCs w:val="20"/>
        </w:rPr>
        <w:t>sub</w:t>
      </w:r>
      <w:r w:rsidRPr="0011645D">
        <w:rPr>
          <w:sz w:val="20"/>
          <w:szCs w:val="20"/>
        </w:rPr>
        <w:t xml:space="preserve">groups (Table </w:t>
      </w:r>
      <w:r w:rsidR="00323738" w:rsidRPr="0011645D">
        <w:rPr>
          <w:sz w:val="20"/>
          <w:szCs w:val="20"/>
        </w:rPr>
        <w:t>3</w:t>
      </w:r>
      <w:r w:rsidRPr="0011645D">
        <w:rPr>
          <w:sz w:val="20"/>
          <w:szCs w:val="20"/>
        </w:rPr>
        <w:t>).</w:t>
      </w:r>
    </w:p>
    <w:p w14:paraId="44CBA034" w14:textId="77777777" w:rsidR="00B52888" w:rsidRPr="0011645D" w:rsidRDefault="00B52888" w:rsidP="00E64D70">
      <w:pPr>
        <w:jc w:val="both"/>
        <w:rPr>
          <w:b/>
          <w:bCs/>
          <w:sz w:val="20"/>
          <w:szCs w:val="20"/>
        </w:rPr>
      </w:pPr>
      <w:r w:rsidRPr="0011645D">
        <w:rPr>
          <w:b/>
          <w:bCs/>
          <w:sz w:val="20"/>
          <w:szCs w:val="20"/>
        </w:rPr>
        <w:t>Electrolytes and renal function</w:t>
      </w:r>
    </w:p>
    <w:p w14:paraId="33085A16" w14:textId="79992D7D" w:rsidR="00CB7EC4" w:rsidRPr="0011645D" w:rsidRDefault="00377AE0" w:rsidP="00B52888">
      <w:pPr>
        <w:jc w:val="both"/>
        <w:rPr>
          <w:sz w:val="20"/>
          <w:szCs w:val="20"/>
        </w:rPr>
      </w:pPr>
      <w:r w:rsidRPr="0011645D">
        <w:rPr>
          <w:sz w:val="20"/>
          <w:szCs w:val="20"/>
        </w:rPr>
        <w:t xml:space="preserve">There was no </w:t>
      </w:r>
      <w:r w:rsidR="005954AC" w:rsidRPr="0011645D">
        <w:rPr>
          <w:b/>
          <w:bCs/>
          <w:sz w:val="20"/>
          <w:szCs w:val="20"/>
        </w:rPr>
        <w:t>overall difference</w:t>
      </w:r>
      <w:r w:rsidRPr="0011645D">
        <w:rPr>
          <w:sz w:val="20"/>
          <w:szCs w:val="20"/>
        </w:rPr>
        <w:t xml:space="preserve"> in serum potassium and creatinine level in patients whose </w:t>
      </w:r>
      <w:proofErr w:type="spellStart"/>
      <w:r w:rsidRPr="0011645D">
        <w:rPr>
          <w:sz w:val="20"/>
          <w:szCs w:val="20"/>
        </w:rPr>
        <w:t>ACEi</w:t>
      </w:r>
      <w:proofErr w:type="spellEnd"/>
      <w:r w:rsidRPr="0011645D">
        <w:rPr>
          <w:sz w:val="20"/>
          <w:szCs w:val="20"/>
        </w:rPr>
        <w:t xml:space="preserve">/ARBs and MRAs dose was increased (Table 4). </w:t>
      </w:r>
      <w:r w:rsidR="00B52888" w:rsidRPr="0011645D">
        <w:rPr>
          <w:sz w:val="20"/>
          <w:szCs w:val="20"/>
        </w:rPr>
        <w:t xml:space="preserve">Hyperkalaemia (≥5.5 mmol/L) was present in 6.2% of patients at baseline and 10.3% at the last visit (p=0.29). Risk of hyperkalaemia was 6.1% among patients with </w:t>
      </w:r>
      <w:proofErr w:type="spellStart"/>
      <w:r w:rsidR="00B52888" w:rsidRPr="0011645D">
        <w:rPr>
          <w:sz w:val="20"/>
          <w:szCs w:val="20"/>
        </w:rPr>
        <w:t>ACEi</w:t>
      </w:r>
      <w:proofErr w:type="spellEnd"/>
      <w:r w:rsidR="00B52888" w:rsidRPr="0011645D">
        <w:rPr>
          <w:sz w:val="20"/>
          <w:szCs w:val="20"/>
        </w:rPr>
        <w:t>/ARBs dose up-titrated, 6.3% in those with MRAs dose up-titrated.</w:t>
      </w:r>
    </w:p>
    <w:p w14:paraId="7C004D7D" w14:textId="33847B77" w:rsidR="00F626B9" w:rsidRPr="0011645D" w:rsidRDefault="00F626B9" w:rsidP="00B52888">
      <w:pPr>
        <w:jc w:val="both"/>
        <w:rPr>
          <w:b/>
          <w:sz w:val="20"/>
          <w:szCs w:val="20"/>
        </w:rPr>
      </w:pPr>
      <w:r w:rsidRPr="0011645D">
        <w:rPr>
          <w:b/>
          <w:sz w:val="20"/>
          <w:szCs w:val="20"/>
        </w:rPr>
        <w:t>Haemoglobin and iron management</w:t>
      </w:r>
    </w:p>
    <w:p w14:paraId="528D8510" w14:textId="348C08CB" w:rsidR="00F626B9" w:rsidRPr="0011645D" w:rsidRDefault="00F626B9" w:rsidP="00F626B9">
      <w:pPr>
        <w:jc w:val="both"/>
        <w:rPr>
          <w:sz w:val="20"/>
          <w:szCs w:val="20"/>
        </w:rPr>
      </w:pPr>
      <w:r w:rsidRPr="0011645D">
        <w:rPr>
          <w:sz w:val="20"/>
          <w:szCs w:val="20"/>
        </w:rPr>
        <w:t>In patients who were anaemic at the first clinic visit, mean serum haemoglobin level increased (85.9 to 100.8</w:t>
      </w:r>
      <w:r w:rsidR="00FB4C14" w:rsidRPr="0011645D">
        <w:rPr>
          <w:sz w:val="20"/>
          <w:szCs w:val="20"/>
        </w:rPr>
        <w:t xml:space="preserve"> </w:t>
      </w:r>
      <w:r w:rsidRPr="0011645D">
        <w:rPr>
          <w:sz w:val="20"/>
          <w:szCs w:val="20"/>
        </w:rPr>
        <w:t>g/L; p=0.02). EPO was given to two patients.</w:t>
      </w:r>
    </w:p>
    <w:p w14:paraId="0F00FA06" w14:textId="1A368DBB" w:rsidR="00F626B9" w:rsidRPr="0011645D" w:rsidRDefault="00F626B9" w:rsidP="00F626B9">
      <w:pPr>
        <w:jc w:val="both"/>
        <w:rPr>
          <w:sz w:val="20"/>
          <w:szCs w:val="20"/>
          <w:highlight w:val="yellow"/>
        </w:rPr>
      </w:pPr>
      <w:r w:rsidRPr="0011645D">
        <w:rPr>
          <w:sz w:val="20"/>
          <w:szCs w:val="20"/>
        </w:rPr>
        <w:t xml:space="preserve">Overall serum ferritin level increased between the first and last clinic (131.0 vs. 267.5 </w:t>
      </w:r>
      <w:proofErr w:type="spellStart"/>
      <w:r w:rsidRPr="0011645D">
        <w:rPr>
          <w:sz w:val="20"/>
          <w:szCs w:val="20"/>
        </w:rPr>
        <w:t>μg</w:t>
      </w:r>
      <w:proofErr w:type="spellEnd"/>
      <w:r w:rsidRPr="0011645D">
        <w:rPr>
          <w:sz w:val="20"/>
          <w:szCs w:val="20"/>
        </w:rPr>
        <w:t xml:space="preserve">/L; p≤0.001) and proportion of patients with iron deficiency decreased from 56.7% to 26.8% (p=0.002). Of those with iron deficiency at baseline, 43.6% received IV iron at the same clinic visit, with a significant increase in ferritin level (67.0 to 185.0 </w:t>
      </w:r>
      <w:proofErr w:type="spellStart"/>
      <w:r w:rsidRPr="0011645D">
        <w:rPr>
          <w:sz w:val="20"/>
          <w:szCs w:val="20"/>
        </w:rPr>
        <w:t>μg</w:t>
      </w:r>
      <w:proofErr w:type="spellEnd"/>
      <w:r w:rsidRPr="0011645D">
        <w:rPr>
          <w:sz w:val="20"/>
          <w:szCs w:val="20"/>
        </w:rPr>
        <w:t>/L; p&lt;0.001).</w:t>
      </w:r>
    </w:p>
    <w:p w14:paraId="5E5D2AE4" w14:textId="77777777" w:rsidR="00B41760" w:rsidRPr="0011645D" w:rsidRDefault="00B41760" w:rsidP="00B41760">
      <w:pPr>
        <w:pStyle w:val="Heading1"/>
        <w:jc w:val="both"/>
        <w:rPr>
          <w:b/>
          <w:color w:val="auto"/>
          <w:sz w:val="20"/>
          <w:szCs w:val="20"/>
        </w:rPr>
      </w:pPr>
      <w:bookmarkStart w:id="5" w:name="_Hlk7474301"/>
      <w:bookmarkEnd w:id="0"/>
      <w:r w:rsidRPr="0011645D">
        <w:rPr>
          <w:b/>
          <w:color w:val="auto"/>
          <w:sz w:val="20"/>
          <w:szCs w:val="20"/>
        </w:rPr>
        <w:t>Discussion</w:t>
      </w:r>
    </w:p>
    <w:p w14:paraId="374346F8" w14:textId="60EAB6A0" w:rsidR="00B41760" w:rsidRPr="0011645D" w:rsidRDefault="00B41760" w:rsidP="00B41760">
      <w:pPr>
        <w:jc w:val="both"/>
        <w:rPr>
          <w:sz w:val="20"/>
          <w:szCs w:val="20"/>
        </w:rPr>
      </w:pPr>
      <w:bookmarkStart w:id="6" w:name="_Hlk9586906"/>
      <w:r w:rsidRPr="0011645D">
        <w:rPr>
          <w:sz w:val="20"/>
          <w:szCs w:val="20"/>
        </w:rPr>
        <w:t>This study reports outcomes from the first two years of a novel combined Kidney Failure and Heart Failure clinic</w:t>
      </w:r>
      <w:r w:rsidR="00CB2455" w:rsidRPr="0011645D">
        <w:rPr>
          <w:sz w:val="20"/>
          <w:szCs w:val="20"/>
        </w:rPr>
        <w:t>,</w:t>
      </w:r>
      <w:r w:rsidRPr="0011645D">
        <w:rPr>
          <w:sz w:val="20"/>
          <w:szCs w:val="20"/>
        </w:rPr>
        <w:t xml:space="preserve"> and its attempt to improve prescription and up-titrate dosage of life-prolonging medications in a real-world cohort of patients with concomitant moderate or severe CKD and HF. </w:t>
      </w:r>
      <w:bookmarkEnd w:id="6"/>
      <w:r w:rsidRPr="0011645D">
        <w:rPr>
          <w:sz w:val="20"/>
          <w:szCs w:val="20"/>
        </w:rPr>
        <w:t xml:space="preserve">More patients were on single or dual </w:t>
      </w:r>
      <w:proofErr w:type="spellStart"/>
      <w:r w:rsidRPr="0011645D">
        <w:rPr>
          <w:sz w:val="20"/>
          <w:szCs w:val="20"/>
        </w:rPr>
        <w:t>RAASi</w:t>
      </w:r>
      <w:proofErr w:type="spellEnd"/>
      <w:r w:rsidRPr="0011645D">
        <w:rPr>
          <w:sz w:val="20"/>
          <w:szCs w:val="20"/>
        </w:rPr>
        <w:t xml:space="preserve"> therapy at their last visit comparing to the first; the difference in distributions was statistically different. The distribution of patients according to dosage groups was different between the first and last visit for MRAs, with higher proportions of patients being on higher dosages while having no associated clinically significant deterioration in renal function and hyperkalaemia.</w:t>
      </w:r>
    </w:p>
    <w:p w14:paraId="2B065F47" w14:textId="2AE27269" w:rsidR="00B41760" w:rsidRPr="0011645D" w:rsidRDefault="00B41760" w:rsidP="00B41760">
      <w:pPr>
        <w:jc w:val="both"/>
        <w:rPr>
          <w:sz w:val="20"/>
          <w:szCs w:val="20"/>
        </w:rPr>
      </w:pPr>
      <w:r w:rsidRPr="0011645D">
        <w:rPr>
          <w:sz w:val="20"/>
          <w:szCs w:val="20"/>
        </w:rPr>
        <w:t xml:space="preserve">There are very few studies looking at medication prescription in a similar outpatient CKD-HF cohort which we can compare our results with. In a study by Frohlich et al. looking retrospectively at </w:t>
      </w:r>
      <w:proofErr w:type="spellStart"/>
      <w:r w:rsidRPr="0011645D">
        <w:rPr>
          <w:sz w:val="20"/>
          <w:szCs w:val="20"/>
        </w:rPr>
        <w:t>ACEi</w:t>
      </w:r>
      <w:proofErr w:type="spellEnd"/>
      <w:r w:rsidRPr="0011645D">
        <w:rPr>
          <w:sz w:val="20"/>
          <w:szCs w:val="20"/>
        </w:rPr>
        <w:t xml:space="preserve">/ARBs usage in </w:t>
      </w:r>
      <w:r w:rsidR="00377AE0" w:rsidRPr="0011645D">
        <w:rPr>
          <w:sz w:val="20"/>
          <w:szCs w:val="20"/>
        </w:rPr>
        <w:t>an</w:t>
      </w:r>
      <w:r w:rsidRPr="0011645D">
        <w:rPr>
          <w:sz w:val="20"/>
          <w:szCs w:val="20"/>
        </w:rPr>
        <w:t xml:space="preserve"> outpatient HF clinic, </w:t>
      </w:r>
      <w:proofErr w:type="spellStart"/>
      <w:r w:rsidRPr="0011645D">
        <w:rPr>
          <w:sz w:val="20"/>
          <w:szCs w:val="20"/>
        </w:rPr>
        <w:t>ACEi</w:t>
      </w:r>
      <w:proofErr w:type="spellEnd"/>
      <w:r w:rsidRPr="0011645D">
        <w:rPr>
          <w:sz w:val="20"/>
          <w:szCs w:val="20"/>
        </w:rPr>
        <w:t>/ARBs dose was successfully increased in 37.3% of eligible patients</w:t>
      </w:r>
      <w:r w:rsidR="007A2666" w:rsidRPr="0011645D">
        <w:rPr>
          <w:sz w:val="20"/>
          <w:szCs w:val="20"/>
        </w:rPr>
        <w:fldChar w:fldCharType="begin" w:fldLock="1"/>
      </w:r>
      <w:r w:rsidR="007A2666" w:rsidRPr="0011645D">
        <w:rPr>
          <w:sz w:val="20"/>
          <w:szCs w:val="20"/>
        </w:rPr>
        <w:instrText>ADDIN CSL_CITATION {"citationItems":[{"id":"ITEM-1","itemData":{"DOI":"10.1016/j.ahj.2016.03.024","ISSN":"10976744","abstract":"Background Angiotensin-converting enzyme inhibitors (ACEIs) and angiotensin receptor blockers (ARBs) have become cornerstones of therapy for chronic heart failure (CHF). Guidelines advise high target doses for ACEIs/ARBs, but fear of worsening renal function may limit dose titration in patients with concomitant chronic kidney disease (CKD). Methods In this retrospective observational study, we identified 722 consecutive patients with systolic CHF, stable CKD stage III/IV (estimated glomerular filtration rate [eGFR] 15-60 mL min-1 1.73 m-2) and chronic ACEI/ARB treatment from the outpatient heart failure clinics at the Universities of Hull, UK, and Heidelberg, Germany. Change of renal function, worsening CHF, and hyperkalemia at 12-month follow-up were analyzed as a function of both baseline ACEI/ARB dose and dose change from baseline. Results ΔeGFR was not related to baseline dose of ACEI/ARB (P =.58), or to relative (P =.18) or absolute change of ACEI/ARB dose (P =.21) during follow-up. Expressing change of renal function as a categorical variable (improved/stable/decreased) as well as subgroup analyses with respect to age, sex, New York Heart Association functional class, left ventricular ejection fraction, diabetes, concomitant aldosterone antagonists, CKD stage, hypertension, ACEI vs ARB, and congestion status yielded similar results. There was no association of dose/dose change with incidence of either worsening CHF or hyperkalemia. Conclusions In patients with systolic CHF and stable CKD stage III/IV, neither continuation of high doses of ACEI/ARB nor up-titration was related to adverse changes in longer-term renal function. Conversely, down-titration was not associated with improvement in eGFR. Use of high doses of ACEI/ARB and their up-titration in patients with CHF and CKD III/IV may be appropriate provided that the patient is adequately monitored.","author":[{"dropping-particle":"","family":"Fröhlich","given":"Hanna","non-dropping-particle":"","parse-names":false,"suffix":""},{"dropping-particle":"","family":"Nelges","given":"Christoph","non-dropping-particle":"","parse-names":false,"suffix":""},{"dropping-particle":"","family":"Täger","given":"Tobias","non-dropping-particle":"","parse-names":false,"suffix":""},{"dropping-particle":"","family":"Schwenger","given":"Vedat","non-dropping-particle":"","parse-names":false,"suffix":""},{"dropping-particle":"","family":"Cebola","given":"Rita","non-dropping-particle":"","parse-names":false,"suffix":""},{"dropping-particle":"","family":"Schnorbach","given":"Johannes","non-dropping-particle":"","parse-names":false,"suffix":""},{"dropping-particle":"","family":"Goode","given":"Kevin M.","non-dropping-particle":"","parse-names":false,"suffix":""},{"dropping-particle":"","family":"Kazmi","given":"Syed","non-dropping-particle":"","parse-names":false,"suffix":""},{"dropping-particle":"","family":"Katus","given":"Hugo A.","non-dropping-particle":"","parse-names":false,"suffix":""},{"dropping-particle":"","family":"Cleland","given":"John G.F.","non-dropping-particle":"","parse-names":false,"suffix":""},{"dropping-particle":"","family":"Clark","given":"Andrew L.","non-dropping-particle":"","parse-names":false,"suffix":""},{"dropping-particle":"","family":"Frankenstein","given":"Lutz","non-dropping-particle":"","parse-names":false,"suffix":""}],"container-title":"American Heart Journal","id":"ITEM-1","issue":"March","issued":{"date-parts":[["2016"]]},"page":"28-36","title":"Long-term changes of renal function in relation to ace inhibitor/angiotensin receptor blocker dosing in patients with heart failure and chronic kidney disease","type":"article-journal","volume":"178"},"uris":["http://www.mendeley.com/documents/?uuid=2d673fc2-a3a1-48c6-8265-17a05b62685c"]}],"mendeley":{"formattedCitation":"&lt;sup&gt;7&lt;/sup&gt;","plainTextFormattedCitation":"7","previouslyFormattedCitation":"&lt;sup&gt;7&lt;/sup&gt;"},"properties":{"noteIndex":0},"schema":"https://github.com/citation-style-language/schema/raw/master/csl-citation.json"}</w:instrText>
      </w:r>
      <w:r w:rsidR="007A2666" w:rsidRPr="0011645D">
        <w:rPr>
          <w:sz w:val="20"/>
          <w:szCs w:val="20"/>
        </w:rPr>
        <w:fldChar w:fldCharType="separate"/>
      </w:r>
      <w:r w:rsidR="007A2666" w:rsidRPr="0011645D">
        <w:rPr>
          <w:noProof/>
          <w:sz w:val="20"/>
          <w:szCs w:val="20"/>
          <w:vertAlign w:val="superscript"/>
        </w:rPr>
        <w:t>7</w:t>
      </w:r>
      <w:r w:rsidR="007A2666" w:rsidRPr="0011645D">
        <w:rPr>
          <w:sz w:val="20"/>
          <w:szCs w:val="20"/>
        </w:rPr>
        <w:fldChar w:fldCharType="end"/>
      </w:r>
      <w:r w:rsidRPr="0011645D">
        <w:rPr>
          <w:sz w:val="20"/>
          <w:szCs w:val="20"/>
        </w:rPr>
        <w:t xml:space="preserve"> which is higher than our rate of 33.0%. This</w:t>
      </w:r>
      <w:r w:rsidR="00323738" w:rsidRPr="0011645D">
        <w:rPr>
          <w:sz w:val="20"/>
          <w:szCs w:val="20"/>
        </w:rPr>
        <w:t xml:space="preserve"> difference</w:t>
      </w:r>
      <w:r w:rsidRPr="0011645D">
        <w:rPr>
          <w:sz w:val="20"/>
          <w:szCs w:val="20"/>
        </w:rPr>
        <w:t xml:space="preserve"> could be explained by their exclusion of CKD stage 5 and dialysis patients, and the fact that </w:t>
      </w:r>
      <w:r w:rsidR="00323738" w:rsidRPr="0011645D">
        <w:rPr>
          <w:sz w:val="20"/>
          <w:szCs w:val="20"/>
        </w:rPr>
        <w:t xml:space="preserve">their </w:t>
      </w:r>
      <w:r w:rsidRPr="0011645D">
        <w:rPr>
          <w:sz w:val="20"/>
          <w:szCs w:val="20"/>
        </w:rPr>
        <w:t>follow-up period was fixed at 12 months</w:t>
      </w:r>
      <w:r w:rsidR="006D65F4" w:rsidRPr="0011645D">
        <w:rPr>
          <w:sz w:val="20"/>
          <w:szCs w:val="20"/>
        </w:rPr>
        <w:fldChar w:fldCharType="begin" w:fldLock="1"/>
      </w:r>
      <w:r w:rsidR="007A2666" w:rsidRPr="0011645D">
        <w:rPr>
          <w:sz w:val="20"/>
          <w:szCs w:val="20"/>
        </w:rPr>
        <w:instrText>ADDIN CSL_CITATION {"citationItems":[{"id":"ITEM-1","itemData":{"DOI":"10.1016/j.ahj.2016.03.024","ISSN":"10976744","abstract":"Background Angiotensin-converting enzyme inhibitors (ACEIs) and angiotensin receptor blockers (ARBs) have become cornerstones of therapy for chronic heart failure (CHF). Guidelines advise high target doses for ACEIs/ARBs, but fear of worsening renal function may limit dose titration in patients with concomitant chronic kidney disease (CKD). Methods In this retrospective observational study, we identified 722 consecutive patients with systolic CHF, stable CKD stage III/IV (estimated glomerular filtration rate [eGFR] 15-60 mL min-1 1.73 m-2) and chronic ACEI/ARB treatment from the outpatient heart failure clinics at the Universities of Hull, UK, and Heidelberg, Germany. Change of renal function, worsening CHF, and hyperkalemia at 12-month follow-up were analyzed as a function of both baseline ACEI/ARB dose and dose change from baseline. Results ΔeGFR was not related to baseline dose of ACEI/ARB (P =.58), or to relative (P =.18) or absolute change of ACEI/ARB dose (P =.21) during follow-up. Expressing change of renal function as a categorical variable (improved/stable/decreased) as well as subgroup analyses with respect to age, sex, New York Heart Association functional class, left ventricular ejection fraction, diabetes, concomitant aldosterone antagonists, CKD stage, hypertension, ACEI vs ARB, and congestion status yielded similar results. There was no association of dose/dose change with incidence of either worsening CHF or hyperkalemia. Conclusions In patients with systolic CHF and stable CKD stage III/IV, neither continuation of high doses of ACEI/ARB nor up-titration was related to adverse changes in longer-term renal function. Conversely, down-titration was not associated with improvement in eGFR. Use of high doses of ACEI/ARB and their up-titration in patients with CHF and CKD III/IV may be appropriate provided that the patient is adequately monitored.","author":[{"dropping-particle":"","family":"Fröhlich","given":"Hanna","non-dropping-particle":"","parse-names":false,"suffix":""},{"dropping-particle":"","family":"Nelges","given":"Christoph","non-dropping-particle":"","parse-names":false,"suffix":""},{"dropping-particle":"","family":"Täger","given":"Tobias","non-dropping-particle":"","parse-names":false,"suffix":""},{"dropping-particle":"","family":"Schwenger","given":"Vedat","non-dropping-particle":"","parse-names":false,"suffix":""},{"dropping-particle":"","family":"Cebola","given":"Rita","non-dropping-particle":"","parse-names":false,"suffix":""},{"dropping-particle":"","family":"Schnorbach","given":"Johannes","non-dropping-particle":"","parse-names":false,"suffix":""},{"dropping-particle":"","family":"Goode","given":"Kevin M.","non-dropping-particle":"","parse-names":false,"suffix":""},{"dropping-particle":"","family":"Kazmi","given":"Syed","non-dropping-particle":"","parse-names":false,"suffix":""},{"dropping-particle":"","family":"Katus","given":"Hugo A.","non-dropping-particle":"","parse-names":false,"suffix":""},{"dropping-particle":"","family":"Cleland","given":"John G.F.","non-dropping-particle":"","parse-names":false,"suffix":""},{"dropping-particle":"","family":"Clark","given":"Andrew L.","non-dropping-particle":"","parse-names":false,"suffix":""},{"dropping-particle":"","family":"Frankenstein","given":"Lutz","non-dropping-particle":"","parse-names":false,"suffix":""}],"container-title":"American Heart Journal","id":"ITEM-1","issue":"March","issued":{"date-parts":[["2016"]]},"page":"28-36","title":"Long-term changes of renal function in relation to ace inhibitor/angiotensin receptor blocker dosing in patients with heart failure and chronic kidney disease","type":"article-journal","volume":"178"},"uris":["http://www.mendeley.com/documents/?uuid=2d673fc2-a3a1-48c6-8265-17a05b62685c"]}],"mendeley":{"formattedCitation":"&lt;sup&gt;7&lt;/sup&gt;","plainTextFormattedCitation":"7","previouslyFormattedCitation":"&lt;sup&gt;7&lt;/sup&gt;"},"properties":{"noteIndex":0},"schema":"https://github.com/citation-style-language/schema/raw/master/csl-citation.json"}</w:instrText>
      </w:r>
      <w:r w:rsidR="006D65F4" w:rsidRPr="0011645D">
        <w:rPr>
          <w:sz w:val="20"/>
          <w:szCs w:val="20"/>
        </w:rPr>
        <w:fldChar w:fldCharType="separate"/>
      </w:r>
      <w:r w:rsidR="007A2666" w:rsidRPr="0011645D">
        <w:rPr>
          <w:noProof/>
          <w:sz w:val="20"/>
          <w:szCs w:val="20"/>
          <w:vertAlign w:val="superscript"/>
        </w:rPr>
        <w:t>7</w:t>
      </w:r>
      <w:r w:rsidR="006D65F4" w:rsidRPr="0011645D">
        <w:rPr>
          <w:sz w:val="20"/>
          <w:szCs w:val="20"/>
        </w:rPr>
        <w:fldChar w:fldCharType="end"/>
      </w:r>
      <w:r w:rsidRPr="0011645D">
        <w:rPr>
          <w:sz w:val="20"/>
          <w:szCs w:val="20"/>
        </w:rPr>
        <w:t xml:space="preserve">. </w:t>
      </w:r>
      <w:r w:rsidR="00377AE0" w:rsidRPr="0011645D">
        <w:rPr>
          <w:sz w:val="20"/>
          <w:szCs w:val="20"/>
        </w:rPr>
        <w:t xml:space="preserve">The varying </w:t>
      </w:r>
      <w:r w:rsidRPr="0011645D">
        <w:rPr>
          <w:sz w:val="20"/>
          <w:szCs w:val="20"/>
        </w:rPr>
        <w:t xml:space="preserve">follow-up period </w:t>
      </w:r>
      <w:r w:rsidR="00377AE0" w:rsidRPr="0011645D">
        <w:rPr>
          <w:sz w:val="20"/>
          <w:szCs w:val="20"/>
        </w:rPr>
        <w:t>in our study meant that</w:t>
      </w:r>
      <w:r w:rsidRPr="0011645D">
        <w:rPr>
          <w:sz w:val="20"/>
          <w:szCs w:val="20"/>
        </w:rPr>
        <w:t xml:space="preserve"> a proportion of patients were at early stages of medication optimisation. With regards to other possible factors affecting medication optimisation, our study showed that severity of CKD and nature of HF did not have an influence on the likelihood of successful initiation or dose up-titration</w:t>
      </w:r>
      <w:r w:rsidR="00C82983" w:rsidRPr="0011645D">
        <w:rPr>
          <w:sz w:val="20"/>
          <w:szCs w:val="20"/>
        </w:rPr>
        <w:t xml:space="preserve"> similar to a study by</w:t>
      </w:r>
      <w:r w:rsidR="00832034" w:rsidRPr="0011645D">
        <w:rPr>
          <w:sz w:val="20"/>
          <w:szCs w:val="20"/>
        </w:rPr>
        <w:t xml:space="preserve"> </w:t>
      </w:r>
      <w:r w:rsidRPr="0011645D">
        <w:rPr>
          <w:sz w:val="20"/>
          <w:szCs w:val="20"/>
        </w:rPr>
        <w:t>Heywood et al.</w:t>
      </w:r>
      <w:r w:rsidR="007A2666" w:rsidRPr="0011645D">
        <w:rPr>
          <w:sz w:val="20"/>
          <w:szCs w:val="20"/>
        </w:rPr>
        <w:fldChar w:fldCharType="begin" w:fldLock="1"/>
      </w:r>
      <w:r w:rsidR="004F7AEA" w:rsidRPr="0011645D">
        <w:rPr>
          <w:sz w:val="20"/>
          <w:szCs w:val="20"/>
        </w:rPr>
        <w:instrText>ADDIN CSL_CITATION {"citationItems":[{"id":"ITEM-1","itemData":{"DOI":"10.1016/j.amjcard.2009.12.016","ISSN":"00029149","abstract":"Guidelines have been established for the treatment of patients with heart failure (HF) and left ventricular dysfunction, but renal dysfunction might limit adherence to these guidelines. Few data have characterized the use of guideline-recommended therapy for patients with HF, left ventricular dysfunction, and renal dysfunction who are treated in outpatient settings. The Registry to Improve the Use of Evidence-Based Heart Failure Therapies in the Outpatient Setting (IMPROVE HF) was a prospective study of patients receiving treatment as outpatients in cardiology practices in the United States. The rates of adherence to 7 guideline-recommended therapies were evaluated for patients with a left ventricular ejection fraction of ≤35%. The estimated glomerular filtration rate was estimated using the Modification of Diet in Renal Disease formula for 13,164 patients who were categorized as having stage 1 through stage 4/5 chronic kidney disease (CKD). More than 1/2 (52.2%) of the patients had stage 3 or 4/5 CKD. Older patients and women were at increased risk of higher stage CKD, and the rates of co-morbid health conditions were significantly greater among patients with more severe CKD. The patients with more severe CKD were significantly less likely to receive all interventions except cardiac resynchronization therapy. However, multivariate analysis controlling for patient characteristics revealed that the severity of CKD was an independent predictor of adherence to angiotensin-converting enzyme inhibitor/angiotensin receptor blocker therapy but not to any of the 6 other guideline-recommended measures. In conclusion, these results confirm that CKD is common in patients with HF and left ventricular dysfunction but is not independently associated with adherence to guideline-recommended therapy in outpatient cardiology practices, with the exception of angiotensin-converting enzyme inhibitor/angiotensin receptor blocker therapy. © 2010.","author":[{"dropping-particle":"","family":"Heywood","given":"J. Thomas","non-dropping-particle":"","parse-names":false,"suffix":""},{"dropping-particle":"","family":"Fonarow","given":"Gregg C.","non-dropping-particle":"","parse-names":false,"suffix":""},{"dropping-particle":"","family":"Yancy","given":"Clyde W.","non-dropping-particle":"","parse-names":false,"suffix":""},{"dropping-particle":"","family":"Albert","given":"Nancy M.","non-dropping-particle":"","parse-names":false,"suffix":""},{"dropping-particle":"","family":"Curtis","given":"Anne B.","non-dropping-particle":"","parse-names":false,"suffix":""},{"dropping-particle":"","family":"Stough","given":"Wendy Gattis","non-dropping-particle":"","parse-names":false,"suffix":""},{"dropping-particle":"","family":"Gheorghiade","given":"Mihai","non-dropping-particle":"","parse-names":false,"suffix":""},{"dropping-particle":"","family":"McBride","given":"Mark L.","non-dropping-particle":"","parse-names":false,"suffix":""},{"dropping-particle":"","family":"Mehra","given":"Mandeep R.","non-dropping-particle":"","parse-names":false,"suffix":""},{"dropping-particle":"","family":"O'Connor","given":"Christopher M.","non-dropping-particle":"","parse-names":false,"suffix":""},{"dropping-particle":"","family":"Reynolds","given":"Dwight","non-dropping-particle":"","parse-names":false,"suffix":""},{"dropping-particle":"","family":"Walsh","given":"Mary Norine","non-dropping-particle":"","parse-names":false,"suffix":""}],"container-title":"American Journal of Cardiology","id":"ITEM-1","issue":"8","issued":{"date-parts":[["2010"]]},"page":"1140-1146","publisher":"Elsevier Inc.","title":"Influence of Renal Function on the Use of Guideline-Recommended Therapies for Patients With Heart Failure","type":"article-journal","volume":"105"},"uris":["http://www.mendeley.com/documents/?uuid=610f4d6c-fb02-4278-bd35-46f105308ef6"]}],"mendeley":{"formattedCitation":"&lt;sup&gt;2&lt;/sup&gt;","plainTextFormattedCitation":"2","previouslyFormattedCitation":"&lt;sup&gt;2&lt;/sup&gt;"},"properties":{"noteIndex":0},"schema":"https://github.com/citation-style-language/schema/raw/master/csl-citation.json"}</w:instrText>
      </w:r>
      <w:r w:rsidR="007A2666" w:rsidRPr="0011645D">
        <w:rPr>
          <w:sz w:val="20"/>
          <w:szCs w:val="20"/>
        </w:rPr>
        <w:fldChar w:fldCharType="separate"/>
      </w:r>
      <w:r w:rsidR="007A2666" w:rsidRPr="0011645D">
        <w:rPr>
          <w:noProof/>
          <w:sz w:val="20"/>
          <w:szCs w:val="20"/>
          <w:vertAlign w:val="superscript"/>
        </w:rPr>
        <w:t>2</w:t>
      </w:r>
      <w:r w:rsidR="007A2666" w:rsidRPr="0011645D">
        <w:rPr>
          <w:sz w:val="20"/>
          <w:szCs w:val="20"/>
        </w:rPr>
        <w:fldChar w:fldCharType="end"/>
      </w:r>
      <w:r w:rsidRPr="0011645D">
        <w:rPr>
          <w:sz w:val="20"/>
          <w:szCs w:val="20"/>
        </w:rPr>
        <w:t xml:space="preserve">. </w:t>
      </w:r>
    </w:p>
    <w:p w14:paraId="2E81EFB3" w14:textId="10A1C65B" w:rsidR="00B41760" w:rsidRPr="0011645D" w:rsidRDefault="00B41760" w:rsidP="00B41760">
      <w:pPr>
        <w:jc w:val="both"/>
        <w:rPr>
          <w:sz w:val="20"/>
          <w:szCs w:val="20"/>
        </w:rPr>
      </w:pPr>
      <w:r w:rsidRPr="0011645D">
        <w:rPr>
          <w:sz w:val="20"/>
          <w:szCs w:val="20"/>
        </w:rPr>
        <w:t xml:space="preserve">Risk of hyperkalaemia in patients with successful </w:t>
      </w:r>
      <w:proofErr w:type="spellStart"/>
      <w:r w:rsidRPr="0011645D">
        <w:rPr>
          <w:sz w:val="20"/>
          <w:szCs w:val="20"/>
        </w:rPr>
        <w:t>RAASi</w:t>
      </w:r>
      <w:proofErr w:type="spellEnd"/>
      <w:r w:rsidRPr="0011645D">
        <w:rPr>
          <w:sz w:val="20"/>
          <w:szCs w:val="20"/>
        </w:rPr>
        <w:t xml:space="preserve"> dose up-titration in our study </w:t>
      </w:r>
      <w:r w:rsidR="00566BFA" w:rsidRPr="0011645D">
        <w:rPr>
          <w:sz w:val="20"/>
          <w:szCs w:val="20"/>
        </w:rPr>
        <w:t>was</w:t>
      </w:r>
      <w:r w:rsidRPr="0011645D">
        <w:rPr>
          <w:sz w:val="20"/>
          <w:szCs w:val="20"/>
        </w:rPr>
        <w:t xml:space="preserve"> comparable to that reported in clinical trials. R</w:t>
      </w:r>
      <w:r w:rsidR="00323738" w:rsidRPr="0011645D">
        <w:rPr>
          <w:sz w:val="20"/>
          <w:szCs w:val="20"/>
        </w:rPr>
        <w:t>eported r</w:t>
      </w:r>
      <w:r w:rsidRPr="0011645D">
        <w:rPr>
          <w:sz w:val="20"/>
          <w:szCs w:val="20"/>
        </w:rPr>
        <w:t xml:space="preserve">isk of </w:t>
      </w:r>
      <w:proofErr w:type="spellStart"/>
      <w:r w:rsidRPr="0011645D">
        <w:rPr>
          <w:sz w:val="20"/>
          <w:szCs w:val="20"/>
        </w:rPr>
        <w:t>RAASi</w:t>
      </w:r>
      <w:proofErr w:type="spellEnd"/>
      <w:r w:rsidRPr="0011645D">
        <w:rPr>
          <w:sz w:val="20"/>
          <w:szCs w:val="20"/>
        </w:rPr>
        <w:t>-related hyperkalaemia</w:t>
      </w:r>
      <w:r w:rsidR="00377AE0" w:rsidRPr="0011645D">
        <w:rPr>
          <w:sz w:val="20"/>
          <w:szCs w:val="20"/>
        </w:rPr>
        <w:t xml:space="preserve"> in clinical trials</w:t>
      </w:r>
      <w:r w:rsidRPr="0011645D">
        <w:rPr>
          <w:sz w:val="20"/>
          <w:szCs w:val="20"/>
        </w:rPr>
        <w:t xml:space="preserve"> varies depending on study settings, baseline renal function, severity of HF, and can range from 3-7% </w:t>
      </w:r>
      <w:r w:rsidR="00377AE0" w:rsidRPr="0011645D">
        <w:rPr>
          <w:sz w:val="20"/>
          <w:szCs w:val="20"/>
        </w:rPr>
        <w:t>for</w:t>
      </w:r>
      <w:r w:rsidRPr="0011645D">
        <w:rPr>
          <w:sz w:val="20"/>
          <w:szCs w:val="20"/>
        </w:rPr>
        <w:t xml:space="preserve"> </w:t>
      </w:r>
      <w:proofErr w:type="spellStart"/>
      <w:r w:rsidRPr="0011645D">
        <w:rPr>
          <w:sz w:val="20"/>
          <w:szCs w:val="20"/>
        </w:rPr>
        <w:t>ACEi</w:t>
      </w:r>
      <w:proofErr w:type="spellEnd"/>
      <w:r w:rsidRPr="0011645D">
        <w:rPr>
          <w:sz w:val="20"/>
          <w:szCs w:val="20"/>
        </w:rPr>
        <w:t>/ARBs</w:t>
      </w:r>
      <w:r w:rsidR="004F7AEA" w:rsidRPr="0011645D">
        <w:rPr>
          <w:sz w:val="20"/>
          <w:szCs w:val="20"/>
        </w:rPr>
        <w:fldChar w:fldCharType="begin" w:fldLock="1"/>
      </w:r>
      <w:r w:rsidR="004F7AEA" w:rsidRPr="0011645D">
        <w:rPr>
          <w:sz w:val="20"/>
          <w:szCs w:val="20"/>
        </w:rPr>
        <w:instrText>ADDIN CSL_CITATION {"citationItems":[{"id":"ITEM-1","itemData":{"DOI":"10.1056/NEJM198706043162301","ISSN":"0028-4793","abstract":"To evaluate the influence of the angiotensin-converting-enzyme inhibitor enalapril (2.5 to 40 mg per day) on the prognosis of severe congestive heart failure (New York Heart Association [NYHA] functional class IV), we randomly assigned 253 patients in a double-blind study to receive either placebo (n = 126) or enalapril (n = 127). Conventional treatment for heart failure, including the use of other vasodilators, was continued in both groups. Follow-up averaged 188 days (range, 1 day to 20 months). The crude mortality at the end of six months (primary end point) was 26 percent in the enalapril group and 44 percent in the placebo group — a reduction of 40 percent (P = 0.002). Mortality was reduced by 31 percent at one year (P = 0.001). By the end of the study, there had been 68 deaths in the placebo group and 50 in the enalapril group — a reduction of 27 percent (P = 0.003). The entire reduction in total mortality was found to be among patients with progressive heart failure (a reduction of 50 percent), whereas no difference was seen in the incidence of sudden cardiac death. A significant improvement in NYHA classification was observed in the enalapril group, together with a reduction in heart size and a reduced requirement for other medication for heart failure. The overall withdrawal rate was similar in both groups, but hypotension requiring withdrawal occurred in seven patients in the enalapril group and in no patients in the placebo group. After the initial dose of enalapril was reduced to 2.5 mg daily in high-risk patients, this side effect was less frequent. We conclude that the addition of enalapril to conventional therapy in patients with severe congestive heart failure can reduce mortality and improve symptoms. The beneficial effect on mortality is due to a reduction in death from the progression of heart failure. (N Engl J Med 1987; 316:1429–35.)","author":[{"dropping-particle":"","family":"The Consensus Trial Study Group","given":"","non-dropping-particle":"","parse-names":false,"suffix":""}],"container-title":"New England Journal of Medicine","id":"ITEM-1","issue":"23","issued":{"date-parts":[["1987","6","4"]]},"page":"1429-1435","title":"Effects of Enalapril on Mortality in Severe Congestive Heart Failure","type":"article-journal","volume":"316"},"uris":["http://www.mendeley.com/documents/?uuid=39898be8-1ef1-4f09-a697-7aca36f82320"]},{"id":"ITEM-2","itemData":{"DOI":"10.1056/NEJM199108013250501","ISSN":"0028-4793","abstract":"BACKGROUND. Patients with congestive heart failure have a high mortality rate and are also hospitalized frequently. We studied the effect of an angiotensin-converting–enzyme inhibitor, enalapril, on mortality and hospitalizaron in patients with chronic heart failure and ejection fractions ≤0.35. METHODS. Patients receiving conventional treatment for heart failure were randomly assigned to receive either placebo (n = 1284) or enalapril (n = 1285) at doses of 2.5 to 20 mg per day in a double-blind trial. Approximately 90 percent of the patients were in New York Heart Association functional classes II and III. The follow-up averaged 41.4 months. RESULTS. There were 510 deaths in the placebo group (39.7 percent), as compared with 452 in the enalapril group (35.2 percent) (reduction in risk, 16 percent; 95 percent confidence interval, 5 to 26 percent; P = 0.0036). Although reductions in mortality were observed in several categories of cardiac deaths, the largest reduction occurred among the deaths attributed to progressive heart failure (251 in the placebo group vs. 209 in the enalapril group; reduction in risk, 22 percent; 95 percent confidence interval, 6 to 35 percent). There was little apparent effect of treatment on deaths classified as due to arrhythmia without pump failure. Fewer patients died or were hospitalized for worsening heart failure (736 in the placebo group and 613 in the enalapril group; risk reduction, 26 percent; 95 percent confidence interval, 18 to 34 percent; P&lt;0.0001). CONCLUSIONS. The addition of enalapril to conventional therapy significantly reduced mortality and hospitalizations for heart failure in patients with chronic congestive heart failure and low ejection fractions. (N Engl J Med 1991; 325:293–302.)","author":[{"dropping-particle":"","family":"The SOLVD Investigators","given":"","non-dropping-particle":"","parse-names":false,"suffix":""}],"container-title":"New England Journal of Medicine","id":"ITEM-2","issue":"5","issued":{"date-parts":[["1991","8"]]},"page":"293-302","title":"Effect of Enalapril on Survival in Patients with Reduced Left Ventricular Ejection Fractions and Congestive Heart Failure","type":"article-journal","volume":"325"},"uris":["http://www.mendeley.com/documents/?uuid=09c178b6-27d1-4825-ac85-0613769f3332"]},{"id":"ITEM-3","itemData":{"DOI":"10.1016/S0140-6736(03)14283-3","ISSN":"01406736","abstract":"BACKGROUND: Angiotensin II type 1 receptor blockers have favourable effects on haemodynamic measurements, neurohumoral activity, and left-ventricular remodelling when added to angiotensin-converting-enzyme (ACE) inhibitors in patients with chronic heart failure (CHF). We aimed to find out whether these drugs improve clinical outcome. METHODS: Between March, 1999, and November, 1999, we enrolled 2548 patients with New York Heart Association functional class II-IV CHF and left-ventricular ejection fraction 40% or lower, and who were being treated with ACE inhibitors. We randomly assigned patients candesartan (n=1276, target dose 32 mg once daily) or placebo (n=1272). At baseline, 55% of patients were also treated with beta blockers and 17% with spironolactone. The primary outcome of the study was the composite of cardiovascular death or hospital admission for CHF. Analysis was done by intention to treat. FINDINGS: The median follow-up was 41 months. 483 (38%) patients in the candesartan group and 538 (42%) in the placebo group experienced the primary outcome (unadjusted hazard ratio 0.85 [95% CI 0.75-0.96], p=0.011; covariate adjusted p=0.010). Candesartan reduced each of the components of the primary outcome significantly, as well as the total number of hospital admissions for CHF. The benefits of candesartan were similar in all predefined subgroups, including patients receiving baseline beta blocker treatment. INTERPRETATION: The addition of candesartan to ACE inhibitor and other treatment leads to a further clinically important reduction in relevant cardiovascular events in patients with CHF and reduced left-ventricular ejection fraction.","author":[{"dropping-particle":"","family":"McMurray","given":"John JV","non-dropping-particle":"","parse-names":false,"suffix":""},{"dropping-particle":"","family":"Östergren","given":"Jan","non-dropping-particle":"","parse-names":false,"suffix":""},{"dropping-particle":"","family":"Swedberg","given":"Karl","non-dropping-particle":"","parse-names":false,"suffix":""},{"dropping-particle":"","family":"Granger","given":"Christopher B","non-dropping-particle":"","parse-names":false,"suffix":""},{"dropping-particle":"","family":"Held","given":"Peter","non-dropping-particle":"","parse-names":false,"suffix":""},{"dropping-particle":"","family":"Michelson","given":"Eric L","non-dropping-particle":"","parse-names":false,"suffix":""},{"dropping-particle":"","family":"Olofsson","given":"Bertil","non-dropping-particle":"","parse-names":false,"suffix":""},{"dropping-particle":"","family":"Yusuf","given":"Salim","non-dropping-particle":"","parse-names":false,"suffix":""},{"dropping-particle":"","family":"Pfeffer","given":"Marc A","non-dropping-particle":"","parse-names":false,"suffix":""}],"container-title":"The Lancet","id":"ITEM-3","issue":"9386","issued":{"date-parts":[["2003","9"]]},"page":"767-771","title":"Effects of candesartan in patients with chronic heart failure and reduced left-ventricular systolic function taking angiotensin-converting-enzyme inhibitors: the CHARM-Added trial","type":"article-journal","volume":"362"},"uris":["http://www.mendeley.com/documents/?uuid=4f2ef614-a958-4879-9419-586a9cfa6dc7"]},{"id":"ITEM-4","itemData":{"DOI":"10.1016/S0140-6736(03)14284-5","ISSN":"01406736","abstract":"BACKGROUND: Angiotensin-converting-enzyme (ACE) inhibitors improve outcome of patients with chronic heart failure (CHF). A substantial proportion of patients, however, experience no benefit from ACE inhibitors because of previous intolerance. We aimed to find out whether candesartan, an angiotensin-receptor blocker, could improve outcome in such patients not taking an ACE inhibitor. METHODS: Between March, 1999, and March, 2001, we enrolled 2028 patients with symptomatic heart failure and left-ventricular ejection fraction 40% or less who were not receiving ACE inhibitors because of previous intolerance. Patients were randomly assigned candesartan (target dose 32 mg once daily) or matching placebo. The primary outcome of the study was the composite of cardiovascular death or hospital admission for CHF. Analysis was by intention to treat. FINDINGS: The most common manifestation of ACE-inhibitor intolerance was cough (72%), followed by symptomatic hypotension (13%) and renal dysfunction (12%). During a median follow-up of 33.7 months, 334 (33%) of 1013 patients in the candesartan group and 406 (40%) of 1015 in the placebo group had cardiovascular death or hospital admission for CHF (unadjusted hazard ratio 0.77 [95% CI 0.67-0.89], p=0.0004; covariate adjusted 0.70 [0.60-0.81], p&lt;0.0001). Each component of the primary outcome was reduced, as was the total number of hospital admissions for CHF. Study-drug discontinuation rates were similar in the candesartan (30%) and placebo (29%) groups. INTERPRETATION: Candesartan was generally well tolerated and reduced cardiovascular mortality and morbidity in patients with symptomatic chronic heart failure and intolerance to ACE inhibitors.","author":[{"dropping-particle":"","family":"Granger","given":"Christopher B","non-dropping-particle":"","parse-names":false,"suffix":""},{"dropping-particle":"","family":"McMurray","given":"John JV","non-dropping-particle":"","parse-names":false,"suffix":""},{"dropping-particle":"","family":"Yusuf","given":"Salim","non-dropping-particle":"","parse-names":false,"suffix":""},{"dropping-particle":"","family":"Held","given":"Peter","non-dropping-particle":"","parse-names":false,"suffix":""},{"dropping-particle":"","family":"Michelson","given":"Eric L","non-dropping-particle":"","parse-names":false,"suffix":""},{"dropping-particle":"","family":"Olofsson","given":"Bertil","non-dropping-particle":"","parse-names":false,"suffix":""},{"dropping-particle":"","family":"Östergren","given":"Jan","non-dropping-particle":"","parse-names":false,"suffix":""},{"dropping-particle":"","family":"Pfeffer","given":"Marc A","non-dropping-particle":"","parse-names":false,"suffix":""},{"dropping-particle":"","family":"Swedberg","given":"Karl","non-dropping-particle":"","parse-names":false,"suffix":""}],"container-title":"The Lancet","id":"ITEM-4","issue":"9386","issued":{"date-parts":[["2003","9"]]},"page":"772-776","title":"Effects of candesartan in patients with chronic heart failure and reduced left-ventricular systolic function intolerant to angiotensin-converting-enzyme inhibitors: the CHARM-Alternative trial","type":"article-journal","volume":"362"},"uris":["http://www.mendeley.com/documents/?uuid=ff0921d8-c66b-48bd-ad4e-8cc4445d92de"]}],"mendeley":{"formattedCitation":"&lt;sup&gt;8–11&lt;/sup&gt;","plainTextFormattedCitation":"8–11","previouslyFormattedCitation":"&lt;sup&gt;8–11&lt;/sup&gt;"},"properties":{"noteIndex":0},"schema":"https://github.com/citation-style-language/schema/raw/master/csl-citation.json"}</w:instrText>
      </w:r>
      <w:r w:rsidR="004F7AEA" w:rsidRPr="0011645D">
        <w:rPr>
          <w:sz w:val="20"/>
          <w:szCs w:val="20"/>
        </w:rPr>
        <w:fldChar w:fldCharType="separate"/>
      </w:r>
      <w:r w:rsidR="004F7AEA" w:rsidRPr="0011645D">
        <w:rPr>
          <w:noProof/>
          <w:sz w:val="20"/>
          <w:szCs w:val="20"/>
          <w:vertAlign w:val="superscript"/>
        </w:rPr>
        <w:t>8–11</w:t>
      </w:r>
      <w:r w:rsidR="004F7AEA" w:rsidRPr="0011645D">
        <w:rPr>
          <w:sz w:val="20"/>
          <w:szCs w:val="20"/>
        </w:rPr>
        <w:fldChar w:fldCharType="end"/>
      </w:r>
      <w:r w:rsidRPr="0011645D">
        <w:rPr>
          <w:sz w:val="20"/>
          <w:szCs w:val="20"/>
        </w:rPr>
        <w:t xml:space="preserve"> and 2-8.0% </w:t>
      </w:r>
      <w:r w:rsidR="00377AE0" w:rsidRPr="0011645D">
        <w:rPr>
          <w:sz w:val="20"/>
          <w:szCs w:val="20"/>
        </w:rPr>
        <w:t>for</w:t>
      </w:r>
      <w:r w:rsidRPr="0011645D">
        <w:rPr>
          <w:sz w:val="20"/>
          <w:szCs w:val="20"/>
        </w:rPr>
        <w:t xml:space="preserve"> MRAs</w:t>
      </w:r>
      <w:r w:rsidR="004F7AEA" w:rsidRPr="0011645D">
        <w:rPr>
          <w:sz w:val="20"/>
          <w:szCs w:val="20"/>
        </w:rPr>
        <w:fldChar w:fldCharType="begin" w:fldLock="1"/>
      </w:r>
      <w:r w:rsidR="004F7AEA" w:rsidRPr="0011645D">
        <w:rPr>
          <w:sz w:val="20"/>
          <w:szCs w:val="20"/>
        </w:rPr>
        <w:instrText>ADDIN CSL_CITATION {"citationItems":[{"id":"ITEM-1","itemData":{"DOI":"10.1056/NEJMoa030207","ISSN":"0028-4793","abstract":"BACKGROUND: Aldosterone blockade reduces mortality and morbidity among patients with severe heart failure. We conducted a double-blind, placebo-controlled study evaluating the effect of eplerenone, a selective aldosterone blocker, on morbidity and mortality among patients with acute myocardial infarction complicated by left ventricular dysfunction and heart failure. METHODS: Patients were randomly assigned to eplerenone (25 mg per day initially, titrated to a maximum of 50 mg per day; 3319 patients) or placebo (3313 patients) [correction] in addition to optimal medical therapy. The study continued until 1012 deaths occurred. The primary end points were death from any cause and death from cardiovascular causes or hospitalization for heart failure, acute myocardial infarction, stroke, or ventricular arrhythmia. RESULTS: During a mean follow-up of 16 months, there were 478 deaths in the eplerenone group and 554 deaths in the placebo group (relative risk, 0.85; 95 percent confidence interval, 0.75 to 0.96; P=0.008). Of these deaths, 407 in the eplerenone group and 483 in the placebo group were attributed to cardiovascular causes (relative risk, 0.83; 95 percent confidence interval, 0.72 to 0.94; P=0.005). The rate of the other primary end point, death from cardiovascular causes or hospitalization for cardiovascular events, was reduced by eplerenone (relative risk, 0.87; 95 percent confidence interval, 0.79 to 0.95; P=0.002), as was the secondary end point of death from any cause or any hospitalization (relative risk, 0.92; 95 percent confidence interval, 0.86 to 0.98; P=0.02). There was also a reduction in the rate of sudden death from cardiac causes (relative risk, 0.79; 95 percent confidence interval, 0.64 to 0.97; P=0.03). The rate of serious hyperkalemia was 5.5 percent in the eplerenone group and 3.9 percent in the placebo group (P=0.002), whereas the rate of hypokalemia was 8.4 percent in the eplerenone group and 13.1 percent in the placebo group (P&lt;0.001). CONCLUSIONS: The addition of eplerenone to optimal medical therapy reduces morbidity and mortality among patients with acute myocardial infarction complicated by left ventricular dysfunction and heart failure.","author":[{"dropping-particle":"","family":"Pitt","given":"Bertram","non-dropping-particle":"","parse-names":false,"suffix":""},{"dropping-particle":"","family":"Remme","given":"Willem","non-dropping-particle":"","parse-names":false,"suffix":""},{"dropping-particle":"","family":"Zannad","given":"Faiez","non-dropping-particle":"","parse-names":false,"suffix":""},{"dropping-particle":"","family":"Neaton","given":"James","non-dropping-particle":"","parse-names":false,"suffix":""},{"dropping-particle":"","family":"Martinez","given":"Felipe","non-dropping-particle":"","parse-names":false,"suffix":""},{"dropping-particle":"","family":"Roniker","given":"Barbara","non-dropping-particle":"","parse-names":false,"suffix":""},{"dropping-particle":"","family":"Bittman","given":"Richard","non-dropping-particle":"","parse-names":false,"suffix":""},{"dropping-particle":"","family":"Hurley","given":"Steve","non-dropping-particle":"","parse-names":false,"suffix":""},{"dropping-particle":"","family":"Kleiman","given":"Jay","non-dropping-particle":"","parse-names":false,"suffix":""},{"dropping-particle":"","family":"Gatlin","given":"Marjorie","non-dropping-particle":"","parse-names":false,"suffix":""}],"container-title":"New England Journal of Medicine","id":"ITEM-1","issue":"14","issued":{"date-parts":[["2003","4","3"]]},"page":"1309-1321","title":"Eplerenone, a Selective Aldosterone Blocker, in Patients with Left Ventricular Dysfunction after Myocardial Infarction","type":"article-journal","volume":"348"},"uris":["http://www.mendeley.com/documents/?uuid=1786cbc0-58ce-4ce8-b948-032b74d758bd"]},{"id":"ITEM-2","itemData":{"DOI":"10.1056/NEJM199909023411001","ISSN":"0028-4793","abstract":"BACKGROUND AND METHODS: Aldosterone is important in the pathophysiology of heart failure. In a doubleblind study, we enrolled 1663 patients who had severe heart failure and a left ventricular ejection fraction of no more than 35 percent and who were being treated with an angiotensin-converting-enzyme inhibitor, a loop diuretic, and in most cases digoxin. A total of 822 patients were randomly assigned to receive 25 mg of spironolactone daily, and 841 to receive placebo. The primary end point was death from all causes. RESULTS: The trial was discontinued early, after a mean follow-up period of 24 months, because an interim analysis determined that spironolactone was efficacious. There were 386 deaths in the placebo group (46 percent) and 284 in the spironolactone group (35 percent; relative risk of death, 0.70; 95 percent confidence interval, 0.60 to 0.82; P&lt;0.001). This 30 percent reduction in the risk of death among patients in the spironolactone group was attributed to a lower risk of both death from progressive heart failure and sudden death from cardiac causes. The frequency of hospitalization for worsening heart failure was 35 percent lower in the spironolactone group than in the placebo group (relative risk of hospitalization, 0.65; 95 percent confidence interval, 0.54 to 0.77; P&lt;0.001). In addition, patients who received spironolactone had a significant improvement in the symptoms of heart failure, as assessed on the basis of the New York Heart Association functional class (P&lt;0.001). Gynecomastia or breast pain was reported in 10 percent of men who were treated with spironolactone, as compared with 1 percent of men in the placebo group (P&lt;0.001). The incidence of serious hyperkalemia was minimal in both groups of patients. CONCLUSIONS: Blockade of aldosterone receptors by spironolactone, in addition to standard therapy, substantially reduces the risk of both morbidity and death among patients with severe heart failure.","author":[{"dropping-particle":"","family":"Pitt","given":"Bertram","non-dropping-particle":"","parse-names":false,"suffix":""},{"dropping-particle":"","family":"Zannad","given":"Faiez","non-dropping-particle":"","parse-names":false,"suffix":""},{"dropping-particle":"","family":"Remme","given":"Willem J.","non-dropping-particle":"","parse-names":false,"suffix":""},{"dropping-particle":"","family":"Cody","given":"Robert","non-dropping-particle":"","parse-names":false,"suffix":""},{"dropping-particle":"","family":"Castaigne","given":"Alain","non-dropping-particle":"","parse-names":false,"suffix":""},{"dropping-particle":"","family":"Perez","given":"Alfonso","non-dropping-particle":"","parse-names":false,"suffix":""},{"dropping-particle":"","family":"Palensky","given":"Jolie","non-dropping-particle":"","parse-names":false,"suffix":""},{"dropping-particle":"","family":"Wittes","given":"Janet","non-dropping-particle":"","parse-names":false,"suffix":""}],"container-title":"New England Journal of Medicine","id":"ITEM-2","issue":"10","issued":{"date-parts":[["1999","9","2"]]},"page":"709-717","title":"The Effect of Spironolactone on Morbidity and Mortality in Patients with Severe Heart Failure","type":"article-journal","volume":"341"},"uris":["http://www.mendeley.com/documents/?uuid=b9df7713-1674-48b2-b796-f74d473d2d3f"]},{"id":"ITEM-3","itemData":{"DOI":"10.1056/NEJMoa1009492","ISSN":"0028-4793","abstract":"BACKGROUND: Mineralocorticoid antagonists improve survival among patients with chronic, severe systolic heart failure and heart failure after myocardial infarction. We evaluated the effects of eplerenone in patients with chronic systolic heart failure and mild symptoms. METHODS: In this randomized, double-blind trial, we randomly assigned 2737 patients with New York Heart Association class II heart failure and an ejection fraction of no more than 35% to receive eplerenone (up to 50 mg daily) or placebo, in addition to recommended therapy. The primary outcome was a composite of death from cardiovascular causes or hospitalization for heart failure. RESULTS: The trial was stopped prematurely, according to prespecified rules, after a median follow-up period of 21 months. The primary outcome occurred in 18.3% of patients in the eplerenone group as compared with 25.9% in the placebo group (hazard ratio, 0.63; 95% confidence interval [CI], 0.54 to 0.74; P&lt;0.001). A total of 12.5% of patients receiving eplerenone and 15.5% of those receiving placebo died (hazard ratio, 0.76; 95% CI, 0.62 to 0.93; P=0.008); 10.8% and 13.5%, respectively, died of cardiovascular causes (hazard ratio, 0.76; 95% CI, 0.61 to 0.94; P=0.01). Hospitalizations for heart failure and for any cause were also reduced with eplerenone. A serum potassium level exceeding 5.5 mmol per liter occurred in 11.8% of patients in the eplerenone group and 7.2% of those in the placebo group (P&lt;0.001). CONCLUSIONS: Eplerenone, as compared with placebo, reduced both the risk of death and the risk of hospitalization among patients with systolic heart failure and mild symptoms.","author":[{"dropping-particle":"","family":"Zannad","given":"Faiez","non-dropping-particle":"","parse-names":false,"suffix":""},{"dropping-particle":"","family":"McMurray","given":"John J.V.","non-dropping-particle":"","parse-names":false,"suffix":""},{"dropping-particle":"","family":"Krum","given":"Henry","non-dropping-particle":"","parse-names":false,"suffix":""},{"dropping-particle":"","family":"Veldhuisen","given":"Dirk J.","non-dropping-particle":"van","parse-names":false,"suffix":""},{"dropping-particle":"","family":"Swedberg","given":"Karl","non-dropping-particle":"","parse-names":false,"suffix":""},{"dropping-particle":"","family":"Shi","given":"Harry","non-dropping-particle":"","parse-names":false,"suffix":""},{"dropping-particle":"","family":"Vincent","given":"John","non-dropping-particle":"","parse-names":false,"suffix":""},{"dropping-particle":"","family":"Pocock","given":"Stuart J.","non-dropping-particle":"","parse-names":false,"suffix":""},{"dropping-particle":"","family":"Pitt","given":"Bertram","non-dropping-particle":"","parse-names":false,"suffix":""}],"container-title":"New England Journal of Medicine","id":"ITEM-3","issue":"1","issued":{"date-parts":[["2011","1","6"]]},"page":"11-21","title":"Eplerenone in Patients with Systolic Heart Failure and Mild Symptoms","type":"article-journal","volume":"364"},"uris":["http://www.mendeley.com/documents/?uuid=1087c1fb-c02f-4b92-826a-f7f5badc9367"]}],"mendeley":{"formattedCitation":"&lt;sup&gt;12–14&lt;/sup&gt;","plainTextFormattedCitation":"12–14","previouslyFormattedCitation":"&lt;sup&gt;12–14&lt;/sup&gt;"},"properties":{"noteIndex":0},"schema":"https://github.com/citation-style-language/schema/raw/master/csl-citation.json"}</w:instrText>
      </w:r>
      <w:r w:rsidR="004F7AEA" w:rsidRPr="0011645D">
        <w:rPr>
          <w:sz w:val="20"/>
          <w:szCs w:val="20"/>
        </w:rPr>
        <w:fldChar w:fldCharType="separate"/>
      </w:r>
      <w:r w:rsidR="004F7AEA" w:rsidRPr="0011645D">
        <w:rPr>
          <w:noProof/>
          <w:sz w:val="20"/>
          <w:szCs w:val="20"/>
          <w:vertAlign w:val="superscript"/>
        </w:rPr>
        <w:t>12–14</w:t>
      </w:r>
      <w:r w:rsidR="004F7AEA" w:rsidRPr="0011645D">
        <w:rPr>
          <w:sz w:val="20"/>
          <w:szCs w:val="20"/>
        </w:rPr>
        <w:fldChar w:fldCharType="end"/>
      </w:r>
      <w:r w:rsidRPr="0011645D">
        <w:rPr>
          <w:sz w:val="20"/>
          <w:szCs w:val="20"/>
        </w:rPr>
        <w:t xml:space="preserve">. Trials </w:t>
      </w:r>
      <w:r w:rsidR="00C82983" w:rsidRPr="0011645D">
        <w:rPr>
          <w:sz w:val="20"/>
          <w:szCs w:val="20"/>
        </w:rPr>
        <w:t>with</w:t>
      </w:r>
      <w:r w:rsidRPr="0011645D">
        <w:rPr>
          <w:sz w:val="20"/>
          <w:szCs w:val="20"/>
        </w:rPr>
        <w:t xml:space="preserve"> lower rates of hyperkalaemia </w:t>
      </w:r>
      <w:r w:rsidR="00C82983" w:rsidRPr="0011645D">
        <w:rPr>
          <w:sz w:val="20"/>
          <w:szCs w:val="20"/>
        </w:rPr>
        <w:t xml:space="preserve">have stricter definition for hyperkalaemia (&gt;6mmol/L) </w:t>
      </w:r>
      <w:r w:rsidRPr="0011645D">
        <w:rPr>
          <w:sz w:val="20"/>
          <w:szCs w:val="20"/>
        </w:rPr>
        <w:t>such as Candesartan in Heart failure Assessment of mortality and Morbidity (CHARM) and Randomized Aldactone Evaluation Study (RALES)</w:t>
      </w:r>
      <w:r w:rsidR="004F7AEA" w:rsidRPr="0011645D">
        <w:rPr>
          <w:sz w:val="20"/>
          <w:szCs w:val="20"/>
        </w:rPr>
        <w:fldChar w:fldCharType="begin" w:fldLock="1"/>
      </w:r>
      <w:r w:rsidR="004F7AEA" w:rsidRPr="0011645D">
        <w:rPr>
          <w:sz w:val="20"/>
          <w:szCs w:val="20"/>
        </w:rPr>
        <w:instrText>ADDIN CSL_CITATION {"citationItems":[{"id":"ITEM-1","itemData":{"DOI":"10.1016/S0140-6736(03)14283-3","ISSN":"01406736","abstract":"BACKGROUND: Angiotensin II type 1 receptor blockers have favourable effects on haemodynamic measurements, neurohumoral activity, and left-ventricular remodelling when added to angiotensin-converting-enzyme (ACE) inhibitors in patients with chronic heart failure (CHF). We aimed to find out whether these drugs improve clinical outcome. METHODS: Between March, 1999, and November, 1999, we enrolled 2548 patients with New York Heart Association functional class II-IV CHF and left-ventricular ejection fraction 40% or lower, and who were being treated with ACE inhibitors. We randomly assigned patients candesartan (n=1276, target dose 32 mg once daily) or placebo (n=1272). At baseline, 55% of patients were also treated with beta blockers and 17% with spironolactone. The primary outcome of the study was the composite of cardiovascular death or hospital admission for CHF. Analysis was done by intention to treat. FINDINGS: The median follow-up was 41 months. 483 (38%) patients in the candesartan group and 538 (42%) in the placebo group experienced the primary outcome (unadjusted hazard ratio 0.85 [95% CI 0.75-0.96], p=0.011; covariate adjusted p=0.010). Candesartan reduced each of the components of the primary outcome significantly, as well as the total number of hospital admissions for CHF. The benefits of candesartan were similar in all predefined subgroups, including patients receiving baseline beta blocker treatment. INTERPRETATION: The addition of candesartan to ACE inhibitor and other treatment leads to a further clinically important reduction in relevant cardiovascular events in patients with CHF and reduced left-ventricular ejection fraction.","author":[{"dropping-particle":"","family":"McMurray","given":"John JV","non-dropping-particle":"","parse-names":false,"suffix":""},{"dropping-particle":"","family":"Östergren","given":"Jan","non-dropping-particle":"","parse-names":false,"suffix":""},{"dropping-particle":"","family":"Swedberg","given":"Karl","non-dropping-particle":"","parse-names":false,"suffix":""},{"dropping-particle":"","family":"Granger","given":"Christopher B","non-dropping-particle":"","parse-names":false,"suffix":""},{"dropping-particle":"","family":"Held","given":"Peter","non-dropping-particle":"","parse-names":false,"suffix":""},{"dropping-particle":"","family":"Michelson","given":"Eric L","non-dropping-particle":"","parse-names":false,"suffix":""},{"dropping-particle":"","family":"Olofsson","given":"Bertil","non-dropping-particle":"","parse-names":false,"suffix":""},{"dropping-particle":"","family":"Yusuf","given":"Salim","non-dropping-particle":"","parse-names":false,"suffix":""},{"dropping-particle":"","family":"Pfeffer","given":"Marc A","non-dropping-particle":"","parse-names":false,"suffix":""}],"container-title":"The Lancet","id":"ITEM-1","issue":"9386","issued":{"date-parts":[["2003","9"]]},"page":"767-771","title":"Effects of candesartan in patients with chronic heart failure and reduced left-ventricular systolic function taking angiotensin-converting-enzyme inhibitors: the CHARM-Added trial","type":"article-journal","volume":"362"},"uris":["http://www.mendeley.com/documents/?uuid=4f2ef614-a958-4879-9419-586a9cfa6dc7"]},{"id":"ITEM-2","itemData":{"DOI":"10.1016/S0140-6736(03)14284-5","ISSN":"01406736","abstract":"BACKGROUND: Angiotensin-converting-enzyme (ACE) inhibitors improve outcome of patients with chronic heart failure (CHF). A substantial proportion of patients, however, experience no benefit from ACE inhibitors because of previous intolerance. We aimed to find out whether candesartan, an angiotensin-receptor blocker, could improve outcome in such patients not taking an ACE inhibitor. METHODS: Between March, 1999, and March, 2001, we enrolled 2028 patients with symptomatic heart failure and left-ventricular ejection fraction 40% or less who were not receiving ACE inhibitors because of previous intolerance. Patients were randomly assigned candesartan (target dose 32 mg once daily) or matching placebo. The primary outcome of the study was the composite of cardiovascular death or hospital admission for CHF. Analysis was by intention to treat. FINDINGS: The most common manifestation of ACE-inhibitor intolerance was cough (72%), followed by symptomatic hypotension (13%) and renal dysfunction (12%). During a median follow-up of 33.7 months, 334 (33%) of 1013 patients in the candesartan group and 406 (40%) of 1015 in the placebo group had cardiovascular death or hospital admission for CHF (unadjusted hazard ratio 0.77 [95% CI 0.67-0.89], p=0.0004; covariate adjusted 0.70 [0.60-0.81], p&lt;0.0001). Each component of the primary outcome was reduced, as was the total number of hospital admissions for CHF. Study-drug discontinuation rates were similar in the candesartan (30%) and placebo (29%) groups. INTERPRETATION: Candesartan was generally well tolerated and reduced cardiovascular mortality and morbidity in patients with symptomatic chronic heart failure and intolerance to ACE inhibitors.","author":[{"dropping-particle":"","family":"Granger","given":"Christopher B","non-dropping-particle":"","parse-names":false,"suffix":""},{"dropping-particle":"","family":"McMurray","given":"John JV","non-dropping-particle":"","parse-names":false,"suffix":""},{"dropping-particle":"","family":"Yusuf","given":"Salim","non-dropping-particle":"","parse-names":false,"suffix":""},{"dropping-particle":"","family":"Held","given":"Peter","non-dropping-particle":"","parse-names":false,"suffix":""},{"dropping-particle":"","family":"Michelson","given":"Eric L","non-dropping-particle":"","parse-names":false,"suffix":""},{"dropping-particle":"","family":"Olofsson","given":"Bertil","non-dropping-particle":"","parse-names":false,"suffix":""},{"dropping-particle":"","family":"Östergren","given":"Jan","non-dropping-particle":"","parse-names":false,"suffix":""},{"dropping-particle":"","family":"Pfeffer","given":"Marc A","non-dropping-particle":"","parse-names":false,"suffix":""},{"dropping-particle":"","family":"Swedberg","given":"Karl","non-dropping-particle":"","parse-names":false,"suffix":""}],"container-title":"The Lancet","id":"ITEM-2","issue":"9386","issued":{"date-parts":[["2003","9"]]},"page":"772-776","title":"Effects of candesartan in patients with chronic heart failure and reduced left-ventricular systolic function intolerant to angiotensin-converting-enzyme inhibitors: the CHARM-Alternative trial","type":"article-journal","volume":"362"},"uris":["http://www.mendeley.com/documents/?uuid=ff0921d8-c66b-48bd-ad4e-8cc4445d92de"]},{"id":"ITEM-3","itemData":{"DOI":"10.1056/NEJM199909023411001","ISSN":"0028-4793","abstract":"BACKGROUND AND METHODS: Aldosterone is important in the pathophysiology of heart failure. In a doubleblind study, we enrolled 1663 patients who had severe heart failure and a left ventricular ejection fraction of no more than 35 percent and who were being treated with an angiotensin-converting-enzyme inhibitor, a loop diuretic, and in most cases digoxin. A total of 822 patients were randomly assigned to receive 25 mg of spironolactone daily, and 841 to receive placebo. The primary end point was death from all causes. RESULTS: The trial was discontinued early, after a mean follow-up period of 24 months, because an interim analysis determined that spironolactone was efficacious. There were 386 deaths in the placebo group (46 percent) and 284 in the spironolactone group (35 percent; relative risk of death, 0.70; 95 percent confidence interval, 0.60 to 0.82; P&lt;0.001). This 30 percent reduction in the risk of death among patients in the spironolactone group was attributed to a lower risk of both death from progressive heart failure and sudden death from cardiac causes. The frequency of hospitalization for worsening heart failure was 35 percent lower in the spironolactone group than in the placebo group (relative risk of hospitalization, 0.65; 95 percent confidence interval, 0.54 to 0.77; P&lt;0.001). In addition, patients who received spironolactone had a significant improvement in the symptoms of heart failure, as assessed on the basis of the New York Heart Association functional class (P&lt;0.001). Gynecomastia or breast pain was reported in 10 percent of men who were treated with spironolactone, as compared with 1 percent of men in the placebo group (P&lt;0.001). The incidence of serious hyperkalemia was minimal in both groups of patients. CONCLUSIONS: Blockade of aldosterone receptors by spironolactone, in addition to standard therapy, substantially reduces the risk of both morbidity and death among patients with severe heart failure.","author":[{"dropping-particle":"","family":"Pitt","given":"Bertram","non-dropping-particle":"","parse-names":false,"suffix":""},{"dropping-particle":"","family":"Zannad","given":"Faiez","non-dropping-particle":"","parse-names":false,"suffix":""},{"dropping-particle":"","family":"Remme","given":"Willem J.","non-dropping-particle":"","parse-names":false,"suffix":""},{"dropping-particle":"","family":"Cody","given":"Robert","non-dropping-particle":"","parse-names":false,"suffix":""},{"dropping-particle":"","family":"Castaigne","given":"Alain","non-dropping-particle":"","parse-names":false,"suffix":""},{"dropping-particle":"","family":"Perez","given":"Alfonso","non-dropping-particle":"","parse-names":false,"suffix":""},{"dropping-particle":"","family":"Palensky","given":"Jolie","non-dropping-particle":"","parse-names":false,"suffix":""},{"dropping-particle":"","family":"Wittes","given":"Janet","non-dropping-particle":"","parse-names":false,"suffix":""}],"container-title":"New England Journal of Medicine","id":"ITEM-3","issue":"10","issued":{"date-parts":[["1999","9","2"]]},"page":"709-717","title":"The Effect of Spironolactone on Morbidity and Mortality in Patients with Severe Heart Failure","type":"article-journal","volume":"341"},"uris":["http://www.mendeley.com/documents/?uuid=b9df7713-1674-48b2-b796-f74d473d2d3f"]}],"mendeley":{"formattedCitation":"&lt;sup&gt;10,11,13&lt;/sup&gt;","plainTextFormattedCitation":"10,11,13","previouslyFormattedCitation":"&lt;sup&gt;10,11,13&lt;/sup&gt;"},"properties":{"noteIndex":0},"schema":"https://github.com/citation-style-language/schema/raw/master/csl-citation.json"}</w:instrText>
      </w:r>
      <w:r w:rsidR="004F7AEA" w:rsidRPr="0011645D">
        <w:rPr>
          <w:sz w:val="20"/>
          <w:szCs w:val="20"/>
        </w:rPr>
        <w:fldChar w:fldCharType="separate"/>
      </w:r>
      <w:r w:rsidR="004F7AEA" w:rsidRPr="0011645D">
        <w:rPr>
          <w:noProof/>
          <w:sz w:val="20"/>
          <w:szCs w:val="20"/>
          <w:vertAlign w:val="superscript"/>
        </w:rPr>
        <w:t>10,11,13</w:t>
      </w:r>
      <w:r w:rsidR="004F7AEA" w:rsidRPr="0011645D">
        <w:rPr>
          <w:sz w:val="20"/>
          <w:szCs w:val="20"/>
        </w:rPr>
        <w:fldChar w:fldCharType="end"/>
      </w:r>
      <w:r w:rsidR="00C82983" w:rsidRPr="0011645D">
        <w:rPr>
          <w:sz w:val="20"/>
          <w:szCs w:val="20"/>
        </w:rPr>
        <w:t xml:space="preserve"> or </w:t>
      </w:r>
      <w:r w:rsidRPr="0011645D">
        <w:rPr>
          <w:sz w:val="20"/>
          <w:szCs w:val="20"/>
        </w:rPr>
        <w:t>lower proportion of patients with CKD (33-48%)</w:t>
      </w:r>
      <w:r w:rsidR="004F7AEA" w:rsidRPr="0011645D">
        <w:rPr>
          <w:sz w:val="20"/>
          <w:szCs w:val="20"/>
        </w:rPr>
        <w:fldChar w:fldCharType="begin" w:fldLock="1"/>
      </w:r>
      <w:r w:rsidR="004F7AEA" w:rsidRPr="0011645D">
        <w:rPr>
          <w:sz w:val="20"/>
          <w:szCs w:val="20"/>
        </w:rPr>
        <w:instrText>ADDIN CSL_CITATION {"citationItems":[{"id":"ITEM-1","itemData":{"DOI":"10.1016/j.jacc.2013.11.031","ISSN":"15583597","abstract":"Chronic kidney disease (CKD) is increasingly prevalent in patients with chronic systolic heart failure. Therefore, evidence-based therapies are more and more being used in patients with some degree of renal dysfunction. However, most pivotal randomized clinical trials specifically excluded patients with (severe) renal dysfunction. The benefit of these evidence-based therapies in this high-risk patient group is largely unknown. This paper reviews data from randomized clinical trials in systolic heart failure and the interactions between baseline renal dysfunction and the effect of randomized treatment. It highlights that most evidence-based therapies show consistent outcome benefit in patients with moderate renal insufficiency (stage 3 CKD), whereas there are very scarce data on patients with severe (stage 4 to 5 CKD) renal insufficiency. If any, the outcome benefit might be even greater in stage 3 CKD compared with those with relatively preserved renal function. However, prescription of therapies should be individualized with consideration of possible harm and benefit, especially in those with stage 4 to 5 CKD where limited data are available.","author":[{"dropping-particle":"","family":"Damman","given":"Kevin","non-dropping-particle":"","parse-names":false,"suffix":""},{"dropping-particle":"","family":"Tang","given":"W. H.Wilson","non-dropping-particle":"","parse-names":false,"suffix":""},{"dropping-particle":"","family":"Felker","given":"G. Michael","non-dropping-particle":"","parse-names":false,"suffix":""},{"dropping-particle":"","family":"Lassus","given":"Johan","non-dropping-particle":"","parse-names":false,"suffix":""},{"dropping-particle":"","family":"Zannad","given":"Faiez","non-dropping-particle":"","parse-names":false,"suffix":""},{"dropping-particle":"","family":"Krum","given":"Henry","non-dropping-particle":"","parse-names":false,"suffix":""},{"dropping-particle":"","family":"McMurray","given":"John J.V.","non-dropping-particle":"","parse-names":false,"suffix":""}],"container-title":"Journal of the American College of Cardiology","id":"ITEM-1","issue":"9","issued":{"date-parts":[["2014"]]},"page":"853-871","title":"Current evidence on treatment of patients with chronic systolic heart failure and renal insufficiency: Practical considerations from published data","type":"article","volume":"63"},"uris":["http://www.mendeley.com/documents/?uuid=26baafd6-1e41-49f4-b786-7cc262dbfdd3"]}],"mendeley":{"formattedCitation":"&lt;sup&gt;1&lt;/sup&gt;","plainTextFormattedCitation":"1","previouslyFormattedCitation":"&lt;sup&gt;1&lt;/sup&gt;"},"properties":{"noteIndex":0},"schema":"https://github.com/citation-style-language/schema/raw/master/csl-citation.json"}</w:instrText>
      </w:r>
      <w:r w:rsidR="004F7AEA" w:rsidRPr="0011645D">
        <w:rPr>
          <w:sz w:val="20"/>
          <w:szCs w:val="20"/>
        </w:rPr>
        <w:fldChar w:fldCharType="separate"/>
      </w:r>
      <w:r w:rsidR="004F7AEA" w:rsidRPr="0011645D">
        <w:rPr>
          <w:noProof/>
          <w:sz w:val="20"/>
          <w:szCs w:val="20"/>
          <w:vertAlign w:val="superscript"/>
        </w:rPr>
        <w:t>1</w:t>
      </w:r>
      <w:r w:rsidR="004F7AEA" w:rsidRPr="0011645D">
        <w:rPr>
          <w:sz w:val="20"/>
          <w:szCs w:val="20"/>
        </w:rPr>
        <w:fldChar w:fldCharType="end"/>
      </w:r>
      <w:r w:rsidRPr="0011645D">
        <w:rPr>
          <w:sz w:val="20"/>
          <w:szCs w:val="20"/>
        </w:rPr>
        <w:t xml:space="preserve"> compared to our patient group (100%). </w:t>
      </w:r>
    </w:p>
    <w:p w14:paraId="1D132AC8" w14:textId="36FE78C9" w:rsidR="00B41760" w:rsidRPr="0011645D" w:rsidRDefault="00B41760" w:rsidP="00B41760">
      <w:pPr>
        <w:jc w:val="both"/>
        <w:rPr>
          <w:sz w:val="20"/>
          <w:szCs w:val="20"/>
        </w:rPr>
      </w:pPr>
      <w:r w:rsidRPr="0011645D">
        <w:rPr>
          <w:sz w:val="20"/>
          <w:szCs w:val="20"/>
        </w:rPr>
        <w:t xml:space="preserve">As the analysis looks at only two time points, this study is unable to capture the complexity of patient management and medication trials through the length of follow-up. As the result, worsening renal failure or hyperkalaemia happening in between these two end-points can still be reason behind failure of initiation or dose titration. </w:t>
      </w:r>
    </w:p>
    <w:p w14:paraId="035D00F1" w14:textId="612BB642" w:rsidR="00B41760" w:rsidRPr="0011645D" w:rsidRDefault="005B48FE" w:rsidP="00276671">
      <w:pPr>
        <w:jc w:val="both"/>
        <w:rPr>
          <w:sz w:val="20"/>
          <w:szCs w:val="20"/>
        </w:rPr>
      </w:pPr>
      <w:r w:rsidRPr="0011645D">
        <w:rPr>
          <w:sz w:val="20"/>
          <w:szCs w:val="20"/>
        </w:rPr>
        <w:t>T</w:t>
      </w:r>
      <w:r w:rsidR="00276671" w:rsidRPr="0011645D">
        <w:rPr>
          <w:sz w:val="20"/>
          <w:szCs w:val="20"/>
        </w:rPr>
        <w:t xml:space="preserve">here is </w:t>
      </w:r>
      <w:r w:rsidRPr="0011645D">
        <w:rPr>
          <w:sz w:val="20"/>
          <w:szCs w:val="20"/>
        </w:rPr>
        <w:t xml:space="preserve">currently </w:t>
      </w:r>
      <w:r w:rsidR="00276671" w:rsidRPr="0011645D">
        <w:rPr>
          <w:sz w:val="20"/>
          <w:szCs w:val="20"/>
        </w:rPr>
        <w:t xml:space="preserve">limited </w:t>
      </w:r>
      <w:r w:rsidRPr="0011645D">
        <w:rPr>
          <w:sz w:val="20"/>
          <w:szCs w:val="20"/>
        </w:rPr>
        <w:t xml:space="preserve">research into </w:t>
      </w:r>
      <w:r w:rsidR="00B41760" w:rsidRPr="0011645D">
        <w:rPr>
          <w:sz w:val="20"/>
          <w:szCs w:val="20"/>
        </w:rPr>
        <w:t xml:space="preserve">prognosis of CKD-HF patients according to HF groups. Two </w:t>
      </w:r>
      <w:r w:rsidRPr="0011645D">
        <w:rPr>
          <w:sz w:val="20"/>
          <w:szCs w:val="20"/>
        </w:rPr>
        <w:t xml:space="preserve">of such </w:t>
      </w:r>
      <w:r w:rsidR="00B41760" w:rsidRPr="0011645D">
        <w:rPr>
          <w:sz w:val="20"/>
          <w:szCs w:val="20"/>
        </w:rPr>
        <w:t xml:space="preserve">studies have reported different outcomes: a study by </w:t>
      </w:r>
      <w:proofErr w:type="spellStart"/>
      <w:r w:rsidR="00B41760" w:rsidRPr="0011645D">
        <w:rPr>
          <w:sz w:val="20"/>
          <w:szCs w:val="20"/>
        </w:rPr>
        <w:t>Lofman</w:t>
      </w:r>
      <w:proofErr w:type="spellEnd"/>
      <w:r w:rsidR="00B41760" w:rsidRPr="0011645D">
        <w:rPr>
          <w:sz w:val="20"/>
          <w:szCs w:val="20"/>
        </w:rPr>
        <w:t xml:space="preserve"> et al. found similar one-year mortality rates in all HF groups</w:t>
      </w:r>
      <w:r w:rsidR="006D65F4" w:rsidRPr="0011645D">
        <w:rPr>
          <w:sz w:val="20"/>
          <w:szCs w:val="20"/>
        </w:rPr>
        <w:fldChar w:fldCharType="begin" w:fldLock="1"/>
      </w:r>
      <w:r w:rsidR="00C45D61" w:rsidRPr="0011645D">
        <w:rPr>
          <w:sz w:val="20"/>
          <w:szCs w:val="20"/>
        </w:rPr>
        <w:instrText>ADDIN CSL_CITATION {"citationItems":[{"id":"ITEM-1","itemData":{"DOI":"10.1136/openhrt-2015-000324","author":[{"dropping-particle":"","family":"Löfman","given":"Ida","non-dropping-particle":"","parse-names":false,"suffix":""},{"dropping-particle":"","family":"Szummer","given":"Karolina","non-dropping-particle":"","parse-names":false,"suffix":""},{"dropping-particle":"","family":"Hagerman","given":"Inger","non-dropping-particle":"","parse-names":false,"suffix":""},{"dropping-particle":"","family":"Dahlström","given":"Ulf","non-dropping-particle":"","parse-names":false,"suffix":""},{"dropping-particle":"","family":"Lund","given":"Lars H","non-dropping-particle":"","parse-names":false,"suffix":""},{"dropping-particle":"","family":"Jernberg","given":"Tomas","non-dropping-particle":"","parse-names":false,"suffix":""}],"id":"ITEM-1","issued":{"date-parts":[["2016"]]},"title":"Prevalence and prognostic impact of kidney disease on heart failure patients","type":"article-journal"},"uris":["http://www.mendeley.com/documents/?uuid=cdc94505-7869-42c9-9851-93a40eafe8ed"]}],"mendeley":{"formattedCitation":"&lt;sup&gt;15&lt;/sup&gt;","plainTextFormattedCitation":"15","previouslyFormattedCitation":"&lt;sup&gt;18&lt;/sup&gt;"},"properties":{"noteIndex":0},"schema":"https://github.com/citation-style-language/schema/raw/master/csl-citation.json"}</w:instrText>
      </w:r>
      <w:r w:rsidR="006D65F4" w:rsidRPr="0011645D">
        <w:rPr>
          <w:sz w:val="20"/>
          <w:szCs w:val="20"/>
        </w:rPr>
        <w:fldChar w:fldCharType="separate"/>
      </w:r>
      <w:r w:rsidR="00C45D61" w:rsidRPr="0011645D">
        <w:rPr>
          <w:noProof/>
          <w:sz w:val="20"/>
          <w:szCs w:val="20"/>
          <w:vertAlign w:val="superscript"/>
        </w:rPr>
        <w:t>15</w:t>
      </w:r>
      <w:r w:rsidR="006D65F4" w:rsidRPr="0011645D">
        <w:rPr>
          <w:sz w:val="20"/>
          <w:szCs w:val="20"/>
        </w:rPr>
        <w:fldChar w:fldCharType="end"/>
      </w:r>
      <w:r w:rsidR="00B41760" w:rsidRPr="0011645D">
        <w:rPr>
          <w:sz w:val="20"/>
          <w:szCs w:val="20"/>
        </w:rPr>
        <w:t xml:space="preserve"> while in Ahmed et al., CKD patients with systolic HF seem to do worse than those with diastolic HF</w:t>
      </w:r>
      <w:r w:rsidR="00276671" w:rsidRPr="0011645D">
        <w:rPr>
          <w:sz w:val="20"/>
          <w:szCs w:val="20"/>
        </w:rPr>
        <w:fldChar w:fldCharType="begin" w:fldLock="1"/>
      </w:r>
      <w:r w:rsidR="00C45D61" w:rsidRPr="0011645D">
        <w:rPr>
          <w:sz w:val="20"/>
          <w:szCs w:val="20"/>
        </w:rPr>
        <w:instrText>ADDIN CSL_CITATION {"citationItems":[{"id":"ITEM-1","itemData":{"DOI":"10.1016/j.amjcard.2006.08.042","ISSN":"00029149","abstract":"Chronic kidney disease (CKD) is common and is associated with increased mortality in heart failure (HF). However, it is unknown whether the effect of CKD on mortality varies by left ventricular ejection fraction (LVEF). We evaluated the effect of CKD on mortality in patients with systolic (LVEF &lt;or=45%) and diastolic (LVEF &gt;45%) HF. Of the 7,788 patients in the Digitalis Investigation Group trial, 3,527 (45%) had CKD (estimated glomerular filtration rate &lt;60 ml/min/1.73 m2). We calculated the propensity score for CKD for each patient, using a multivariate logistic regression model (c statistic 0.76, postmatch absolute standardized differences &lt;5% for all 32 co-variates). We matched 2,399 pairs of patients with and without CKD with similar propensity scores. There were 757 (rate 1,049/10,000 person-years) and 882 (rate 1,282/10,000 person-years) deaths, respectively, in patients without and with CKD (hazard ratio 1.22, 95% confidence interval 1.09 to 1.36, p &lt;0.0001). CKD-associated mortality was higher in those with diastolic HF (371 extra deaths/10,000 person-years, hazard ratio 1.71, 95% confidence interval 1.21 to 2.41, p = 0.002) than in systolic HF (214 extra deaths/10,000 person-years, hazard ratio 1.19, 95% confidence interval 1.07 to 1.32, p = 0.001), which was significant (adjusted p for interaction = 0.034). A graded association was found between CKD-related deaths and LVEF. The hazard ratios for CKD-associated mortality for the LVEF subgroups of &lt;35%, 35% to 55%, and &gt;55% were 1.15 (95% confidence interval 1.02 to 1.29), 1.35 (95% confidence interval 1.11 to 1.64), and 2.33 (95% confidence interval 1.34 to 4.06). In conclusion, CKD-associated mortality was higher in those with diastolic than systolic HF. Patients with diastolic HF should be evaluated for CKD, and the role of inhibitors of the renin-angiotensin system in these patients needs to be investigated.","author":[{"dropping-particle":"","family":"Ahmed","given":"Ali","non-dropping-particle":"","parse-names":false,"suffix":""},{"dropping-particle":"","family":"Rich","given":"Michael W.","non-dropping-particle":"","parse-names":false,"suffix":""},{"dropping-particle":"","family":"Sanders","given":"Paul W.","non-dropping-particle":"","parse-names":false,"suffix":""},{"dropping-particle":"","family":"Perry","given":"Gilbert J.","non-dropping-particle":"","parse-names":false,"suffix":""},{"dropping-particle":"","family":"Bakris","given":"George L.","non-dropping-particle":"","parse-names":false,"suffix":""},{"dropping-particle":"","family":"Zile","given":"Michael R.","non-dropping-particle":"","parse-names":false,"suffix":""},{"dropping-particle":"","family":"Love","given":"Thomas E.","non-dropping-particle":"","parse-names":false,"suffix":""},{"dropping-particle":"","family":"Aban","given":"Inmaculada B.","non-dropping-particle":"","parse-names":false,"suffix":""},{"dropping-particle":"","family":"Shlipak","given":"Michael G.","non-dropping-particle":"","parse-names":false,"suffix":""}],"container-title":"The American Journal of Cardiology","id":"ITEM-1","issue":"3","issued":{"date-parts":[["2007","2"]]},"page":"393-398","title":"Chronic Kidney Disease Associated Mortality in Diastolic Versus Systolic Heart Failure: A Propensity Matched Study††The Digitalis Investigation Group study was conducted and supported by the National Heart, Lung, and Blood Institute in collaboration with","type":"article-journal","volume":"99"},"uris":["http://www.mendeley.com/documents/?uuid=2cbade4f-3659-412b-8fca-66c1b790847a"]}],"mendeley":{"formattedCitation":"&lt;sup&gt;16&lt;/sup&gt;","plainTextFormattedCitation":"16","previouslyFormattedCitation":"&lt;sup&gt;19&lt;/sup&gt;"},"properties":{"noteIndex":0},"schema":"https://github.com/citation-style-language/schema/raw/master/csl-citation.json"}</w:instrText>
      </w:r>
      <w:r w:rsidR="00276671" w:rsidRPr="0011645D">
        <w:rPr>
          <w:sz w:val="20"/>
          <w:szCs w:val="20"/>
        </w:rPr>
        <w:fldChar w:fldCharType="separate"/>
      </w:r>
      <w:r w:rsidR="00C45D61" w:rsidRPr="0011645D">
        <w:rPr>
          <w:noProof/>
          <w:sz w:val="20"/>
          <w:szCs w:val="20"/>
          <w:vertAlign w:val="superscript"/>
        </w:rPr>
        <w:t>16</w:t>
      </w:r>
      <w:r w:rsidR="00276671" w:rsidRPr="0011645D">
        <w:rPr>
          <w:sz w:val="20"/>
          <w:szCs w:val="20"/>
        </w:rPr>
        <w:fldChar w:fldCharType="end"/>
      </w:r>
      <w:r w:rsidR="00B41760" w:rsidRPr="0011645D">
        <w:rPr>
          <w:sz w:val="20"/>
          <w:szCs w:val="20"/>
        </w:rPr>
        <w:t>.</w:t>
      </w:r>
      <w:r w:rsidRPr="0011645D">
        <w:rPr>
          <w:sz w:val="20"/>
          <w:szCs w:val="20"/>
        </w:rPr>
        <w:t xml:space="preserve"> Patients with </w:t>
      </w:r>
      <w:proofErr w:type="spellStart"/>
      <w:r w:rsidRPr="0011645D">
        <w:rPr>
          <w:sz w:val="20"/>
          <w:szCs w:val="20"/>
        </w:rPr>
        <w:t>HFrEF</w:t>
      </w:r>
      <w:proofErr w:type="spellEnd"/>
      <w:r w:rsidRPr="0011645D">
        <w:rPr>
          <w:sz w:val="20"/>
          <w:szCs w:val="20"/>
        </w:rPr>
        <w:t xml:space="preserve"> in our study suffered the worst outcomes with significantly higher rates of hospital admissions and death. To further assess the effectiveness of this novel clinic, it would be beneficial to conduct a prospective study to compare outcomes of our patient population to a matched cohort being followed</w:t>
      </w:r>
      <w:r w:rsidR="00E64D70" w:rsidRPr="0011645D">
        <w:rPr>
          <w:sz w:val="20"/>
          <w:szCs w:val="20"/>
        </w:rPr>
        <w:t>-</w:t>
      </w:r>
      <w:r w:rsidRPr="0011645D">
        <w:rPr>
          <w:sz w:val="20"/>
          <w:szCs w:val="20"/>
        </w:rPr>
        <w:t>up in general nephrology and heart failure clinic.</w:t>
      </w:r>
    </w:p>
    <w:p w14:paraId="65085242" w14:textId="38C39663" w:rsidR="00F626B9" w:rsidRPr="0011645D" w:rsidRDefault="00F626B9" w:rsidP="00276671">
      <w:pPr>
        <w:jc w:val="both"/>
        <w:rPr>
          <w:sz w:val="20"/>
          <w:szCs w:val="20"/>
        </w:rPr>
      </w:pPr>
      <w:r w:rsidRPr="0011645D">
        <w:rPr>
          <w:sz w:val="20"/>
          <w:szCs w:val="20"/>
        </w:rPr>
        <w:t xml:space="preserve">The fact that patients attending this clinic benefit from </w:t>
      </w:r>
      <w:r w:rsidR="00FB4C14" w:rsidRPr="0011645D">
        <w:rPr>
          <w:sz w:val="20"/>
          <w:szCs w:val="20"/>
        </w:rPr>
        <w:t xml:space="preserve">anaemia nurse specialist </w:t>
      </w:r>
      <w:r w:rsidRPr="0011645D">
        <w:rPr>
          <w:sz w:val="20"/>
          <w:szCs w:val="20"/>
        </w:rPr>
        <w:t xml:space="preserve">input and same-day </w:t>
      </w:r>
      <w:r w:rsidR="00FB4C14" w:rsidRPr="0011645D">
        <w:rPr>
          <w:sz w:val="20"/>
          <w:szCs w:val="20"/>
        </w:rPr>
        <w:t>intravenous</w:t>
      </w:r>
      <w:r w:rsidRPr="0011645D">
        <w:rPr>
          <w:sz w:val="20"/>
          <w:szCs w:val="20"/>
        </w:rPr>
        <w:t xml:space="preserve"> Iron administration also means more efficient use of healthcare resource, minimisation of patients’ waiting time, transport time and expense.</w:t>
      </w:r>
    </w:p>
    <w:p w14:paraId="21F9DF91" w14:textId="1C081D05" w:rsidR="00B41760" w:rsidRPr="0011645D" w:rsidRDefault="00B41760" w:rsidP="00B41760">
      <w:pPr>
        <w:pStyle w:val="Heading1"/>
        <w:jc w:val="both"/>
        <w:rPr>
          <w:b/>
          <w:color w:val="auto"/>
          <w:sz w:val="20"/>
          <w:szCs w:val="20"/>
        </w:rPr>
      </w:pPr>
      <w:r w:rsidRPr="0011645D">
        <w:rPr>
          <w:b/>
          <w:color w:val="auto"/>
          <w:sz w:val="20"/>
          <w:szCs w:val="20"/>
        </w:rPr>
        <w:lastRenderedPageBreak/>
        <w:t>Conclusion</w:t>
      </w:r>
      <w:r w:rsidR="005954AC" w:rsidRPr="0011645D">
        <w:rPr>
          <w:b/>
          <w:color w:val="auto"/>
          <w:sz w:val="20"/>
          <w:szCs w:val="20"/>
        </w:rPr>
        <w:t>s</w:t>
      </w:r>
      <w:r w:rsidRPr="0011645D">
        <w:rPr>
          <w:b/>
          <w:color w:val="auto"/>
          <w:sz w:val="20"/>
          <w:szCs w:val="20"/>
        </w:rPr>
        <w:t xml:space="preserve"> </w:t>
      </w:r>
    </w:p>
    <w:p w14:paraId="0A027221" w14:textId="15DD2105" w:rsidR="00B41760" w:rsidRPr="0011645D" w:rsidRDefault="00B41760" w:rsidP="00B41760">
      <w:pPr>
        <w:jc w:val="both"/>
        <w:rPr>
          <w:sz w:val="20"/>
          <w:szCs w:val="20"/>
        </w:rPr>
      </w:pPr>
      <w:r w:rsidRPr="0011645D">
        <w:rPr>
          <w:sz w:val="20"/>
          <w:szCs w:val="20"/>
        </w:rPr>
        <w:t xml:space="preserve">This </w:t>
      </w:r>
      <w:r w:rsidR="00C45D61" w:rsidRPr="0011645D">
        <w:rPr>
          <w:sz w:val="20"/>
          <w:szCs w:val="20"/>
        </w:rPr>
        <w:t>is an initial report on</w:t>
      </w:r>
      <w:r w:rsidRPr="0011645D">
        <w:rPr>
          <w:sz w:val="20"/>
          <w:szCs w:val="20"/>
        </w:rPr>
        <w:t xml:space="preserve"> a novel inter-disciplinary Kidney Failure and Heart Failure clinic</w:t>
      </w:r>
      <w:r w:rsidR="00C45D61" w:rsidRPr="0011645D">
        <w:rPr>
          <w:sz w:val="20"/>
          <w:szCs w:val="20"/>
        </w:rPr>
        <w:t>,</w:t>
      </w:r>
      <w:r w:rsidRPr="0011645D">
        <w:rPr>
          <w:sz w:val="20"/>
          <w:szCs w:val="20"/>
        </w:rPr>
        <w:t xml:space="preserve"> which</w:t>
      </w:r>
      <w:r w:rsidR="00C45D61" w:rsidRPr="0011645D">
        <w:rPr>
          <w:sz w:val="20"/>
          <w:szCs w:val="20"/>
        </w:rPr>
        <w:t xml:space="preserve"> had</w:t>
      </w:r>
      <w:r w:rsidRPr="0011645D">
        <w:rPr>
          <w:sz w:val="20"/>
          <w:szCs w:val="20"/>
        </w:rPr>
        <w:t xml:space="preserve"> improved prescription of </w:t>
      </w:r>
      <w:proofErr w:type="spellStart"/>
      <w:r w:rsidRPr="0011645D">
        <w:rPr>
          <w:sz w:val="20"/>
          <w:szCs w:val="20"/>
        </w:rPr>
        <w:t>RAASi</w:t>
      </w:r>
      <w:proofErr w:type="spellEnd"/>
      <w:r w:rsidRPr="0011645D">
        <w:rPr>
          <w:sz w:val="20"/>
          <w:szCs w:val="20"/>
        </w:rPr>
        <w:t xml:space="preserve"> agents and MRA dosages in a cohort of patients with CKD and HF, without</w:t>
      </w:r>
      <w:r w:rsidR="00C45D61" w:rsidRPr="0011645D">
        <w:rPr>
          <w:sz w:val="20"/>
          <w:szCs w:val="20"/>
        </w:rPr>
        <w:t xml:space="preserve"> resulting</w:t>
      </w:r>
      <w:r w:rsidRPr="0011645D">
        <w:rPr>
          <w:sz w:val="20"/>
          <w:szCs w:val="20"/>
        </w:rPr>
        <w:t xml:space="preserve"> clinically significant biochemical abnormalit</w:t>
      </w:r>
      <w:r w:rsidR="00C45D61" w:rsidRPr="0011645D">
        <w:rPr>
          <w:sz w:val="20"/>
          <w:szCs w:val="20"/>
        </w:rPr>
        <w:t>ies</w:t>
      </w:r>
      <w:r w:rsidRPr="0011645D">
        <w:rPr>
          <w:sz w:val="20"/>
          <w:szCs w:val="20"/>
        </w:rPr>
        <w:t>. The effectiveness of such</w:t>
      </w:r>
      <w:r w:rsidR="00C45D61" w:rsidRPr="0011645D">
        <w:rPr>
          <w:sz w:val="20"/>
          <w:szCs w:val="20"/>
        </w:rPr>
        <w:t xml:space="preserve"> clinic</w:t>
      </w:r>
      <w:r w:rsidRPr="0011645D">
        <w:rPr>
          <w:sz w:val="20"/>
          <w:szCs w:val="20"/>
        </w:rPr>
        <w:t xml:space="preserve"> </w:t>
      </w:r>
      <w:r w:rsidR="00C45D61" w:rsidRPr="0011645D">
        <w:rPr>
          <w:sz w:val="20"/>
          <w:szCs w:val="20"/>
        </w:rPr>
        <w:t>can be further</w:t>
      </w:r>
      <w:r w:rsidRPr="0011645D">
        <w:rPr>
          <w:sz w:val="20"/>
          <w:szCs w:val="20"/>
        </w:rPr>
        <w:t xml:space="preserve"> assessed using a prospective study monitoring medication titration steps, related adverse events, patients’ satisfaction as well as outcomes including quality of life, hospitalisation and mortality rate.</w:t>
      </w:r>
    </w:p>
    <w:p w14:paraId="6FE618F8" w14:textId="77777777" w:rsidR="008F5CF8" w:rsidRPr="0011645D" w:rsidRDefault="008F5CF8" w:rsidP="008F5CF8">
      <w:pPr>
        <w:pStyle w:val="Heading1"/>
        <w:jc w:val="both"/>
        <w:rPr>
          <w:color w:val="auto"/>
          <w:sz w:val="20"/>
          <w:szCs w:val="20"/>
        </w:rPr>
      </w:pPr>
      <w:r w:rsidRPr="0011645D">
        <w:rPr>
          <w:b/>
          <w:color w:val="auto"/>
          <w:sz w:val="20"/>
          <w:szCs w:val="20"/>
        </w:rPr>
        <w:t>Disclosure</w:t>
      </w:r>
    </w:p>
    <w:p w14:paraId="5A95D10F" w14:textId="77777777" w:rsidR="008F5CF8" w:rsidRPr="0011645D" w:rsidRDefault="008F5CF8" w:rsidP="008F5CF8">
      <w:pPr>
        <w:jc w:val="both"/>
        <w:rPr>
          <w:sz w:val="20"/>
          <w:szCs w:val="20"/>
        </w:rPr>
      </w:pPr>
      <w:r w:rsidRPr="0011645D">
        <w:rPr>
          <w:sz w:val="20"/>
          <w:szCs w:val="20"/>
        </w:rPr>
        <w:t xml:space="preserve">DB has received Grants from British Heart Foundation PG 10/71/28462 and partially funded for this work by Welcome ISSF; DB has received Honoraria from Pfizer, </w:t>
      </w:r>
      <w:proofErr w:type="spellStart"/>
      <w:r w:rsidRPr="0011645D">
        <w:rPr>
          <w:sz w:val="20"/>
          <w:szCs w:val="20"/>
        </w:rPr>
        <w:t>ViforPharma</w:t>
      </w:r>
      <w:proofErr w:type="spellEnd"/>
      <w:r w:rsidRPr="0011645D">
        <w:rPr>
          <w:sz w:val="20"/>
          <w:szCs w:val="20"/>
        </w:rPr>
        <w:t xml:space="preserve"> and AstraZeneca</w:t>
      </w:r>
    </w:p>
    <w:p w14:paraId="5363DB6A" w14:textId="4FB1299A" w:rsidR="008F5CF8" w:rsidRPr="0011645D" w:rsidRDefault="008F5CF8" w:rsidP="008F5CF8">
      <w:pPr>
        <w:jc w:val="both"/>
        <w:rPr>
          <w:sz w:val="20"/>
          <w:szCs w:val="20"/>
        </w:rPr>
      </w:pPr>
      <w:r w:rsidRPr="0011645D">
        <w:rPr>
          <w:sz w:val="20"/>
          <w:szCs w:val="20"/>
        </w:rPr>
        <w:t>MN was partially funded by George’s Academic Training (GAT)</w:t>
      </w:r>
    </w:p>
    <w:p w14:paraId="1AE11529" w14:textId="0D49B23E" w:rsidR="00B41760" w:rsidRPr="0011645D" w:rsidRDefault="008F5CF8" w:rsidP="008F5CF8">
      <w:pPr>
        <w:pStyle w:val="Heading1"/>
        <w:jc w:val="both"/>
        <w:rPr>
          <w:color w:val="auto"/>
          <w:sz w:val="20"/>
          <w:szCs w:val="20"/>
        </w:rPr>
      </w:pPr>
      <w:r w:rsidRPr="0011645D">
        <w:rPr>
          <w:b/>
          <w:color w:val="auto"/>
          <w:sz w:val="20"/>
          <w:szCs w:val="20"/>
        </w:rPr>
        <w:t>Acknowledgements</w:t>
      </w:r>
      <w:r w:rsidRPr="0011645D">
        <w:rPr>
          <w:rFonts w:asciiTheme="minorHAnsi" w:eastAsiaTheme="minorHAnsi" w:hAnsiTheme="minorHAnsi" w:cstheme="minorBidi"/>
          <w:color w:val="auto"/>
          <w:sz w:val="20"/>
          <w:szCs w:val="20"/>
        </w:rPr>
        <w:t>: Emma Bradshaw</w:t>
      </w:r>
    </w:p>
    <w:bookmarkEnd w:id="5"/>
    <w:p w14:paraId="47F59013" w14:textId="77777777" w:rsidR="00B41760" w:rsidRPr="0011645D" w:rsidRDefault="00B41760" w:rsidP="00B41760">
      <w:pPr>
        <w:pStyle w:val="Heading1"/>
        <w:jc w:val="both"/>
        <w:rPr>
          <w:b/>
          <w:color w:val="auto"/>
          <w:sz w:val="20"/>
          <w:szCs w:val="20"/>
        </w:rPr>
      </w:pPr>
      <w:r w:rsidRPr="0011645D">
        <w:rPr>
          <w:b/>
          <w:color w:val="auto"/>
          <w:sz w:val="20"/>
          <w:szCs w:val="20"/>
        </w:rPr>
        <w:t>References</w:t>
      </w:r>
    </w:p>
    <w:p w14:paraId="14DCB1B7" w14:textId="4E0D72B9"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sz w:val="20"/>
          <w:szCs w:val="20"/>
        </w:rPr>
        <w:fldChar w:fldCharType="begin" w:fldLock="1"/>
      </w:r>
      <w:r w:rsidRPr="0011645D">
        <w:rPr>
          <w:sz w:val="20"/>
          <w:szCs w:val="20"/>
        </w:rPr>
        <w:instrText xml:space="preserve">ADDIN Mendeley Bibliography CSL_BIBLIOGRAPHY </w:instrText>
      </w:r>
      <w:r w:rsidRPr="0011645D">
        <w:rPr>
          <w:sz w:val="20"/>
          <w:szCs w:val="20"/>
        </w:rPr>
        <w:fldChar w:fldCharType="separate"/>
      </w:r>
      <w:r w:rsidRPr="0011645D">
        <w:rPr>
          <w:rFonts w:ascii="Calibri" w:hAnsi="Calibri" w:cs="Calibri"/>
          <w:noProof/>
          <w:sz w:val="20"/>
          <w:szCs w:val="20"/>
        </w:rPr>
        <w:t>1.</w:t>
      </w:r>
      <w:r w:rsidRPr="0011645D">
        <w:rPr>
          <w:rFonts w:ascii="Calibri" w:hAnsi="Calibri" w:cs="Calibri"/>
          <w:noProof/>
          <w:sz w:val="20"/>
          <w:szCs w:val="20"/>
        </w:rPr>
        <w:tab/>
        <w:t xml:space="preserve">Damman, K. </w:t>
      </w:r>
      <w:r w:rsidRPr="0011645D">
        <w:rPr>
          <w:rFonts w:ascii="Calibri" w:hAnsi="Calibri" w:cs="Calibri"/>
          <w:i/>
          <w:iCs/>
          <w:noProof/>
          <w:sz w:val="20"/>
          <w:szCs w:val="20"/>
        </w:rPr>
        <w:t>et al.</w:t>
      </w:r>
      <w:r w:rsidRPr="0011645D">
        <w:rPr>
          <w:rFonts w:ascii="Calibri" w:hAnsi="Calibri" w:cs="Calibri"/>
          <w:noProof/>
          <w:sz w:val="20"/>
          <w:szCs w:val="20"/>
        </w:rPr>
        <w:t xml:space="preserve"> Current evidence on treatment of patients with chronic systolic heart failure and renal insufficiency: Practical considerations from published data. </w:t>
      </w:r>
      <w:r w:rsidRPr="0011645D">
        <w:rPr>
          <w:rFonts w:ascii="Calibri" w:hAnsi="Calibri" w:cs="Calibri"/>
          <w:i/>
          <w:iCs/>
          <w:noProof/>
          <w:sz w:val="20"/>
          <w:szCs w:val="20"/>
        </w:rPr>
        <w:t>Journal of the American College of Cardiology</w:t>
      </w:r>
      <w:r w:rsidRPr="0011645D">
        <w:rPr>
          <w:rFonts w:ascii="Calibri" w:hAnsi="Calibri" w:cs="Calibri"/>
          <w:noProof/>
          <w:sz w:val="20"/>
          <w:szCs w:val="20"/>
        </w:rPr>
        <w:t xml:space="preserve"> </w:t>
      </w:r>
      <w:r w:rsidRPr="0011645D">
        <w:rPr>
          <w:rFonts w:ascii="Calibri" w:hAnsi="Calibri" w:cs="Calibri"/>
          <w:b/>
          <w:bCs/>
          <w:noProof/>
          <w:sz w:val="20"/>
          <w:szCs w:val="20"/>
        </w:rPr>
        <w:t>63</w:t>
      </w:r>
      <w:r w:rsidRPr="0011645D">
        <w:rPr>
          <w:rFonts w:ascii="Calibri" w:hAnsi="Calibri" w:cs="Calibri"/>
          <w:noProof/>
          <w:sz w:val="20"/>
          <w:szCs w:val="20"/>
        </w:rPr>
        <w:t>, 853–871 (2014).</w:t>
      </w:r>
    </w:p>
    <w:p w14:paraId="719A78B8"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2.</w:t>
      </w:r>
      <w:r w:rsidRPr="0011645D">
        <w:rPr>
          <w:rFonts w:ascii="Calibri" w:hAnsi="Calibri" w:cs="Calibri"/>
          <w:noProof/>
          <w:sz w:val="20"/>
          <w:szCs w:val="20"/>
        </w:rPr>
        <w:tab/>
        <w:t xml:space="preserve">Heywood, J. T. </w:t>
      </w:r>
      <w:r w:rsidRPr="0011645D">
        <w:rPr>
          <w:rFonts w:ascii="Calibri" w:hAnsi="Calibri" w:cs="Calibri"/>
          <w:i/>
          <w:iCs/>
          <w:noProof/>
          <w:sz w:val="20"/>
          <w:szCs w:val="20"/>
        </w:rPr>
        <w:t>et al.</w:t>
      </w:r>
      <w:r w:rsidRPr="0011645D">
        <w:rPr>
          <w:rFonts w:ascii="Calibri" w:hAnsi="Calibri" w:cs="Calibri"/>
          <w:noProof/>
          <w:sz w:val="20"/>
          <w:szCs w:val="20"/>
        </w:rPr>
        <w:t xml:space="preserve"> Influence of Renal Function on the Use of Guideline-Recommended Therapies for Patients With Heart Failure. </w:t>
      </w:r>
      <w:r w:rsidRPr="0011645D">
        <w:rPr>
          <w:rFonts w:ascii="Calibri" w:hAnsi="Calibri" w:cs="Calibri"/>
          <w:i/>
          <w:iCs/>
          <w:noProof/>
          <w:sz w:val="20"/>
          <w:szCs w:val="20"/>
        </w:rPr>
        <w:t>Am. J. Cardiol.</w:t>
      </w:r>
      <w:r w:rsidRPr="0011645D">
        <w:rPr>
          <w:rFonts w:ascii="Calibri" w:hAnsi="Calibri" w:cs="Calibri"/>
          <w:noProof/>
          <w:sz w:val="20"/>
          <w:szCs w:val="20"/>
        </w:rPr>
        <w:t xml:space="preserve"> </w:t>
      </w:r>
      <w:r w:rsidRPr="0011645D">
        <w:rPr>
          <w:rFonts w:ascii="Calibri" w:hAnsi="Calibri" w:cs="Calibri"/>
          <w:b/>
          <w:bCs/>
          <w:noProof/>
          <w:sz w:val="20"/>
          <w:szCs w:val="20"/>
        </w:rPr>
        <w:t>105</w:t>
      </w:r>
      <w:r w:rsidRPr="0011645D">
        <w:rPr>
          <w:rFonts w:ascii="Calibri" w:hAnsi="Calibri" w:cs="Calibri"/>
          <w:noProof/>
          <w:sz w:val="20"/>
          <w:szCs w:val="20"/>
        </w:rPr>
        <w:t>, 1140–1146 (2010).</w:t>
      </w:r>
    </w:p>
    <w:p w14:paraId="4E16105F"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3.</w:t>
      </w:r>
      <w:r w:rsidRPr="0011645D">
        <w:rPr>
          <w:rFonts w:ascii="Calibri" w:hAnsi="Calibri" w:cs="Calibri"/>
          <w:noProof/>
          <w:sz w:val="20"/>
          <w:szCs w:val="20"/>
        </w:rPr>
        <w:tab/>
        <w:t xml:space="preserve">House, A. A. </w:t>
      </w:r>
      <w:r w:rsidRPr="0011645D">
        <w:rPr>
          <w:rFonts w:ascii="Calibri" w:hAnsi="Calibri" w:cs="Calibri"/>
          <w:i/>
          <w:iCs/>
          <w:noProof/>
          <w:sz w:val="20"/>
          <w:szCs w:val="20"/>
        </w:rPr>
        <w:t>et al.</w:t>
      </w:r>
      <w:r w:rsidRPr="0011645D">
        <w:rPr>
          <w:rFonts w:ascii="Calibri" w:hAnsi="Calibri" w:cs="Calibri"/>
          <w:noProof/>
          <w:sz w:val="20"/>
          <w:szCs w:val="20"/>
        </w:rPr>
        <w:t xml:space="preserve"> Heart failure in chronic kidney disease: conclusions from a Kidney Disease: Improving Global Outcomes (KDIGO) Controversies Conference. </w:t>
      </w:r>
      <w:r w:rsidRPr="0011645D">
        <w:rPr>
          <w:rFonts w:ascii="Calibri" w:hAnsi="Calibri" w:cs="Calibri"/>
          <w:i/>
          <w:iCs/>
          <w:noProof/>
          <w:sz w:val="20"/>
          <w:szCs w:val="20"/>
        </w:rPr>
        <w:t>Kidney Int.</w:t>
      </w:r>
      <w:r w:rsidRPr="0011645D">
        <w:rPr>
          <w:rFonts w:ascii="Calibri" w:hAnsi="Calibri" w:cs="Calibri"/>
          <w:noProof/>
          <w:sz w:val="20"/>
          <w:szCs w:val="20"/>
        </w:rPr>
        <w:t xml:space="preserve"> </w:t>
      </w:r>
      <w:r w:rsidRPr="0011645D">
        <w:rPr>
          <w:rFonts w:ascii="Calibri" w:hAnsi="Calibri" w:cs="Calibri"/>
          <w:b/>
          <w:bCs/>
          <w:noProof/>
          <w:sz w:val="20"/>
          <w:szCs w:val="20"/>
        </w:rPr>
        <w:t>95</w:t>
      </w:r>
      <w:r w:rsidRPr="0011645D">
        <w:rPr>
          <w:rFonts w:ascii="Calibri" w:hAnsi="Calibri" w:cs="Calibri"/>
          <w:noProof/>
          <w:sz w:val="20"/>
          <w:szCs w:val="20"/>
        </w:rPr>
        <w:t>, 1304–1317 (2019).</w:t>
      </w:r>
    </w:p>
    <w:p w14:paraId="3F7EEB26"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4.</w:t>
      </w:r>
      <w:r w:rsidRPr="0011645D">
        <w:rPr>
          <w:rFonts w:ascii="Calibri" w:hAnsi="Calibri" w:cs="Calibri"/>
          <w:noProof/>
          <w:sz w:val="20"/>
          <w:szCs w:val="20"/>
        </w:rPr>
        <w:tab/>
        <w:t xml:space="preserve">Ponikowski, P. </w:t>
      </w:r>
      <w:r w:rsidRPr="0011645D">
        <w:rPr>
          <w:rFonts w:ascii="Calibri" w:hAnsi="Calibri" w:cs="Calibri"/>
          <w:i/>
          <w:iCs/>
          <w:noProof/>
          <w:sz w:val="20"/>
          <w:szCs w:val="20"/>
        </w:rPr>
        <w:t>et al.</w:t>
      </w:r>
      <w:r w:rsidRPr="0011645D">
        <w:rPr>
          <w:rFonts w:ascii="Calibri" w:hAnsi="Calibri" w:cs="Calibri"/>
          <w:noProof/>
          <w:sz w:val="20"/>
          <w:szCs w:val="20"/>
        </w:rPr>
        <w:t xml:space="preserve"> 2016 ESC Guidelines for the diagnosis and treatment of acute and chronic heart failure. </w:t>
      </w:r>
      <w:r w:rsidRPr="0011645D">
        <w:rPr>
          <w:rFonts w:ascii="Calibri" w:hAnsi="Calibri" w:cs="Calibri"/>
          <w:i/>
          <w:iCs/>
          <w:noProof/>
          <w:sz w:val="20"/>
          <w:szCs w:val="20"/>
        </w:rPr>
        <w:t>Eur. Heart J.</w:t>
      </w:r>
      <w:r w:rsidRPr="0011645D">
        <w:rPr>
          <w:rFonts w:ascii="Calibri" w:hAnsi="Calibri" w:cs="Calibri"/>
          <w:noProof/>
          <w:sz w:val="20"/>
          <w:szCs w:val="20"/>
        </w:rPr>
        <w:t xml:space="preserve"> </w:t>
      </w:r>
      <w:r w:rsidRPr="0011645D">
        <w:rPr>
          <w:rFonts w:ascii="Calibri" w:hAnsi="Calibri" w:cs="Calibri"/>
          <w:b/>
          <w:bCs/>
          <w:noProof/>
          <w:sz w:val="20"/>
          <w:szCs w:val="20"/>
        </w:rPr>
        <w:t>37</w:t>
      </w:r>
      <w:r w:rsidRPr="0011645D">
        <w:rPr>
          <w:rFonts w:ascii="Calibri" w:hAnsi="Calibri" w:cs="Calibri"/>
          <w:noProof/>
          <w:sz w:val="20"/>
          <w:szCs w:val="20"/>
        </w:rPr>
        <w:t>, 2129–2200 (2016).</w:t>
      </w:r>
    </w:p>
    <w:p w14:paraId="030FD418"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5.</w:t>
      </w:r>
      <w:r w:rsidRPr="0011645D">
        <w:rPr>
          <w:rFonts w:ascii="Calibri" w:hAnsi="Calibri" w:cs="Calibri"/>
          <w:noProof/>
          <w:sz w:val="20"/>
          <w:szCs w:val="20"/>
        </w:rPr>
        <w:tab/>
        <w:t xml:space="preserve">Hemmelgarn, B. R. </w:t>
      </w:r>
      <w:r w:rsidRPr="0011645D">
        <w:rPr>
          <w:rFonts w:ascii="Calibri" w:hAnsi="Calibri" w:cs="Calibri"/>
          <w:i/>
          <w:iCs/>
          <w:noProof/>
          <w:sz w:val="20"/>
          <w:szCs w:val="20"/>
        </w:rPr>
        <w:t>et al.</w:t>
      </w:r>
      <w:r w:rsidRPr="0011645D">
        <w:rPr>
          <w:rFonts w:ascii="Calibri" w:hAnsi="Calibri" w:cs="Calibri"/>
          <w:noProof/>
          <w:sz w:val="20"/>
          <w:szCs w:val="20"/>
        </w:rPr>
        <w:t xml:space="preserve"> Association between Multidisciplinary Care and Survival for Elderly Patients with Chronic Kidney Disease. </w:t>
      </w:r>
      <w:r w:rsidRPr="0011645D">
        <w:rPr>
          <w:rFonts w:ascii="Calibri" w:hAnsi="Calibri" w:cs="Calibri"/>
          <w:i/>
          <w:iCs/>
          <w:noProof/>
          <w:sz w:val="20"/>
          <w:szCs w:val="20"/>
        </w:rPr>
        <w:t>J. Am. Soc. Nephrol.</w:t>
      </w:r>
      <w:r w:rsidRPr="0011645D">
        <w:rPr>
          <w:rFonts w:ascii="Calibri" w:hAnsi="Calibri" w:cs="Calibri"/>
          <w:noProof/>
          <w:sz w:val="20"/>
          <w:szCs w:val="20"/>
        </w:rPr>
        <w:t xml:space="preserve"> </w:t>
      </w:r>
      <w:r w:rsidRPr="0011645D">
        <w:rPr>
          <w:rFonts w:ascii="Calibri" w:hAnsi="Calibri" w:cs="Calibri"/>
          <w:b/>
          <w:bCs/>
          <w:noProof/>
          <w:sz w:val="20"/>
          <w:szCs w:val="20"/>
        </w:rPr>
        <w:t>18</w:t>
      </w:r>
      <w:r w:rsidRPr="0011645D">
        <w:rPr>
          <w:rFonts w:ascii="Calibri" w:hAnsi="Calibri" w:cs="Calibri"/>
          <w:noProof/>
          <w:sz w:val="20"/>
          <w:szCs w:val="20"/>
        </w:rPr>
        <w:t>, 993–999 (2007).</w:t>
      </w:r>
    </w:p>
    <w:p w14:paraId="1148548B"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6.</w:t>
      </w:r>
      <w:r w:rsidRPr="0011645D">
        <w:rPr>
          <w:rFonts w:ascii="Calibri" w:hAnsi="Calibri" w:cs="Calibri"/>
          <w:noProof/>
          <w:sz w:val="20"/>
          <w:szCs w:val="20"/>
        </w:rPr>
        <w:tab/>
        <w:t>Johns, T. S., Yee, J., Smith-jules, T., Campbell, R. C. &amp; Bauer, C. Interdisciplinary care clinics in chronic kidney disease. (2015). doi:10.1186/s12882-015-0158-6</w:t>
      </w:r>
    </w:p>
    <w:p w14:paraId="1EE01857"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7.</w:t>
      </w:r>
      <w:r w:rsidRPr="0011645D">
        <w:rPr>
          <w:rFonts w:ascii="Calibri" w:hAnsi="Calibri" w:cs="Calibri"/>
          <w:noProof/>
          <w:sz w:val="20"/>
          <w:szCs w:val="20"/>
        </w:rPr>
        <w:tab/>
        <w:t xml:space="preserve">Fröhlich, H. </w:t>
      </w:r>
      <w:r w:rsidRPr="0011645D">
        <w:rPr>
          <w:rFonts w:ascii="Calibri" w:hAnsi="Calibri" w:cs="Calibri"/>
          <w:i/>
          <w:iCs/>
          <w:noProof/>
          <w:sz w:val="20"/>
          <w:szCs w:val="20"/>
        </w:rPr>
        <w:t>et al.</w:t>
      </w:r>
      <w:r w:rsidRPr="0011645D">
        <w:rPr>
          <w:rFonts w:ascii="Calibri" w:hAnsi="Calibri" w:cs="Calibri"/>
          <w:noProof/>
          <w:sz w:val="20"/>
          <w:szCs w:val="20"/>
        </w:rPr>
        <w:t xml:space="preserve"> Long-term changes of renal function in relation to ace inhibitor/angiotensin receptor blocker dosing in patients with heart failure and chronic kidney disease. </w:t>
      </w:r>
      <w:r w:rsidRPr="0011645D">
        <w:rPr>
          <w:rFonts w:ascii="Calibri" w:hAnsi="Calibri" w:cs="Calibri"/>
          <w:i/>
          <w:iCs/>
          <w:noProof/>
          <w:sz w:val="20"/>
          <w:szCs w:val="20"/>
        </w:rPr>
        <w:t>Am. Heart J.</w:t>
      </w:r>
      <w:r w:rsidRPr="0011645D">
        <w:rPr>
          <w:rFonts w:ascii="Calibri" w:hAnsi="Calibri" w:cs="Calibri"/>
          <w:noProof/>
          <w:sz w:val="20"/>
          <w:szCs w:val="20"/>
        </w:rPr>
        <w:t xml:space="preserve"> </w:t>
      </w:r>
      <w:r w:rsidRPr="0011645D">
        <w:rPr>
          <w:rFonts w:ascii="Calibri" w:hAnsi="Calibri" w:cs="Calibri"/>
          <w:b/>
          <w:bCs/>
          <w:noProof/>
          <w:sz w:val="20"/>
          <w:szCs w:val="20"/>
        </w:rPr>
        <w:t>178</w:t>
      </w:r>
      <w:r w:rsidRPr="0011645D">
        <w:rPr>
          <w:rFonts w:ascii="Calibri" w:hAnsi="Calibri" w:cs="Calibri"/>
          <w:noProof/>
          <w:sz w:val="20"/>
          <w:szCs w:val="20"/>
        </w:rPr>
        <w:t>, 28–36 (2016).</w:t>
      </w:r>
    </w:p>
    <w:p w14:paraId="161282CC"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8.</w:t>
      </w:r>
      <w:r w:rsidRPr="0011645D">
        <w:rPr>
          <w:rFonts w:ascii="Calibri" w:hAnsi="Calibri" w:cs="Calibri"/>
          <w:noProof/>
          <w:sz w:val="20"/>
          <w:szCs w:val="20"/>
        </w:rPr>
        <w:tab/>
        <w:t xml:space="preserve">The Consensus Trial Study Group. Effects of Enalapril on Mortality in Severe Congestive Heart Failure. </w:t>
      </w:r>
      <w:r w:rsidRPr="0011645D">
        <w:rPr>
          <w:rFonts w:ascii="Calibri" w:hAnsi="Calibri" w:cs="Calibri"/>
          <w:i/>
          <w:iCs/>
          <w:noProof/>
          <w:sz w:val="20"/>
          <w:szCs w:val="20"/>
        </w:rPr>
        <w:t>N. Engl. J. Med.</w:t>
      </w:r>
      <w:r w:rsidRPr="0011645D">
        <w:rPr>
          <w:rFonts w:ascii="Calibri" w:hAnsi="Calibri" w:cs="Calibri"/>
          <w:noProof/>
          <w:sz w:val="20"/>
          <w:szCs w:val="20"/>
        </w:rPr>
        <w:t xml:space="preserve"> </w:t>
      </w:r>
      <w:r w:rsidRPr="0011645D">
        <w:rPr>
          <w:rFonts w:ascii="Calibri" w:hAnsi="Calibri" w:cs="Calibri"/>
          <w:b/>
          <w:bCs/>
          <w:noProof/>
          <w:sz w:val="20"/>
          <w:szCs w:val="20"/>
        </w:rPr>
        <w:t>316</w:t>
      </w:r>
      <w:r w:rsidRPr="0011645D">
        <w:rPr>
          <w:rFonts w:ascii="Calibri" w:hAnsi="Calibri" w:cs="Calibri"/>
          <w:noProof/>
          <w:sz w:val="20"/>
          <w:szCs w:val="20"/>
        </w:rPr>
        <w:t>, 1429–1435 (1987).</w:t>
      </w:r>
    </w:p>
    <w:p w14:paraId="5F3080A2"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9.</w:t>
      </w:r>
      <w:r w:rsidRPr="0011645D">
        <w:rPr>
          <w:rFonts w:ascii="Calibri" w:hAnsi="Calibri" w:cs="Calibri"/>
          <w:noProof/>
          <w:sz w:val="20"/>
          <w:szCs w:val="20"/>
        </w:rPr>
        <w:tab/>
        <w:t xml:space="preserve">The SOLVD Investigators. Effect of Enalapril on Survival in Patients with Reduced Left Ventricular Ejection Fractions and Congestive Heart Failure. </w:t>
      </w:r>
      <w:r w:rsidRPr="0011645D">
        <w:rPr>
          <w:rFonts w:ascii="Calibri" w:hAnsi="Calibri" w:cs="Calibri"/>
          <w:i/>
          <w:iCs/>
          <w:noProof/>
          <w:sz w:val="20"/>
          <w:szCs w:val="20"/>
        </w:rPr>
        <w:t>N. Engl. J. Med.</w:t>
      </w:r>
      <w:r w:rsidRPr="0011645D">
        <w:rPr>
          <w:rFonts w:ascii="Calibri" w:hAnsi="Calibri" w:cs="Calibri"/>
          <w:noProof/>
          <w:sz w:val="20"/>
          <w:szCs w:val="20"/>
        </w:rPr>
        <w:t xml:space="preserve"> </w:t>
      </w:r>
      <w:r w:rsidRPr="0011645D">
        <w:rPr>
          <w:rFonts w:ascii="Calibri" w:hAnsi="Calibri" w:cs="Calibri"/>
          <w:b/>
          <w:bCs/>
          <w:noProof/>
          <w:sz w:val="20"/>
          <w:szCs w:val="20"/>
        </w:rPr>
        <w:t>325</w:t>
      </w:r>
      <w:r w:rsidRPr="0011645D">
        <w:rPr>
          <w:rFonts w:ascii="Calibri" w:hAnsi="Calibri" w:cs="Calibri"/>
          <w:noProof/>
          <w:sz w:val="20"/>
          <w:szCs w:val="20"/>
        </w:rPr>
        <w:t>, 293–302 (1991).</w:t>
      </w:r>
    </w:p>
    <w:p w14:paraId="62C3AD5A"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10.</w:t>
      </w:r>
      <w:r w:rsidRPr="0011645D">
        <w:rPr>
          <w:rFonts w:ascii="Calibri" w:hAnsi="Calibri" w:cs="Calibri"/>
          <w:noProof/>
          <w:sz w:val="20"/>
          <w:szCs w:val="20"/>
        </w:rPr>
        <w:tab/>
        <w:t xml:space="preserve">McMurray, J. J. </w:t>
      </w:r>
      <w:r w:rsidRPr="0011645D">
        <w:rPr>
          <w:rFonts w:ascii="Calibri" w:hAnsi="Calibri" w:cs="Calibri"/>
          <w:i/>
          <w:iCs/>
          <w:noProof/>
          <w:sz w:val="20"/>
          <w:szCs w:val="20"/>
        </w:rPr>
        <w:t>et al.</w:t>
      </w:r>
      <w:r w:rsidRPr="0011645D">
        <w:rPr>
          <w:rFonts w:ascii="Calibri" w:hAnsi="Calibri" w:cs="Calibri"/>
          <w:noProof/>
          <w:sz w:val="20"/>
          <w:szCs w:val="20"/>
        </w:rPr>
        <w:t xml:space="preserve"> Effects of candesartan in patients with chronic heart failure and reduced left-ventricular systolic function taking angiotensin-converting-enzyme inhibitors: the CHARM-Added trial. </w:t>
      </w:r>
      <w:r w:rsidRPr="0011645D">
        <w:rPr>
          <w:rFonts w:ascii="Calibri" w:hAnsi="Calibri" w:cs="Calibri"/>
          <w:i/>
          <w:iCs/>
          <w:noProof/>
          <w:sz w:val="20"/>
          <w:szCs w:val="20"/>
        </w:rPr>
        <w:t>Lancet</w:t>
      </w:r>
      <w:r w:rsidRPr="0011645D">
        <w:rPr>
          <w:rFonts w:ascii="Calibri" w:hAnsi="Calibri" w:cs="Calibri"/>
          <w:noProof/>
          <w:sz w:val="20"/>
          <w:szCs w:val="20"/>
        </w:rPr>
        <w:t xml:space="preserve"> </w:t>
      </w:r>
      <w:r w:rsidRPr="0011645D">
        <w:rPr>
          <w:rFonts w:ascii="Calibri" w:hAnsi="Calibri" w:cs="Calibri"/>
          <w:b/>
          <w:bCs/>
          <w:noProof/>
          <w:sz w:val="20"/>
          <w:szCs w:val="20"/>
        </w:rPr>
        <w:t>362</w:t>
      </w:r>
      <w:r w:rsidRPr="0011645D">
        <w:rPr>
          <w:rFonts w:ascii="Calibri" w:hAnsi="Calibri" w:cs="Calibri"/>
          <w:noProof/>
          <w:sz w:val="20"/>
          <w:szCs w:val="20"/>
        </w:rPr>
        <w:t>, 767–771 (2003).</w:t>
      </w:r>
    </w:p>
    <w:p w14:paraId="07DE421F"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11.</w:t>
      </w:r>
      <w:r w:rsidRPr="0011645D">
        <w:rPr>
          <w:rFonts w:ascii="Calibri" w:hAnsi="Calibri" w:cs="Calibri"/>
          <w:noProof/>
          <w:sz w:val="20"/>
          <w:szCs w:val="20"/>
        </w:rPr>
        <w:tab/>
        <w:t xml:space="preserve">Granger, C. B. </w:t>
      </w:r>
      <w:r w:rsidRPr="0011645D">
        <w:rPr>
          <w:rFonts w:ascii="Calibri" w:hAnsi="Calibri" w:cs="Calibri"/>
          <w:i/>
          <w:iCs/>
          <w:noProof/>
          <w:sz w:val="20"/>
          <w:szCs w:val="20"/>
        </w:rPr>
        <w:t>et al.</w:t>
      </w:r>
      <w:r w:rsidRPr="0011645D">
        <w:rPr>
          <w:rFonts w:ascii="Calibri" w:hAnsi="Calibri" w:cs="Calibri"/>
          <w:noProof/>
          <w:sz w:val="20"/>
          <w:szCs w:val="20"/>
        </w:rPr>
        <w:t xml:space="preserve"> Effects of candesartan in patients with chronic heart failure and reduced left-ventricular systolic function intolerant to angiotensin-converting-enzyme inhibitors: the CHARM-Alternative trial. </w:t>
      </w:r>
      <w:r w:rsidRPr="0011645D">
        <w:rPr>
          <w:rFonts w:ascii="Calibri" w:hAnsi="Calibri" w:cs="Calibri"/>
          <w:i/>
          <w:iCs/>
          <w:noProof/>
          <w:sz w:val="20"/>
          <w:szCs w:val="20"/>
        </w:rPr>
        <w:t>Lancet</w:t>
      </w:r>
      <w:r w:rsidRPr="0011645D">
        <w:rPr>
          <w:rFonts w:ascii="Calibri" w:hAnsi="Calibri" w:cs="Calibri"/>
          <w:noProof/>
          <w:sz w:val="20"/>
          <w:szCs w:val="20"/>
        </w:rPr>
        <w:t xml:space="preserve"> </w:t>
      </w:r>
      <w:r w:rsidRPr="0011645D">
        <w:rPr>
          <w:rFonts w:ascii="Calibri" w:hAnsi="Calibri" w:cs="Calibri"/>
          <w:b/>
          <w:bCs/>
          <w:noProof/>
          <w:sz w:val="20"/>
          <w:szCs w:val="20"/>
        </w:rPr>
        <w:t>362</w:t>
      </w:r>
      <w:r w:rsidRPr="0011645D">
        <w:rPr>
          <w:rFonts w:ascii="Calibri" w:hAnsi="Calibri" w:cs="Calibri"/>
          <w:noProof/>
          <w:sz w:val="20"/>
          <w:szCs w:val="20"/>
        </w:rPr>
        <w:t>, 772–776 (2003).</w:t>
      </w:r>
    </w:p>
    <w:p w14:paraId="749B4C5E"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12.</w:t>
      </w:r>
      <w:r w:rsidRPr="0011645D">
        <w:rPr>
          <w:rFonts w:ascii="Calibri" w:hAnsi="Calibri" w:cs="Calibri"/>
          <w:noProof/>
          <w:sz w:val="20"/>
          <w:szCs w:val="20"/>
        </w:rPr>
        <w:tab/>
        <w:t xml:space="preserve">Pitt, B. </w:t>
      </w:r>
      <w:r w:rsidRPr="0011645D">
        <w:rPr>
          <w:rFonts w:ascii="Calibri" w:hAnsi="Calibri" w:cs="Calibri"/>
          <w:i/>
          <w:iCs/>
          <w:noProof/>
          <w:sz w:val="20"/>
          <w:szCs w:val="20"/>
        </w:rPr>
        <w:t>et al.</w:t>
      </w:r>
      <w:r w:rsidRPr="0011645D">
        <w:rPr>
          <w:rFonts w:ascii="Calibri" w:hAnsi="Calibri" w:cs="Calibri"/>
          <w:noProof/>
          <w:sz w:val="20"/>
          <w:szCs w:val="20"/>
        </w:rPr>
        <w:t xml:space="preserve"> Eplerenone, a Selective Aldosterone Blocker, in Patients with Left Ventricular Dysfunction after Myocardial Infarction. </w:t>
      </w:r>
      <w:r w:rsidRPr="0011645D">
        <w:rPr>
          <w:rFonts w:ascii="Calibri" w:hAnsi="Calibri" w:cs="Calibri"/>
          <w:i/>
          <w:iCs/>
          <w:noProof/>
          <w:sz w:val="20"/>
          <w:szCs w:val="20"/>
        </w:rPr>
        <w:t>N. Engl. J. Med.</w:t>
      </w:r>
      <w:r w:rsidRPr="0011645D">
        <w:rPr>
          <w:rFonts w:ascii="Calibri" w:hAnsi="Calibri" w:cs="Calibri"/>
          <w:noProof/>
          <w:sz w:val="20"/>
          <w:szCs w:val="20"/>
        </w:rPr>
        <w:t xml:space="preserve"> </w:t>
      </w:r>
      <w:r w:rsidRPr="0011645D">
        <w:rPr>
          <w:rFonts w:ascii="Calibri" w:hAnsi="Calibri" w:cs="Calibri"/>
          <w:b/>
          <w:bCs/>
          <w:noProof/>
          <w:sz w:val="20"/>
          <w:szCs w:val="20"/>
        </w:rPr>
        <w:t>348</w:t>
      </w:r>
      <w:r w:rsidRPr="0011645D">
        <w:rPr>
          <w:rFonts w:ascii="Calibri" w:hAnsi="Calibri" w:cs="Calibri"/>
          <w:noProof/>
          <w:sz w:val="20"/>
          <w:szCs w:val="20"/>
        </w:rPr>
        <w:t>, 1309–1321 (2003).</w:t>
      </w:r>
    </w:p>
    <w:p w14:paraId="04CD9954"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13.</w:t>
      </w:r>
      <w:r w:rsidRPr="0011645D">
        <w:rPr>
          <w:rFonts w:ascii="Calibri" w:hAnsi="Calibri" w:cs="Calibri"/>
          <w:noProof/>
          <w:sz w:val="20"/>
          <w:szCs w:val="20"/>
        </w:rPr>
        <w:tab/>
        <w:t xml:space="preserve">Pitt, B. </w:t>
      </w:r>
      <w:r w:rsidRPr="0011645D">
        <w:rPr>
          <w:rFonts w:ascii="Calibri" w:hAnsi="Calibri" w:cs="Calibri"/>
          <w:i/>
          <w:iCs/>
          <w:noProof/>
          <w:sz w:val="20"/>
          <w:szCs w:val="20"/>
        </w:rPr>
        <w:t>et al.</w:t>
      </w:r>
      <w:r w:rsidRPr="0011645D">
        <w:rPr>
          <w:rFonts w:ascii="Calibri" w:hAnsi="Calibri" w:cs="Calibri"/>
          <w:noProof/>
          <w:sz w:val="20"/>
          <w:szCs w:val="20"/>
        </w:rPr>
        <w:t xml:space="preserve"> The Effect of Spironolactone on Morbidity and Mortality in Patients with Severe Heart Failure. </w:t>
      </w:r>
      <w:r w:rsidRPr="0011645D">
        <w:rPr>
          <w:rFonts w:ascii="Calibri" w:hAnsi="Calibri" w:cs="Calibri"/>
          <w:i/>
          <w:iCs/>
          <w:noProof/>
          <w:sz w:val="20"/>
          <w:szCs w:val="20"/>
        </w:rPr>
        <w:t>N. Engl. J. Med.</w:t>
      </w:r>
      <w:r w:rsidRPr="0011645D">
        <w:rPr>
          <w:rFonts w:ascii="Calibri" w:hAnsi="Calibri" w:cs="Calibri"/>
          <w:noProof/>
          <w:sz w:val="20"/>
          <w:szCs w:val="20"/>
        </w:rPr>
        <w:t xml:space="preserve"> </w:t>
      </w:r>
      <w:r w:rsidRPr="0011645D">
        <w:rPr>
          <w:rFonts w:ascii="Calibri" w:hAnsi="Calibri" w:cs="Calibri"/>
          <w:b/>
          <w:bCs/>
          <w:noProof/>
          <w:sz w:val="20"/>
          <w:szCs w:val="20"/>
        </w:rPr>
        <w:t>341</w:t>
      </w:r>
      <w:r w:rsidRPr="0011645D">
        <w:rPr>
          <w:rFonts w:ascii="Calibri" w:hAnsi="Calibri" w:cs="Calibri"/>
          <w:noProof/>
          <w:sz w:val="20"/>
          <w:szCs w:val="20"/>
        </w:rPr>
        <w:t>, 709–717 (1999).</w:t>
      </w:r>
    </w:p>
    <w:p w14:paraId="5E7FE3A3"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14.</w:t>
      </w:r>
      <w:r w:rsidRPr="0011645D">
        <w:rPr>
          <w:rFonts w:ascii="Calibri" w:hAnsi="Calibri" w:cs="Calibri"/>
          <w:noProof/>
          <w:sz w:val="20"/>
          <w:szCs w:val="20"/>
        </w:rPr>
        <w:tab/>
        <w:t xml:space="preserve">Zannad, F. </w:t>
      </w:r>
      <w:r w:rsidRPr="0011645D">
        <w:rPr>
          <w:rFonts w:ascii="Calibri" w:hAnsi="Calibri" w:cs="Calibri"/>
          <w:i/>
          <w:iCs/>
          <w:noProof/>
          <w:sz w:val="20"/>
          <w:szCs w:val="20"/>
        </w:rPr>
        <w:t>et al.</w:t>
      </w:r>
      <w:r w:rsidRPr="0011645D">
        <w:rPr>
          <w:rFonts w:ascii="Calibri" w:hAnsi="Calibri" w:cs="Calibri"/>
          <w:noProof/>
          <w:sz w:val="20"/>
          <w:szCs w:val="20"/>
        </w:rPr>
        <w:t xml:space="preserve"> Eplerenone in Patients with Systolic Heart Failure and Mild Symptoms. </w:t>
      </w:r>
      <w:r w:rsidRPr="0011645D">
        <w:rPr>
          <w:rFonts w:ascii="Calibri" w:hAnsi="Calibri" w:cs="Calibri"/>
          <w:i/>
          <w:iCs/>
          <w:noProof/>
          <w:sz w:val="20"/>
          <w:szCs w:val="20"/>
        </w:rPr>
        <w:t>N. Engl. J. Med.</w:t>
      </w:r>
      <w:r w:rsidRPr="0011645D">
        <w:rPr>
          <w:rFonts w:ascii="Calibri" w:hAnsi="Calibri" w:cs="Calibri"/>
          <w:noProof/>
          <w:sz w:val="20"/>
          <w:szCs w:val="20"/>
        </w:rPr>
        <w:t xml:space="preserve"> </w:t>
      </w:r>
      <w:r w:rsidRPr="0011645D">
        <w:rPr>
          <w:rFonts w:ascii="Calibri" w:hAnsi="Calibri" w:cs="Calibri"/>
          <w:b/>
          <w:bCs/>
          <w:noProof/>
          <w:sz w:val="20"/>
          <w:szCs w:val="20"/>
        </w:rPr>
        <w:t>364</w:t>
      </w:r>
      <w:r w:rsidRPr="0011645D">
        <w:rPr>
          <w:rFonts w:ascii="Calibri" w:hAnsi="Calibri" w:cs="Calibri"/>
          <w:noProof/>
          <w:sz w:val="20"/>
          <w:szCs w:val="20"/>
        </w:rPr>
        <w:t>, 11–21 (2011).</w:t>
      </w:r>
    </w:p>
    <w:p w14:paraId="6B4CBFED"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15.</w:t>
      </w:r>
      <w:r w:rsidRPr="0011645D">
        <w:rPr>
          <w:rFonts w:ascii="Calibri" w:hAnsi="Calibri" w:cs="Calibri"/>
          <w:noProof/>
          <w:sz w:val="20"/>
          <w:szCs w:val="20"/>
        </w:rPr>
        <w:tab/>
        <w:t xml:space="preserve">Löfman, I. </w:t>
      </w:r>
      <w:r w:rsidRPr="0011645D">
        <w:rPr>
          <w:rFonts w:ascii="Calibri" w:hAnsi="Calibri" w:cs="Calibri"/>
          <w:i/>
          <w:iCs/>
          <w:noProof/>
          <w:sz w:val="20"/>
          <w:szCs w:val="20"/>
        </w:rPr>
        <w:t>et al.</w:t>
      </w:r>
      <w:r w:rsidRPr="0011645D">
        <w:rPr>
          <w:rFonts w:ascii="Calibri" w:hAnsi="Calibri" w:cs="Calibri"/>
          <w:noProof/>
          <w:sz w:val="20"/>
          <w:szCs w:val="20"/>
        </w:rPr>
        <w:t xml:space="preserve"> Prevalence and prognostic impact of kidney disease on heart failure patients. (2016). doi:10.1136/openhrt-2015-000324</w:t>
      </w:r>
    </w:p>
    <w:p w14:paraId="7A6BCD85" w14:textId="77777777" w:rsidR="00C45D61" w:rsidRPr="0011645D" w:rsidRDefault="00C45D61" w:rsidP="00E66442">
      <w:pPr>
        <w:widowControl w:val="0"/>
        <w:autoSpaceDE w:val="0"/>
        <w:autoSpaceDN w:val="0"/>
        <w:adjustRightInd w:val="0"/>
        <w:spacing w:line="240" w:lineRule="auto"/>
        <w:ind w:left="640" w:hanging="640"/>
        <w:jc w:val="both"/>
        <w:rPr>
          <w:rFonts w:ascii="Calibri" w:hAnsi="Calibri" w:cs="Calibri"/>
          <w:noProof/>
          <w:sz w:val="20"/>
          <w:szCs w:val="20"/>
        </w:rPr>
      </w:pPr>
      <w:r w:rsidRPr="0011645D">
        <w:rPr>
          <w:rFonts w:ascii="Calibri" w:hAnsi="Calibri" w:cs="Calibri"/>
          <w:noProof/>
          <w:sz w:val="20"/>
          <w:szCs w:val="20"/>
        </w:rPr>
        <w:t>16.</w:t>
      </w:r>
      <w:r w:rsidRPr="0011645D">
        <w:rPr>
          <w:rFonts w:ascii="Calibri" w:hAnsi="Calibri" w:cs="Calibri"/>
          <w:noProof/>
          <w:sz w:val="20"/>
          <w:szCs w:val="20"/>
        </w:rPr>
        <w:tab/>
        <w:t xml:space="preserve">Ahmed, A. </w:t>
      </w:r>
      <w:r w:rsidRPr="0011645D">
        <w:rPr>
          <w:rFonts w:ascii="Calibri" w:hAnsi="Calibri" w:cs="Calibri"/>
          <w:i/>
          <w:iCs/>
          <w:noProof/>
          <w:sz w:val="20"/>
          <w:szCs w:val="20"/>
        </w:rPr>
        <w:t>et al.</w:t>
      </w:r>
      <w:r w:rsidRPr="0011645D">
        <w:rPr>
          <w:rFonts w:ascii="Calibri" w:hAnsi="Calibri" w:cs="Calibri"/>
          <w:noProof/>
          <w:sz w:val="20"/>
          <w:szCs w:val="20"/>
        </w:rPr>
        <w:t xml:space="preserve"> Chronic Kidney Disease Associated Mortality in Diastolic Versus Systolic Heart Failure: A </w:t>
      </w:r>
      <w:r w:rsidRPr="0011645D">
        <w:rPr>
          <w:rFonts w:ascii="Calibri" w:hAnsi="Calibri" w:cs="Calibri"/>
          <w:noProof/>
          <w:sz w:val="20"/>
          <w:szCs w:val="20"/>
        </w:rPr>
        <w:lastRenderedPageBreak/>
        <w:t xml:space="preserve">Propensity Matched Study††The Digitalis Investigation Group study was conducted and supported by the National Heart, Lung, and Blood Institute in collaboration with. </w:t>
      </w:r>
      <w:r w:rsidRPr="0011645D">
        <w:rPr>
          <w:rFonts w:ascii="Calibri" w:hAnsi="Calibri" w:cs="Calibri"/>
          <w:i/>
          <w:iCs/>
          <w:noProof/>
          <w:sz w:val="20"/>
          <w:szCs w:val="20"/>
        </w:rPr>
        <w:t>Am. J. Cardiol.</w:t>
      </w:r>
      <w:r w:rsidRPr="0011645D">
        <w:rPr>
          <w:rFonts w:ascii="Calibri" w:hAnsi="Calibri" w:cs="Calibri"/>
          <w:noProof/>
          <w:sz w:val="20"/>
          <w:szCs w:val="20"/>
        </w:rPr>
        <w:t xml:space="preserve"> </w:t>
      </w:r>
      <w:r w:rsidRPr="0011645D">
        <w:rPr>
          <w:rFonts w:ascii="Calibri" w:hAnsi="Calibri" w:cs="Calibri"/>
          <w:b/>
          <w:bCs/>
          <w:noProof/>
          <w:sz w:val="20"/>
          <w:szCs w:val="20"/>
        </w:rPr>
        <w:t>99</w:t>
      </w:r>
      <w:r w:rsidRPr="0011645D">
        <w:rPr>
          <w:rFonts w:ascii="Calibri" w:hAnsi="Calibri" w:cs="Calibri"/>
          <w:noProof/>
          <w:sz w:val="20"/>
          <w:szCs w:val="20"/>
        </w:rPr>
        <w:t>, 393–398 (2007).</w:t>
      </w:r>
    </w:p>
    <w:p w14:paraId="7222F2D7" w14:textId="0BE68B24" w:rsidR="00B41760" w:rsidRPr="0011645D" w:rsidRDefault="00C45D61" w:rsidP="00E66442">
      <w:pPr>
        <w:jc w:val="both"/>
        <w:rPr>
          <w:sz w:val="20"/>
          <w:szCs w:val="20"/>
        </w:rPr>
        <w:sectPr w:rsidR="00B41760" w:rsidRPr="0011645D">
          <w:footerReference w:type="default" r:id="rId9"/>
          <w:pgSz w:w="11906" w:h="16838"/>
          <w:pgMar w:top="720" w:right="991" w:bottom="720" w:left="1134" w:header="708" w:footer="708" w:gutter="0"/>
          <w:cols w:space="720"/>
        </w:sectPr>
      </w:pPr>
      <w:r w:rsidRPr="0011645D">
        <w:rPr>
          <w:sz w:val="20"/>
          <w:szCs w:val="20"/>
        </w:rPr>
        <w:fldChar w:fldCharType="end"/>
      </w:r>
    </w:p>
    <w:p w14:paraId="41CB278E" w14:textId="77777777" w:rsidR="00B41760" w:rsidRPr="0011645D" w:rsidRDefault="00B41760" w:rsidP="00B41760">
      <w:pPr>
        <w:pStyle w:val="Heading1"/>
        <w:rPr>
          <w:b/>
          <w:color w:val="auto"/>
          <w:sz w:val="20"/>
          <w:szCs w:val="20"/>
          <w:lang w:val="en-US"/>
        </w:rPr>
      </w:pPr>
      <w:r w:rsidRPr="0011645D">
        <w:rPr>
          <w:b/>
          <w:color w:val="auto"/>
          <w:sz w:val="20"/>
          <w:szCs w:val="20"/>
          <w:lang w:val="en-US"/>
        </w:rPr>
        <w:lastRenderedPageBreak/>
        <w:t>Tables</w:t>
      </w:r>
    </w:p>
    <w:p w14:paraId="29B93965" w14:textId="77777777" w:rsidR="00B41760" w:rsidRPr="0011645D" w:rsidRDefault="00B41760" w:rsidP="00B41760">
      <w:pPr>
        <w:jc w:val="both"/>
        <w:rPr>
          <w:b/>
          <w:sz w:val="20"/>
          <w:szCs w:val="20"/>
        </w:rPr>
      </w:pPr>
    </w:p>
    <w:p w14:paraId="41DBA41E" w14:textId="77777777" w:rsidR="00B41760" w:rsidRPr="0011645D" w:rsidRDefault="00B41760" w:rsidP="00B41760">
      <w:pPr>
        <w:jc w:val="both"/>
        <w:rPr>
          <w:b/>
          <w:sz w:val="20"/>
          <w:szCs w:val="20"/>
        </w:rPr>
      </w:pPr>
      <w:r w:rsidRPr="0011645D">
        <w:rPr>
          <w:b/>
          <w:sz w:val="20"/>
          <w:szCs w:val="20"/>
        </w:rPr>
        <w:t>Table 1: Baseline characteristics of patients (n=124) according to CKD and HF cohorts</w:t>
      </w:r>
    </w:p>
    <w:p w14:paraId="3EA04E3A" w14:textId="09C4A28E" w:rsidR="00B41760" w:rsidRPr="0011645D" w:rsidRDefault="00B41760" w:rsidP="00B41760">
      <w:pPr>
        <w:rPr>
          <w:bCs/>
          <w:sz w:val="20"/>
          <w:szCs w:val="20"/>
        </w:rPr>
      </w:pPr>
      <w:r w:rsidRPr="0011645D">
        <w:rPr>
          <w:bCs/>
          <w:sz w:val="20"/>
          <w:szCs w:val="20"/>
        </w:rPr>
        <w:t>The continuous data are summarised as mean/SD if normally distributed or median/IQR interval otherwise.</w:t>
      </w:r>
      <w:r w:rsidR="008F5CF8" w:rsidRPr="0011645D">
        <w:rPr>
          <w:bCs/>
          <w:sz w:val="20"/>
          <w:szCs w:val="20"/>
        </w:rPr>
        <w:t xml:space="preserve"> </w:t>
      </w:r>
      <w:r w:rsidRPr="0011645D">
        <w:rPr>
          <w:bCs/>
          <w:sz w:val="20"/>
          <w:szCs w:val="20"/>
        </w:rPr>
        <w:t xml:space="preserve">p-values are the results of appropriate tests applied according to data nature; that is t-tests for continuous normally distributed data, </w:t>
      </w:r>
      <w:proofErr w:type="spellStart"/>
      <w:r w:rsidRPr="0011645D">
        <w:rPr>
          <w:bCs/>
          <w:sz w:val="20"/>
          <w:szCs w:val="20"/>
        </w:rPr>
        <w:t>Kruskall</w:t>
      </w:r>
      <w:proofErr w:type="spellEnd"/>
      <w:r w:rsidRPr="0011645D">
        <w:rPr>
          <w:bCs/>
          <w:sz w:val="20"/>
          <w:szCs w:val="20"/>
        </w:rPr>
        <w:t>-Wallis for continuous variables which display departures from normality and chi-square for proportions.</w:t>
      </w:r>
    </w:p>
    <w:p w14:paraId="5BA75FAD" w14:textId="77777777" w:rsidR="00B41760" w:rsidRPr="0011645D" w:rsidRDefault="00B41760" w:rsidP="00B41760">
      <w:pPr>
        <w:jc w:val="both"/>
        <w:rPr>
          <w:bCs/>
          <w:sz w:val="20"/>
          <w:szCs w:val="20"/>
        </w:rPr>
      </w:pPr>
      <w:r w:rsidRPr="0011645D">
        <w:rPr>
          <w:bCs/>
          <w:sz w:val="20"/>
          <w:szCs w:val="20"/>
        </w:rPr>
        <w:t xml:space="preserve">*p values were 0.03 and 0.02 respectively for comparison of proportions of patients having hospital admission and death between </w:t>
      </w:r>
      <w:proofErr w:type="spellStart"/>
      <w:r w:rsidRPr="0011645D">
        <w:rPr>
          <w:bCs/>
          <w:sz w:val="20"/>
          <w:szCs w:val="20"/>
        </w:rPr>
        <w:t>HFrEF</w:t>
      </w:r>
      <w:proofErr w:type="spellEnd"/>
      <w:r w:rsidRPr="0011645D">
        <w:rPr>
          <w:bCs/>
          <w:sz w:val="20"/>
          <w:szCs w:val="20"/>
        </w:rPr>
        <w:t xml:space="preserve"> patients and those with non-reduced EF. </w:t>
      </w:r>
    </w:p>
    <w:tbl>
      <w:tblPr>
        <w:tblStyle w:val="GridTable1Light1"/>
        <w:tblW w:w="14322" w:type="dxa"/>
        <w:tblLook w:val="04A0" w:firstRow="1" w:lastRow="0" w:firstColumn="1" w:lastColumn="0" w:noHBand="0" w:noVBand="1"/>
      </w:tblPr>
      <w:tblGrid>
        <w:gridCol w:w="2084"/>
        <w:gridCol w:w="1890"/>
        <w:gridCol w:w="1701"/>
        <w:gridCol w:w="1843"/>
        <w:gridCol w:w="841"/>
        <w:gridCol w:w="1711"/>
        <w:gridCol w:w="1701"/>
        <w:gridCol w:w="1701"/>
        <w:gridCol w:w="850"/>
      </w:tblGrid>
      <w:tr w:rsidR="0011645D" w:rsidRPr="0011645D" w14:paraId="19D84DC8" w14:textId="77777777" w:rsidTr="007116F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auto"/>
              <w:left w:val="single" w:sz="4" w:space="0" w:color="auto"/>
              <w:right w:val="thickThinLargeGap" w:sz="18" w:space="0" w:color="auto"/>
            </w:tcBorders>
            <w:tcMar>
              <w:top w:w="0" w:type="dxa"/>
              <w:left w:w="0" w:type="dxa"/>
              <w:bottom w:w="0" w:type="dxa"/>
              <w:right w:w="0" w:type="dxa"/>
            </w:tcMar>
            <w:vAlign w:val="center"/>
          </w:tcPr>
          <w:p w14:paraId="3F0E67A9" w14:textId="77777777" w:rsidR="00B41760" w:rsidRPr="0011645D" w:rsidRDefault="00B41760">
            <w:pPr>
              <w:jc w:val="center"/>
              <w:rPr>
                <w:b w:val="0"/>
                <w:bCs w:val="0"/>
                <w:sz w:val="20"/>
                <w:szCs w:val="20"/>
              </w:rPr>
            </w:pPr>
          </w:p>
        </w:tc>
        <w:tc>
          <w:tcPr>
            <w:tcW w:w="1890" w:type="dxa"/>
            <w:tcBorders>
              <w:top w:val="single" w:sz="4" w:space="0" w:color="auto"/>
              <w:left w:val="thickThinLargeGap" w:sz="18" w:space="0" w:color="auto"/>
              <w:right w:val="thickThinLargeGap" w:sz="18" w:space="0" w:color="auto"/>
            </w:tcBorders>
            <w:tcMar>
              <w:top w:w="0" w:type="dxa"/>
              <w:left w:w="0" w:type="dxa"/>
              <w:bottom w:w="0" w:type="dxa"/>
              <w:right w:w="0" w:type="dxa"/>
            </w:tcMar>
            <w:vAlign w:val="center"/>
            <w:hideMark/>
          </w:tcPr>
          <w:p w14:paraId="26AB82E2" w14:textId="77777777" w:rsidR="00B41760" w:rsidRPr="0011645D" w:rsidRDefault="00B41760">
            <w:pPr>
              <w:jc w:val="center"/>
              <w:cnfStyle w:val="100000000000" w:firstRow="1" w:lastRow="0" w:firstColumn="0" w:lastColumn="0" w:oddVBand="0" w:evenVBand="0" w:oddHBand="0" w:evenHBand="0" w:firstRowFirstColumn="0" w:firstRowLastColumn="0" w:lastRowFirstColumn="0" w:lastRowLastColumn="0"/>
              <w:rPr>
                <w:sz w:val="20"/>
                <w:szCs w:val="20"/>
              </w:rPr>
            </w:pPr>
            <w:r w:rsidRPr="0011645D">
              <w:rPr>
                <w:sz w:val="20"/>
                <w:szCs w:val="20"/>
              </w:rPr>
              <w:t>Overall</w:t>
            </w:r>
          </w:p>
        </w:tc>
        <w:tc>
          <w:tcPr>
            <w:tcW w:w="1701" w:type="dxa"/>
            <w:tcBorders>
              <w:top w:val="single" w:sz="4" w:space="0" w:color="auto"/>
              <w:left w:val="thickThinLargeGap" w:sz="18" w:space="0" w:color="auto"/>
              <w:right w:val="single" w:sz="4" w:space="0" w:color="999999" w:themeColor="text1" w:themeTint="66"/>
            </w:tcBorders>
            <w:tcMar>
              <w:top w:w="0" w:type="dxa"/>
              <w:left w:w="0" w:type="dxa"/>
              <w:bottom w:w="0" w:type="dxa"/>
              <w:right w:w="0" w:type="dxa"/>
            </w:tcMar>
            <w:vAlign w:val="center"/>
            <w:hideMark/>
          </w:tcPr>
          <w:p w14:paraId="1CC8CC54" w14:textId="77777777" w:rsidR="00B41760" w:rsidRPr="0011645D" w:rsidRDefault="00B41760">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1645D">
              <w:rPr>
                <w:sz w:val="20"/>
                <w:szCs w:val="20"/>
              </w:rPr>
              <w:t>Moderate CKD</w:t>
            </w:r>
          </w:p>
        </w:tc>
        <w:tc>
          <w:tcPr>
            <w:tcW w:w="1843" w:type="dxa"/>
            <w:tcBorders>
              <w:top w:val="single" w:sz="4" w:space="0" w:color="auto"/>
              <w:left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E537D25" w14:textId="77777777" w:rsidR="00B41760" w:rsidRPr="0011645D" w:rsidRDefault="00B41760">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1645D">
              <w:rPr>
                <w:sz w:val="20"/>
                <w:szCs w:val="20"/>
              </w:rPr>
              <w:t>Severe CKD</w:t>
            </w:r>
          </w:p>
        </w:tc>
        <w:tc>
          <w:tcPr>
            <w:tcW w:w="841" w:type="dxa"/>
            <w:tcBorders>
              <w:top w:val="single" w:sz="4" w:space="0" w:color="auto"/>
              <w:left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43F4CAFC" w14:textId="77777777" w:rsidR="00B41760" w:rsidRPr="0011645D" w:rsidRDefault="00B41760">
            <w:pPr>
              <w:jc w:val="center"/>
              <w:cnfStyle w:val="100000000000" w:firstRow="1" w:lastRow="0" w:firstColumn="0" w:lastColumn="0" w:oddVBand="0" w:evenVBand="0" w:oddHBand="0" w:evenHBand="0" w:firstRowFirstColumn="0" w:firstRowLastColumn="0" w:lastRowFirstColumn="0" w:lastRowLastColumn="0"/>
              <w:rPr>
                <w:sz w:val="20"/>
                <w:szCs w:val="20"/>
              </w:rPr>
            </w:pPr>
            <w:r w:rsidRPr="0011645D">
              <w:rPr>
                <w:sz w:val="20"/>
                <w:szCs w:val="20"/>
              </w:rPr>
              <w:t>p value</w:t>
            </w:r>
          </w:p>
        </w:tc>
        <w:tc>
          <w:tcPr>
            <w:tcW w:w="1711" w:type="dxa"/>
            <w:tcBorders>
              <w:top w:val="single" w:sz="4" w:space="0" w:color="auto"/>
              <w:left w:val="thickThinLargeGap" w:sz="18" w:space="0" w:color="auto"/>
              <w:right w:val="single" w:sz="4" w:space="0" w:color="999999" w:themeColor="text1" w:themeTint="66"/>
            </w:tcBorders>
            <w:tcMar>
              <w:top w:w="0" w:type="dxa"/>
              <w:left w:w="0" w:type="dxa"/>
              <w:bottom w:w="0" w:type="dxa"/>
              <w:right w:w="0" w:type="dxa"/>
            </w:tcMar>
            <w:vAlign w:val="center"/>
            <w:hideMark/>
          </w:tcPr>
          <w:p w14:paraId="211BF785" w14:textId="77777777" w:rsidR="00B41760" w:rsidRPr="0011645D" w:rsidRDefault="00B41760">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11645D">
              <w:rPr>
                <w:sz w:val="20"/>
                <w:szCs w:val="20"/>
              </w:rPr>
              <w:t>HFrEF</w:t>
            </w:r>
            <w:proofErr w:type="spellEnd"/>
          </w:p>
        </w:tc>
        <w:tc>
          <w:tcPr>
            <w:tcW w:w="1701" w:type="dxa"/>
            <w:tcBorders>
              <w:top w:val="single" w:sz="4" w:space="0" w:color="auto"/>
              <w:left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48F37837" w14:textId="77777777" w:rsidR="00B41760" w:rsidRPr="0011645D" w:rsidRDefault="00B41760">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11645D">
              <w:rPr>
                <w:sz w:val="20"/>
                <w:szCs w:val="20"/>
              </w:rPr>
              <w:t>HFmEF</w:t>
            </w:r>
            <w:proofErr w:type="spellEnd"/>
          </w:p>
        </w:tc>
        <w:tc>
          <w:tcPr>
            <w:tcW w:w="1701" w:type="dxa"/>
            <w:tcBorders>
              <w:top w:val="single" w:sz="4" w:space="0" w:color="auto"/>
              <w:left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3F57BA16" w14:textId="77777777" w:rsidR="00B41760" w:rsidRPr="0011645D" w:rsidRDefault="00B41760">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11645D">
              <w:rPr>
                <w:sz w:val="20"/>
                <w:szCs w:val="20"/>
              </w:rPr>
              <w:t>HFpEF</w:t>
            </w:r>
            <w:proofErr w:type="spellEnd"/>
          </w:p>
        </w:tc>
        <w:tc>
          <w:tcPr>
            <w:tcW w:w="850" w:type="dxa"/>
            <w:tcBorders>
              <w:top w:val="single" w:sz="4" w:space="0" w:color="auto"/>
              <w:left w:val="single" w:sz="4" w:space="0" w:color="999999" w:themeColor="text1" w:themeTint="66"/>
              <w:right w:val="single" w:sz="4" w:space="0" w:color="auto"/>
            </w:tcBorders>
            <w:tcMar>
              <w:top w:w="0" w:type="dxa"/>
              <w:left w:w="0" w:type="dxa"/>
              <w:bottom w:w="0" w:type="dxa"/>
              <w:right w:w="0" w:type="dxa"/>
            </w:tcMar>
            <w:vAlign w:val="center"/>
            <w:hideMark/>
          </w:tcPr>
          <w:p w14:paraId="238AAB3F" w14:textId="77777777" w:rsidR="00B41760" w:rsidRPr="0011645D" w:rsidRDefault="00B41760">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1645D">
              <w:rPr>
                <w:sz w:val="20"/>
                <w:szCs w:val="20"/>
              </w:rPr>
              <w:t>p value</w:t>
            </w:r>
          </w:p>
        </w:tc>
      </w:tr>
      <w:tr w:rsidR="0011645D" w:rsidRPr="0011645D" w14:paraId="122E0CA7" w14:textId="77777777" w:rsidTr="007116F1">
        <w:trPr>
          <w:trHeight w:val="283"/>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999999" w:themeColor="text1" w:themeTint="66"/>
              <w:left w:val="single" w:sz="4"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1A2CA67C" w14:textId="77777777" w:rsidR="00B41760" w:rsidRPr="0011645D" w:rsidRDefault="00B41760">
            <w:pPr>
              <w:jc w:val="center"/>
              <w:rPr>
                <w:b w:val="0"/>
                <w:bCs w:val="0"/>
                <w:sz w:val="20"/>
                <w:szCs w:val="20"/>
              </w:rPr>
            </w:pPr>
            <w:r w:rsidRPr="0011645D">
              <w:rPr>
                <w:sz w:val="20"/>
                <w:szCs w:val="20"/>
              </w:rPr>
              <w:t>Proportion</w:t>
            </w:r>
          </w:p>
        </w:tc>
        <w:tc>
          <w:tcPr>
            <w:tcW w:w="1890" w:type="dxa"/>
            <w:tcBorders>
              <w:top w:val="single" w:sz="4" w:space="0" w:color="999999" w:themeColor="text1" w:themeTint="66"/>
              <w:left w:val="thickThinLargeGap" w:sz="18"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3DFB98B2"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100% (124)</w:t>
            </w:r>
          </w:p>
        </w:tc>
        <w:tc>
          <w:tcPr>
            <w:tcW w:w="170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781DC099"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54.8% (68)</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2872A8EA"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45.2% (56)</w:t>
            </w:r>
          </w:p>
        </w:tc>
        <w:tc>
          <w:tcPr>
            <w:tcW w:w="8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1C6F23F"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w:t>
            </w:r>
          </w:p>
        </w:tc>
        <w:tc>
          <w:tcPr>
            <w:tcW w:w="171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848418A"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49.2% (61)</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67071F20"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20.2% (25)</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7420038"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29.8% (37)</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A0F25E8"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w:t>
            </w:r>
          </w:p>
        </w:tc>
      </w:tr>
      <w:tr w:rsidR="0011645D" w:rsidRPr="0011645D" w14:paraId="18476160" w14:textId="77777777" w:rsidTr="007116F1">
        <w:trPr>
          <w:trHeight w:val="283"/>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999999" w:themeColor="text1" w:themeTint="66"/>
              <w:left w:val="single" w:sz="4"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0BA80E34" w14:textId="77777777" w:rsidR="00B41760" w:rsidRPr="0011645D" w:rsidRDefault="00B41760">
            <w:pPr>
              <w:jc w:val="center"/>
              <w:rPr>
                <w:b w:val="0"/>
                <w:bCs w:val="0"/>
                <w:sz w:val="20"/>
                <w:szCs w:val="20"/>
              </w:rPr>
            </w:pPr>
            <w:r w:rsidRPr="0011645D">
              <w:rPr>
                <w:sz w:val="20"/>
                <w:szCs w:val="20"/>
              </w:rPr>
              <w:t>Age</w:t>
            </w:r>
            <w:r w:rsidRPr="0011645D">
              <w:rPr>
                <w:b w:val="0"/>
                <w:bCs w:val="0"/>
                <w:sz w:val="20"/>
                <w:szCs w:val="20"/>
              </w:rPr>
              <w:t>, years</w:t>
            </w:r>
          </w:p>
        </w:tc>
        <w:tc>
          <w:tcPr>
            <w:tcW w:w="1890" w:type="dxa"/>
            <w:tcBorders>
              <w:top w:val="single" w:sz="4" w:space="0" w:color="999999" w:themeColor="text1" w:themeTint="66"/>
              <w:left w:val="thickThinLargeGap" w:sz="18"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4935A8D2"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78.5 (16.3)</w:t>
            </w:r>
          </w:p>
        </w:tc>
        <w:tc>
          <w:tcPr>
            <w:tcW w:w="170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2A9A6884"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78.8 (13.7)</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00A85CD5"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78.3 (19.9)</w:t>
            </w:r>
          </w:p>
        </w:tc>
        <w:tc>
          <w:tcPr>
            <w:tcW w:w="8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5FE18CA"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0.53</w:t>
            </w:r>
          </w:p>
        </w:tc>
        <w:tc>
          <w:tcPr>
            <w:tcW w:w="171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009ED2E"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77.8 (17.6)</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67DCBCF3"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79.0 (61.2-83.4)</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A499BCF"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80.5 (14.8)</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4EB0C66"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0.45</w:t>
            </w:r>
          </w:p>
        </w:tc>
      </w:tr>
      <w:tr w:rsidR="0011645D" w:rsidRPr="0011645D" w14:paraId="655AC4CE" w14:textId="77777777" w:rsidTr="007116F1">
        <w:trPr>
          <w:trHeight w:val="283"/>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999999" w:themeColor="text1" w:themeTint="66"/>
              <w:left w:val="single" w:sz="4"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056F5BD2" w14:textId="77777777" w:rsidR="00B41760" w:rsidRPr="0011645D" w:rsidRDefault="00B41760">
            <w:pPr>
              <w:jc w:val="center"/>
              <w:rPr>
                <w:b w:val="0"/>
                <w:bCs w:val="0"/>
                <w:sz w:val="20"/>
                <w:szCs w:val="20"/>
              </w:rPr>
            </w:pPr>
            <w:r w:rsidRPr="0011645D">
              <w:rPr>
                <w:sz w:val="20"/>
                <w:szCs w:val="20"/>
              </w:rPr>
              <w:t>eGFR</w:t>
            </w:r>
            <w:r w:rsidRPr="0011645D">
              <w:rPr>
                <w:b w:val="0"/>
                <w:bCs w:val="0"/>
                <w:sz w:val="20"/>
                <w:szCs w:val="20"/>
              </w:rPr>
              <w:t>, ml/min/1.73m</w:t>
            </w:r>
            <w:r w:rsidRPr="0011645D">
              <w:rPr>
                <w:b w:val="0"/>
                <w:bCs w:val="0"/>
                <w:sz w:val="20"/>
                <w:szCs w:val="20"/>
                <w:vertAlign w:val="superscript"/>
              </w:rPr>
              <w:t>2</w:t>
            </w:r>
          </w:p>
        </w:tc>
        <w:tc>
          <w:tcPr>
            <w:tcW w:w="1890" w:type="dxa"/>
            <w:tcBorders>
              <w:top w:val="single" w:sz="4" w:space="0" w:color="999999" w:themeColor="text1" w:themeTint="66"/>
              <w:left w:val="thickThinLargeGap" w:sz="18"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1C2246C1"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31.4 (10.1)</w:t>
            </w:r>
          </w:p>
        </w:tc>
        <w:tc>
          <w:tcPr>
            <w:tcW w:w="170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6A012E2E"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38.4 (6.8)</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4A559345"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22.1 (4.7)</w:t>
            </w:r>
          </w:p>
        </w:tc>
        <w:tc>
          <w:tcPr>
            <w:tcW w:w="8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4FFFA1DF"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&lt;0.001</w:t>
            </w:r>
          </w:p>
        </w:tc>
        <w:tc>
          <w:tcPr>
            <w:tcW w:w="171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CF1BFC1"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31.2 (10.3)</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01561D7E"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30.3 (11.1)</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FB61E19"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32.1 (9.1)</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68AD8F2E"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0.85</w:t>
            </w:r>
          </w:p>
        </w:tc>
      </w:tr>
      <w:tr w:rsidR="0011645D" w:rsidRPr="0011645D" w14:paraId="0B8259B2" w14:textId="77777777" w:rsidTr="007116F1">
        <w:trPr>
          <w:trHeight w:val="283"/>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999999" w:themeColor="text1" w:themeTint="66"/>
              <w:left w:val="single" w:sz="4"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663CFEA8" w14:textId="592F778A" w:rsidR="00B41760" w:rsidRPr="0011645D" w:rsidRDefault="00B41760">
            <w:pPr>
              <w:jc w:val="center"/>
              <w:rPr>
                <w:b w:val="0"/>
                <w:bCs w:val="0"/>
                <w:sz w:val="20"/>
                <w:szCs w:val="20"/>
              </w:rPr>
            </w:pPr>
            <w:r w:rsidRPr="0011645D">
              <w:rPr>
                <w:sz w:val="20"/>
                <w:szCs w:val="20"/>
              </w:rPr>
              <w:t>EF</w:t>
            </w:r>
            <w:r w:rsidR="007116F1" w:rsidRPr="0011645D">
              <w:rPr>
                <w:b w:val="0"/>
                <w:bCs w:val="0"/>
                <w:sz w:val="20"/>
                <w:szCs w:val="20"/>
              </w:rPr>
              <w:t>, %</w:t>
            </w:r>
          </w:p>
        </w:tc>
        <w:tc>
          <w:tcPr>
            <w:tcW w:w="1890" w:type="dxa"/>
            <w:tcBorders>
              <w:top w:val="single" w:sz="4" w:space="0" w:color="999999" w:themeColor="text1" w:themeTint="66"/>
              <w:left w:val="thickThinLargeGap" w:sz="18"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4D025B7B"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38.8 (13.8)</w:t>
            </w:r>
          </w:p>
        </w:tc>
        <w:tc>
          <w:tcPr>
            <w:tcW w:w="170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6E7C5F76"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40.1 (14.9)</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346733A5"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37.2 (12.3)</w:t>
            </w:r>
          </w:p>
        </w:tc>
        <w:tc>
          <w:tcPr>
            <w:tcW w:w="8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76350B7E"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0.32</w:t>
            </w:r>
          </w:p>
        </w:tc>
        <w:tc>
          <w:tcPr>
            <w:tcW w:w="171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6C06D6B5"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27.1 (6.6)</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D67DA5C"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42.1 (2.5)</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7430D7F5"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55.8 (5.2)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0D9B85C"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&lt;0.001</w:t>
            </w:r>
          </w:p>
        </w:tc>
      </w:tr>
      <w:tr w:rsidR="0011645D" w:rsidRPr="0011645D" w14:paraId="3A19529F" w14:textId="77777777" w:rsidTr="007116F1">
        <w:trPr>
          <w:trHeight w:val="283"/>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999999" w:themeColor="text1" w:themeTint="66"/>
              <w:left w:val="single" w:sz="4"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22B7C4F4" w14:textId="77777777" w:rsidR="00B41760" w:rsidRPr="0011645D" w:rsidRDefault="00B41760">
            <w:pPr>
              <w:jc w:val="center"/>
              <w:rPr>
                <w:b w:val="0"/>
                <w:bCs w:val="0"/>
                <w:sz w:val="20"/>
                <w:szCs w:val="20"/>
              </w:rPr>
            </w:pPr>
            <w:r w:rsidRPr="0011645D">
              <w:rPr>
                <w:sz w:val="20"/>
                <w:szCs w:val="20"/>
              </w:rPr>
              <w:t>Diabetes</w:t>
            </w:r>
          </w:p>
        </w:tc>
        <w:tc>
          <w:tcPr>
            <w:tcW w:w="1890" w:type="dxa"/>
            <w:tcBorders>
              <w:top w:val="single" w:sz="4" w:space="0" w:color="999999" w:themeColor="text1" w:themeTint="66"/>
              <w:left w:val="thickThinLargeGap" w:sz="18"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7F0B7C75"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52.4% (65)</w:t>
            </w:r>
          </w:p>
        </w:tc>
        <w:tc>
          <w:tcPr>
            <w:tcW w:w="170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76B2A111"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52.9% (36)</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3DDA0016"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51.8% (29)</w:t>
            </w:r>
          </w:p>
        </w:tc>
        <w:tc>
          <w:tcPr>
            <w:tcW w:w="8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6F423005"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0.90</w:t>
            </w:r>
          </w:p>
        </w:tc>
        <w:tc>
          <w:tcPr>
            <w:tcW w:w="171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9391C76"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44.3% (27)</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7F05C363"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64.0% (16)</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B25BC15"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59.5% (22)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1AD22B6"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0.20</w:t>
            </w:r>
          </w:p>
        </w:tc>
      </w:tr>
      <w:tr w:rsidR="0011645D" w:rsidRPr="0011645D" w14:paraId="0804571B" w14:textId="77777777" w:rsidTr="007116F1">
        <w:trPr>
          <w:trHeight w:val="283"/>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999999" w:themeColor="text1" w:themeTint="66"/>
              <w:left w:val="single" w:sz="4"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78836192" w14:textId="77777777" w:rsidR="00B41760" w:rsidRPr="0011645D" w:rsidRDefault="00B41760">
            <w:pPr>
              <w:jc w:val="center"/>
              <w:rPr>
                <w:b w:val="0"/>
                <w:bCs w:val="0"/>
                <w:sz w:val="20"/>
                <w:szCs w:val="20"/>
              </w:rPr>
            </w:pPr>
            <w:r w:rsidRPr="0011645D">
              <w:rPr>
                <w:sz w:val="20"/>
                <w:szCs w:val="20"/>
              </w:rPr>
              <w:t>Na</w:t>
            </w:r>
            <w:r w:rsidRPr="0011645D">
              <w:rPr>
                <w:b w:val="0"/>
                <w:bCs w:val="0"/>
                <w:sz w:val="20"/>
                <w:szCs w:val="20"/>
              </w:rPr>
              <w:t>, mmol/L</w:t>
            </w:r>
          </w:p>
        </w:tc>
        <w:tc>
          <w:tcPr>
            <w:tcW w:w="1890" w:type="dxa"/>
            <w:tcBorders>
              <w:top w:val="single" w:sz="4" w:space="0" w:color="999999" w:themeColor="text1" w:themeTint="66"/>
              <w:left w:val="thickThinLargeGap" w:sz="18"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634306A3"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140.5 (3.5)</w:t>
            </w:r>
          </w:p>
        </w:tc>
        <w:tc>
          <w:tcPr>
            <w:tcW w:w="170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D628AEF"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140.2 (3.9)</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6878C5FE"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140.8 (3.0)</w:t>
            </w:r>
          </w:p>
        </w:tc>
        <w:tc>
          <w:tcPr>
            <w:tcW w:w="8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7C5092F0"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0.61</w:t>
            </w:r>
          </w:p>
        </w:tc>
        <w:tc>
          <w:tcPr>
            <w:tcW w:w="171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3A21F015"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140.3 (3.9)</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430428E0"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141.6 (2.4)</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1A0EBA6"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140.1 (3.3)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657D03B6"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0.26</w:t>
            </w:r>
          </w:p>
        </w:tc>
      </w:tr>
      <w:tr w:rsidR="0011645D" w:rsidRPr="0011645D" w14:paraId="0A52F5DB" w14:textId="77777777" w:rsidTr="007116F1">
        <w:trPr>
          <w:trHeight w:val="283"/>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999999" w:themeColor="text1" w:themeTint="66"/>
              <w:left w:val="single" w:sz="4"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298E4F32" w14:textId="77777777" w:rsidR="00B41760" w:rsidRPr="0011645D" w:rsidRDefault="00B41760">
            <w:pPr>
              <w:jc w:val="center"/>
              <w:rPr>
                <w:b w:val="0"/>
                <w:bCs w:val="0"/>
                <w:sz w:val="20"/>
                <w:szCs w:val="20"/>
              </w:rPr>
            </w:pPr>
            <w:r w:rsidRPr="0011645D">
              <w:rPr>
                <w:sz w:val="20"/>
                <w:szCs w:val="20"/>
              </w:rPr>
              <w:t>K</w:t>
            </w:r>
            <w:r w:rsidRPr="0011645D">
              <w:rPr>
                <w:b w:val="0"/>
                <w:bCs w:val="0"/>
                <w:sz w:val="20"/>
                <w:szCs w:val="20"/>
              </w:rPr>
              <w:t>, mmol/L</w:t>
            </w:r>
          </w:p>
        </w:tc>
        <w:tc>
          <w:tcPr>
            <w:tcW w:w="1890" w:type="dxa"/>
            <w:tcBorders>
              <w:top w:val="single" w:sz="4" w:space="0" w:color="999999" w:themeColor="text1" w:themeTint="66"/>
              <w:left w:val="thickThinLargeGap" w:sz="18"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53810755"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4.6 (0.5)</w:t>
            </w:r>
          </w:p>
        </w:tc>
        <w:tc>
          <w:tcPr>
            <w:tcW w:w="170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8031D60"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4.6 (0.5)</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4A8AA904"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4.6 (0.6)</w:t>
            </w:r>
          </w:p>
        </w:tc>
        <w:tc>
          <w:tcPr>
            <w:tcW w:w="8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4482E0AF"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0.60</w:t>
            </w:r>
          </w:p>
        </w:tc>
        <w:tc>
          <w:tcPr>
            <w:tcW w:w="171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6BF2786E"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4.6 (0.5)</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0031284"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4.5 (0.5)</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20EA23DA"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4.6 (0.6)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16E2A20"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0.39</w:t>
            </w:r>
          </w:p>
        </w:tc>
      </w:tr>
      <w:tr w:rsidR="0011645D" w:rsidRPr="0011645D" w14:paraId="3084F0D3" w14:textId="77777777" w:rsidTr="007116F1">
        <w:trPr>
          <w:trHeight w:val="283"/>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999999" w:themeColor="text1" w:themeTint="66"/>
              <w:left w:val="single" w:sz="4"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2BAE7913" w14:textId="77777777" w:rsidR="00B41760" w:rsidRPr="0011645D" w:rsidRDefault="00B41760">
            <w:pPr>
              <w:jc w:val="center"/>
              <w:rPr>
                <w:b w:val="0"/>
                <w:bCs w:val="0"/>
                <w:sz w:val="20"/>
                <w:szCs w:val="20"/>
              </w:rPr>
            </w:pPr>
            <w:r w:rsidRPr="0011645D">
              <w:rPr>
                <w:sz w:val="20"/>
                <w:szCs w:val="20"/>
              </w:rPr>
              <w:t>Hb</w:t>
            </w:r>
            <w:r w:rsidRPr="0011645D">
              <w:rPr>
                <w:b w:val="0"/>
                <w:bCs w:val="0"/>
                <w:sz w:val="20"/>
                <w:szCs w:val="20"/>
              </w:rPr>
              <w:t>, g/L</w:t>
            </w:r>
          </w:p>
        </w:tc>
        <w:tc>
          <w:tcPr>
            <w:tcW w:w="1890" w:type="dxa"/>
            <w:tcBorders>
              <w:top w:val="single" w:sz="4" w:space="0" w:color="999999" w:themeColor="text1" w:themeTint="66"/>
              <w:left w:val="thickThinLargeGap" w:sz="18"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5F678F50"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114.1 (20.7)</w:t>
            </w:r>
          </w:p>
        </w:tc>
        <w:tc>
          <w:tcPr>
            <w:tcW w:w="170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22F1DFDC"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117.3 (20.3)</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3425AEB3"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110.3 (22.8)</w:t>
            </w:r>
          </w:p>
        </w:tc>
        <w:tc>
          <w:tcPr>
            <w:tcW w:w="8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24ABD036"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0.07</w:t>
            </w:r>
          </w:p>
        </w:tc>
        <w:tc>
          <w:tcPr>
            <w:tcW w:w="171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6E5F7085"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114.9 (21.3)</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E6C9467"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113.4 (23.3)</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06861773"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113.0 (18.4)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613E5D0F"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0.66</w:t>
            </w:r>
          </w:p>
        </w:tc>
      </w:tr>
      <w:tr w:rsidR="0011645D" w:rsidRPr="0011645D" w14:paraId="27D97961" w14:textId="77777777" w:rsidTr="007116F1">
        <w:trPr>
          <w:trHeight w:val="283"/>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999999" w:themeColor="text1" w:themeTint="66"/>
              <w:left w:val="single" w:sz="4"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7717A976" w14:textId="0D09D854" w:rsidR="00B41760" w:rsidRPr="0011645D" w:rsidRDefault="00B41760">
            <w:pPr>
              <w:jc w:val="center"/>
              <w:rPr>
                <w:b w:val="0"/>
                <w:bCs w:val="0"/>
                <w:sz w:val="20"/>
                <w:szCs w:val="20"/>
              </w:rPr>
            </w:pPr>
            <w:r w:rsidRPr="0011645D">
              <w:rPr>
                <w:sz w:val="20"/>
                <w:szCs w:val="20"/>
              </w:rPr>
              <w:t>Hospital admission</w:t>
            </w:r>
            <w:r w:rsidR="007116F1" w:rsidRPr="0011645D">
              <w:rPr>
                <w:sz w:val="20"/>
                <w:szCs w:val="20"/>
              </w:rPr>
              <w:t>s</w:t>
            </w:r>
          </w:p>
        </w:tc>
        <w:tc>
          <w:tcPr>
            <w:tcW w:w="1890" w:type="dxa"/>
            <w:tcBorders>
              <w:top w:val="single" w:sz="4" w:space="0" w:color="999999" w:themeColor="text1" w:themeTint="66"/>
              <w:left w:val="thickThinLargeGap" w:sz="18" w:space="0" w:color="auto"/>
              <w:bottom w:val="single" w:sz="4" w:space="0" w:color="999999" w:themeColor="text1" w:themeTint="66"/>
              <w:right w:val="thickThinLargeGap" w:sz="18" w:space="0" w:color="auto"/>
            </w:tcBorders>
            <w:tcMar>
              <w:top w:w="0" w:type="dxa"/>
              <w:left w:w="0" w:type="dxa"/>
              <w:bottom w:w="0" w:type="dxa"/>
              <w:right w:w="0" w:type="dxa"/>
            </w:tcMar>
            <w:vAlign w:val="center"/>
            <w:hideMark/>
          </w:tcPr>
          <w:p w14:paraId="61CD19C3"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50% (62)</w:t>
            </w:r>
          </w:p>
        </w:tc>
        <w:tc>
          <w:tcPr>
            <w:tcW w:w="170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4623E76"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42.6% (29)</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1802E892"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58.9% (33)</w:t>
            </w:r>
          </w:p>
        </w:tc>
        <w:tc>
          <w:tcPr>
            <w:tcW w:w="8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42A0E941"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0.10</w:t>
            </w:r>
          </w:p>
        </w:tc>
        <w:tc>
          <w:tcPr>
            <w:tcW w:w="1711" w:type="dxa"/>
            <w:tcBorders>
              <w:top w:val="single" w:sz="4" w:space="0" w:color="999999" w:themeColor="text1" w:themeTint="66"/>
              <w:left w:val="thickThinLargeGap" w:sz="18"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32212FA4"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60.7% (37)</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3E2D75ED"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32.0% (8)</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7111ECA5"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45.9% (17)</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7B07731"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0.04*</w:t>
            </w:r>
          </w:p>
        </w:tc>
      </w:tr>
      <w:tr w:rsidR="0011645D" w:rsidRPr="0011645D" w14:paraId="5FB5F159" w14:textId="77777777" w:rsidTr="007116F1">
        <w:trPr>
          <w:trHeight w:val="283"/>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999999" w:themeColor="text1" w:themeTint="66"/>
              <w:left w:val="single" w:sz="4" w:space="0" w:color="auto"/>
              <w:bottom w:val="single" w:sz="4" w:space="0" w:color="auto"/>
              <w:right w:val="thickThinLargeGap" w:sz="18" w:space="0" w:color="auto"/>
            </w:tcBorders>
            <w:tcMar>
              <w:top w:w="0" w:type="dxa"/>
              <w:left w:w="0" w:type="dxa"/>
              <w:bottom w:w="0" w:type="dxa"/>
              <w:right w:w="0" w:type="dxa"/>
            </w:tcMar>
            <w:vAlign w:val="center"/>
            <w:hideMark/>
          </w:tcPr>
          <w:p w14:paraId="5D124B43" w14:textId="77777777" w:rsidR="00B41760" w:rsidRPr="0011645D" w:rsidRDefault="00B41760">
            <w:pPr>
              <w:jc w:val="center"/>
              <w:rPr>
                <w:sz w:val="20"/>
                <w:szCs w:val="20"/>
              </w:rPr>
            </w:pPr>
            <w:r w:rsidRPr="0011645D">
              <w:rPr>
                <w:sz w:val="20"/>
                <w:szCs w:val="20"/>
              </w:rPr>
              <w:t>Death</w:t>
            </w:r>
          </w:p>
        </w:tc>
        <w:tc>
          <w:tcPr>
            <w:tcW w:w="1890" w:type="dxa"/>
            <w:tcBorders>
              <w:top w:val="single" w:sz="4" w:space="0" w:color="999999" w:themeColor="text1" w:themeTint="66"/>
              <w:left w:val="thickThinLargeGap" w:sz="18" w:space="0" w:color="auto"/>
              <w:bottom w:val="single" w:sz="4" w:space="0" w:color="auto"/>
              <w:right w:val="thickThinLargeGap" w:sz="18" w:space="0" w:color="auto"/>
            </w:tcBorders>
            <w:tcMar>
              <w:top w:w="0" w:type="dxa"/>
              <w:left w:w="0" w:type="dxa"/>
              <w:bottom w:w="0" w:type="dxa"/>
              <w:right w:w="0" w:type="dxa"/>
            </w:tcMar>
            <w:vAlign w:val="center"/>
            <w:hideMark/>
          </w:tcPr>
          <w:p w14:paraId="21DE3F0E"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16.1% (20)</w:t>
            </w:r>
          </w:p>
        </w:tc>
        <w:tc>
          <w:tcPr>
            <w:tcW w:w="1701" w:type="dxa"/>
            <w:tcBorders>
              <w:top w:val="single" w:sz="4" w:space="0" w:color="999999" w:themeColor="text1" w:themeTint="66"/>
              <w:left w:val="thickThinLargeGap" w:sz="18" w:space="0" w:color="auto"/>
              <w:bottom w:val="single" w:sz="4" w:space="0" w:color="auto"/>
              <w:right w:val="single" w:sz="4" w:space="0" w:color="999999" w:themeColor="text1" w:themeTint="66"/>
            </w:tcBorders>
            <w:tcMar>
              <w:top w:w="0" w:type="dxa"/>
              <w:left w:w="0" w:type="dxa"/>
              <w:bottom w:w="0" w:type="dxa"/>
              <w:right w:w="0" w:type="dxa"/>
            </w:tcMar>
            <w:vAlign w:val="center"/>
            <w:hideMark/>
          </w:tcPr>
          <w:p w14:paraId="6625BD46"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14.7% (10)</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50DB0151"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17.9% (10)</w:t>
            </w:r>
          </w:p>
        </w:tc>
        <w:tc>
          <w:tcPr>
            <w:tcW w:w="8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7CCE66ED"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0.81</w:t>
            </w:r>
          </w:p>
        </w:tc>
        <w:tc>
          <w:tcPr>
            <w:tcW w:w="1711" w:type="dxa"/>
            <w:tcBorders>
              <w:top w:val="single" w:sz="4" w:space="0" w:color="999999" w:themeColor="text1" w:themeTint="66"/>
              <w:left w:val="thickThinLargeGap" w:sz="18" w:space="0" w:color="auto"/>
              <w:bottom w:val="single" w:sz="4" w:space="0" w:color="auto"/>
              <w:right w:val="single" w:sz="4" w:space="0" w:color="999999" w:themeColor="text1" w:themeTint="66"/>
            </w:tcBorders>
            <w:tcMar>
              <w:top w:w="0" w:type="dxa"/>
              <w:left w:w="0" w:type="dxa"/>
              <w:bottom w:w="0" w:type="dxa"/>
              <w:right w:w="0" w:type="dxa"/>
            </w:tcMar>
            <w:vAlign w:val="center"/>
            <w:hideMark/>
          </w:tcPr>
          <w:p w14:paraId="154F7E86"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24.6% (15)</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25B587DD"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8.0% (2)</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0" w:type="dxa"/>
              <w:left w:w="0" w:type="dxa"/>
              <w:bottom w:w="0" w:type="dxa"/>
              <w:right w:w="0" w:type="dxa"/>
            </w:tcMar>
            <w:vAlign w:val="center"/>
            <w:hideMark/>
          </w:tcPr>
          <w:p w14:paraId="4029F111"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8.1% (3)</w:t>
            </w:r>
          </w:p>
        </w:tc>
        <w:tc>
          <w:tcPr>
            <w:tcW w:w="850" w:type="dxa"/>
            <w:tcBorders>
              <w:top w:val="single" w:sz="4" w:space="0" w:color="999999" w:themeColor="text1" w:themeTint="66"/>
              <w:left w:val="single" w:sz="4" w:space="0" w:color="999999" w:themeColor="text1" w:themeTint="66"/>
              <w:bottom w:val="single" w:sz="4" w:space="0" w:color="auto"/>
              <w:right w:val="single" w:sz="4" w:space="0" w:color="auto"/>
            </w:tcBorders>
            <w:tcMar>
              <w:top w:w="0" w:type="dxa"/>
              <w:left w:w="0" w:type="dxa"/>
              <w:bottom w:w="0" w:type="dxa"/>
              <w:right w:w="0" w:type="dxa"/>
            </w:tcMar>
            <w:vAlign w:val="center"/>
            <w:hideMark/>
          </w:tcPr>
          <w:p w14:paraId="2411F377" w14:textId="77777777" w:rsidR="00B41760" w:rsidRPr="0011645D" w:rsidRDefault="00B41760">
            <w:pPr>
              <w:jc w:val="center"/>
              <w:cnfStyle w:val="000000000000" w:firstRow="0" w:lastRow="0" w:firstColumn="0" w:lastColumn="0" w:oddVBand="0" w:evenVBand="0" w:oddHBand="0" w:evenHBand="0" w:firstRowFirstColumn="0" w:firstRowLastColumn="0" w:lastRowFirstColumn="0" w:lastRowLastColumn="0"/>
              <w:rPr>
                <w:sz w:val="20"/>
                <w:szCs w:val="20"/>
              </w:rPr>
            </w:pPr>
            <w:r w:rsidRPr="0011645D">
              <w:rPr>
                <w:sz w:val="20"/>
                <w:szCs w:val="20"/>
              </w:rPr>
              <w:t>0.04*</w:t>
            </w:r>
          </w:p>
        </w:tc>
      </w:tr>
    </w:tbl>
    <w:p w14:paraId="61F8CA5B" w14:textId="77777777" w:rsidR="00B41760" w:rsidRPr="0011645D" w:rsidRDefault="00B41760" w:rsidP="00B41760">
      <w:pPr>
        <w:jc w:val="center"/>
        <w:rPr>
          <w:b/>
          <w:sz w:val="20"/>
          <w:szCs w:val="20"/>
        </w:rPr>
      </w:pPr>
    </w:p>
    <w:p w14:paraId="2077FBE6" w14:textId="77777777" w:rsidR="00B41760" w:rsidRPr="0011645D" w:rsidRDefault="00B41760" w:rsidP="00B41760">
      <w:pPr>
        <w:spacing w:after="0"/>
        <w:rPr>
          <w:b/>
          <w:sz w:val="20"/>
          <w:szCs w:val="20"/>
          <w:highlight w:val="yellow"/>
        </w:rPr>
        <w:sectPr w:rsidR="00B41760" w:rsidRPr="0011645D">
          <w:pgSz w:w="16838" w:h="11906" w:orient="landscape"/>
          <w:pgMar w:top="1134" w:right="720" w:bottom="991" w:left="720" w:header="708" w:footer="708" w:gutter="0"/>
          <w:cols w:space="720"/>
        </w:sectPr>
      </w:pPr>
      <w:r w:rsidRPr="0011645D">
        <w:rPr>
          <w:b/>
          <w:sz w:val="20"/>
          <w:szCs w:val="20"/>
        </w:rPr>
        <w:br w:type="page"/>
      </w:r>
    </w:p>
    <w:p w14:paraId="36075D2E" w14:textId="77777777" w:rsidR="00B41760" w:rsidRPr="0011645D" w:rsidRDefault="00B41760" w:rsidP="00B41760">
      <w:pPr>
        <w:jc w:val="both"/>
        <w:rPr>
          <w:b/>
          <w:sz w:val="20"/>
          <w:szCs w:val="20"/>
        </w:rPr>
      </w:pPr>
      <w:r w:rsidRPr="0011645D">
        <w:rPr>
          <w:b/>
          <w:sz w:val="20"/>
          <w:szCs w:val="20"/>
        </w:rPr>
        <w:lastRenderedPageBreak/>
        <w:t>Table 2: Logistic regression analysis on e</w:t>
      </w:r>
      <w:r w:rsidRPr="0011645D">
        <w:rPr>
          <w:b/>
          <w:bCs/>
          <w:sz w:val="20"/>
          <w:szCs w:val="20"/>
        </w:rPr>
        <w:t>ffects of different variables on mortality</w:t>
      </w:r>
    </w:p>
    <w:p w14:paraId="1A978491" w14:textId="77777777" w:rsidR="00B41760" w:rsidRPr="0011645D" w:rsidRDefault="00B41760" w:rsidP="00B41760">
      <w:pPr>
        <w:jc w:val="both"/>
        <w:rPr>
          <w:bCs/>
          <w:sz w:val="20"/>
          <w:szCs w:val="20"/>
        </w:rPr>
      </w:pPr>
      <w:r w:rsidRPr="0011645D">
        <w:rPr>
          <w:bCs/>
          <w:sz w:val="20"/>
          <w:szCs w:val="20"/>
        </w:rPr>
        <w:t>*Constant: odds of death for a male patient of median age (78.5 years), non-diabetic, with moderate CKD and HF with ejection fraction &gt;40.</w:t>
      </w:r>
    </w:p>
    <w:tbl>
      <w:tblPr>
        <w:tblStyle w:val="TableGrid"/>
        <w:tblW w:w="9158" w:type="dxa"/>
        <w:tblLook w:val="04A0" w:firstRow="1" w:lastRow="0" w:firstColumn="1" w:lastColumn="0" w:noHBand="0" w:noVBand="1"/>
      </w:tblPr>
      <w:tblGrid>
        <w:gridCol w:w="1864"/>
        <w:gridCol w:w="846"/>
        <w:gridCol w:w="971"/>
        <w:gridCol w:w="806"/>
        <w:gridCol w:w="888"/>
        <w:gridCol w:w="922"/>
        <w:gridCol w:w="985"/>
        <w:gridCol w:w="922"/>
        <w:gridCol w:w="954"/>
      </w:tblGrid>
      <w:tr w:rsidR="0011645D" w:rsidRPr="0011645D" w14:paraId="4340D984" w14:textId="77777777" w:rsidTr="00C45D61">
        <w:tc>
          <w:tcPr>
            <w:tcW w:w="1864" w:type="dxa"/>
            <w:tcBorders>
              <w:top w:val="single" w:sz="4" w:space="0" w:color="auto"/>
              <w:left w:val="single" w:sz="4" w:space="0" w:color="auto"/>
              <w:bottom w:val="single" w:sz="4" w:space="0" w:color="auto"/>
              <w:right w:val="thickThinLargeGap" w:sz="18" w:space="0" w:color="auto"/>
            </w:tcBorders>
          </w:tcPr>
          <w:p w14:paraId="41C56646" w14:textId="77777777" w:rsidR="00B41760" w:rsidRPr="0011645D" w:rsidRDefault="00B41760">
            <w:pPr>
              <w:jc w:val="both"/>
              <w:rPr>
                <w:b/>
                <w:bCs/>
                <w:sz w:val="20"/>
                <w:szCs w:val="20"/>
              </w:rPr>
            </w:pPr>
          </w:p>
        </w:tc>
        <w:tc>
          <w:tcPr>
            <w:tcW w:w="3511" w:type="dxa"/>
            <w:gridSpan w:val="4"/>
            <w:tcBorders>
              <w:top w:val="single" w:sz="4" w:space="0" w:color="auto"/>
              <w:left w:val="thickThinLargeGap" w:sz="18" w:space="0" w:color="auto"/>
              <w:bottom w:val="single" w:sz="4" w:space="0" w:color="auto"/>
              <w:right w:val="thickThinLargeGap" w:sz="18" w:space="0" w:color="auto"/>
            </w:tcBorders>
            <w:hideMark/>
          </w:tcPr>
          <w:p w14:paraId="4CF15CBA" w14:textId="77777777" w:rsidR="00B41760" w:rsidRPr="0011645D" w:rsidRDefault="00B41760">
            <w:pPr>
              <w:jc w:val="center"/>
              <w:rPr>
                <w:b/>
                <w:bCs/>
                <w:sz w:val="20"/>
                <w:szCs w:val="20"/>
              </w:rPr>
            </w:pPr>
            <w:r w:rsidRPr="0011645D">
              <w:rPr>
                <w:b/>
                <w:bCs/>
                <w:sz w:val="20"/>
                <w:szCs w:val="20"/>
              </w:rPr>
              <w:t>Univariate analyses</w:t>
            </w:r>
          </w:p>
        </w:tc>
        <w:tc>
          <w:tcPr>
            <w:tcW w:w="3783" w:type="dxa"/>
            <w:gridSpan w:val="4"/>
            <w:tcBorders>
              <w:top w:val="single" w:sz="4" w:space="0" w:color="auto"/>
              <w:left w:val="thickThinLargeGap" w:sz="18" w:space="0" w:color="auto"/>
              <w:bottom w:val="single" w:sz="4" w:space="0" w:color="auto"/>
              <w:right w:val="single" w:sz="4" w:space="0" w:color="auto"/>
            </w:tcBorders>
            <w:hideMark/>
          </w:tcPr>
          <w:p w14:paraId="627F287B" w14:textId="77777777" w:rsidR="00B41760" w:rsidRPr="0011645D" w:rsidRDefault="00B41760">
            <w:pPr>
              <w:jc w:val="center"/>
              <w:rPr>
                <w:b/>
                <w:bCs/>
                <w:sz w:val="20"/>
                <w:szCs w:val="20"/>
              </w:rPr>
            </w:pPr>
            <w:r w:rsidRPr="0011645D">
              <w:rPr>
                <w:b/>
                <w:bCs/>
                <w:sz w:val="20"/>
                <w:szCs w:val="20"/>
              </w:rPr>
              <w:t>Multiple variables analysis</w:t>
            </w:r>
          </w:p>
        </w:tc>
      </w:tr>
      <w:tr w:rsidR="0011645D" w:rsidRPr="0011645D" w14:paraId="112D00A5" w14:textId="77777777" w:rsidTr="00C45D61">
        <w:tc>
          <w:tcPr>
            <w:tcW w:w="1864" w:type="dxa"/>
            <w:tcBorders>
              <w:top w:val="single" w:sz="4" w:space="0" w:color="auto"/>
              <w:left w:val="single" w:sz="4" w:space="0" w:color="auto"/>
              <w:bottom w:val="single" w:sz="4" w:space="0" w:color="auto"/>
              <w:right w:val="thickThinLargeGap" w:sz="18" w:space="0" w:color="auto"/>
            </w:tcBorders>
            <w:hideMark/>
          </w:tcPr>
          <w:p w14:paraId="29E566D6" w14:textId="77777777" w:rsidR="00B41760" w:rsidRPr="0011645D" w:rsidRDefault="00B41760">
            <w:pPr>
              <w:jc w:val="both"/>
              <w:rPr>
                <w:b/>
                <w:bCs/>
                <w:sz w:val="20"/>
                <w:szCs w:val="20"/>
              </w:rPr>
            </w:pPr>
            <w:r w:rsidRPr="0011645D">
              <w:rPr>
                <w:b/>
                <w:bCs/>
                <w:sz w:val="20"/>
                <w:szCs w:val="20"/>
              </w:rPr>
              <w:t>Variable</w:t>
            </w:r>
          </w:p>
        </w:tc>
        <w:tc>
          <w:tcPr>
            <w:tcW w:w="846" w:type="dxa"/>
            <w:tcBorders>
              <w:top w:val="single" w:sz="4" w:space="0" w:color="auto"/>
              <w:left w:val="thickThinLargeGap" w:sz="18" w:space="0" w:color="auto"/>
              <w:bottom w:val="single" w:sz="4" w:space="0" w:color="auto"/>
              <w:right w:val="single" w:sz="4" w:space="0" w:color="auto"/>
            </w:tcBorders>
            <w:hideMark/>
          </w:tcPr>
          <w:p w14:paraId="60A6D6F6" w14:textId="77777777" w:rsidR="00B41760" w:rsidRPr="0011645D" w:rsidRDefault="00B41760">
            <w:pPr>
              <w:jc w:val="both"/>
              <w:rPr>
                <w:b/>
                <w:bCs/>
                <w:sz w:val="20"/>
                <w:szCs w:val="20"/>
              </w:rPr>
            </w:pPr>
            <w:r w:rsidRPr="0011645D">
              <w:rPr>
                <w:b/>
                <w:bCs/>
                <w:sz w:val="20"/>
                <w:szCs w:val="20"/>
              </w:rPr>
              <w:t>OR</w:t>
            </w:r>
          </w:p>
        </w:tc>
        <w:tc>
          <w:tcPr>
            <w:tcW w:w="971" w:type="dxa"/>
            <w:tcBorders>
              <w:top w:val="single" w:sz="4" w:space="0" w:color="auto"/>
              <w:left w:val="single" w:sz="4" w:space="0" w:color="auto"/>
              <w:bottom w:val="single" w:sz="4" w:space="0" w:color="auto"/>
              <w:right w:val="single" w:sz="4" w:space="0" w:color="auto"/>
            </w:tcBorders>
            <w:hideMark/>
          </w:tcPr>
          <w:p w14:paraId="7B91968C" w14:textId="77777777" w:rsidR="00B41760" w:rsidRPr="0011645D" w:rsidRDefault="00B41760">
            <w:pPr>
              <w:jc w:val="both"/>
              <w:rPr>
                <w:b/>
                <w:bCs/>
                <w:sz w:val="20"/>
                <w:szCs w:val="20"/>
              </w:rPr>
            </w:pPr>
            <w:r w:rsidRPr="0011645D">
              <w:rPr>
                <w:b/>
                <w:bCs/>
                <w:sz w:val="20"/>
                <w:szCs w:val="20"/>
              </w:rPr>
              <w:t>p value</w:t>
            </w:r>
          </w:p>
        </w:tc>
        <w:tc>
          <w:tcPr>
            <w:tcW w:w="1690" w:type="dxa"/>
            <w:gridSpan w:val="2"/>
            <w:tcBorders>
              <w:top w:val="single" w:sz="4" w:space="0" w:color="auto"/>
              <w:left w:val="single" w:sz="4" w:space="0" w:color="auto"/>
              <w:bottom w:val="single" w:sz="4" w:space="0" w:color="auto"/>
              <w:right w:val="thickThinLargeGap" w:sz="18" w:space="0" w:color="auto"/>
            </w:tcBorders>
            <w:hideMark/>
          </w:tcPr>
          <w:p w14:paraId="1B496A61" w14:textId="77777777" w:rsidR="00B41760" w:rsidRPr="0011645D" w:rsidRDefault="00B41760">
            <w:pPr>
              <w:jc w:val="both"/>
              <w:rPr>
                <w:b/>
                <w:bCs/>
                <w:sz w:val="20"/>
                <w:szCs w:val="20"/>
              </w:rPr>
            </w:pPr>
            <w:r w:rsidRPr="0011645D">
              <w:rPr>
                <w:b/>
                <w:bCs/>
                <w:sz w:val="20"/>
                <w:szCs w:val="20"/>
              </w:rPr>
              <w:t>95% CI for OR</w:t>
            </w:r>
          </w:p>
        </w:tc>
        <w:tc>
          <w:tcPr>
            <w:tcW w:w="922" w:type="dxa"/>
            <w:tcBorders>
              <w:top w:val="single" w:sz="4" w:space="0" w:color="auto"/>
              <w:left w:val="thickThinLargeGap" w:sz="18" w:space="0" w:color="auto"/>
              <w:bottom w:val="single" w:sz="4" w:space="0" w:color="auto"/>
              <w:right w:val="single" w:sz="4" w:space="0" w:color="auto"/>
            </w:tcBorders>
            <w:hideMark/>
          </w:tcPr>
          <w:p w14:paraId="6A82C5E8" w14:textId="77777777" w:rsidR="00B41760" w:rsidRPr="0011645D" w:rsidRDefault="00B41760">
            <w:pPr>
              <w:jc w:val="both"/>
              <w:rPr>
                <w:b/>
                <w:bCs/>
                <w:sz w:val="20"/>
                <w:szCs w:val="20"/>
              </w:rPr>
            </w:pPr>
            <w:r w:rsidRPr="0011645D">
              <w:rPr>
                <w:b/>
                <w:bCs/>
                <w:sz w:val="20"/>
                <w:szCs w:val="20"/>
              </w:rPr>
              <w:t>OR</w:t>
            </w:r>
          </w:p>
        </w:tc>
        <w:tc>
          <w:tcPr>
            <w:tcW w:w="985" w:type="dxa"/>
            <w:tcBorders>
              <w:top w:val="single" w:sz="4" w:space="0" w:color="auto"/>
              <w:left w:val="single" w:sz="4" w:space="0" w:color="auto"/>
              <w:bottom w:val="single" w:sz="4" w:space="0" w:color="auto"/>
              <w:right w:val="single" w:sz="4" w:space="0" w:color="auto"/>
            </w:tcBorders>
            <w:hideMark/>
          </w:tcPr>
          <w:p w14:paraId="35EF37BD" w14:textId="77777777" w:rsidR="00B41760" w:rsidRPr="0011645D" w:rsidRDefault="00B41760">
            <w:pPr>
              <w:jc w:val="both"/>
              <w:rPr>
                <w:b/>
                <w:bCs/>
                <w:sz w:val="20"/>
                <w:szCs w:val="20"/>
              </w:rPr>
            </w:pPr>
            <w:r w:rsidRPr="0011645D">
              <w:rPr>
                <w:b/>
                <w:bCs/>
                <w:sz w:val="20"/>
                <w:szCs w:val="20"/>
              </w:rPr>
              <w:t>p value</w:t>
            </w:r>
          </w:p>
        </w:tc>
        <w:tc>
          <w:tcPr>
            <w:tcW w:w="1876" w:type="dxa"/>
            <w:gridSpan w:val="2"/>
            <w:tcBorders>
              <w:top w:val="single" w:sz="4" w:space="0" w:color="auto"/>
              <w:left w:val="single" w:sz="4" w:space="0" w:color="auto"/>
              <w:bottom w:val="single" w:sz="4" w:space="0" w:color="auto"/>
              <w:right w:val="single" w:sz="4" w:space="0" w:color="auto"/>
            </w:tcBorders>
            <w:hideMark/>
          </w:tcPr>
          <w:p w14:paraId="353A1B10" w14:textId="77777777" w:rsidR="00B41760" w:rsidRPr="0011645D" w:rsidRDefault="00B41760">
            <w:pPr>
              <w:jc w:val="both"/>
              <w:rPr>
                <w:b/>
                <w:bCs/>
                <w:sz w:val="20"/>
                <w:szCs w:val="20"/>
              </w:rPr>
            </w:pPr>
            <w:r w:rsidRPr="0011645D">
              <w:rPr>
                <w:b/>
                <w:bCs/>
                <w:sz w:val="20"/>
                <w:szCs w:val="20"/>
              </w:rPr>
              <w:t>95% CI for OR</w:t>
            </w:r>
          </w:p>
        </w:tc>
      </w:tr>
      <w:tr w:rsidR="0011645D" w:rsidRPr="0011645D" w14:paraId="1EACCE30" w14:textId="77777777" w:rsidTr="00C45D61">
        <w:tc>
          <w:tcPr>
            <w:tcW w:w="1864" w:type="dxa"/>
            <w:tcBorders>
              <w:top w:val="single" w:sz="4" w:space="0" w:color="auto"/>
              <w:left w:val="single" w:sz="4" w:space="0" w:color="auto"/>
              <w:bottom w:val="single" w:sz="4" w:space="0" w:color="auto"/>
              <w:right w:val="thickThinLargeGap" w:sz="18" w:space="0" w:color="auto"/>
            </w:tcBorders>
            <w:hideMark/>
          </w:tcPr>
          <w:p w14:paraId="067E6687" w14:textId="77777777" w:rsidR="00B41760" w:rsidRPr="0011645D" w:rsidRDefault="00B41760">
            <w:pPr>
              <w:jc w:val="both"/>
              <w:rPr>
                <w:sz w:val="20"/>
                <w:szCs w:val="20"/>
              </w:rPr>
            </w:pPr>
            <w:r w:rsidRPr="0011645D">
              <w:rPr>
                <w:sz w:val="20"/>
                <w:szCs w:val="20"/>
              </w:rPr>
              <w:t>Age (1 year)</w:t>
            </w:r>
          </w:p>
        </w:tc>
        <w:tc>
          <w:tcPr>
            <w:tcW w:w="846" w:type="dxa"/>
            <w:tcBorders>
              <w:top w:val="single" w:sz="4" w:space="0" w:color="auto"/>
              <w:left w:val="thickThinLargeGap" w:sz="18" w:space="0" w:color="auto"/>
              <w:bottom w:val="single" w:sz="4" w:space="0" w:color="auto"/>
              <w:right w:val="single" w:sz="4" w:space="0" w:color="auto"/>
            </w:tcBorders>
            <w:hideMark/>
          </w:tcPr>
          <w:p w14:paraId="3A2FFF71" w14:textId="77777777" w:rsidR="00B41760" w:rsidRPr="0011645D" w:rsidRDefault="00B41760">
            <w:pPr>
              <w:jc w:val="both"/>
              <w:rPr>
                <w:sz w:val="20"/>
                <w:szCs w:val="20"/>
              </w:rPr>
            </w:pPr>
            <w:r w:rsidRPr="0011645D">
              <w:rPr>
                <w:sz w:val="20"/>
                <w:szCs w:val="20"/>
              </w:rPr>
              <w:t>1.04</w:t>
            </w:r>
          </w:p>
        </w:tc>
        <w:tc>
          <w:tcPr>
            <w:tcW w:w="971" w:type="dxa"/>
            <w:tcBorders>
              <w:top w:val="single" w:sz="4" w:space="0" w:color="auto"/>
              <w:left w:val="single" w:sz="4" w:space="0" w:color="auto"/>
              <w:bottom w:val="single" w:sz="4" w:space="0" w:color="auto"/>
              <w:right w:val="single" w:sz="4" w:space="0" w:color="auto"/>
            </w:tcBorders>
            <w:hideMark/>
          </w:tcPr>
          <w:p w14:paraId="5E6766F1" w14:textId="77777777" w:rsidR="00B41760" w:rsidRPr="0011645D" w:rsidRDefault="00B41760">
            <w:pPr>
              <w:jc w:val="both"/>
              <w:rPr>
                <w:sz w:val="20"/>
                <w:szCs w:val="20"/>
              </w:rPr>
            </w:pPr>
            <w:r w:rsidRPr="0011645D">
              <w:rPr>
                <w:sz w:val="20"/>
                <w:szCs w:val="20"/>
              </w:rPr>
              <w:t>0.11</w:t>
            </w:r>
          </w:p>
        </w:tc>
        <w:tc>
          <w:tcPr>
            <w:tcW w:w="806" w:type="dxa"/>
            <w:tcBorders>
              <w:top w:val="single" w:sz="4" w:space="0" w:color="auto"/>
              <w:left w:val="single" w:sz="4" w:space="0" w:color="auto"/>
              <w:bottom w:val="single" w:sz="4" w:space="0" w:color="auto"/>
              <w:right w:val="single" w:sz="4" w:space="0" w:color="auto"/>
            </w:tcBorders>
            <w:hideMark/>
          </w:tcPr>
          <w:p w14:paraId="3FE52409" w14:textId="77777777" w:rsidR="00B41760" w:rsidRPr="0011645D" w:rsidRDefault="00B41760">
            <w:pPr>
              <w:jc w:val="both"/>
              <w:rPr>
                <w:sz w:val="20"/>
                <w:szCs w:val="20"/>
              </w:rPr>
            </w:pPr>
            <w:r w:rsidRPr="0011645D">
              <w:rPr>
                <w:sz w:val="20"/>
                <w:szCs w:val="20"/>
              </w:rPr>
              <w:t>0.99</w:t>
            </w:r>
          </w:p>
        </w:tc>
        <w:tc>
          <w:tcPr>
            <w:tcW w:w="884" w:type="dxa"/>
            <w:tcBorders>
              <w:top w:val="single" w:sz="4" w:space="0" w:color="auto"/>
              <w:left w:val="single" w:sz="4" w:space="0" w:color="auto"/>
              <w:bottom w:val="single" w:sz="4" w:space="0" w:color="auto"/>
              <w:right w:val="thickThinLargeGap" w:sz="18" w:space="0" w:color="auto"/>
            </w:tcBorders>
            <w:hideMark/>
          </w:tcPr>
          <w:p w14:paraId="54A44A1B" w14:textId="77777777" w:rsidR="00B41760" w:rsidRPr="0011645D" w:rsidRDefault="00B41760">
            <w:pPr>
              <w:jc w:val="both"/>
              <w:rPr>
                <w:sz w:val="20"/>
                <w:szCs w:val="20"/>
              </w:rPr>
            </w:pPr>
            <w:r w:rsidRPr="0011645D">
              <w:rPr>
                <w:sz w:val="20"/>
                <w:szCs w:val="20"/>
              </w:rPr>
              <w:t>1.09</w:t>
            </w:r>
          </w:p>
        </w:tc>
        <w:tc>
          <w:tcPr>
            <w:tcW w:w="922" w:type="dxa"/>
            <w:tcBorders>
              <w:top w:val="single" w:sz="4" w:space="0" w:color="auto"/>
              <w:left w:val="thickThinLargeGap" w:sz="18" w:space="0" w:color="auto"/>
              <w:bottom w:val="single" w:sz="4" w:space="0" w:color="auto"/>
              <w:right w:val="single" w:sz="4" w:space="0" w:color="auto"/>
            </w:tcBorders>
            <w:hideMark/>
          </w:tcPr>
          <w:p w14:paraId="3DBBC9AC" w14:textId="77777777" w:rsidR="00B41760" w:rsidRPr="0011645D" w:rsidRDefault="00B41760">
            <w:pPr>
              <w:jc w:val="both"/>
              <w:rPr>
                <w:sz w:val="20"/>
                <w:szCs w:val="20"/>
              </w:rPr>
            </w:pPr>
            <w:r w:rsidRPr="0011645D">
              <w:rPr>
                <w:sz w:val="20"/>
                <w:szCs w:val="20"/>
              </w:rPr>
              <w:t>1.05</w:t>
            </w:r>
          </w:p>
        </w:tc>
        <w:tc>
          <w:tcPr>
            <w:tcW w:w="985" w:type="dxa"/>
            <w:tcBorders>
              <w:top w:val="single" w:sz="4" w:space="0" w:color="auto"/>
              <w:left w:val="single" w:sz="4" w:space="0" w:color="auto"/>
              <w:bottom w:val="single" w:sz="4" w:space="0" w:color="auto"/>
              <w:right w:val="single" w:sz="4" w:space="0" w:color="auto"/>
            </w:tcBorders>
            <w:hideMark/>
          </w:tcPr>
          <w:p w14:paraId="6834997C" w14:textId="77777777" w:rsidR="00B41760" w:rsidRPr="0011645D" w:rsidRDefault="00B41760">
            <w:pPr>
              <w:jc w:val="both"/>
              <w:rPr>
                <w:sz w:val="20"/>
                <w:szCs w:val="20"/>
              </w:rPr>
            </w:pPr>
            <w:r w:rsidRPr="0011645D">
              <w:rPr>
                <w:sz w:val="20"/>
                <w:szCs w:val="20"/>
              </w:rPr>
              <w:t>0.07</w:t>
            </w:r>
          </w:p>
        </w:tc>
        <w:tc>
          <w:tcPr>
            <w:tcW w:w="922" w:type="dxa"/>
            <w:tcBorders>
              <w:top w:val="single" w:sz="4" w:space="0" w:color="auto"/>
              <w:left w:val="single" w:sz="4" w:space="0" w:color="auto"/>
              <w:bottom w:val="single" w:sz="4" w:space="0" w:color="auto"/>
              <w:right w:val="single" w:sz="4" w:space="0" w:color="auto"/>
            </w:tcBorders>
            <w:hideMark/>
          </w:tcPr>
          <w:p w14:paraId="44F10742" w14:textId="77777777" w:rsidR="00B41760" w:rsidRPr="0011645D" w:rsidRDefault="00B41760">
            <w:pPr>
              <w:jc w:val="both"/>
              <w:rPr>
                <w:sz w:val="20"/>
                <w:szCs w:val="20"/>
              </w:rPr>
            </w:pPr>
            <w:r w:rsidRPr="0011645D">
              <w:rPr>
                <w:sz w:val="20"/>
                <w:szCs w:val="20"/>
              </w:rPr>
              <w:t>1.00</w:t>
            </w:r>
          </w:p>
        </w:tc>
        <w:tc>
          <w:tcPr>
            <w:tcW w:w="954" w:type="dxa"/>
            <w:tcBorders>
              <w:top w:val="single" w:sz="4" w:space="0" w:color="auto"/>
              <w:left w:val="single" w:sz="4" w:space="0" w:color="auto"/>
              <w:bottom w:val="single" w:sz="4" w:space="0" w:color="auto"/>
              <w:right w:val="single" w:sz="4" w:space="0" w:color="auto"/>
            </w:tcBorders>
            <w:hideMark/>
          </w:tcPr>
          <w:p w14:paraId="6DB04751" w14:textId="77777777" w:rsidR="00B41760" w:rsidRPr="0011645D" w:rsidRDefault="00B41760">
            <w:pPr>
              <w:jc w:val="both"/>
              <w:rPr>
                <w:sz w:val="20"/>
                <w:szCs w:val="20"/>
              </w:rPr>
            </w:pPr>
            <w:r w:rsidRPr="0011645D">
              <w:rPr>
                <w:sz w:val="20"/>
                <w:szCs w:val="20"/>
              </w:rPr>
              <w:t>1.10</w:t>
            </w:r>
          </w:p>
        </w:tc>
      </w:tr>
      <w:tr w:rsidR="0011645D" w:rsidRPr="0011645D" w14:paraId="5F22ABA4" w14:textId="77777777" w:rsidTr="00C45D61">
        <w:tc>
          <w:tcPr>
            <w:tcW w:w="1864" w:type="dxa"/>
            <w:tcBorders>
              <w:top w:val="single" w:sz="4" w:space="0" w:color="auto"/>
              <w:left w:val="single" w:sz="4" w:space="0" w:color="auto"/>
              <w:bottom w:val="single" w:sz="4" w:space="0" w:color="auto"/>
              <w:right w:val="thickThinLargeGap" w:sz="18" w:space="0" w:color="auto"/>
            </w:tcBorders>
            <w:hideMark/>
          </w:tcPr>
          <w:p w14:paraId="666EC04E" w14:textId="77777777" w:rsidR="00B41760" w:rsidRPr="0011645D" w:rsidRDefault="00B41760">
            <w:pPr>
              <w:jc w:val="both"/>
              <w:rPr>
                <w:sz w:val="20"/>
                <w:szCs w:val="20"/>
              </w:rPr>
            </w:pPr>
            <w:r w:rsidRPr="0011645D">
              <w:rPr>
                <w:sz w:val="20"/>
                <w:szCs w:val="20"/>
              </w:rPr>
              <w:t>Female</w:t>
            </w:r>
          </w:p>
        </w:tc>
        <w:tc>
          <w:tcPr>
            <w:tcW w:w="846" w:type="dxa"/>
            <w:tcBorders>
              <w:top w:val="single" w:sz="4" w:space="0" w:color="auto"/>
              <w:left w:val="thickThinLargeGap" w:sz="18" w:space="0" w:color="auto"/>
              <w:bottom w:val="single" w:sz="4" w:space="0" w:color="auto"/>
              <w:right w:val="single" w:sz="4" w:space="0" w:color="auto"/>
            </w:tcBorders>
            <w:hideMark/>
          </w:tcPr>
          <w:p w14:paraId="41D46B5E" w14:textId="77777777" w:rsidR="00B41760" w:rsidRPr="0011645D" w:rsidRDefault="00B41760">
            <w:pPr>
              <w:jc w:val="both"/>
              <w:rPr>
                <w:sz w:val="20"/>
                <w:szCs w:val="20"/>
              </w:rPr>
            </w:pPr>
            <w:r w:rsidRPr="0011645D">
              <w:rPr>
                <w:sz w:val="20"/>
                <w:szCs w:val="20"/>
              </w:rPr>
              <w:t>1.50</w:t>
            </w:r>
          </w:p>
        </w:tc>
        <w:tc>
          <w:tcPr>
            <w:tcW w:w="971" w:type="dxa"/>
            <w:tcBorders>
              <w:top w:val="single" w:sz="4" w:space="0" w:color="auto"/>
              <w:left w:val="single" w:sz="4" w:space="0" w:color="auto"/>
              <w:bottom w:val="single" w:sz="4" w:space="0" w:color="auto"/>
              <w:right w:val="single" w:sz="4" w:space="0" w:color="auto"/>
            </w:tcBorders>
            <w:hideMark/>
          </w:tcPr>
          <w:p w14:paraId="0D27D8BB" w14:textId="77777777" w:rsidR="00B41760" w:rsidRPr="0011645D" w:rsidRDefault="00B41760">
            <w:pPr>
              <w:jc w:val="both"/>
              <w:rPr>
                <w:sz w:val="20"/>
                <w:szCs w:val="20"/>
              </w:rPr>
            </w:pPr>
            <w:r w:rsidRPr="0011645D">
              <w:rPr>
                <w:sz w:val="20"/>
                <w:szCs w:val="20"/>
              </w:rPr>
              <w:t>0.42</w:t>
            </w:r>
          </w:p>
        </w:tc>
        <w:tc>
          <w:tcPr>
            <w:tcW w:w="806" w:type="dxa"/>
            <w:tcBorders>
              <w:top w:val="single" w:sz="4" w:space="0" w:color="auto"/>
              <w:left w:val="single" w:sz="4" w:space="0" w:color="auto"/>
              <w:bottom w:val="single" w:sz="4" w:space="0" w:color="auto"/>
              <w:right w:val="single" w:sz="4" w:space="0" w:color="auto"/>
            </w:tcBorders>
            <w:hideMark/>
          </w:tcPr>
          <w:p w14:paraId="4CB240C5" w14:textId="77777777" w:rsidR="00B41760" w:rsidRPr="0011645D" w:rsidRDefault="00B41760">
            <w:pPr>
              <w:jc w:val="both"/>
              <w:rPr>
                <w:sz w:val="20"/>
                <w:szCs w:val="20"/>
              </w:rPr>
            </w:pPr>
            <w:r w:rsidRPr="0011645D">
              <w:rPr>
                <w:sz w:val="20"/>
                <w:szCs w:val="20"/>
              </w:rPr>
              <w:t>0.56</w:t>
            </w:r>
          </w:p>
        </w:tc>
        <w:tc>
          <w:tcPr>
            <w:tcW w:w="884" w:type="dxa"/>
            <w:tcBorders>
              <w:top w:val="single" w:sz="4" w:space="0" w:color="auto"/>
              <w:left w:val="single" w:sz="4" w:space="0" w:color="auto"/>
              <w:bottom w:val="single" w:sz="4" w:space="0" w:color="auto"/>
              <w:right w:val="thickThinLargeGap" w:sz="18" w:space="0" w:color="auto"/>
            </w:tcBorders>
            <w:hideMark/>
          </w:tcPr>
          <w:p w14:paraId="6D6BA04D" w14:textId="77777777" w:rsidR="00B41760" w:rsidRPr="0011645D" w:rsidRDefault="00B41760">
            <w:pPr>
              <w:jc w:val="both"/>
              <w:rPr>
                <w:sz w:val="20"/>
                <w:szCs w:val="20"/>
              </w:rPr>
            </w:pPr>
            <w:r w:rsidRPr="0011645D">
              <w:rPr>
                <w:sz w:val="20"/>
                <w:szCs w:val="20"/>
              </w:rPr>
              <w:t>4.02</w:t>
            </w:r>
          </w:p>
        </w:tc>
        <w:tc>
          <w:tcPr>
            <w:tcW w:w="922" w:type="dxa"/>
            <w:tcBorders>
              <w:top w:val="single" w:sz="4" w:space="0" w:color="auto"/>
              <w:left w:val="thickThinLargeGap" w:sz="18" w:space="0" w:color="auto"/>
              <w:bottom w:val="single" w:sz="4" w:space="0" w:color="auto"/>
              <w:right w:val="single" w:sz="4" w:space="0" w:color="auto"/>
            </w:tcBorders>
            <w:hideMark/>
          </w:tcPr>
          <w:p w14:paraId="54F1A8E6" w14:textId="77777777" w:rsidR="00B41760" w:rsidRPr="0011645D" w:rsidRDefault="00B41760">
            <w:pPr>
              <w:jc w:val="both"/>
              <w:rPr>
                <w:sz w:val="20"/>
                <w:szCs w:val="20"/>
              </w:rPr>
            </w:pPr>
            <w:r w:rsidRPr="0011645D">
              <w:rPr>
                <w:sz w:val="20"/>
                <w:szCs w:val="20"/>
              </w:rPr>
              <w:t>1.84</w:t>
            </w:r>
          </w:p>
        </w:tc>
        <w:tc>
          <w:tcPr>
            <w:tcW w:w="985" w:type="dxa"/>
            <w:tcBorders>
              <w:top w:val="single" w:sz="4" w:space="0" w:color="auto"/>
              <w:left w:val="single" w:sz="4" w:space="0" w:color="auto"/>
              <w:bottom w:val="single" w:sz="4" w:space="0" w:color="auto"/>
              <w:right w:val="single" w:sz="4" w:space="0" w:color="auto"/>
            </w:tcBorders>
            <w:hideMark/>
          </w:tcPr>
          <w:p w14:paraId="55E9745E" w14:textId="77777777" w:rsidR="00B41760" w:rsidRPr="0011645D" w:rsidRDefault="00B41760">
            <w:pPr>
              <w:jc w:val="both"/>
              <w:rPr>
                <w:sz w:val="20"/>
                <w:szCs w:val="20"/>
              </w:rPr>
            </w:pPr>
            <w:r w:rsidRPr="0011645D">
              <w:rPr>
                <w:sz w:val="20"/>
                <w:szCs w:val="20"/>
              </w:rPr>
              <w:t>0.26</w:t>
            </w:r>
          </w:p>
        </w:tc>
        <w:tc>
          <w:tcPr>
            <w:tcW w:w="922" w:type="dxa"/>
            <w:tcBorders>
              <w:top w:val="single" w:sz="4" w:space="0" w:color="auto"/>
              <w:left w:val="single" w:sz="4" w:space="0" w:color="auto"/>
              <w:bottom w:val="single" w:sz="4" w:space="0" w:color="auto"/>
              <w:right w:val="single" w:sz="4" w:space="0" w:color="auto"/>
            </w:tcBorders>
            <w:hideMark/>
          </w:tcPr>
          <w:p w14:paraId="78221ACE" w14:textId="77777777" w:rsidR="00B41760" w:rsidRPr="0011645D" w:rsidRDefault="00B41760">
            <w:pPr>
              <w:jc w:val="both"/>
              <w:rPr>
                <w:sz w:val="20"/>
                <w:szCs w:val="20"/>
              </w:rPr>
            </w:pPr>
            <w:r w:rsidRPr="0011645D">
              <w:rPr>
                <w:sz w:val="20"/>
                <w:szCs w:val="20"/>
              </w:rPr>
              <w:t>0.64</w:t>
            </w:r>
          </w:p>
        </w:tc>
        <w:tc>
          <w:tcPr>
            <w:tcW w:w="954" w:type="dxa"/>
            <w:tcBorders>
              <w:top w:val="single" w:sz="4" w:space="0" w:color="auto"/>
              <w:left w:val="single" w:sz="4" w:space="0" w:color="auto"/>
              <w:bottom w:val="single" w:sz="4" w:space="0" w:color="auto"/>
              <w:right w:val="single" w:sz="4" w:space="0" w:color="auto"/>
            </w:tcBorders>
            <w:hideMark/>
          </w:tcPr>
          <w:p w14:paraId="4F6B36D0" w14:textId="77777777" w:rsidR="00B41760" w:rsidRPr="0011645D" w:rsidRDefault="00B41760">
            <w:pPr>
              <w:jc w:val="both"/>
              <w:rPr>
                <w:sz w:val="20"/>
                <w:szCs w:val="20"/>
              </w:rPr>
            </w:pPr>
            <w:r w:rsidRPr="0011645D">
              <w:rPr>
                <w:sz w:val="20"/>
                <w:szCs w:val="20"/>
              </w:rPr>
              <w:t>5.31</w:t>
            </w:r>
          </w:p>
        </w:tc>
      </w:tr>
      <w:tr w:rsidR="0011645D" w:rsidRPr="0011645D" w14:paraId="1DB8278B" w14:textId="77777777" w:rsidTr="00C45D61">
        <w:tc>
          <w:tcPr>
            <w:tcW w:w="1864" w:type="dxa"/>
            <w:tcBorders>
              <w:top w:val="single" w:sz="4" w:space="0" w:color="auto"/>
              <w:left w:val="single" w:sz="4" w:space="0" w:color="auto"/>
              <w:bottom w:val="single" w:sz="4" w:space="0" w:color="auto"/>
              <w:right w:val="thickThinLargeGap" w:sz="18" w:space="0" w:color="auto"/>
            </w:tcBorders>
            <w:hideMark/>
          </w:tcPr>
          <w:p w14:paraId="501FA9DD" w14:textId="77777777" w:rsidR="00B41760" w:rsidRPr="0011645D" w:rsidRDefault="00B41760">
            <w:pPr>
              <w:jc w:val="both"/>
              <w:rPr>
                <w:sz w:val="20"/>
                <w:szCs w:val="20"/>
              </w:rPr>
            </w:pPr>
            <w:r w:rsidRPr="0011645D">
              <w:rPr>
                <w:sz w:val="20"/>
                <w:szCs w:val="20"/>
              </w:rPr>
              <w:t>Diabetes</w:t>
            </w:r>
          </w:p>
        </w:tc>
        <w:tc>
          <w:tcPr>
            <w:tcW w:w="846" w:type="dxa"/>
            <w:tcBorders>
              <w:top w:val="single" w:sz="4" w:space="0" w:color="auto"/>
              <w:left w:val="thickThinLargeGap" w:sz="18" w:space="0" w:color="auto"/>
              <w:bottom w:val="single" w:sz="4" w:space="0" w:color="auto"/>
              <w:right w:val="single" w:sz="4" w:space="0" w:color="auto"/>
            </w:tcBorders>
            <w:hideMark/>
          </w:tcPr>
          <w:p w14:paraId="69C463B7" w14:textId="77777777" w:rsidR="00B41760" w:rsidRPr="0011645D" w:rsidRDefault="00B41760">
            <w:pPr>
              <w:jc w:val="both"/>
              <w:rPr>
                <w:sz w:val="20"/>
                <w:szCs w:val="20"/>
              </w:rPr>
            </w:pPr>
            <w:r w:rsidRPr="0011645D">
              <w:rPr>
                <w:sz w:val="20"/>
                <w:szCs w:val="20"/>
              </w:rPr>
              <w:t>0.70</w:t>
            </w:r>
          </w:p>
        </w:tc>
        <w:tc>
          <w:tcPr>
            <w:tcW w:w="971" w:type="dxa"/>
            <w:tcBorders>
              <w:top w:val="single" w:sz="4" w:space="0" w:color="auto"/>
              <w:left w:val="single" w:sz="4" w:space="0" w:color="auto"/>
              <w:bottom w:val="single" w:sz="4" w:space="0" w:color="auto"/>
              <w:right w:val="single" w:sz="4" w:space="0" w:color="auto"/>
            </w:tcBorders>
            <w:hideMark/>
          </w:tcPr>
          <w:p w14:paraId="2E325AEB" w14:textId="77777777" w:rsidR="00B41760" w:rsidRPr="0011645D" w:rsidRDefault="00B41760">
            <w:pPr>
              <w:jc w:val="both"/>
              <w:rPr>
                <w:sz w:val="20"/>
                <w:szCs w:val="20"/>
              </w:rPr>
            </w:pPr>
            <w:r w:rsidRPr="0011645D">
              <w:rPr>
                <w:sz w:val="20"/>
                <w:szCs w:val="20"/>
              </w:rPr>
              <w:t>0.47</w:t>
            </w:r>
          </w:p>
        </w:tc>
        <w:tc>
          <w:tcPr>
            <w:tcW w:w="806" w:type="dxa"/>
            <w:tcBorders>
              <w:top w:val="single" w:sz="4" w:space="0" w:color="auto"/>
              <w:left w:val="single" w:sz="4" w:space="0" w:color="auto"/>
              <w:bottom w:val="single" w:sz="4" w:space="0" w:color="auto"/>
              <w:right w:val="single" w:sz="4" w:space="0" w:color="auto"/>
            </w:tcBorders>
            <w:hideMark/>
          </w:tcPr>
          <w:p w14:paraId="5CD6B160" w14:textId="77777777" w:rsidR="00B41760" w:rsidRPr="0011645D" w:rsidRDefault="00B41760">
            <w:pPr>
              <w:jc w:val="both"/>
              <w:rPr>
                <w:sz w:val="20"/>
                <w:szCs w:val="20"/>
              </w:rPr>
            </w:pPr>
            <w:r w:rsidRPr="0011645D">
              <w:rPr>
                <w:sz w:val="20"/>
                <w:szCs w:val="20"/>
              </w:rPr>
              <w:t>0.27</w:t>
            </w:r>
          </w:p>
        </w:tc>
        <w:tc>
          <w:tcPr>
            <w:tcW w:w="884" w:type="dxa"/>
            <w:tcBorders>
              <w:top w:val="single" w:sz="4" w:space="0" w:color="auto"/>
              <w:left w:val="single" w:sz="4" w:space="0" w:color="auto"/>
              <w:bottom w:val="single" w:sz="4" w:space="0" w:color="auto"/>
              <w:right w:val="thickThinLargeGap" w:sz="18" w:space="0" w:color="auto"/>
            </w:tcBorders>
            <w:hideMark/>
          </w:tcPr>
          <w:p w14:paraId="335F9F12" w14:textId="77777777" w:rsidR="00B41760" w:rsidRPr="0011645D" w:rsidRDefault="00B41760">
            <w:pPr>
              <w:jc w:val="both"/>
              <w:rPr>
                <w:sz w:val="20"/>
                <w:szCs w:val="20"/>
              </w:rPr>
            </w:pPr>
            <w:r w:rsidRPr="0011645D">
              <w:rPr>
                <w:sz w:val="20"/>
                <w:szCs w:val="20"/>
              </w:rPr>
              <w:t>1.83</w:t>
            </w:r>
          </w:p>
        </w:tc>
        <w:tc>
          <w:tcPr>
            <w:tcW w:w="922" w:type="dxa"/>
            <w:tcBorders>
              <w:top w:val="single" w:sz="4" w:space="0" w:color="auto"/>
              <w:left w:val="thickThinLargeGap" w:sz="18" w:space="0" w:color="auto"/>
              <w:bottom w:val="single" w:sz="4" w:space="0" w:color="auto"/>
              <w:right w:val="single" w:sz="4" w:space="0" w:color="auto"/>
            </w:tcBorders>
            <w:hideMark/>
          </w:tcPr>
          <w:p w14:paraId="76663E4B" w14:textId="77777777" w:rsidR="00B41760" w:rsidRPr="0011645D" w:rsidRDefault="00B41760">
            <w:pPr>
              <w:jc w:val="both"/>
              <w:rPr>
                <w:sz w:val="20"/>
                <w:szCs w:val="20"/>
              </w:rPr>
            </w:pPr>
            <w:r w:rsidRPr="0011645D">
              <w:rPr>
                <w:sz w:val="20"/>
                <w:szCs w:val="20"/>
              </w:rPr>
              <w:t>0.98</w:t>
            </w:r>
          </w:p>
        </w:tc>
        <w:tc>
          <w:tcPr>
            <w:tcW w:w="985" w:type="dxa"/>
            <w:tcBorders>
              <w:top w:val="single" w:sz="4" w:space="0" w:color="auto"/>
              <w:left w:val="single" w:sz="4" w:space="0" w:color="auto"/>
              <w:bottom w:val="single" w:sz="4" w:space="0" w:color="auto"/>
              <w:right w:val="single" w:sz="4" w:space="0" w:color="auto"/>
            </w:tcBorders>
            <w:hideMark/>
          </w:tcPr>
          <w:p w14:paraId="4B70AB65" w14:textId="77777777" w:rsidR="00B41760" w:rsidRPr="0011645D" w:rsidRDefault="00B41760">
            <w:pPr>
              <w:jc w:val="both"/>
              <w:rPr>
                <w:sz w:val="20"/>
                <w:szCs w:val="20"/>
              </w:rPr>
            </w:pPr>
            <w:r w:rsidRPr="0011645D">
              <w:rPr>
                <w:sz w:val="20"/>
                <w:szCs w:val="20"/>
              </w:rPr>
              <w:t>0.97</w:t>
            </w:r>
          </w:p>
        </w:tc>
        <w:tc>
          <w:tcPr>
            <w:tcW w:w="922" w:type="dxa"/>
            <w:tcBorders>
              <w:top w:val="single" w:sz="4" w:space="0" w:color="auto"/>
              <w:left w:val="single" w:sz="4" w:space="0" w:color="auto"/>
              <w:bottom w:val="single" w:sz="4" w:space="0" w:color="auto"/>
              <w:right w:val="single" w:sz="4" w:space="0" w:color="auto"/>
            </w:tcBorders>
            <w:hideMark/>
          </w:tcPr>
          <w:p w14:paraId="3C6C2E1D" w14:textId="77777777" w:rsidR="00B41760" w:rsidRPr="0011645D" w:rsidRDefault="00B41760">
            <w:pPr>
              <w:jc w:val="both"/>
              <w:rPr>
                <w:sz w:val="20"/>
                <w:szCs w:val="20"/>
              </w:rPr>
            </w:pPr>
            <w:r w:rsidRPr="0011645D">
              <w:rPr>
                <w:sz w:val="20"/>
                <w:szCs w:val="20"/>
              </w:rPr>
              <w:t>0.35</w:t>
            </w:r>
          </w:p>
        </w:tc>
        <w:tc>
          <w:tcPr>
            <w:tcW w:w="954" w:type="dxa"/>
            <w:tcBorders>
              <w:top w:val="single" w:sz="4" w:space="0" w:color="auto"/>
              <w:left w:val="single" w:sz="4" w:space="0" w:color="auto"/>
              <w:bottom w:val="single" w:sz="4" w:space="0" w:color="auto"/>
              <w:right w:val="single" w:sz="4" w:space="0" w:color="auto"/>
            </w:tcBorders>
            <w:hideMark/>
          </w:tcPr>
          <w:p w14:paraId="1D31E202" w14:textId="77777777" w:rsidR="00B41760" w:rsidRPr="0011645D" w:rsidRDefault="00B41760">
            <w:pPr>
              <w:jc w:val="both"/>
              <w:rPr>
                <w:sz w:val="20"/>
                <w:szCs w:val="20"/>
              </w:rPr>
            </w:pPr>
            <w:r w:rsidRPr="0011645D">
              <w:rPr>
                <w:sz w:val="20"/>
                <w:szCs w:val="20"/>
              </w:rPr>
              <w:t>2.73</w:t>
            </w:r>
          </w:p>
        </w:tc>
      </w:tr>
      <w:tr w:rsidR="0011645D" w:rsidRPr="0011645D" w14:paraId="4DE59976" w14:textId="77777777" w:rsidTr="00C45D61">
        <w:tc>
          <w:tcPr>
            <w:tcW w:w="1864" w:type="dxa"/>
            <w:tcBorders>
              <w:top w:val="single" w:sz="4" w:space="0" w:color="auto"/>
              <w:left w:val="single" w:sz="4" w:space="0" w:color="auto"/>
              <w:bottom w:val="single" w:sz="4" w:space="0" w:color="auto"/>
              <w:right w:val="thickThinLargeGap" w:sz="18" w:space="0" w:color="auto"/>
            </w:tcBorders>
            <w:hideMark/>
          </w:tcPr>
          <w:p w14:paraId="3CD1B78B" w14:textId="77777777" w:rsidR="00B41760" w:rsidRPr="0011645D" w:rsidRDefault="00B41760">
            <w:pPr>
              <w:jc w:val="both"/>
              <w:rPr>
                <w:sz w:val="20"/>
                <w:szCs w:val="20"/>
              </w:rPr>
            </w:pPr>
            <w:r w:rsidRPr="0011645D">
              <w:rPr>
                <w:sz w:val="20"/>
                <w:szCs w:val="20"/>
              </w:rPr>
              <w:t>Severe CKD</w:t>
            </w:r>
          </w:p>
        </w:tc>
        <w:tc>
          <w:tcPr>
            <w:tcW w:w="846" w:type="dxa"/>
            <w:tcBorders>
              <w:top w:val="single" w:sz="4" w:space="0" w:color="auto"/>
              <w:left w:val="thickThinLargeGap" w:sz="18" w:space="0" w:color="auto"/>
              <w:bottom w:val="single" w:sz="4" w:space="0" w:color="auto"/>
              <w:right w:val="single" w:sz="4" w:space="0" w:color="auto"/>
            </w:tcBorders>
            <w:hideMark/>
          </w:tcPr>
          <w:p w14:paraId="547B243D" w14:textId="77777777" w:rsidR="00B41760" w:rsidRPr="0011645D" w:rsidRDefault="00B41760">
            <w:pPr>
              <w:jc w:val="both"/>
              <w:rPr>
                <w:sz w:val="20"/>
                <w:szCs w:val="20"/>
              </w:rPr>
            </w:pPr>
            <w:r w:rsidRPr="0011645D">
              <w:rPr>
                <w:sz w:val="20"/>
                <w:szCs w:val="20"/>
              </w:rPr>
              <w:t>1.26</w:t>
            </w:r>
          </w:p>
        </w:tc>
        <w:tc>
          <w:tcPr>
            <w:tcW w:w="971" w:type="dxa"/>
            <w:tcBorders>
              <w:top w:val="single" w:sz="4" w:space="0" w:color="auto"/>
              <w:left w:val="single" w:sz="4" w:space="0" w:color="auto"/>
              <w:bottom w:val="single" w:sz="4" w:space="0" w:color="auto"/>
              <w:right w:val="single" w:sz="4" w:space="0" w:color="auto"/>
            </w:tcBorders>
            <w:hideMark/>
          </w:tcPr>
          <w:p w14:paraId="132A22B6" w14:textId="77777777" w:rsidR="00B41760" w:rsidRPr="0011645D" w:rsidRDefault="00B41760">
            <w:pPr>
              <w:jc w:val="both"/>
              <w:rPr>
                <w:sz w:val="20"/>
                <w:szCs w:val="20"/>
              </w:rPr>
            </w:pPr>
            <w:r w:rsidRPr="0011645D">
              <w:rPr>
                <w:sz w:val="20"/>
                <w:szCs w:val="20"/>
              </w:rPr>
              <w:t>0.64</w:t>
            </w:r>
          </w:p>
        </w:tc>
        <w:tc>
          <w:tcPr>
            <w:tcW w:w="806" w:type="dxa"/>
            <w:tcBorders>
              <w:top w:val="single" w:sz="4" w:space="0" w:color="auto"/>
              <w:left w:val="single" w:sz="4" w:space="0" w:color="auto"/>
              <w:bottom w:val="single" w:sz="4" w:space="0" w:color="auto"/>
              <w:right w:val="single" w:sz="4" w:space="0" w:color="auto"/>
            </w:tcBorders>
            <w:hideMark/>
          </w:tcPr>
          <w:p w14:paraId="52825ED5" w14:textId="77777777" w:rsidR="00B41760" w:rsidRPr="0011645D" w:rsidRDefault="00B41760">
            <w:pPr>
              <w:jc w:val="both"/>
              <w:rPr>
                <w:sz w:val="20"/>
                <w:szCs w:val="20"/>
              </w:rPr>
            </w:pPr>
            <w:r w:rsidRPr="0011645D">
              <w:rPr>
                <w:sz w:val="20"/>
                <w:szCs w:val="20"/>
              </w:rPr>
              <w:t>0.48</w:t>
            </w:r>
          </w:p>
        </w:tc>
        <w:tc>
          <w:tcPr>
            <w:tcW w:w="884" w:type="dxa"/>
            <w:tcBorders>
              <w:top w:val="single" w:sz="4" w:space="0" w:color="auto"/>
              <w:left w:val="single" w:sz="4" w:space="0" w:color="auto"/>
              <w:bottom w:val="single" w:sz="4" w:space="0" w:color="auto"/>
              <w:right w:val="thickThinLargeGap" w:sz="18" w:space="0" w:color="auto"/>
            </w:tcBorders>
            <w:hideMark/>
          </w:tcPr>
          <w:p w14:paraId="6E7CEC7D" w14:textId="77777777" w:rsidR="00B41760" w:rsidRPr="0011645D" w:rsidRDefault="00B41760">
            <w:pPr>
              <w:jc w:val="both"/>
              <w:rPr>
                <w:sz w:val="20"/>
                <w:szCs w:val="20"/>
              </w:rPr>
            </w:pPr>
            <w:r w:rsidRPr="0011645D">
              <w:rPr>
                <w:sz w:val="20"/>
                <w:szCs w:val="20"/>
              </w:rPr>
              <w:t>3.29</w:t>
            </w:r>
          </w:p>
        </w:tc>
        <w:tc>
          <w:tcPr>
            <w:tcW w:w="922" w:type="dxa"/>
            <w:tcBorders>
              <w:top w:val="single" w:sz="4" w:space="0" w:color="auto"/>
              <w:left w:val="thickThinLargeGap" w:sz="18" w:space="0" w:color="auto"/>
              <w:bottom w:val="single" w:sz="4" w:space="0" w:color="auto"/>
              <w:right w:val="single" w:sz="4" w:space="0" w:color="auto"/>
            </w:tcBorders>
            <w:hideMark/>
          </w:tcPr>
          <w:p w14:paraId="498972D1" w14:textId="77777777" w:rsidR="00B41760" w:rsidRPr="0011645D" w:rsidRDefault="00B41760">
            <w:pPr>
              <w:jc w:val="both"/>
              <w:rPr>
                <w:sz w:val="20"/>
                <w:szCs w:val="20"/>
              </w:rPr>
            </w:pPr>
            <w:r w:rsidRPr="0011645D">
              <w:rPr>
                <w:sz w:val="20"/>
                <w:szCs w:val="20"/>
              </w:rPr>
              <w:t>1.19</w:t>
            </w:r>
          </w:p>
        </w:tc>
        <w:tc>
          <w:tcPr>
            <w:tcW w:w="985" w:type="dxa"/>
            <w:tcBorders>
              <w:top w:val="single" w:sz="4" w:space="0" w:color="auto"/>
              <w:left w:val="single" w:sz="4" w:space="0" w:color="auto"/>
              <w:bottom w:val="single" w:sz="4" w:space="0" w:color="auto"/>
              <w:right w:val="single" w:sz="4" w:space="0" w:color="auto"/>
            </w:tcBorders>
            <w:hideMark/>
          </w:tcPr>
          <w:p w14:paraId="39069C0F" w14:textId="77777777" w:rsidR="00B41760" w:rsidRPr="0011645D" w:rsidRDefault="00B41760">
            <w:pPr>
              <w:jc w:val="both"/>
              <w:rPr>
                <w:sz w:val="20"/>
                <w:szCs w:val="20"/>
              </w:rPr>
            </w:pPr>
            <w:r w:rsidRPr="0011645D">
              <w:rPr>
                <w:sz w:val="20"/>
                <w:szCs w:val="20"/>
              </w:rPr>
              <w:t>0.74</w:t>
            </w:r>
          </w:p>
        </w:tc>
        <w:tc>
          <w:tcPr>
            <w:tcW w:w="922" w:type="dxa"/>
            <w:tcBorders>
              <w:top w:val="single" w:sz="4" w:space="0" w:color="auto"/>
              <w:left w:val="single" w:sz="4" w:space="0" w:color="auto"/>
              <w:bottom w:val="single" w:sz="4" w:space="0" w:color="auto"/>
              <w:right w:val="single" w:sz="4" w:space="0" w:color="auto"/>
            </w:tcBorders>
            <w:hideMark/>
          </w:tcPr>
          <w:p w14:paraId="4D9DC703" w14:textId="77777777" w:rsidR="00B41760" w:rsidRPr="0011645D" w:rsidRDefault="00B41760">
            <w:pPr>
              <w:jc w:val="both"/>
              <w:rPr>
                <w:sz w:val="20"/>
                <w:szCs w:val="20"/>
              </w:rPr>
            </w:pPr>
            <w:r w:rsidRPr="0011645D">
              <w:rPr>
                <w:sz w:val="20"/>
                <w:szCs w:val="20"/>
              </w:rPr>
              <w:t>0.43</w:t>
            </w:r>
          </w:p>
        </w:tc>
        <w:tc>
          <w:tcPr>
            <w:tcW w:w="954" w:type="dxa"/>
            <w:tcBorders>
              <w:top w:val="single" w:sz="4" w:space="0" w:color="auto"/>
              <w:left w:val="single" w:sz="4" w:space="0" w:color="auto"/>
              <w:bottom w:val="single" w:sz="4" w:space="0" w:color="auto"/>
              <w:right w:val="single" w:sz="4" w:space="0" w:color="auto"/>
            </w:tcBorders>
            <w:hideMark/>
          </w:tcPr>
          <w:p w14:paraId="38E89695" w14:textId="77777777" w:rsidR="00B41760" w:rsidRPr="0011645D" w:rsidRDefault="00B41760">
            <w:pPr>
              <w:jc w:val="both"/>
              <w:rPr>
                <w:sz w:val="20"/>
                <w:szCs w:val="20"/>
              </w:rPr>
            </w:pPr>
            <w:r w:rsidRPr="0011645D">
              <w:rPr>
                <w:sz w:val="20"/>
                <w:szCs w:val="20"/>
              </w:rPr>
              <w:t>3.27</w:t>
            </w:r>
          </w:p>
        </w:tc>
      </w:tr>
      <w:tr w:rsidR="0011645D" w:rsidRPr="0011645D" w14:paraId="4EC60E80" w14:textId="77777777" w:rsidTr="00C45D61">
        <w:tc>
          <w:tcPr>
            <w:tcW w:w="1864" w:type="dxa"/>
            <w:tcBorders>
              <w:top w:val="single" w:sz="4" w:space="0" w:color="auto"/>
              <w:left w:val="single" w:sz="4" w:space="0" w:color="auto"/>
              <w:bottom w:val="single" w:sz="4" w:space="0" w:color="auto"/>
              <w:right w:val="thickThinLargeGap" w:sz="18" w:space="0" w:color="auto"/>
            </w:tcBorders>
            <w:hideMark/>
          </w:tcPr>
          <w:p w14:paraId="7C3D1AB5" w14:textId="77777777" w:rsidR="00B41760" w:rsidRPr="0011645D" w:rsidRDefault="00B41760">
            <w:pPr>
              <w:jc w:val="both"/>
              <w:rPr>
                <w:sz w:val="20"/>
                <w:szCs w:val="20"/>
              </w:rPr>
            </w:pPr>
            <w:proofErr w:type="spellStart"/>
            <w:r w:rsidRPr="0011645D">
              <w:rPr>
                <w:sz w:val="20"/>
                <w:szCs w:val="20"/>
              </w:rPr>
              <w:t>HFrEF</w:t>
            </w:r>
            <w:proofErr w:type="spellEnd"/>
          </w:p>
        </w:tc>
        <w:tc>
          <w:tcPr>
            <w:tcW w:w="846" w:type="dxa"/>
            <w:tcBorders>
              <w:top w:val="single" w:sz="4" w:space="0" w:color="auto"/>
              <w:left w:val="thickThinLargeGap" w:sz="18" w:space="0" w:color="auto"/>
              <w:bottom w:val="single" w:sz="4" w:space="0" w:color="auto"/>
              <w:right w:val="single" w:sz="4" w:space="0" w:color="auto"/>
            </w:tcBorders>
            <w:hideMark/>
          </w:tcPr>
          <w:p w14:paraId="4F367F99" w14:textId="77777777" w:rsidR="00B41760" w:rsidRPr="0011645D" w:rsidRDefault="00B41760">
            <w:pPr>
              <w:jc w:val="both"/>
              <w:rPr>
                <w:sz w:val="20"/>
                <w:szCs w:val="20"/>
              </w:rPr>
            </w:pPr>
            <w:r w:rsidRPr="0011645D">
              <w:rPr>
                <w:sz w:val="20"/>
                <w:szCs w:val="20"/>
              </w:rPr>
              <w:t>3.72</w:t>
            </w:r>
          </w:p>
        </w:tc>
        <w:tc>
          <w:tcPr>
            <w:tcW w:w="971" w:type="dxa"/>
            <w:tcBorders>
              <w:top w:val="single" w:sz="4" w:space="0" w:color="auto"/>
              <w:left w:val="single" w:sz="4" w:space="0" w:color="auto"/>
              <w:bottom w:val="single" w:sz="4" w:space="0" w:color="auto"/>
              <w:right w:val="single" w:sz="4" w:space="0" w:color="auto"/>
            </w:tcBorders>
            <w:hideMark/>
          </w:tcPr>
          <w:p w14:paraId="78C9F582" w14:textId="77777777" w:rsidR="00B41760" w:rsidRPr="0011645D" w:rsidRDefault="00B41760">
            <w:pPr>
              <w:jc w:val="both"/>
              <w:rPr>
                <w:sz w:val="20"/>
                <w:szCs w:val="20"/>
              </w:rPr>
            </w:pPr>
            <w:r w:rsidRPr="0011645D">
              <w:rPr>
                <w:sz w:val="20"/>
                <w:szCs w:val="20"/>
              </w:rPr>
              <w:t>0.02</w:t>
            </w:r>
          </w:p>
        </w:tc>
        <w:tc>
          <w:tcPr>
            <w:tcW w:w="806" w:type="dxa"/>
            <w:tcBorders>
              <w:top w:val="single" w:sz="4" w:space="0" w:color="auto"/>
              <w:left w:val="single" w:sz="4" w:space="0" w:color="auto"/>
              <w:bottom w:val="single" w:sz="4" w:space="0" w:color="auto"/>
              <w:right w:val="single" w:sz="4" w:space="0" w:color="auto"/>
            </w:tcBorders>
            <w:hideMark/>
          </w:tcPr>
          <w:p w14:paraId="76DC6FC3" w14:textId="77777777" w:rsidR="00B41760" w:rsidRPr="0011645D" w:rsidRDefault="00B41760">
            <w:pPr>
              <w:jc w:val="both"/>
              <w:rPr>
                <w:sz w:val="20"/>
                <w:szCs w:val="20"/>
              </w:rPr>
            </w:pPr>
            <w:r w:rsidRPr="0011645D">
              <w:rPr>
                <w:sz w:val="20"/>
                <w:szCs w:val="20"/>
              </w:rPr>
              <w:t>1.26</w:t>
            </w:r>
          </w:p>
        </w:tc>
        <w:tc>
          <w:tcPr>
            <w:tcW w:w="884" w:type="dxa"/>
            <w:tcBorders>
              <w:top w:val="single" w:sz="4" w:space="0" w:color="auto"/>
              <w:left w:val="single" w:sz="4" w:space="0" w:color="auto"/>
              <w:bottom w:val="single" w:sz="4" w:space="0" w:color="auto"/>
              <w:right w:val="thickThinLargeGap" w:sz="18" w:space="0" w:color="auto"/>
            </w:tcBorders>
            <w:hideMark/>
          </w:tcPr>
          <w:p w14:paraId="01B88FA5" w14:textId="77777777" w:rsidR="00B41760" w:rsidRPr="0011645D" w:rsidRDefault="00B41760">
            <w:pPr>
              <w:jc w:val="both"/>
              <w:rPr>
                <w:sz w:val="20"/>
                <w:szCs w:val="20"/>
              </w:rPr>
            </w:pPr>
            <w:r w:rsidRPr="0011645D">
              <w:rPr>
                <w:sz w:val="20"/>
                <w:szCs w:val="20"/>
              </w:rPr>
              <w:t>10.99</w:t>
            </w:r>
          </w:p>
        </w:tc>
        <w:tc>
          <w:tcPr>
            <w:tcW w:w="922" w:type="dxa"/>
            <w:tcBorders>
              <w:top w:val="single" w:sz="4" w:space="0" w:color="auto"/>
              <w:left w:val="thickThinLargeGap" w:sz="18" w:space="0" w:color="auto"/>
              <w:bottom w:val="single" w:sz="4" w:space="0" w:color="auto"/>
              <w:right w:val="single" w:sz="4" w:space="0" w:color="auto"/>
            </w:tcBorders>
            <w:hideMark/>
          </w:tcPr>
          <w:p w14:paraId="206B4D8A" w14:textId="77777777" w:rsidR="00B41760" w:rsidRPr="0011645D" w:rsidRDefault="00B41760">
            <w:pPr>
              <w:jc w:val="both"/>
              <w:rPr>
                <w:sz w:val="20"/>
                <w:szCs w:val="20"/>
              </w:rPr>
            </w:pPr>
            <w:r w:rsidRPr="0011645D">
              <w:rPr>
                <w:sz w:val="20"/>
                <w:szCs w:val="20"/>
              </w:rPr>
              <w:t>4.49</w:t>
            </w:r>
          </w:p>
        </w:tc>
        <w:tc>
          <w:tcPr>
            <w:tcW w:w="985" w:type="dxa"/>
            <w:tcBorders>
              <w:top w:val="single" w:sz="4" w:space="0" w:color="auto"/>
              <w:left w:val="single" w:sz="4" w:space="0" w:color="auto"/>
              <w:bottom w:val="single" w:sz="4" w:space="0" w:color="auto"/>
              <w:right w:val="single" w:sz="4" w:space="0" w:color="auto"/>
            </w:tcBorders>
            <w:hideMark/>
          </w:tcPr>
          <w:p w14:paraId="4F8A5B23" w14:textId="77777777" w:rsidR="00B41760" w:rsidRPr="0011645D" w:rsidRDefault="00B41760">
            <w:pPr>
              <w:jc w:val="both"/>
              <w:rPr>
                <w:sz w:val="20"/>
                <w:szCs w:val="20"/>
              </w:rPr>
            </w:pPr>
            <w:r w:rsidRPr="0011645D">
              <w:rPr>
                <w:sz w:val="20"/>
                <w:szCs w:val="20"/>
              </w:rPr>
              <w:t>0.01</w:t>
            </w:r>
          </w:p>
        </w:tc>
        <w:tc>
          <w:tcPr>
            <w:tcW w:w="922" w:type="dxa"/>
            <w:tcBorders>
              <w:top w:val="single" w:sz="4" w:space="0" w:color="auto"/>
              <w:left w:val="single" w:sz="4" w:space="0" w:color="auto"/>
              <w:bottom w:val="single" w:sz="4" w:space="0" w:color="auto"/>
              <w:right w:val="single" w:sz="4" w:space="0" w:color="auto"/>
            </w:tcBorders>
            <w:hideMark/>
          </w:tcPr>
          <w:p w14:paraId="09D71A72" w14:textId="77777777" w:rsidR="00B41760" w:rsidRPr="0011645D" w:rsidRDefault="00B41760">
            <w:pPr>
              <w:jc w:val="both"/>
              <w:rPr>
                <w:sz w:val="20"/>
                <w:szCs w:val="20"/>
              </w:rPr>
            </w:pPr>
            <w:r w:rsidRPr="0011645D">
              <w:rPr>
                <w:sz w:val="20"/>
                <w:szCs w:val="20"/>
              </w:rPr>
              <w:t>1.43</w:t>
            </w:r>
          </w:p>
        </w:tc>
        <w:tc>
          <w:tcPr>
            <w:tcW w:w="954" w:type="dxa"/>
            <w:tcBorders>
              <w:top w:val="single" w:sz="4" w:space="0" w:color="auto"/>
              <w:left w:val="single" w:sz="4" w:space="0" w:color="auto"/>
              <w:bottom w:val="single" w:sz="4" w:space="0" w:color="auto"/>
              <w:right w:val="single" w:sz="4" w:space="0" w:color="auto"/>
            </w:tcBorders>
            <w:hideMark/>
          </w:tcPr>
          <w:p w14:paraId="1C1E3AE4" w14:textId="77777777" w:rsidR="00B41760" w:rsidRPr="0011645D" w:rsidRDefault="00B41760">
            <w:pPr>
              <w:jc w:val="both"/>
              <w:rPr>
                <w:sz w:val="20"/>
                <w:szCs w:val="20"/>
              </w:rPr>
            </w:pPr>
            <w:r w:rsidRPr="0011645D">
              <w:rPr>
                <w:sz w:val="20"/>
                <w:szCs w:val="20"/>
              </w:rPr>
              <w:t>14.05</w:t>
            </w:r>
          </w:p>
        </w:tc>
      </w:tr>
      <w:tr w:rsidR="00B41760" w:rsidRPr="0011645D" w14:paraId="3424F202" w14:textId="77777777" w:rsidTr="00C45D61">
        <w:tc>
          <w:tcPr>
            <w:tcW w:w="1864" w:type="dxa"/>
            <w:tcBorders>
              <w:top w:val="single" w:sz="4" w:space="0" w:color="auto"/>
              <w:left w:val="single" w:sz="4" w:space="0" w:color="auto"/>
              <w:bottom w:val="single" w:sz="4" w:space="0" w:color="auto"/>
              <w:right w:val="thickThinLargeGap" w:sz="18" w:space="0" w:color="auto"/>
            </w:tcBorders>
            <w:hideMark/>
          </w:tcPr>
          <w:p w14:paraId="1F271DE4" w14:textId="77777777" w:rsidR="00B41760" w:rsidRPr="0011645D" w:rsidRDefault="00B41760">
            <w:pPr>
              <w:jc w:val="both"/>
              <w:rPr>
                <w:sz w:val="20"/>
                <w:szCs w:val="20"/>
              </w:rPr>
            </w:pPr>
            <w:r w:rsidRPr="0011645D">
              <w:rPr>
                <w:sz w:val="20"/>
                <w:szCs w:val="20"/>
              </w:rPr>
              <w:t>Constant*</w:t>
            </w:r>
          </w:p>
        </w:tc>
        <w:tc>
          <w:tcPr>
            <w:tcW w:w="846" w:type="dxa"/>
            <w:tcBorders>
              <w:top w:val="single" w:sz="4" w:space="0" w:color="auto"/>
              <w:left w:val="thickThinLargeGap" w:sz="18" w:space="0" w:color="auto"/>
              <w:bottom w:val="single" w:sz="4" w:space="0" w:color="auto"/>
              <w:right w:val="single" w:sz="4" w:space="0" w:color="auto"/>
            </w:tcBorders>
          </w:tcPr>
          <w:p w14:paraId="3AB2820E" w14:textId="77777777" w:rsidR="00B41760" w:rsidRPr="0011645D" w:rsidRDefault="00B41760">
            <w:pPr>
              <w:jc w:val="both"/>
              <w:rPr>
                <w:sz w:val="20"/>
                <w:szCs w:val="20"/>
              </w:rPr>
            </w:pPr>
          </w:p>
        </w:tc>
        <w:tc>
          <w:tcPr>
            <w:tcW w:w="971" w:type="dxa"/>
            <w:tcBorders>
              <w:top w:val="single" w:sz="4" w:space="0" w:color="auto"/>
              <w:left w:val="single" w:sz="4" w:space="0" w:color="auto"/>
              <w:bottom w:val="single" w:sz="4" w:space="0" w:color="auto"/>
              <w:right w:val="single" w:sz="4" w:space="0" w:color="auto"/>
            </w:tcBorders>
          </w:tcPr>
          <w:p w14:paraId="6D341ED6" w14:textId="77777777" w:rsidR="00B41760" w:rsidRPr="0011645D" w:rsidRDefault="00B41760">
            <w:pPr>
              <w:jc w:val="both"/>
              <w:rPr>
                <w:sz w:val="20"/>
                <w:szCs w:val="20"/>
              </w:rPr>
            </w:pPr>
          </w:p>
        </w:tc>
        <w:tc>
          <w:tcPr>
            <w:tcW w:w="806" w:type="dxa"/>
            <w:tcBorders>
              <w:top w:val="single" w:sz="4" w:space="0" w:color="auto"/>
              <w:left w:val="single" w:sz="4" w:space="0" w:color="auto"/>
              <w:bottom w:val="single" w:sz="4" w:space="0" w:color="auto"/>
              <w:right w:val="single" w:sz="4" w:space="0" w:color="auto"/>
            </w:tcBorders>
          </w:tcPr>
          <w:p w14:paraId="038FEA16" w14:textId="77777777" w:rsidR="00B41760" w:rsidRPr="0011645D" w:rsidRDefault="00B41760">
            <w:pPr>
              <w:jc w:val="both"/>
              <w:rPr>
                <w:sz w:val="20"/>
                <w:szCs w:val="20"/>
              </w:rPr>
            </w:pPr>
          </w:p>
        </w:tc>
        <w:tc>
          <w:tcPr>
            <w:tcW w:w="884" w:type="dxa"/>
            <w:tcBorders>
              <w:top w:val="single" w:sz="4" w:space="0" w:color="auto"/>
              <w:left w:val="single" w:sz="4" w:space="0" w:color="auto"/>
              <w:bottom w:val="single" w:sz="4" w:space="0" w:color="auto"/>
              <w:right w:val="thickThinLargeGap" w:sz="18" w:space="0" w:color="auto"/>
            </w:tcBorders>
          </w:tcPr>
          <w:p w14:paraId="431408A9" w14:textId="77777777" w:rsidR="00B41760" w:rsidRPr="0011645D" w:rsidRDefault="00B41760">
            <w:pPr>
              <w:jc w:val="both"/>
              <w:rPr>
                <w:sz w:val="20"/>
                <w:szCs w:val="20"/>
              </w:rPr>
            </w:pPr>
          </w:p>
        </w:tc>
        <w:tc>
          <w:tcPr>
            <w:tcW w:w="922" w:type="dxa"/>
            <w:tcBorders>
              <w:top w:val="single" w:sz="4" w:space="0" w:color="auto"/>
              <w:left w:val="thickThinLargeGap" w:sz="18" w:space="0" w:color="auto"/>
              <w:bottom w:val="single" w:sz="4" w:space="0" w:color="auto"/>
              <w:right w:val="single" w:sz="4" w:space="0" w:color="auto"/>
            </w:tcBorders>
            <w:hideMark/>
          </w:tcPr>
          <w:p w14:paraId="729D1DD9" w14:textId="77777777" w:rsidR="00B41760" w:rsidRPr="0011645D" w:rsidRDefault="00B41760">
            <w:pPr>
              <w:jc w:val="both"/>
              <w:rPr>
                <w:sz w:val="20"/>
                <w:szCs w:val="20"/>
              </w:rPr>
            </w:pPr>
            <w:r w:rsidRPr="0011645D">
              <w:rPr>
                <w:sz w:val="20"/>
                <w:szCs w:val="20"/>
              </w:rPr>
              <w:t>0.06</w:t>
            </w:r>
          </w:p>
        </w:tc>
        <w:tc>
          <w:tcPr>
            <w:tcW w:w="985" w:type="dxa"/>
            <w:tcBorders>
              <w:top w:val="single" w:sz="4" w:space="0" w:color="auto"/>
              <w:left w:val="single" w:sz="4" w:space="0" w:color="auto"/>
              <w:bottom w:val="single" w:sz="4" w:space="0" w:color="auto"/>
              <w:right w:val="single" w:sz="4" w:space="0" w:color="auto"/>
            </w:tcBorders>
            <w:hideMark/>
          </w:tcPr>
          <w:p w14:paraId="108F0199" w14:textId="77777777" w:rsidR="00B41760" w:rsidRPr="0011645D" w:rsidRDefault="00B41760">
            <w:pPr>
              <w:jc w:val="both"/>
              <w:rPr>
                <w:sz w:val="20"/>
                <w:szCs w:val="20"/>
              </w:rPr>
            </w:pPr>
            <w:r w:rsidRPr="0011645D">
              <w:rPr>
                <w:sz w:val="20"/>
                <w:szCs w:val="20"/>
              </w:rPr>
              <w:t>&lt;0.001</w:t>
            </w:r>
          </w:p>
        </w:tc>
        <w:tc>
          <w:tcPr>
            <w:tcW w:w="922" w:type="dxa"/>
            <w:tcBorders>
              <w:top w:val="single" w:sz="4" w:space="0" w:color="auto"/>
              <w:left w:val="single" w:sz="4" w:space="0" w:color="auto"/>
              <w:bottom w:val="single" w:sz="4" w:space="0" w:color="auto"/>
              <w:right w:val="single" w:sz="4" w:space="0" w:color="auto"/>
            </w:tcBorders>
            <w:hideMark/>
          </w:tcPr>
          <w:p w14:paraId="593D167C" w14:textId="77777777" w:rsidR="00B41760" w:rsidRPr="0011645D" w:rsidRDefault="00B41760">
            <w:pPr>
              <w:jc w:val="both"/>
              <w:rPr>
                <w:sz w:val="20"/>
                <w:szCs w:val="20"/>
              </w:rPr>
            </w:pPr>
            <w:r w:rsidRPr="0011645D">
              <w:rPr>
                <w:sz w:val="20"/>
                <w:szCs w:val="20"/>
              </w:rPr>
              <w:t>0.17</w:t>
            </w:r>
          </w:p>
        </w:tc>
        <w:tc>
          <w:tcPr>
            <w:tcW w:w="954" w:type="dxa"/>
            <w:tcBorders>
              <w:top w:val="single" w:sz="4" w:space="0" w:color="auto"/>
              <w:left w:val="single" w:sz="4" w:space="0" w:color="auto"/>
              <w:bottom w:val="single" w:sz="4" w:space="0" w:color="auto"/>
              <w:right w:val="single" w:sz="4" w:space="0" w:color="auto"/>
            </w:tcBorders>
            <w:hideMark/>
          </w:tcPr>
          <w:p w14:paraId="17946CF7" w14:textId="77777777" w:rsidR="00B41760" w:rsidRPr="0011645D" w:rsidRDefault="00B41760">
            <w:pPr>
              <w:jc w:val="both"/>
              <w:rPr>
                <w:sz w:val="20"/>
                <w:szCs w:val="20"/>
              </w:rPr>
            </w:pPr>
            <w:r w:rsidRPr="0011645D">
              <w:rPr>
                <w:sz w:val="20"/>
                <w:szCs w:val="20"/>
              </w:rPr>
              <w:t>0.23</w:t>
            </w:r>
          </w:p>
        </w:tc>
      </w:tr>
    </w:tbl>
    <w:p w14:paraId="08650C00" w14:textId="77777777" w:rsidR="00B41760" w:rsidRPr="0011645D" w:rsidRDefault="00B41760" w:rsidP="00B41760">
      <w:pPr>
        <w:jc w:val="both"/>
        <w:rPr>
          <w:b/>
          <w:sz w:val="20"/>
          <w:szCs w:val="20"/>
        </w:rPr>
      </w:pPr>
    </w:p>
    <w:p w14:paraId="74D16063" w14:textId="5E8EE605" w:rsidR="00B41760" w:rsidRPr="0011645D" w:rsidRDefault="00B41760" w:rsidP="00B41760">
      <w:pPr>
        <w:jc w:val="both"/>
        <w:rPr>
          <w:b/>
          <w:sz w:val="20"/>
          <w:szCs w:val="20"/>
        </w:rPr>
      </w:pPr>
      <w:r w:rsidRPr="0011645D">
        <w:rPr>
          <w:b/>
          <w:sz w:val="20"/>
          <w:szCs w:val="20"/>
        </w:rPr>
        <w:t xml:space="preserve">Table 3: Comparison of proportions of patients with successful medication dose up-titration among CKD and HF </w:t>
      </w:r>
      <w:r w:rsidR="008F5CF8" w:rsidRPr="0011645D">
        <w:rPr>
          <w:b/>
          <w:sz w:val="20"/>
          <w:szCs w:val="20"/>
        </w:rPr>
        <w:t>sub</w:t>
      </w:r>
      <w:r w:rsidRPr="0011645D">
        <w:rPr>
          <w:b/>
          <w:sz w:val="20"/>
          <w:szCs w:val="20"/>
        </w:rPr>
        <w:t>groups</w:t>
      </w:r>
    </w:p>
    <w:tbl>
      <w:tblPr>
        <w:tblStyle w:val="TableGrid"/>
        <w:tblW w:w="9217" w:type="dxa"/>
        <w:tblLook w:val="04A0" w:firstRow="1" w:lastRow="0" w:firstColumn="1" w:lastColumn="0" w:noHBand="0" w:noVBand="1"/>
      </w:tblPr>
      <w:tblGrid>
        <w:gridCol w:w="1384"/>
        <w:gridCol w:w="1587"/>
        <w:gridCol w:w="1473"/>
        <w:gridCol w:w="909"/>
        <w:gridCol w:w="992"/>
        <w:gridCol w:w="965"/>
        <w:gridCol w:w="1019"/>
        <w:gridCol w:w="888"/>
      </w:tblGrid>
      <w:tr w:rsidR="0011645D" w:rsidRPr="0011645D" w14:paraId="4D403E29" w14:textId="77777777" w:rsidTr="00FB4C14">
        <w:trPr>
          <w:trHeight w:val="283"/>
        </w:trPr>
        <w:tc>
          <w:tcPr>
            <w:tcW w:w="1384" w:type="dxa"/>
            <w:tcBorders>
              <w:top w:val="single" w:sz="4" w:space="0" w:color="auto"/>
              <w:left w:val="single" w:sz="4" w:space="0" w:color="auto"/>
              <w:bottom w:val="single" w:sz="4" w:space="0" w:color="auto"/>
              <w:right w:val="thickThinLargeGap" w:sz="18" w:space="0" w:color="auto"/>
            </w:tcBorders>
          </w:tcPr>
          <w:p w14:paraId="1F6BBA11" w14:textId="77777777" w:rsidR="00B41760" w:rsidRPr="0011645D" w:rsidRDefault="00B41760">
            <w:pPr>
              <w:jc w:val="both"/>
              <w:rPr>
                <w:b/>
                <w:bCs/>
                <w:sz w:val="20"/>
                <w:szCs w:val="20"/>
              </w:rPr>
            </w:pPr>
            <w:bookmarkStart w:id="7" w:name="_Hlk37288651"/>
          </w:p>
        </w:tc>
        <w:tc>
          <w:tcPr>
            <w:tcW w:w="1587" w:type="dxa"/>
            <w:tcBorders>
              <w:top w:val="single" w:sz="4" w:space="0" w:color="auto"/>
              <w:left w:val="thickThinLargeGap" w:sz="18" w:space="0" w:color="auto"/>
              <w:bottom w:val="single" w:sz="4" w:space="0" w:color="auto"/>
              <w:right w:val="single" w:sz="4" w:space="0" w:color="auto"/>
            </w:tcBorders>
            <w:hideMark/>
          </w:tcPr>
          <w:p w14:paraId="02CDDAA6" w14:textId="77777777" w:rsidR="00B41760" w:rsidRPr="0011645D" w:rsidRDefault="00B41760">
            <w:pPr>
              <w:jc w:val="both"/>
              <w:rPr>
                <w:b/>
                <w:bCs/>
                <w:sz w:val="20"/>
                <w:szCs w:val="20"/>
              </w:rPr>
            </w:pPr>
            <w:r w:rsidRPr="0011645D">
              <w:rPr>
                <w:b/>
                <w:bCs/>
                <w:sz w:val="20"/>
                <w:szCs w:val="20"/>
              </w:rPr>
              <w:t>Moderate CKD</w:t>
            </w:r>
          </w:p>
        </w:tc>
        <w:tc>
          <w:tcPr>
            <w:tcW w:w="1473" w:type="dxa"/>
            <w:tcBorders>
              <w:top w:val="single" w:sz="4" w:space="0" w:color="auto"/>
              <w:left w:val="single" w:sz="4" w:space="0" w:color="auto"/>
              <w:bottom w:val="single" w:sz="4" w:space="0" w:color="auto"/>
              <w:right w:val="single" w:sz="4" w:space="0" w:color="auto"/>
            </w:tcBorders>
            <w:hideMark/>
          </w:tcPr>
          <w:p w14:paraId="2E49B5D2" w14:textId="77777777" w:rsidR="00B41760" w:rsidRPr="0011645D" w:rsidRDefault="00B41760">
            <w:pPr>
              <w:jc w:val="both"/>
              <w:rPr>
                <w:b/>
                <w:bCs/>
                <w:sz w:val="20"/>
                <w:szCs w:val="20"/>
              </w:rPr>
            </w:pPr>
            <w:r w:rsidRPr="0011645D">
              <w:rPr>
                <w:b/>
                <w:bCs/>
                <w:sz w:val="20"/>
                <w:szCs w:val="20"/>
              </w:rPr>
              <w:t>Severe CKD</w:t>
            </w:r>
          </w:p>
        </w:tc>
        <w:tc>
          <w:tcPr>
            <w:tcW w:w="909" w:type="dxa"/>
            <w:tcBorders>
              <w:top w:val="single" w:sz="4" w:space="0" w:color="auto"/>
              <w:left w:val="single" w:sz="4" w:space="0" w:color="auto"/>
              <w:bottom w:val="single" w:sz="4" w:space="0" w:color="auto"/>
              <w:right w:val="thickThinLargeGap" w:sz="18" w:space="0" w:color="auto"/>
            </w:tcBorders>
            <w:hideMark/>
          </w:tcPr>
          <w:p w14:paraId="5CD116E0" w14:textId="77777777" w:rsidR="00B41760" w:rsidRPr="0011645D" w:rsidRDefault="00B41760">
            <w:pPr>
              <w:jc w:val="both"/>
              <w:rPr>
                <w:b/>
                <w:bCs/>
                <w:sz w:val="20"/>
                <w:szCs w:val="20"/>
              </w:rPr>
            </w:pPr>
            <w:r w:rsidRPr="0011645D">
              <w:rPr>
                <w:b/>
                <w:bCs/>
                <w:sz w:val="20"/>
                <w:szCs w:val="20"/>
              </w:rPr>
              <w:t>p value</w:t>
            </w:r>
          </w:p>
        </w:tc>
        <w:tc>
          <w:tcPr>
            <w:tcW w:w="992" w:type="dxa"/>
            <w:tcBorders>
              <w:top w:val="single" w:sz="4" w:space="0" w:color="auto"/>
              <w:left w:val="thickThinLargeGap" w:sz="18" w:space="0" w:color="auto"/>
              <w:bottom w:val="single" w:sz="4" w:space="0" w:color="auto"/>
              <w:right w:val="single" w:sz="4" w:space="0" w:color="auto"/>
            </w:tcBorders>
            <w:hideMark/>
          </w:tcPr>
          <w:p w14:paraId="5C677B32" w14:textId="77777777" w:rsidR="00B41760" w:rsidRPr="0011645D" w:rsidRDefault="00B41760">
            <w:pPr>
              <w:jc w:val="both"/>
              <w:rPr>
                <w:b/>
                <w:bCs/>
                <w:sz w:val="20"/>
                <w:szCs w:val="20"/>
              </w:rPr>
            </w:pPr>
            <w:proofErr w:type="spellStart"/>
            <w:r w:rsidRPr="0011645D">
              <w:rPr>
                <w:b/>
                <w:bCs/>
                <w:sz w:val="20"/>
                <w:szCs w:val="20"/>
              </w:rPr>
              <w:t>HFrEF</w:t>
            </w:r>
            <w:proofErr w:type="spellEnd"/>
          </w:p>
        </w:tc>
        <w:tc>
          <w:tcPr>
            <w:tcW w:w="965" w:type="dxa"/>
            <w:tcBorders>
              <w:top w:val="single" w:sz="4" w:space="0" w:color="auto"/>
              <w:left w:val="single" w:sz="4" w:space="0" w:color="auto"/>
              <w:bottom w:val="single" w:sz="4" w:space="0" w:color="auto"/>
              <w:right w:val="single" w:sz="4" w:space="0" w:color="auto"/>
            </w:tcBorders>
            <w:hideMark/>
          </w:tcPr>
          <w:p w14:paraId="08EE159E" w14:textId="77777777" w:rsidR="00B41760" w:rsidRPr="0011645D" w:rsidRDefault="00B41760">
            <w:pPr>
              <w:jc w:val="both"/>
              <w:rPr>
                <w:b/>
                <w:bCs/>
                <w:sz w:val="20"/>
                <w:szCs w:val="20"/>
              </w:rPr>
            </w:pPr>
            <w:proofErr w:type="spellStart"/>
            <w:r w:rsidRPr="0011645D">
              <w:rPr>
                <w:b/>
                <w:bCs/>
                <w:sz w:val="20"/>
                <w:szCs w:val="20"/>
              </w:rPr>
              <w:t>HFmEF</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30C009D1" w14:textId="77777777" w:rsidR="00B41760" w:rsidRPr="0011645D" w:rsidRDefault="00B41760">
            <w:pPr>
              <w:jc w:val="both"/>
              <w:rPr>
                <w:b/>
                <w:bCs/>
                <w:sz w:val="20"/>
                <w:szCs w:val="20"/>
              </w:rPr>
            </w:pPr>
            <w:proofErr w:type="spellStart"/>
            <w:r w:rsidRPr="0011645D">
              <w:rPr>
                <w:b/>
                <w:bCs/>
                <w:sz w:val="20"/>
                <w:szCs w:val="20"/>
              </w:rPr>
              <w:t>HFpEF</w:t>
            </w:r>
            <w:proofErr w:type="spellEnd"/>
          </w:p>
        </w:tc>
        <w:tc>
          <w:tcPr>
            <w:tcW w:w="888" w:type="dxa"/>
            <w:tcBorders>
              <w:top w:val="single" w:sz="4" w:space="0" w:color="auto"/>
              <w:left w:val="single" w:sz="4" w:space="0" w:color="auto"/>
              <w:bottom w:val="single" w:sz="4" w:space="0" w:color="auto"/>
              <w:right w:val="single" w:sz="4" w:space="0" w:color="auto"/>
            </w:tcBorders>
            <w:hideMark/>
          </w:tcPr>
          <w:p w14:paraId="52457256" w14:textId="77777777" w:rsidR="00B41760" w:rsidRPr="0011645D" w:rsidRDefault="00B41760">
            <w:pPr>
              <w:jc w:val="both"/>
              <w:rPr>
                <w:b/>
                <w:bCs/>
                <w:sz w:val="20"/>
                <w:szCs w:val="20"/>
              </w:rPr>
            </w:pPr>
            <w:r w:rsidRPr="0011645D">
              <w:rPr>
                <w:b/>
                <w:bCs/>
                <w:sz w:val="20"/>
                <w:szCs w:val="20"/>
              </w:rPr>
              <w:t>p value</w:t>
            </w:r>
          </w:p>
        </w:tc>
      </w:tr>
      <w:tr w:rsidR="0011645D" w:rsidRPr="0011645D" w14:paraId="3B082E1E" w14:textId="77777777" w:rsidTr="00FB4C14">
        <w:trPr>
          <w:trHeight w:val="283"/>
        </w:trPr>
        <w:tc>
          <w:tcPr>
            <w:tcW w:w="1384" w:type="dxa"/>
            <w:tcBorders>
              <w:top w:val="single" w:sz="4" w:space="0" w:color="auto"/>
              <w:left w:val="single" w:sz="4" w:space="0" w:color="auto"/>
              <w:bottom w:val="single" w:sz="4" w:space="0" w:color="auto"/>
              <w:right w:val="thickThinLargeGap" w:sz="18" w:space="0" w:color="auto"/>
            </w:tcBorders>
            <w:hideMark/>
          </w:tcPr>
          <w:p w14:paraId="349D7A78" w14:textId="77777777" w:rsidR="00B41760" w:rsidRPr="0011645D" w:rsidRDefault="00B41760">
            <w:pPr>
              <w:jc w:val="both"/>
              <w:rPr>
                <w:b/>
                <w:bCs/>
                <w:sz w:val="20"/>
                <w:szCs w:val="20"/>
              </w:rPr>
            </w:pPr>
            <w:r w:rsidRPr="0011645D">
              <w:rPr>
                <w:b/>
                <w:bCs/>
                <w:sz w:val="20"/>
                <w:szCs w:val="20"/>
              </w:rPr>
              <w:t>Beta-blockers</w:t>
            </w:r>
          </w:p>
        </w:tc>
        <w:tc>
          <w:tcPr>
            <w:tcW w:w="1587" w:type="dxa"/>
            <w:tcBorders>
              <w:top w:val="single" w:sz="4" w:space="0" w:color="auto"/>
              <w:left w:val="thickThinLargeGap" w:sz="18" w:space="0" w:color="auto"/>
              <w:bottom w:val="single" w:sz="4" w:space="0" w:color="auto"/>
              <w:right w:val="single" w:sz="4" w:space="0" w:color="auto"/>
            </w:tcBorders>
            <w:hideMark/>
          </w:tcPr>
          <w:p w14:paraId="187023B0" w14:textId="77777777" w:rsidR="00B41760" w:rsidRPr="0011645D" w:rsidRDefault="00B41760">
            <w:pPr>
              <w:jc w:val="both"/>
              <w:rPr>
                <w:sz w:val="20"/>
                <w:szCs w:val="20"/>
              </w:rPr>
            </w:pPr>
            <w:r w:rsidRPr="0011645D">
              <w:rPr>
                <w:sz w:val="20"/>
                <w:szCs w:val="20"/>
              </w:rPr>
              <w:t>34.1%</w:t>
            </w:r>
          </w:p>
        </w:tc>
        <w:tc>
          <w:tcPr>
            <w:tcW w:w="1473" w:type="dxa"/>
            <w:tcBorders>
              <w:top w:val="single" w:sz="4" w:space="0" w:color="auto"/>
              <w:left w:val="single" w:sz="4" w:space="0" w:color="auto"/>
              <w:bottom w:val="single" w:sz="4" w:space="0" w:color="auto"/>
              <w:right w:val="single" w:sz="4" w:space="0" w:color="auto"/>
            </w:tcBorders>
            <w:hideMark/>
          </w:tcPr>
          <w:p w14:paraId="2115E577" w14:textId="77777777" w:rsidR="00B41760" w:rsidRPr="0011645D" w:rsidRDefault="00B41760">
            <w:pPr>
              <w:jc w:val="both"/>
              <w:rPr>
                <w:sz w:val="20"/>
                <w:szCs w:val="20"/>
              </w:rPr>
            </w:pPr>
            <w:r w:rsidRPr="0011645D">
              <w:rPr>
                <w:sz w:val="20"/>
                <w:szCs w:val="20"/>
              </w:rPr>
              <w:t>16.2%</w:t>
            </w:r>
          </w:p>
        </w:tc>
        <w:tc>
          <w:tcPr>
            <w:tcW w:w="909" w:type="dxa"/>
            <w:tcBorders>
              <w:top w:val="single" w:sz="4" w:space="0" w:color="auto"/>
              <w:left w:val="single" w:sz="4" w:space="0" w:color="auto"/>
              <w:bottom w:val="single" w:sz="4" w:space="0" w:color="auto"/>
              <w:right w:val="thickThinLargeGap" w:sz="18" w:space="0" w:color="auto"/>
            </w:tcBorders>
            <w:hideMark/>
          </w:tcPr>
          <w:p w14:paraId="6010C77E" w14:textId="77777777" w:rsidR="00B41760" w:rsidRPr="0011645D" w:rsidRDefault="00B41760">
            <w:pPr>
              <w:jc w:val="both"/>
              <w:rPr>
                <w:sz w:val="20"/>
                <w:szCs w:val="20"/>
              </w:rPr>
            </w:pPr>
            <w:r w:rsidRPr="0011645D">
              <w:rPr>
                <w:sz w:val="20"/>
                <w:szCs w:val="20"/>
              </w:rPr>
              <w:t>0.07</w:t>
            </w:r>
          </w:p>
        </w:tc>
        <w:tc>
          <w:tcPr>
            <w:tcW w:w="992" w:type="dxa"/>
            <w:tcBorders>
              <w:top w:val="single" w:sz="4" w:space="0" w:color="auto"/>
              <w:left w:val="thickThinLargeGap" w:sz="18" w:space="0" w:color="auto"/>
              <w:bottom w:val="single" w:sz="4" w:space="0" w:color="auto"/>
              <w:right w:val="single" w:sz="4" w:space="0" w:color="auto"/>
            </w:tcBorders>
            <w:hideMark/>
          </w:tcPr>
          <w:p w14:paraId="7EC20EA0" w14:textId="77777777" w:rsidR="00B41760" w:rsidRPr="0011645D" w:rsidRDefault="00B41760">
            <w:pPr>
              <w:jc w:val="both"/>
              <w:rPr>
                <w:sz w:val="20"/>
                <w:szCs w:val="20"/>
              </w:rPr>
            </w:pPr>
            <w:r w:rsidRPr="0011645D">
              <w:rPr>
                <w:sz w:val="20"/>
                <w:szCs w:val="20"/>
              </w:rPr>
              <w:t>25.6%</w:t>
            </w:r>
          </w:p>
        </w:tc>
        <w:tc>
          <w:tcPr>
            <w:tcW w:w="965" w:type="dxa"/>
            <w:tcBorders>
              <w:top w:val="single" w:sz="4" w:space="0" w:color="auto"/>
              <w:left w:val="single" w:sz="4" w:space="0" w:color="auto"/>
              <w:bottom w:val="single" w:sz="4" w:space="0" w:color="auto"/>
              <w:right w:val="single" w:sz="4" w:space="0" w:color="auto"/>
            </w:tcBorders>
            <w:hideMark/>
          </w:tcPr>
          <w:p w14:paraId="75B818DE" w14:textId="77777777" w:rsidR="00B41760" w:rsidRPr="0011645D" w:rsidRDefault="00B41760">
            <w:pPr>
              <w:jc w:val="both"/>
              <w:rPr>
                <w:sz w:val="20"/>
                <w:szCs w:val="20"/>
              </w:rPr>
            </w:pPr>
            <w:r w:rsidRPr="0011645D">
              <w:rPr>
                <w:sz w:val="20"/>
                <w:szCs w:val="20"/>
              </w:rPr>
              <w:t>29.4%</w:t>
            </w:r>
          </w:p>
        </w:tc>
        <w:tc>
          <w:tcPr>
            <w:tcW w:w="1019" w:type="dxa"/>
            <w:tcBorders>
              <w:top w:val="single" w:sz="4" w:space="0" w:color="auto"/>
              <w:left w:val="single" w:sz="4" w:space="0" w:color="auto"/>
              <w:bottom w:val="single" w:sz="4" w:space="0" w:color="auto"/>
              <w:right w:val="single" w:sz="4" w:space="0" w:color="auto"/>
            </w:tcBorders>
            <w:hideMark/>
          </w:tcPr>
          <w:p w14:paraId="329EE985" w14:textId="77777777" w:rsidR="00B41760" w:rsidRPr="0011645D" w:rsidRDefault="00B41760">
            <w:pPr>
              <w:jc w:val="both"/>
              <w:rPr>
                <w:sz w:val="20"/>
                <w:szCs w:val="20"/>
              </w:rPr>
            </w:pPr>
            <w:r w:rsidRPr="0011645D">
              <w:rPr>
                <w:sz w:val="20"/>
                <w:szCs w:val="20"/>
              </w:rPr>
              <w:t>24.0%</w:t>
            </w:r>
          </w:p>
        </w:tc>
        <w:tc>
          <w:tcPr>
            <w:tcW w:w="888" w:type="dxa"/>
            <w:tcBorders>
              <w:top w:val="single" w:sz="4" w:space="0" w:color="auto"/>
              <w:left w:val="single" w:sz="4" w:space="0" w:color="auto"/>
              <w:bottom w:val="single" w:sz="4" w:space="0" w:color="auto"/>
              <w:right w:val="single" w:sz="4" w:space="0" w:color="auto"/>
            </w:tcBorders>
            <w:hideMark/>
          </w:tcPr>
          <w:p w14:paraId="15716A50" w14:textId="77777777" w:rsidR="00B41760" w:rsidRPr="0011645D" w:rsidRDefault="00B41760">
            <w:pPr>
              <w:jc w:val="both"/>
              <w:rPr>
                <w:sz w:val="20"/>
                <w:szCs w:val="20"/>
              </w:rPr>
            </w:pPr>
            <w:r w:rsidRPr="0011645D">
              <w:rPr>
                <w:sz w:val="20"/>
                <w:szCs w:val="20"/>
              </w:rPr>
              <w:t>0.92</w:t>
            </w:r>
          </w:p>
        </w:tc>
      </w:tr>
      <w:tr w:rsidR="0011645D" w:rsidRPr="0011645D" w14:paraId="68E9B1E1" w14:textId="77777777" w:rsidTr="00FB4C14">
        <w:trPr>
          <w:trHeight w:val="283"/>
        </w:trPr>
        <w:tc>
          <w:tcPr>
            <w:tcW w:w="1384" w:type="dxa"/>
            <w:tcBorders>
              <w:top w:val="single" w:sz="4" w:space="0" w:color="auto"/>
              <w:left w:val="single" w:sz="4" w:space="0" w:color="auto"/>
              <w:bottom w:val="single" w:sz="4" w:space="0" w:color="auto"/>
              <w:right w:val="thickThinLargeGap" w:sz="18" w:space="0" w:color="auto"/>
            </w:tcBorders>
            <w:hideMark/>
          </w:tcPr>
          <w:p w14:paraId="43DE116F" w14:textId="77777777" w:rsidR="00B41760" w:rsidRPr="0011645D" w:rsidRDefault="00B41760">
            <w:pPr>
              <w:jc w:val="both"/>
              <w:rPr>
                <w:b/>
                <w:bCs/>
                <w:sz w:val="20"/>
                <w:szCs w:val="20"/>
              </w:rPr>
            </w:pPr>
            <w:proofErr w:type="spellStart"/>
            <w:r w:rsidRPr="0011645D">
              <w:rPr>
                <w:b/>
                <w:bCs/>
                <w:sz w:val="20"/>
                <w:szCs w:val="20"/>
              </w:rPr>
              <w:t>ACEi</w:t>
            </w:r>
            <w:proofErr w:type="spellEnd"/>
            <w:r w:rsidRPr="0011645D">
              <w:rPr>
                <w:b/>
                <w:bCs/>
                <w:sz w:val="20"/>
                <w:szCs w:val="20"/>
              </w:rPr>
              <w:t>/ARBs</w:t>
            </w:r>
          </w:p>
        </w:tc>
        <w:tc>
          <w:tcPr>
            <w:tcW w:w="1587" w:type="dxa"/>
            <w:tcBorders>
              <w:top w:val="single" w:sz="4" w:space="0" w:color="auto"/>
              <w:left w:val="thickThinLargeGap" w:sz="18" w:space="0" w:color="auto"/>
              <w:bottom w:val="single" w:sz="4" w:space="0" w:color="auto"/>
              <w:right w:val="single" w:sz="4" w:space="0" w:color="auto"/>
            </w:tcBorders>
            <w:hideMark/>
          </w:tcPr>
          <w:p w14:paraId="394FB5AD" w14:textId="77777777" w:rsidR="00B41760" w:rsidRPr="0011645D" w:rsidRDefault="00B41760">
            <w:pPr>
              <w:jc w:val="both"/>
              <w:rPr>
                <w:sz w:val="20"/>
                <w:szCs w:val="20"/>
              </w:rPr>
            </w:pPr>
            <w:r w:rsidRPr="0011645D">
              <w:rPr>
                <w:sz w:val="20"/>
                <w:szCs w:val="20"/>
              </w:rPr>
              <w:t>35.3%</w:t>
            </w:r>
          </w:p>
        </w:tc>
        <w:tc>
          <w:tcPr>
            <w:tcW w:w="1473" w:type="dxa"/>
            <w:tcBorders>
              <w:top w:val="single" w:sz="4" w:space="0" w:color="auto"/>
              <w:left w:val="single" w:sz="4" w:space="0" w:color="auto"/>
              <w:bottom w:val="single" w:sz="4" w:space="0" w:color="auto"/>
              <w:right w:val="single" w:sz="4" w:space="0" w:color="auto"/>
            </w:tcBorders>
            <w:hideMark/>
          </w:tcPr>
          <w:p w14:paraId="41F98C55" w14:textId="77777777" w:rsidR="00B41760" w:rsidRPr="0011645D" w:rsidRDefault="00B41760">
            <w:pPr>
              <w:jc w:val="both"/>
              <w:rPr>
                <w:sz w:val="20"/>
                <w:szCs w:val="20"/>
              </w:rPr>
            </w:pPr>
            <w:r w:rsidRPr="0011645D">
              <w:rPr>
                <w:sz w:val="20"/>
                <w:szCs w:val="20"/>
              </w:rPr>
              <w:t>35.9%</w:t>
            </w:r>
          </w:p>
        </w:tc>
        <w:tc>
          <w:tcPr>
            <w:tcW w:w="909" w:type="dxa"/>
            <w:tcBorders>
              <w:top w:val="single" w:sz="4" w:space="0" w:color="auto"/>
              <w:left w:val="single" w:sz="4" w:space="0" w:color="auto"/>
              <w:bottom w:val="single" w:sz="4" w:space="0" w:color="auto"/>
              <w:right w:val="thickThinLargeGap" w:sz="18" w:space="0" w:color="auto"/>
            </w:tcBorders>
            <w:hideMark/>
          </w:tcPr>
          <w:p w14:paraId="1D897498" w14:textId="77777777" w:rsidR="00B41760" w:rsidRPr="0011645D" w:rsidRDefault="00B41760">
            <w:pPr>
              <w:jc w:val="both"/>
              <w:rPr>
                <w:sz w:val="20"/>
                <w:szCs w:val="20"/>
              </w:rPr>
            </w:pPr>
            <w:r w:rsidRPr="0011645D">
              <w:rPr>
                <w:sz w:val="20"/>
                <w:szCs w:val="20"/>
              </w:rPr>
              <w:t>0.95</w:t>
            </w:r>
          </w:p>
        </w:tc>
        <w:tc>
          <w:tcPr>
            <w:tcW w:w="992" w:type="dxa"/>
            <w:tcBorders>
              <w:top w:val="single" w:sz="4" w:space="0" w:color="auto"/>
              <w:left w:val="thickThinLargeGap" w:sz="18" w:space="0" w:color="auto"/>
              <w:bottom w:val="single" w:sz="4" w:space="0" w:color="auto"/>
              <w:right w:val="single" w:sz="4" w:space="0" w:color="auto"/>
            </w:tcBorders>
            <w:hideMark/>
          </w:tcPr>
          <w:p w14:paraId="3D4AAB48" w14:textId="77777777" w:rsidR="00B41760" w:rsidRPr="0011645D" w:rsidRDefault="00B41760">
            <w:pPr>
              <w:jc w:val="both"/>
              <w:rPr>
                <w:sz w:val="20"/>
                <w:szCs w:val="20"/>
              </w:rPr>
            </w:pPr>
            <w:r w:rsidRPr="0011645D">
              <w:rPr>
                <w:sz w:val="20"/>
                <w:szCs w:val="20"/>
              </w:rPr>
              <w:t>32.6%</w:t>
            </w:r>
          </w:p>
        </w:tc>
        <w:tc>
          <w:tcPr>
            <w:tcW w:w="965" w:type="dxa"/>
            <w:tcBorders>
              <w:top w:val="single" w:sz="4" w:space="0" w:color="auto"/>
              <w:left w:val="single" w:sz="4" w:space="0" w:color="auto"/>
              <w:bottom w:val="single" w:sz="4" w:space="0" w:color="auto"/>
              <w:right w:val="single" w:sz="4" w:space="0" w:color="auto"/>
            </w:tcBorders>
            <w:hideMark/>
          </w:tcPr>
          <w:p w14:paraId="7499CE9B" w14:textId="77777777" w:rsidR="00B41760" w:rsidRPr="0011645D" w:rsidRDefault="00B41760">
            <w:pPr>
              <w:jc w:val="both"/>
              <w:rPr>
                <w:sz w:val="20"/>
                <w:szCs w:val="20"/>
              </w:rPr>
            </w:pPr>
            <w:r w:rsidRPr="0011645D">
              <w:rPr>
                <w:sz w:val="20"/>
                <w:szCs w:val="20"/>
              </w:rPr>
              <w:t>52.4%</w:t>
            </w:r>
          </w:p>
        </w:tc>
        <w:tc>
          <w:tcPr>
            <w:tcW w:w="1019" w:type="dxa"/>
            <w:tcBorders>
              <w:top w:val="single" w:sz="4" w:space="0" w:color="auto"/>
              <w:left w:val="single" w:sz="4" w:space="0" w:color="auto"/>
              <w:bottom w:val="single" w:sz="4" w:space="0" w:color="auto"/>
              <w:right w:val="single" w:sz="4" w:space="0" w:color="auto"/>
            </w:tcBorders>
            <w:hideMark/>
          </w:tcPr>
          <w:p w14:paraId="4B980E43" w14:textId="77777777" w:rsidR="00B41760" w:rsidRPr="0011645D" w:rsidRDefault="00B41760">
            <w:pPr>
              <w:jc w:val="both"/>
              <w:rPr>
                <w:sz w:val="20"/>
                <w:szCs w:val="20"/>
              </w:rPr>
            </w:pPr>
            <w:r w:rsidRPr="0011645D">
              <w:rPr>
                <w:sz w:val="20"/>
                <w:szCs w:val="20"/>
              </w:rPr>
              <w:t>26.1%</w:t>
            </w:r>
          </w:p>
        </w:tc>
        <w:tc>
          <w:tcPr>
            <w:tcW w:w="888" w:type="dxa"/>
            <w:tcBorders>
              <w:top w:val="single" w:sz="4" w:space="0" w:color="auto"/>
              <w:left w:val="single" w:sz="4" w:space="0" w:color="auto"/>
              <w:bottom w:val="single" w:sz="4" w:space="0" w:color="auto"/>
              <w:right w:val="single" w:sz="4" w:space="0" w:color="auto"/>
            </w:tcBorders>
            <w:hideMark/>
          </w:tcPr>
          <w:p w14:paraId="23680738" w14:textId="77777777" w:rsidR="00B41760" w:rsidRPr="0011645D" w:rsidRDefault="00B41760">
            <w:pPr>
              <w:jc w:val="both"/>
              <w:rPr>
                <w:sz w:val="20"/>
                <w:szCs w:val="20"/>
              </w:rPr>
            </w:pPr>
            <w:r w:rsidRPr="0011645D">
              <w:rPr>
                <w:sz w:val="20"/>
                <w:szCs w:val="20"/>
              </w:rPr>
              <w:t>0.16</w:t>
            </w:r>
          </w:p>
        </w:tc>
      </w:tr>
      <w:tr w:rsidR="00B41760" w:rsidRPr="0011645D" w14:paraId="2A4560FA" w14:textId="77777777" w:rsidTr="00FB4C14">
        <w:trPr>
          <w:trHeight w:val="283"/>
        </w:trPr>
        <w:tc>
          <w:tcPr>
            <w:tcW w:w="1384" w:type="dxa"/>
            <w:tcBorders>
              <w:top w:val="single" w:sz="4" w:space="0" w:color="auto"/>
              <w:left w:val="single" w:sz="4" w:space="0" w:color="auto"/>
              <w:bottom w:val="single" w:sz="4" w:space="0" w:color="auto"/>
              <w:right w:val="thickThinLargeGap" w:sz="18" w:space="0" w:color="auto"/>
            </w:tcBorders>
            <w:hideMark/>
          </w:tcPr>
          <w:p w14:paraId="6859E9F7" w14:textId="77777777" w:rsidR="00B41760" w:rsidRPr="0011645D" w:rsidRDefault="00B41760">
            <w:pPr>
              <w:jc w:val="both"/>
              <w:rPr>
                <w:b/>
                <w:bCs/>
                <w:sz w:val="20"/>
                <w:szCs w:val="20"/>
              </w:rPr>
            </w:pPr>
            <w:r w:rsidRPr="0011645D">
              <w:rPr>
                <w:b/>
                <w:bCs/>
                <w:sz w:val="20"/>
                <w:szCs w:val="20"/>
              </w:rPr>
              <w:t>MRAs</w:t>
            </w:r>
          </w:p>
        </w:tc>
        <w:tc>
          <w:tcPr>
            <w:tcW w:w="1587" w:type="dxa"/>
            <w:tcBorders>
              <w:top w:val="single" w:sz="4" w:space="0" w:color="auto"/>
              <w:left w:val="thickThinLargeGap" w:sz="18" w:space="0" w:color="auto"/>
              <w:bottom w:val="single" w:sz="4" w:space="0" w:color="auto"/>
              <w:right w:val="single" w:sz="4" w:space="0" w:color="auto"/>
            </w:tcBorders>
            <w:hideMark/>
          </w:tcPr>
          <w:p w14:paraId="5C7191C7" w14:textId="77777777" w:rsidR="00B41760" w:rsidRPr="0011645D" w:rsidRDefault="00B41760">
            <w:pPr>
              <w:jc w:val="both"/>
              <w:rPr>
                <w:sz w:val="20"/>
                <w:szCs w:val="20"/>
              </w:rPr>
            </w:pPr>
            <w:r w:rsidRPr="0011645D">
              <w:rPr>
                <w:sz w:val="20"/>
                <w:szCs w:val="20"/>
              </w:rPr>
              <w:t>18.2%</w:t>
            </w:r>
          </w:p>
        </w:tc>
        <w:tc>
          <w:tcPr>
            <w:tcW w:w="1473" w:type="dxa"/>
            <w:tcBorders>
              <w:top w:val="single" w:sz="4" w:space="0" w:color="auto"/>
              <w:left w:val="single" w:sz="4" w:space="0" w:color="auto"/>
              <w:bottom w:val="single" w:sz="4" w:space="0" w:color="auto"/>
              <w:right w:val="single" w:sz="4" w:space="0" w:color="auto"/>
            </w:tcBorders>
            <w:hideMark/>
          </w:tcPr>
          <w:p w14:paraId="0BF27276" w14:textId="77777777" w:rsidR="00B41760" w:rsidRPr="0011645D" w:rsidRDefault="00B41760">
            <w:pPr>
              <w:jc w:val="both"/>
              <w:rPr>
                <w:sz w:val="20"/>
                <w:szCs w:val="20"/>
              </w:rPr>
            </w:pPr>
            <w:r w:rsidRPr="0011645D">
              <w:rPr>
                <w:sz w:val="20"/>
                <w:szCs w:val="20"/>
              </w:rPr>
              <w:t>16.7%</w:t>
            </w:r>
          </w:p>
        </w:tc>
        <w:tc>
          <w:tcPr>
            <w:tcW w:w="909" w:type="dxa"/>
            <w:tcBorders>
              <w:top w:val="single" w:sz="4" w:space="0" w:color="auto"/>
              <w:left w:val="single" w:sz="4" w:space="0" w:color="auto"/>
              <w:bottom w:val="single" w:sz="4" w:space="0" w:color="auto"/>
              <w:right w:val="thickThinLargeGap" w:sz="18" w:space="0" w:color="auto"/>
            </w:tcBorders>
            <w:hideMark/>
          </w:tcPr>
          <w:p w14:paraId="6F1DD34F" w14:textId="77777777" w:rsidR="00B41760" w:rsidRPr="0011645D" w:rsidRDefault="00B41760">
            <w:pPr>
              <w:jc w:val="both"/>
              <w:rPr>
                <w:sz w:val="20"/>
                <w:szCs w:val="20"/>
              </w:rPr>
            </w:pPr>
            <w:r w:rsidRPr="0011645D">
              <w:rPr>
                <w:sz w:val="20"/>
                <w:szCs w:val="20"/>
              </w:rPr>
              <w:t>0.85</w:t>
            </w:r>
          </w:p>
        </w:tc>
        <w:tc>
          <w:tcPr>
            <w:tcW w:w="992" w:type="dxa"/>
            <w:tcBorders>
              <w:top w:val="single" w:sz="4" w:space="0" w:color="auto"/>
              <w:left w:val="thickThinLargeGap" w:sz="18" w:space="0" w:color="auto"/>
              <w:bottom w:val="single" w:sz="4" w:space="0" w:color="auto"/>
              <w:right w:val="single" w:sz="4" w:space="0" w:color="auto"/>
            </w:tcBorders>
            <w:hideMark/>
          </w:tcPr>
          <w:p w14:paraId="6640719C" w14:textId="77777777" w:rsidR="00B41760" w:rsidRPr="0011645D" w:rsidRDefault="00B41760">
            <w:pPr>
              <w:jc w:val="both"/>
              <w:rPr>
                <w:sz w:val="20"/>
                <w:szCs w:val="20"/>
              </w:rPr>
            </w:pPr>
            <w:r w:rsidRPr="0011645D">
              <w:rPr>
                <w:sz w:val="20"/>
                <w:szCs w:val="20"/>
              </w:rPr>
              <w:t>19.1%</w:t>
            </w:r>
          </w:p>
        </w:tc>
        <w:tc>
          <w:tcPr>
            <w:tcW w:w="965" w:type="dxa"/>
            <w:tcBorders>
              <w:top w:val="single" w:sz="4" w:space="0" w:color="auto"/>
              <w:left w:val="single" w:sz="4" w:space="0" w:color="auto"/>
              <w:bottom w:val="single" w:sz="4" w:space="0" w:color="auto"/>
              <w:right w:val="single" w:sz="4" w:space="0" w:color="auto"/>
            </w:tcBorders>
            <w:hideMark/>
          </w:tcPr>
          <w:p w14:paraId="51536DE0" w14:textId="77777777" w:rsidR="00B41760" w:rsidRPr="0011645D" w:rsidRDefault="00B41760">
            <w:pPr>
              <w:jc w:val="both"/>
              <w:rPr>
                <w:sz w:val="20"/>
                <w:szCs w:val="20"/>
              </w:rPr>
            </w:pPr>
            <w:r w:rsidRPr="0011645D">
              <w:rPr>
                <w:sz w:val="20"/>
                <w:szCs w:val="20"/>
              </w:rPr>
              <w:t>23.8%</w:t>
            </w:r>
          </w:p>
        </w:tc>
        <w:tc>
          <w:tcPr>
            <w:tcW w:w="1019" w:type="dxa"/>
            <w:tcBorders>
              <w:top w:val="single" w:sz="4" w:space="0" w:color="auto"/>
              <w:left w:val="single" w:sz="4" w:space="0" w:color="auto"/>
              <w:bottom w:val="single" w:sz="4" w:space="0" w:color="auto"/>
              <w:right w:val="single" w:sz="4" w:space="0" w:color="auto"/>
            </w:tcBorders>
            <w:hideMark/>
          </w:tcPr>
          <w:p w14:paraId="08AAFC0D" w14:textId="77777777" w:rsidR="00B41760" w:rsidRPr="0011645D" w:rsidRDefault="00B41760">
            <w:pPr>
              <w:jc w:val="both"/>
              <w:rPr>
                <w:sz w:val="20"/>
                <w:szCs w:val="20"/>
              </w:rPr>
            </w:pPr>
            <w:r w:rsidRPr="0011645D">
              <w:rPr>
                <w:sz w:val="20"/>
                <w:szCs w:val="20"/>
              </w:rPr>
              <w:t>10.3%</w:t>
            </w:r>
          </w:p>
        </w:tc>
        <w:tc>
          <w:tcPr>
            <w:tcW w:w="888" w:type="dxa"/>
            <w:tcBorders>
              <w:top w:val="single" w:sz="4" w:space="0" w:color="auto"/>
              <w:left w:val="single" w:sz="4" w:space="0" w:color="auto"/>
              <w:bottom w:val="single" w:sz="4" w:space="0" w:color="auto"/>
              <w:right w:val="single" w:sz="4" w:space="0" w:color="auto"/>
            </w:tcBorders>
            <w:hideMark/>
          </w:tcPr>
          <w:p w14:paraId="229431C0" w14:textId="77777777" w:rsidR="00B41760" w:rsidRPr="0011645D" w:rsidRDefault="00B41760">
            <w:pPr>
              <w:jc w:val="both"/>
              <w:rPr>
                <w:sz w:val="20"/>
                <w:szCs w:val="20"/>
              </w:rPr>
            </w:pPr>
            <w:r w:rsidRPr="0011645D">
              <w:rPr>
                <w:sz w:val="20"/>
                <w:szCs w:val="20"/>
              </w:rPr>
              <w:t>0.43</w:t>
            </w:r>
          </w:p>
        </w:tc>
      </w:tr>
      <w:bookmarkEnd w:id="7"/>
    </w:tbl>
    <w:p w14:paraId="42A62293" w14:textId="77777777" w:rsidR="00B41760" w:rsidRPr="0011645D" w:rsidRDefault="00B41760" w:rsidP="00B41760">
      <w:pPr>
        <w:jc w:val="both"/>
        <w:rPr>
          <w:b/>
          <w:sz w:val="20"/>
          <w:szCs w:val="20"/>
        </w:rPr>
      </w:pPr>
    </w:p>
    <w:p w14:paraId="66407B23" w14:textId="4F791F6A" w:rsidR="007116F1" w:rsidRPr="0011645D" w:rsidRDefault="00B41760" w:rsidP="00B41760">
      <w:pPr>
        <w:jc w:val="both"/>
        <w:rPr>
          <w:b/>
          <w:sz w:val="20"/>
          <w:szCs w:val="20"/>
        </w:rPr>
      </w:pPr>
      <w:r w:rsidRPr="0011645D">
        <w:rPr>
          <w:b/>
          <w:sz w:val="20"/>
          <w:szCs w:val="20"/>
        </w:rPr>
        <w:t>Table 4: Comparison of renal function, serum sodium, potassium between the first and last clinic visit in all patients with at least 2 clinic visits (n=97) or subgroups when specified</w:t>
      </w:r>
    </w:p>
    <w:p w14:paraId="7B9EC31E" w14:textId="36FCD49B" w:rsidR="00B41760" w:rsidRPr="0011645D" w:rsidRDefault="00B41760" w:rsidP="00B41760">
      <w:pPr>
        <w:jc w:val="both"/>
        <w:rPr>
          <w:bCs/>
          <w:sz w:val="20"/>
          <w:szCs w:val="20"/>
        </w:rPr>
      </w:pPr>
      <w:r w:rsidRPr="0011645D">
        <w:rPr>
          <w:bCs/>
          <w:sz w:val="20"/>
          <w:szCs w:val="20"/>
        </w:rPr>
        <w:t>Results are displayed as mean (SD), median (IQR interval) or percentages</w:t>
      </w:r>
    </w:p>
    <w:tbl>
      <w:tblPr>
        <w:tblStyle w:val="TableGrid"/>
        <w:tblW w:w="9307" w:type="dxa"/>
        <w:tblLook w:val="04A0" w:firstRow="1" w:lastRow="0" w:firstColumn="1" w:lastColumn="0" w:noHBand="0" w:noVBand="1"/>
      </w:tblPr>
      <w:tblGrid>
        <w:gridCol w:w="5103"/>
        <w:gridCol w:w="1668"/>
        <w:gridCol w:w="1559"/>
        <w:gridCol w:w="977"/>
      </w:tblGrid>
      <w:tr w:rsidR="0011645D" w:rsidRPr="0011645D" w14:paraId="6A807C4C"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tcPr>
          <w:p w14:paraId="14B050DC" w14:textId="77777777" w:rsidR="00B41760" w:rsidRPr="0011645D" w:rsidRDefault="00B41760">
            <w:pPr>
              <w:jc w:val="both"/>
              <w:rPr>
                <w:b/>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14:paraId="4B1ABE3F" w14:textId="77777777" w:rsidR="00B41760" w:rsidRPr="0011645D" w:rsidRDefault="00B41760">
            <w:pPr>
              <w:jc w:val="both"/>
              <w:rPr>
                <w:b/>
                <w:sz w:val="20"/>
                <w:szCs w:val="20"/>
              </w:rPr>
            </w:pPr>
            <w:r w:rsidRPr="0011645D">
              <w:rPr>
                <w:b/>
                <w:sz w:val="20"/>
                <w:szCs w:val="20"/>
              </w:rPr>
              <w:t>First visit</w:t>
            </w:r>
          </w:p>
        </w:tc>
        <w:tc>
          <w:tcPr>
            <w:tcW w:w="1559" w:type="dxa"/>
            <w:tcBorders>
              <w:top w:val="single" w:sz="4" w:space="0" w:color="auto"/>
              <w:left w:val="single" w:sz="4" w:space="0" w:color="auto"/>
              <w:bottom w:val="single" w:sz="4" w:space="0" w:color="auto"/>
              <w:right w:val="single" w:sz="4" w:space="0" w:color="auto"/>
            </w:tcBorders>
            <w:hideMark/>
          </w:tcPr>
          <w:p w14:paraId="5C0144D0" w14:textId="77777777" w:rsidR="00B41760" w:rsidRPr="0011645D" w:rsidRDefault="00B41760">
            <w:pPr>
              <w:jc w:val="both"/>
              <w:rPr>
                <w:b/>
                <w:sz w:val="20"/>
                <w:szCs w:val="20"/>
              </w:rPr>
            </w:pPr>
            <w:r w:rsidRPr="0011645D">
              <w:rPr>
                <w:b/>
                <w:sz w:val="20"/>
                <w:szCs w:val="20"/>
              </w:rPr>
              <w:t>Last visit</w:t>
            </w:r>
          </w:p>
        </w:tc>
        <w:tc>
          <w:tcPr>
            <w:tcW w:w="977" w:type="dxa"/>
            <w:tcBorders>
              <w:top w:val="single" w:sz="4" w:space="0" w:color="auto"/>
              <w:left w:val="single" w:sz="4" w:space="0" w:color="auto"/>
              <w:bottom w:val="single" w:sz="4" w:space="0" w:color="auto"/>
              <w:right w:val="single" w:sz="4" w:space="0" w:color="auto"/>
            </w:tcBorders>
            <w:hideMark/>
          </w:tcPr>
          <w:p w14:paraId="37B9B5CE" w14:textId="77777777" w:rsidR="00B41760" w:rsidRPr="0011645D" w:rsidRDefault="00B41760">
            <w:pPr>
              <w:jc w:val="both"/>
              <w:rPr>
                <w:b/>
                <w:sz w:val="20"/>
                <w:szCs w:val="20"/>
              </w:rPr>
            </w:pPr>
            <w:r w:rsidRPr="0011645D">
              <w:rPr>
                <w:b/>
                <w:sz w:val="20"/>
                <w:szCs w:val="20"/>
              </w:rPr>
              <w:t>p value</w:t>
            </w:r>
          </w:p>
        </w:tc>
      </w:tr>
      <w:tr w:rsidR="0011645D" w:rsidRPr="0011645D" w14:paraId="5638CBE4"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5E2D4EFE" w14:textId="4A9AC86F" w:rsidR="00B41760" w:rsidRPr="0011645D" w:rsidRDefault="007116F1">
            <w:pPr>
              <w:jc w:val="both"/>
              <w:rPr>
                <w:b/>
                <w:sz w:val="20"/>
                <w:szCs w:val="20"/>
              </w:rPr>
            </w:pPr>
            <w:r w:rsidRPr="0011645D">
              <w:rPr>
                <w:b/>
                <w:sz w:val="20"/>
                <w:szCs w:val="20"/>
              </w:rPr>
              <w:t>Na</w:t>
            </w:r>
            <w:r w:rsidRPr="0011645D">
              <w:rPr>
                <w:bCs/>
                <w:sz w:val="20"/>
                <w:szCs w:val="20"/>
              </w:rPr>
              <w:t>, mmol/L</w:t>
            </w:r>
          </w:p>
        </w:tc>
        <w:tc>
          <w:tcPr>
            <w:tcW w:w="1668" w:type="dxa"/>
            <w:tcBorders>
              <w:top w:val="single" w:sz="4" w:space="0" w:color="auto"/>
              <w:left w:val="single" w:sz="4" w:space="0" w:color="auto"/>
              <w:bottom w:val="single" w:sz="4" w:space="0" w:color="auto"/>
              <w:right w:val="single" w:sz="4" w:space="0" w:color="auto"/>
            </w:tcBorders>
            <w:hideMark/>
          </w:tcPr>
          <w:p w14:paraId="0B3C48E2" w14:textId="77777777" w:rsidR="00B41760" w:rsidRPr="0011645D" w:rsidRDefault="00B41760">
            <w:pPr>
              <w:jc w:val="both"/>
              <w:rPr>
                <w:sz w:val="20"/>
                <w:szCs w:val="20"/>
              </w:rPr>
            </w:pPr>
            <w:r w:rsidRPr="0011645D">
              <w:rPr>
                <w:sz w:val="20"/>
                <w:szCs w:val="20"/>
              </w:rPr>
              <w:t>140.5 (3.5)</w:t>
            </w:r>
          </w:p>
        </w:tc>
        <w:tc>
          <w:tcPr>
            <w:tcW w:w="1559" w:type="dxa"/>
            <w:tcBorders>
              <w:top w:val="single" w:sz="4" w:space="0" w:color="auto"/>
              <w:left w:val="single" w:sz="4" w:space="0" w:color="auto"/>
              <w:bottom w:val="single" w:sz="4" w:space="0" w:color="auto"/>
              <w:right w:val="single" w:sz="4" w:space="0" w:color="auto"/>
            </w:tcBorders>
            <w:hideMark/>
          </w:tcPr>
          <w:p w14:paraId="22C4BB14" w14:textId="77777777" w:rsidR="00B41760" w:rsidRPr="0011645D" w:rsidRDefault="00B41760">
            <w:pPr>
              <w:jc w:val="both"/>
              <w:rPr>
                <w:sz w:val="20"/>
                <w:szCs w:val="20"/>
              </w:rPr>
            </w:pPr>
            <w:r w:rsidRPr="0011645D">
              <w:rPr>
                <w:sz w:val="20"/>
                <w:szCs w:val="20"/>
              </w:rPr>
              <w:t>139.6 (4.1)</w:t>
            </w:r>
          </w:p>
        </w:tc>
        <w:tc>
          <w:tcPr>
            <w:tcW w:w="977" w:type="dxa"/>
            <w:tcBorders>
              <w:top w:val="single" w:sz="4" w:space="0" w:color="auto"/>
              <w:left w:val="single" w:sz="4" w:space="0" w:color="auto"/>
              <w:bottom w:val="single" w:sz="4" w:space="0" w:color="auto"/>
              <w:right w:val="single" w:sz="4" w:space="0" w:color="auto"/>
            </w:tcBorders>
            <w:hideMark/>
          </w:tcPr>
          <w:p w14:paraId="7049B1D9" w14:textId="77777777" w:rsidR="00B41760" w:rsidRPr="0011645D" w:rsidRDefault="00B41760">
            <w:pPr>
              <w:jc w:val="both"/>
              <w:rPr>
                <w:sz w:val="20"/>
                <w:szCs w:val="20"/>
              </w:rPr>
            </w:pPr>
            <w:r w:rsidRPr="0011645D">
              <w:rPr>
                <w:sz w:val="20"/>
                <w:szCs w:val="20"/>
              </w:rPr>
              <w:t>0.01</w:t>
            </w:r>
          </w:p>
        </w:tc>
      </w:tr>
      <w:tr w:rsidR="0011645D" w:rsidRPr="0011645D" w14:paraId="4B326C61"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5BF2BF9F" w14:textId="7EDEAF86" w:rsidR="00B41760" w:rsidRPr="0011645D" w:rsidRDefault="007116F1">
            <w:pPr>
              <w:jc w:val="both"/>
              <w:rPr>
                <w:b/>
                <w:sz w:val="20"/>
                <w:szCs w:val="20"/>
              </w:rPr>
            </w:pPr>
            <w:r w:rsidRPr="0011645D">
              <w:rPr>
                <w:b/>
                <w:sz w:val="20"/>
                <w:szCs w:val="20"/>
              </w:rPr>
              <w:t>K</w:t>
            </w:r>
            <w:r w:rsidRPr="0011645D">
              <w:rPr>
                <w:bCs/>
                <w:sz w:val="20"/>
                <w:szCs w:val="20"/>
              </w:rPr>
              <w:t>,</w:t>
            </w:r>
            <w:r w:rsidR="005F301F" w:rsidRPr="0011645D">
              <w:rPr>
                <w:bCs/>
                <w:sz w:val="20"/>
                <w:szCs w:val="20"/>
              </w:rPr>
              <w:t xml:space="preserve"> </w:t>
            </w:r>
            <w:r w:rsidRPr="0011645D">
              <w:rPr>
                <w:bCs/>
                <w:sz w:val="20"/>
                <w:szCs w:val="20"/>
              </w:rPr>
              <w:t>mmol/L</w:t>
            </w:r>
          </w:p>
        </w:tc>
        <w:tc>
          <w:tcPr>
            <w:tcW w:w="1668" w:type="dxa"/>
            <w:tcBorders>
              <w:top w:val="single" w:sz="4" w:space="0" w:color="auto"/>
              <w:left w:val="single" w:sz="4" w:space="0" w:color="auto"/>
              <w:bottom w:val="single" w:sz="4" w:space="0" w:color="auto"/>
              <w:right w:val="single" w:sz="4" w:space="0" w:color="auto"/>
            </w:tcBorders>
            <w:hideMark/>
          </w:tcPr>
          <w:p w14:paraId="0AAE0FC8" w14:textId="77777777" w:rsidR="00B41760" w:rsidRPr="0011645D" w:rsidRDefault="00B41760">
            <w:pPr>
              <w:jc w:val="both"/>
              <w:rPr>
                <w:sz w:val="20"/>
                <w:szCs w:val="20"/>
              </w:rPr>
            </w:pPr>
            <w:r w:rsidRPr="0011645D">
              <w:rPr>
                <w:sz w:val="20"/>
                <w:szCs w:val="20"/>
              </w:rPr>
              <w:t>4.6 (0.5)</w:t>
            </w:r>
          </w:p>
        </w:tc>
        <w:tc>
          <w:tcPr>
            <w:tcW w:w="1559" w:type="dxa"/>
            <w:tcBorders>
              <w:top w:val="single" w:sz="4" w:space="0" w:color="auto"/>
              <w:left w:val="single" w:sz="4" w:space="0" w:color="auto"/>
              <w:bottom w:val="single" w:sz="4" w:space="0" w:color="auto"/>
              <w:right w:val="single" w:sz="4" w:space="0" w:color="auto"/>
            </w:tcBorders>
            <w:hideMark/>
          </w:tcPr>
          <w:p w14:paraId="52A0170A" w14:textId="77777777" w:rsidR="00B41760" w:rsidRPr="0011645D" w:rsidRDefault="00B41760">
            <w:pPr>
              <w:jc w:val="both"/>
              <w:rPr>
                <w:sz w:val="20"/>
                <w:szCs w:val="20"/>
              </w:rPr>
            </w:pPr>
            <w:r w:rsidRPr="0011645D">
              <w:rPr>
                <w:sz w:val="20"/>
                <w:szCs w:val="20"/>
              </w:rPr>
              <w:t>4.7 (0.6)</w:t>
            </w:r>
          </w:p>
        </w:tc>
        <w:tc>
          <w:tcPr>
            <w:tcW w:w="977" w:type="dxa"/>
            <w:tcBorders>
              <w:top w:val="single" w:sz="4" w:space="0" w:color="auto"/>
              <w:left w:val="single" w:sz="4" w:space="0" w:color="auto"/>
              <w:bottom w:val="single" w:sz="4" w:space="0" w:color="auto"/>
              <w:right w:val="single" w:sz="4" w:space="0" w:color="auto"/>
            </w:tcBorders>
            <w:hideMark/>
          </w:tcPr>
          <w:p w14:paraId="62A0BAFD" w14:textId="77777777" w:rsidR="00B41760" w:rsidRPr="0011645D" w:rsidRDefault="00B41760">
            <w:pPr>
              <w:jc w:val="both"/>
              <w:rPr>
                <w:sz w:val="20"/>
                <w:szCs w:val="20"/>
              </w:rPr>
            </w:pPr>
            <w:r w:rsidRPr="0011645D">
              <w:rPr>
                <w:sz w:val="20"/>
                <w:szCs w:val="20"/>
              </w:rPr>
              <w:t>0.43</w:t>
            </w:r>
          </w:p>
        </w:tc>
      </w:tr>
      <w:tr w:rsidR="0011645D" w:rsidRPr="0011645D" w14:paraId="6311457F"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6874915D" w14:textId="77777777" w:rsidR="00B41760" w:rsidRPr="0011645D" w:rsidRDefault="00B41760" w:rsidP="00E11C5E">
            <w:pPr>
              <w:pStyle w:val="ListParagraph"/>
              <w:numPr>
                <w:ilvl w:val="0"/>
                <w:numId w:val="1"/>
              </w:numPr>
              <w:spacing w:line="240" w:lineRule="auto"/>
              <w:jc w:val="both"/>
              <w:rPr>
                <w:sz w:val="20"/>
                <w:szCs w:val="20"/>
              </w:rPr>
            </w:pPr>
            <w:r w:rsidRPr="0011645D">
              <w:rPr>
                <w:sz w:val="20"/>
                <w:szCs w:val="20"/>
              </w:rPr>
              <w:t>K (</w:t>
            </w:r>
            <w:proofErr w:type="spellStart"/>
            <w:r w:rsidRPr="0011645D">
              <w:rPr>
                <w:sz w:val="20"/>
                <w:szCs w:val="20"/>
              </w:rPr>
              <w:t>ACEi</w:t>
            </w:r>
            <w:proofErr w:type="spellEnd"/>
            <w:r w:rsidRPr="0011645D">
              <w:rPr>
                <w:sz w:val="20"/>
                <w:szCs w:val="20"/>
              </w:rPr>
              <w:t>/ARBs increased)</w:t>
            </w:r>
          </w:p>
        </w:tc>
        <w:tc>
          <w:tcPr>
            <w:tcW w:w="1668" w:type="dxa"/>
            <w:tcBorders>
              <w:top w:val="single" w:sz="4" w:space="0" w:color="auto"/>
              <w:left w:val="single" w:sz="4" w:space="0" w:color="auto"/>
              <w:bottom w:val="single" w:sz="4" w:space="0" w:color="auto"/>
              <w:right w:val="single" w:sz="4" w:space="0" w:color="auto"/>
            </w:tcBorders>
            <w:hideMark/>
          </w:tcPr>
          <w:p w14:paraId="5AF98B9A" w14:textId="77777777" w:rsidR="00B41760" w:rsidRPr="0011645D" w:rsidRDefault="00B41760">
            <w:pPr>
              <w:jc w:val="both"/>
              <w:rPr>
                <w:sz w:val="20"/>
                <w:szCs w:val="20"/>
              </w:rPr>
            </w:pPr>
            <w:r w:rsidRPr="0011645D">
              <w:rPr>
                <w:sz w:val="20"/>
                <w:szCs w:val="20"/>
              </w:rPr>
              <w:t>4.6 (0.5)</w:t>
            </w:r>
          </w:p>
        </w:tc>
        <w:tc>
          <w:tcPr>
            <w:tcW w:w="1559" w:type="dxa"/>
            <w:tcBorders>
              <w:top w:val="single" w:sz="4" w:space="0" w:color="auto"/>
              <w:left w:val="single" w:sz="4" w:space="0" w:color="auto"/>
              <w:bottom w:val="single" w:sz="4" w:space="0" w:color="auto"/>
              <w:right w:val="single" w:sz="4" w:space="0" w:color="auto"/>
            </w:tcBorders>
            <w:hideMark/>
          </w:tcPr>
          <w:p w14:paraId="326D8596" w14:textId="77777777" w:rsidR="00B41760" w:rsidRPr="0011645D" w:rsidRDefault="00B41760">
            <w:pPr>
              <w:jc w:val="both"/>
              <w:rPr>
                <w:sz w:val="20"/>
                <w:szCs w:val="20"/>
              </w:rPr>
            </w:pPr>
            <w:r w:rsidRPr="0011645D">
              <w:rPr>
                <w:sz w:val="20"/>
                <w:szCs w:val="20"/>
              </w:rPr>
              <w:t>4.7 (0.6)</w:t>
            </w:r>
          </w:p>
        </w:tc>
        <w:tc>
          <w:tcPr>
            <w:tcW w:w="977" w:type="dxa"/>
            <w:tcBorders>
              <w:top w:val="single" w:sz="4" w:space="0" w:color="auto"/>
              <w:left w:val="single" w:sz="4" w:space="0" w:color="auto"/>
              <w:bottom w:val="single" w:sz="4" w:space="0" w:color="auto"/>
              <w:right w:val="single" w:sz="4" w:space="0" w:color="auto"/>
            </w:tcBorders>
            <w:hideMark/>
          </w:tcPr>
          <w:p w14:paraId="2EAAA1E3" w14:textId="77777777" w:rsidR="00B41760" w:rsidRPr="0011645D" w:rsidRDefault="00B41760">
            <w:pPr>
              <w:jc w:val="both"/>
              <w:rPr>
                <w:sz w:val="20"/>
                <w:szCs w:val="20"/>
              </w:rPr>
            </w:pPr>
            <w:r w:rsidRPr="0011645D">
              <w:rPr>
                <w:sz w:val="20"/>
                <w:szCs w:val="20"/>
              </w:rPr>
              <w:t>0.71</w:t>
            </w:r>
          </w:p>
        </w:tc>
      </w:tr>
      <w:tr w:rsidR="0011645D" w:rsidRPr="0011645D" w14:paraId="6440B670"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28A416A5" w14:textId="77777777" w:rsidR="00B41760" w:rsidRPr="0011645D" w:rsidRDefault="00B41760" w:rsidP="00E11C5E">
            <w:pPr>
              <w:pStyle w:val="ListParagraph"/>
              <w:numPr>
                <w:ilvl w:val="0"/>
                <w:numId w:val="1"/>
              </w:numPr>
              <w:spacing w:line="240" w:lineRule="auto"/>
              <w:jc w:val="both"/>
              <w:rPr>
                <w:sz w:val="20"/>
                <w:szCs w:val="20"/>
              </w:rPr>
            </w:pPr>
            <w:r w:rsidRPr="0011645D">
              <w:rPr>
                <w:sz w:val="20"/>
                <w:szCs w:val="20"/>
              </w:rPr>
              <w:t>K (MRAs increased)</w:t>
            </w:r>
          </w:p>
        </w:tc>
        <w:tc>
          <w:tcPr>
            <w:tcW w:w="1668" w:type="dxa"/>
            <w:tcBorders>
              <w:top w:val="single" w:sz="4" w:space="0" w:color="auto"/>
              <w:left w:val="single" w:sz="4" w:space="0" w:color="auto"/>
              <w:bottom w:val="single" w:sz="4" w:space="0" w:color="auto"/>
              <w:right w:val="single" w:sz="4" w:space="0" w:color="auto"/>
            </w:tcBorders>
            <w:hideMark/>
          </w:tcPr>
          <w:p w14:paraId="3A0574EF" w14:textId="77777777" w:rsidR="00B41760" w:rsidRPr="0011645D" w:rsidRDefault="00B41760">
            <w:pPr>
              <w:jc w:val="both"/>
              <w:rPr>
                <w:sz w:val="20"/>
                <w:szCs w:val="20"/>
              </w:rPr>
            </w:pPr>
            <w:r w:rsidRPr="0011645D">
              <w:rPr>
                <w:sz w:val="20"/>
                <w:szCs w:val="20"/>
              </w:rPr>
              <w:t>4.5 (0.5)</w:t>
            </w:r>
          </w:p>
        </w:tc>
        <w:tc>
          <w:tcPr>
            <w:tcW w:w="1559" w:type="dxa"/>
            <w:tcBorders>
              <w:top w:val="single" w:sz="4" w:space="0" w:color="auto"/>
              <w:left w:val="single" w:sz="4" w:space="0" w:color="auto"/>
              <w:bottom w:val="single" w:sz="4" w:space="0" w:color="auto"/>
              <w:right w:val="single" w:sz="4" w:space="0" w:color="auto"/>
            </w:tcBorders>
            <w:hideMark/>
          </w:tcPr>
          <w:p w14:paraId="7E63C91D" w14:textId="77777777" w:rsidR="00B41760" w:rsidRPr="0011645D" w:rsidRDefault="00B41760">
            <w:pPr>
              <w:jc w:val="both"/>
              <w:rPr>
                <w:sz w:val="20"/>
                <w:szCs w:val="20"/>
              </w:rPr>
            </w:pPr>
            <w:r w:rsidRPr="0011645D">
              <w:rPr>
                <w:sz w:val="20"/>
                <w:szCs w:val="20"/>
              </w:rPr>
              <w:t>4.7 (0.6)</w:t>
            </w:r>
          </w:p>
        </w:tc>
        <w:tc>
          <w:tcPr>
            <w:tcW w:w="977" w:type="dxa"/>
            <w:tcBorders>
              <w:top w:val="single" w:sz="4" w:space="0" w:color="auto"/>
              <w:left w:val="single" w:sz="4" w:space="0" w:color="auto"/>
              <w:bottom w:val="single" w:sz="4" w:space="0" w:color="auto"/>
              <w:right w:val="single" w:sz="4" w:space="0" w:color="auto"/>
            </w:tcBorders>
            <w:hideMark/>
          </w:tcPr>
          <w:p w14:paraId="55276B00" w14:textId="77777777" w:rsidR="00B41760" w:rsidRPr="0011645D" w:rsidRDefault="00B41760">
            <w:pPr>
              <w:jc w:val="both"/>
              <w:rPr>
                <w:sz w:val="20"/>
                <w:szCs w:val="20"/>
              </w:rPr>
            </w:pPr>
            <w:r w:rsidRPr="0011645D">
              <w:rPr>
                <w:sz w:val="20"/>
                <w:szCs w:val="20"/>
              </w:rPr>
              <w:t>0.25</w:t>
            </w:r>
          </w:p>
        </w:tc>
      </w:tr>
      <w:tr w:rsidR="0011645D" w:rsidRPr="0011645D" w14:paraId="615E9B0A"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21A3E5EB" w14:textId="2E0004B0" w:rsidR="00B41760" w:rsidRPr="0011645D" w:rsidRDefault="00B41760">
            <w:pPr>
              <w:jc w:val="both"/>
              <w:rPr>
                <w:b/>
                <w:sz w:val="20"/>
                <w:szCs w:val="20"/>
              </w:rPr>
            </w:pPr>
            <w:r w:rsidRPr="0011645D">
              <w:rPr>
                <w:b/>
                <w:sz w:val="20"/>
                <w:szCs w:val="20"/>
              </w:rPr>
              <w:t>Creatinine</w:t>
            </w:r>
            <w:r w:rsidR="007116F1" w:rsidRPr="0011645D">
              <w:rPr>
                <w:bCs/>
                <w:sz w:val="20"/>
                <w:szCs w:val="20"/>
              </w:rPr>
              <w:t xml:space="preserve">, </w:t>
            </w:r>
            <w:proofErr w:type="spellStart"/>
            <w:r w:rsidR="00E05F86" w:rsidRPr="0011645D">
              <w:rPr>
                <w:b/>
                <w:bCs/>
                <w:sz w:val="20"/>
                <w:szCs w:val="20"/>
              </w:rPr>
              <w:t>μ</w:t>
            </w:r>
            <w:r w:rsidR="007116F1" w:rsidRPr="0011645D">
              <w:rPr>
                <w:bCs/>
                <w:sz w:val="20"/>
                <w:szCs w:val="20"/>
              </w:rPr>
              <w:t>mol</w:t>
            </w:r>
            <w:proofErr w:type="spellEnd"/>
            <w:r w:rsidR="007116F1" w:rsidRPr="0011645D">
              <w:rPr>
                <w:bCs/>
                <w:sz w:val="20"/>
                <w:szCs w:val="20"/>
              </w:rPr>
              <w:t>/L</w:t>
            </w:r>
          </w:p>
        </w:tc>
        <w:tc>
          <w:tcPr>
            <w:tcW w:w="1668" w:type="dxa"/>
            <w:tcBorders>
              <w:top w:val="single" w:sz="4" w:space="0" w:color="auto"/>
              <w:left w:val="single" w:sz="4" w:space="0" w:color="auto"/>
              <w:bottom w:val="single" w:sz="4" w:space="0" w:color="auto"/>
              <w:right w:val="single" w:sz="4" w:space="0" w:color="auto"/>
            </w:tcBorders>
            <w:hideMark/>
          </w:tcPr>
          <w:p w14:paraId="27B82C2F" w14:textId="77777777" w:rsidR="00B41760" w:rsidRPr="0011645D" w:rsidRDefault="00B41760">
            <w:pPr>
              <w:jc w:val="both"/>
              <w:rPr>
                <w:sz w:val="20"/>
                <w:szCs w:val="20"/>
              </w:rPr>
            </w:pPr>
            <w:r w:rsidRPr="0011645D">
              <w:rPr>
                <w:sz w:val="20"/>
                <w:szCs w:val="20"/>
              </w:rPr>
              <w:t>188.8 (64.4)</w:t>
            </w:r>
          </w:p>
        </w:tc>
        <w:tc>
          <w:tcPr>
            <w:tcW w:w="1559" w:type="dxa"/>
            <w:tcBorders>
              <w:top w:val="single" w:sz="4" w:space="0" w:color="auto"/>
              <w:left w:val="single" w:sz="4" w:space="0" w:color="auto"/>
              <w:bottom w:val="single" w:sz="4" w:space="0" w:color="auto"/>
              <w:right w:val="single" w:sz="4" w:space="0" w:color="auto"/>
            </w:tcBorders>
            <w:hideMark/>
          </w:tcPr>
          <w:p w14:paraId="5F83C94F" w14:textId="77777777" w:rsidR="00B41760" w:rsidRPr="0011645D" w:rsidRDefault="00B41760">
            <w:pPr>
              <w:jc w:val="both"/>
              <w:rPr>
                <w:sz w:val="20"/>
                <w:szCs w:val="20"/>
              </w:rPr>
            </w:pPr>
            <w:r w:rsidRPr="0011645D">
              <w:rPr>
                <w:sz w:val="20"/>
                <w:szCs w:val="20"/>
              </w:rPr>
              <w:t>201.5 (81.1)</w:t>
            </w:r>
          </w:p>
        </w:tc>
        <w:tc>
          <w:tcPr>
            <w:tcW w:w="977" w:type="dxa"/>
            <w:tcBorders>
              <w:top w:val="single" w:sz="4" w:space="0" w:color="auto"/>
              <w:left w:val="single" w:sz="4" w:space="0" w:color="auto"/>
              <w:bottom w:val="single" w:sz="4" w:space="0" w:color="auto"/>
              <w:right w:val="single" w:sz="4" w:space="0" w:color="auto"/>
            </w:tcBorders>
            <w:hideMark/>
          </w:tcPr>
          <w:p w14:paraId="5DCECB6A" w14:textId="77777777" w:rsidR="00B41760" w:rsidRPr="0011645D" w:rsidRDefault="00B41760">
            <w:pPr>
              <w:jc w:val="both"/>
              <w:rPr>
                <w:sz w:val="20"/>
                <w:szCs w:val="20"/>
              </w:rPr>
            </w:pPr>
            <w:r w:rsidRPr="0011645D">
              <w:rPr>
                <w:sz w:val="20"/>
                <w:szCs w:val="20"/>
              </w:rPr>
              <w:t>0.03</w:t>
            </w:r>
          </w:p>
        </w:tc>
      </w:tr>
      <w:tr w:rsidR="0011645D" w:rsidRPr="0011645D" w14:paraId="74E00FD2"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056EC04E" w14:textId="77777777" w:rsidR="00B41760" w:rsidRPr="0011645D" w:rsidRDefault="00B41760" w:rsidP="00E11C5E">
            <w:pPr>
              <w:pStyle w:val="ListParagraph"/>
              <w:numPr>
                <w:ilvl w:val="0"/>
                <w:numId w:val="2"/>
              </w:numPr>
              <w:spacing w:line="240" w:lineRule="auto"/>
              <w:jc w:val="both"/>
              <w:rPr>
                <w:sz w:val="20"/>
                <w:szCs w:val="20"/>
              </w:rPr>
            </w:pPr>
            <w:r w:rsidRPr="0011645D">
              <w:rPr>
                <w:sz w:val="20"/>
                <w:szCs w:val="20"/>
              </w:rPr>
              <w:t>Creatinine (</w:t>
            </w:r>
            <w:proofErr w:type="spellStart"/>
            <w:r w:rsidRPr="0011645D">
              <w:rPr>
                <w:sz w:val="20"/>
                <w:szCs w:val="20"/>
              </w:rPr>
              <w:t>ACEi</w:t>
            </w:r>
            <w:proofErr w:type="spellEnd"/>
            <w:r w:rsidRPr="0011645D">
              <w:rPr>
                <w:sz w:val="20"/>
                <w:szCs w:val="20"/>
              </w:rPr>
              <w:t>/ARBs increased)</w:t>
            </w:r>
          </w:p>
        </w:tc>
        <w:tc>
          <w:tcPr>
            <w:tcW w:w="1668" w:type="dxa"/>
            <w:tcBorders>
              <w:top w:val="single" w:sz="4" w:space="0" w:color="auto"/>
              <w:left w:val="single" w:sz="4" w:space="0" w:color="auto"/>
              <w:bottom w:val="single" w:sz="4" w:space="0" w:color="auto"/>
              <w:right w:val="single" w:sz="4" w:space="0" w:color="auto"/>
            </w:tcBorders>
            <w:hideMark/>
          </w:tcPr>
          <w:p w14:paraId="04D41282" w14:textId="77777777" w:rsidR="00B41760" w:rsidRPr="0011645D" w:rsidRDefault="00B41760">
            <w:pPr>
              <w:jc w:val="both"/>
              <w:rPr>
                <w:sz w:val="20"/>
                <w:szCs w:val="20"/>
              </w:rPr>
            </w:pPr>
            <w:r w:rsidRPr="0011645D">
              <w:rPr>
                <w:sz w:val="20"/>
                <w:szCs w:val="20"/>
              </w:rPr>
              <w:t>185.1 (59.6)</w:t>
            </w:r>
          </w:p>
        </w:tc>
        <w:tc>
          <w:tcPr>
            <w:tcW w:w="1559" w:type="dxa"/>
            <w:tcBorders>
              <w:top w:val="single" w:sz="4" w:space="0" w:color="auto"/>
              <w:left w:val="single" w:sz="4" w:space="0" w:color="auto"/>
              <w:bottom w:val="single" w:sz="4" w:space="0" w:color="auto"/>
              <w:right w:val="single" w:sz="4" w:space="0" w:color="auto"/>
            </w:tcBorders>
            <w:hideMark/>
          </w:tcPr>
          <w:p w14:paraId="56D6B21C" w14:textId="77777777" w:rsidR="00B41760" w:rsidRPr="0011645D" w:rsidRDefault="00B41760">
            <w:pPr>
              <w:jc w:val="both"/>
              <w:rPr>
                <w:sz w:val="20"/>
                <w:szCs w:val="20"/>
              </w:rPr>
            </w:pPr>
            <w:r w:rsidRPr="0011645D">
              <w:rPr>
                <w:sz w:val="20"/>
                <w:szCs w:val="20"/>
              </w:rPr>
              <w:t>192.0 (68.9)</w:t>
            </w:r>
          </w:p>
        </w:tc>
        <w:tc>
          <w:tcPr>
            <w:tcW w:w="977" w:type="dxa"/>
            <w:tcBorders>
              <w:top w:val="single" w:sz="4" w:space="0" w:color="auto"/>
              <w:left w:val="single" w:sz="4" w:space="0" w:color="auto"/>
              <w:bottom w:val="single" w:sz="4" w:space="0" w:color="auto"/>
              <w:right w:val="single" w:sz="4" w:space="0" w:color="auto"/>
            </w:tcBorders>
            <w:hideMark/>
          </w:tcPr>
          <w:p w14:paraId="057BAE72" w14:textId="77777777" w:rsidR="00B41760" w:rsidRPr="0011645D" w:rsidRDefault="00B41760">
            <w:pPr>
              <w:jc w:val="both"/>
              <w:rPr>
                <w:sz w:val="20"/>
                <w:szCs w:val="20"/>
              </w:rPr>
            </w:pPr>
            <w:r w:rsidRPr="0011645D">
              <w:rPr>
                <w:sz w:val="20"/>
                <w:szCs w:val="20"/>
              </w:rPr>
              <w:t>0.17</w:t>
            </w:r>
          </w:p>
        </w:tc>
      </w:tr>
      <w:tr w:rsidR="0011645D" w:rsidRPr="0011645D" w14:paraId="1D2F2EAF"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52CBE546" w14:textId="77777777" w:rsidR="00B41760" w:rsidRPr="0011645D" w:rsidRDefault="00B41760" w:rsidP="00E11C5E">
            <w:pPr>
              <w:pStyle w:val="ListParagraph"/>
              <w:numPr>
                <w:ilvl w:val="0"/>
                <w:numId w:val="2"/>
              </w:numPr>
              <w:spacing w:line="240" w:lineRule="auto"/>
              <w:jc w:val="both"/>
              <w:rPr>
                <w:sz w:val="20"/>
                <w:szCs w:val="20"/>
              </w:rPr>
            </w:pPr>
            <w:r w:rsidRPr="0011645D">
              <w:rPr>
                <w:sz w:val="20"/>
                <w:szCs w:val="20"/>
              </w:rPr>
              <w:t>Creatinine (MRAs increased)</w:t>
            </w:r>
          </w:p>
        </w:tc>
        <w:tc>
          <w:tcPr>
            <w:tcW w:w="1668" w:type="dxa"/>
            <w:tcBorders>
              <w:top w:val="single" w:sz="4" w:space="0" w:color="auto"/>
              <w:left w:val="single" w:sz="4" w:space="0" w:color="auto"/>
              <w:bottom w:val="single" w:sz="4" w:space="0" w:color="auto"/>
              <w:right w:val="single" w:sz="4" w:space="0" w:color="auto"/>
            </w:tcBorders>
            <w:hideMark/>
          </w:tcPr>
          <w:p w14:paraId="73277D2D" w14:textId="77777777" w:rsidR="00B41760" w:rsidRPr="0011645D" w:rsidRDefault="00B41760">
            <w:pPr>
              <w:jc w:val="both"/>
              <w:rPr>
                <w:sz w:val="20"/>
                <w:szCs w:val="20"/>
              </w:rPr>
            </w:pPr>
            <w:r w:rsidRPr="0011645D">
              <w:rPr>
                <w:sz w:val="20"/>
                <w:szCs w:val="20"/>
              </w:rPr>
              <w:t>163.5 (47.8)</w:t>
            </w:r>
          </w:p>
        </w:tc>
        <w:tc>
          <w:tcPr>
            <w:tcW w:w="1559" w:type="dxa"/>
            <w:tcBorders>
              <w:top w:val="single" w:sz="4" w:space="0" w:color="auto"/>
              <w:left w:val="single" w:sz="4" w:space="0" w:color="auto"/>
              <w:bottom w:val="single" w:sz="4" w:space="0" w:color="auto"/>
              <w:right w:val="single" w:sz="4" w:space="0" w:color="auto"/>
            </w:tcBorders>
            <w:hideMark/>
          </w:tcPr>
          <w:p w14:paraId="4CFA23E1" w14:textId="77777777" w:rsidR="00B41760" w:rsidRPr="0011645D" w:rsidRDefault="00B41760">
            <w:pPr>
              <w:jc w:val="both"/>
              <w:rPr>
                <w:sz w:val="20"/>
                <w:szCs w:val="20"/>
              </w:rPr>
            </w:pPr>
            <w:r w:rsidRPr="0011645D">
              <w:rPr>
                <w:sz w:val="20"/>
                <w:szCs w:val="20"/>
              </w:rPr>
              <w:t>175.5 (36.5)</w:t>
            </w:r>
          </w:p>
        </w:tc>
        <w:tc>
          <w:tcPr>
            <w:tcW w:w="977" w:type="dxa"/>
            <w:tcBorders>
              <w:top w:val="single" w:sz="4" w:space="0" w:color="auto"/>
              <w:left w:val="single" w:sz="4" w:space="0" w:color="auto"/>
              <w:bottom w:val="single" w:sz="4" w:space="0" w:color="auto"/>
              <w:right w:val="single" w:sz="4" w:space="0" w:color="auto"/>
            </w:tcBorders>
            <w:hideMark/>
          </w:tcPr>
          <w:p w14:paraId="333F4462" w14:textId="77777777" w:rsidR="00B41760" w:rsidRPr="0011645D" w:rsidRDefault="00B41760">
            <w:pPr>
              <w:jc w:val="both"/>
              <w:rPr>
                <w:sz w:val="20"/>
                <w:szCs w:val="20"/>
              </w:rPr>
            </w:pPr>
            <w:r w:rsidRPr="0011645D">
              <w:rPr>
                <w:sz w:val="20"/>
                <w:szCs w:val="20"/>
              </w:rPr>
              <w:t>0.97</w:t>
            </w:r>
          </w:p>
        </w:tc>
      </w:tr>
      <w:tr w:rsidR="0011645D" w:rsidRPr="0011645D" w14:paraId="5053560C"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361EA333" w14:textId="51F46244" w:rsidR="00B41760" w:rsidRPr="0011645D" w:rsidRDefault="00B41760">
            <w:pPr>
              <w:jc w:val="both"/>
              <w:rPr>
                <w:b/>
                <w:sz w:val="20"/>
                <w:szCs w:val="20"/>
              </w:rPr>
            </w:pPr>
            <w:r w:rsidRPr="0011645D">
              <w:rPr>
                <w:b/>
                <w:sz w:val="20"/>
                <w:szCs w:val="20"/>
              </w:rPr>
              <w:t>eGFR</w:t>
            </w:r>
            <w:r w:rsidR="007116F1" w:rsidRPr="0011645D">
              <w:rPr>
                <w:bCs/>
                <w:sz w:val="20"/>
                <w:szCs w:val="20"/>
              </w:rPr>
              <w:t>, ml/min/1.73m</w:t>
            </w:r>
            <w:r w:rsidR="007116F1" w:rsidRPr="0011645D">
              <w:rPr>
                <w:bCs/>
                <w:sz w:val="20"/>
                <w:szCs w:val="20"/>
                <w:vertAlign w:val="superscript"/>
              </w:rPr>
              <w:t>2</w:t>
            </w:r>
          </w:p>
        </w:tc>
        <w:tc>
          <w:tcPr>
            <w:tcW w:w="1668" w:type="dxa"/>
            <w:tcBorders>
              <w:top w:val="single" w:sz="4" w:space="0" w:color="auto"/>
              <w:left w:val="single" w:sz="4" w:space="0" w:color="auto"/>
              <w:bottom w:val="single" w:sz="4" w:space="0" w:color="auto"/>
              <w:right w:val="single" w:sz="4" w:space="0" w:color="auto"/>
            </w:tcBorders>
            <w:hideMark/>
          </w:tcPr>
          <w:p w14:paraId="5067BB23" w14:textId="77777777" w:rsidR="00B41760" w:rsidRPr="0011645D" w:rsidRDefault="00B41760">
            <w:pPr>
              <w:jc w:val="both"/>
              <w:rPr>
                <w:sz w:val="20"/>
                <w:szCs w:val="20"/>
              </w:rPr>
            </w:pPr>
            <w:r w:rsidRPr="0011645D">
              <w:rPr>
                <w:sz w:val="20"/>
                <w:szCs w:val="20"/>
              </w:rPr>
              <w:t>31.5 (10.1)</w:t>
            </w:r>
          </w:p>
        </w:tc>
        <w:tc>
          <w:tcPr>
            <w:tcW w:w="1559" w:type="dxa"/>
            <w:tcBorders>
              <w:top w:val="single" w:sz="4" w:space="0" w:color="auto"/>
              <w:left w:val="single" w:sz="4" w:space="0" w:color="auto"/>
              <w:bottom w:val="single" w:sz="4" w:space="0" w:color="auto"/>
              <w:right w:val="single" w:sz="4" w:space="0" w:color="auto"/>
            </w:tcBorders>
            <w:hideMark/>
          </w:tcPr>
          <w:p w14:paraId="3682FEDD" w14:textId="77777777" w:rsidR="00B41760" w:rsidRPr="0011645D" w:rsidRDefault="00B41760">
            <w:pPr>
              <w:jc w:val="both"/>
              <w:rPr>
                <w:sz w:val="20"/>
                <w:szCs w:val="20"/>
              </w:rPr>
            </w:pPr>
            <w:r w:rsidRPr="0011645D">
              <w:rPr>
                <w:sz w:val="20"/>
                <w:szCs w:val="20"/>
              </w:rPr>
              <w:t>29.8 (11.2)</w:t>
            </w:r>
          </w:p>
        </w:tc>
        <w:tc>
          <w:tcPr>
            <w:tcW w:w="977" w:type="dxa"/>
            <w:tcBorders>
              <w:top w:val="single" w:sz="4" w:space="0" w:color="auto"/>
              <w:left w:val="single" w:sz="4" w:space="0" w:color="auto"/>
              <w:bottom w:val="single" w:sz="4" w:space="0" w:color="auto"/>
              <w:right w:val="single" w:sz="4" w:space="0" w:color="auto"/>
            </w:tcBorders>
            <w:hideMark/>
          </w:tcPr>
          <w:p w14:paraId="5A783342" w14:textId="77777777" w:rsidR="00B41760" w:rsidRPr="0011645D" w:rsidRDefault="00B41760">
            <w:pPr>
              <w:jc w:val="both"/>
              <w:rPr>
                <w:sz w:val="20"/>
                <w:szCs w:val="20"/>
              </w:rPr>
            </w:pPr>
            <w:r w:rsidRPr="0011645D">
              <w:rPr>
                <w:sz w:val="20"/>
                <w:szCs w:val="20"/>
              </w:rPr>
              <w:t>0.02</w:t>
            </w:r>
          </w:p>
        </w:tc>
      </w:tr>
      <w:tr w:rsidR="0011645D" w:rsidRPr="0011645D" w14:paraId="43EA430D"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2818F9DB" w14:textId="77777777" w:rsidR="00B41760" w:rsidRPr="0011645D" w:rsidRDefault="00B41760" w:rsidP="00E11C5E">
            <w:pPr>
              <w:pStyle w:val="ListParagraph"/>
              <w:numPr>
                <w:ilvl w:val="0"/>
                <w:numId w:val="3"/>
              </w:numPr>
              <w:spacing w:line="240" w:lineRule="auto"/>
              <w:jc w:val="both"/>
              <w:rPr>
                <w:sz w:val="20"/>
                <w:szCs w:val="20"/>
              </w:rPr>
            </w:pPr>
            <w:r w:rsidRPr="0011645D">
              <w:rPr>
                <w:sz w:val="20"/>
                <w:szCs w:val="20"/>
              </w:rPr>
              <w:t>eGFR (</w:t>
            </w:r>
            <w:proofErr w:type="spellStart"/>
            <w:r w:rsidRPr="0011645D">
              <w:rPr>
                <w:sz w:val="20"/>
                <w:szCs w:val="20"/>
              </w:rPr>
              <w:t>ACEi</w:t>
            </w:r>
            <w:proofErr w:type="spellEnd"/>
            <w:r w:rsidRPr="0011645D">
              <w:rPr>
                <w:sz w:val="20"/>
                <w:szCs w:val="20"/>
              </w:rPr>
              <w:t>/ARBs increased)</w:t>
            </w:r>
          </w:p>
        </w:tc>
        <w:tc>
          <w:tcPr>
            <w:tcW w:w="1668" w:type="dxa"/>
            <w:tcBorders>
              <w:top w:val="single" w:sz="4" w:space="0" w:color="auto"/>
              <w:left w:val="single" w:sz="4" w:space="0" w:color="auto"/>
              <w:bottom w:val="single" w:sz="4" w:space="0" w:color="auto"/>
              <w:right w:val="single" w:sz="4" w:space="0" w:color="auto"/>
            </w:tcBorders>
            <w:hideMark/>
          </w:tcPr>
          <w:p w14:paraId="613604D3" w14:textId="77777777" w:rsidR="00B41760" w:rsidRPr="0011645D" w:rsidRDefault="00B41760">
            <w:pPr>
              <w:jc w:val="both"/>
              <w:rPr>
                <w:sz w:val="20"/>
                <w:szCs w:val="20"/>
              </w:rPr>
            </w:pPr>
            <w:r w:rsidRPr="0011645D">
              <w:rPr>
                <w:sz w:val="20"/>
                <w:szCs w:val="20"/>
              </w:rPr>
              <w:t>32.5 (10.5)</w:t>
            </w:r>
          </w:p>
        </w:tc>
        <w:tc>
          <w:tcPr>
            <w:tcW w:w="1559" w:type="dxa"/>
            <w:tcBorders>
              <w:top w:val="single" w:sz="4" w:space="0" w:color="auto"/>
              <w:left w:val="single" w:sz="4" w:space="0" w:color="auto"/>
              <w:bottom w:val="single" w:sz="4" w:space="0" w:color="auto"/>
              <w:right w:val="single" w:sz="4" w:space="0" w:color="auto"/>
            </w:tcBorders>
            <w:hideMark/>
          </w:tcPr>
          <w:p w14:paraId="7063EA51" w14:textId="77777777" w:rsidR="00B41760" w:rsidRPr="0011645D" w:rsidRDefault="00B41760">
            <w:pPr>
              <w:jc w:val="both"/>
              <w:rPr>
                <w:sz w:val="20"/>
                <w:szCs w:val="20"/>
              </w:rPr>
            </w:pPr>
            <w:r w:rsidRPr="0011645D">
              <w:rPr>
                <w:sz w:val="20"/>
                <w:szCs w:val="20"/>
              </w:rPr>
              <w:t>31.6 (11.3)</w:t>
            </w:r>
          </w:p>
        </w:tc>
        <w:tc>
          <w:tcPr>
            <w:tcW w:w="977" w:type="dxa"/>
            <w:tcBorders>
              <w:top w:val="single" w:sz="4" w:space="0" w:color="auto"/>
              <w:left w:val="single" w:sz="4" w:space="0" w:color="auto"/>
              <w:bottom w:val="single" w:sz="4" w:space="0" w:color="auto"/>
              <w:right w:val="single" w:sz="4" w:space="0" w:color="auto"/>
            </w:tcBorders>
            <w:hideMark/>
          </w:tcPr>
          <w:p w14:paraId="44211332" w14:textId="77777777" w:rsidR="00B41760" w:rsidRPr="0011645D" w:rsidRDefault="00B41760">
            <w:pPr>
              <w:jc w:val="both"/>
              <w:rPr>
                <w:sz w:val="20"/>
                <w:szCs w:val="20"/>
              </w:rPr>
            </w:pPr>
            <w:r w:rsidRPr="0011645D">
              <w:rPr>
                <w:sz w:val="20"/>
                <w:szCs w:val="20"/>
              </w:rPr>
              <w:t>0.23</w:t>
            </w:r>
          </w:p>
        </w:tc>
      </w:tr>
      <w:tr w:rsidR="0011645D" w:rsidRPr="0011645D" w14:paraId="1CBD21E1"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0D1B140E" w14:textId="77777777" w:rsidR="00B41760" w:rsidRPr="0011645D" w:rsidRDefault="00B41760" w:rsidP="00E11C5E">
            <w:pPr>
              <w:pStyle w:val="ListParagraph"/>
              <w:numPr>
                <w:ilvl w:val="0"/>
                <w:numId w:val="3"/>
              </w:numPr>
              <w:spacing w:line="240" w:lineRule="auto"/>
              <w:jc w:val="both"/>
              <w:rPr>
                <w:sz w:val="20"/>
                <w:szCs w:val="20"/>
              </w:rPr>
            </w:pPr>
            <w:r w:rsidRPr="0011645D">
              <w:rPr>
                <w:sz w:val="20"/>
                <w:szCs w:val="20"/>
              </w:rPr>
              <w:t>eGFR (MRAs increased)</w:t>
            </w:r>
          </w:p>
        </w:tc>
        <w:tc>
          <w:tcPr>
            <w:tcW w:w="1668" w:type="dxa"/>
            <w:tcBorders>
              <w:top w:val="single" w:sz="4" w:space="0" w:color="auto"/>
              <w:left w:val="single" w:sz="4" w:space="0" w:color="auto"/>
              <w:bottom w:val="single" w:sz="4" w:space="0" w:color="auto"/>
              <w:right w:val="single" w:sz="4" w:space="0" w:color="auto"/>
            </w:tcBorders>
            <w:hideMark/>
          </w:tcPr>
          <w:p w14:paraId="62DD17C1" w14:textId="77777777" w:rsidR="00B41760" w:rsidRPr="0011645D" w:rsidRDefault="00B41760">
            <w:pPr>
              <w:jc w:val="both"/>
              <w:rPr>
                <w:sz w:val="20"/>
                <w:szCs w:val="20"/>
              </w:rPr>
            </w:pPr>
            <w:r w:rsidRPr="0011645D">
              <w:rPr>
                <w:sz w:val="20"/>
                <w:szCs w:val="20"/>
              </w:rPr>
              <w:t>36.3 (9.4)</w:t>
            </w:r>
          </w:p>
        </w:tc>
        <w:tc>
          <w:tcPr>
            <w:tcW w:w="1559" w:type="dxa"/>
            <w:tcBorders>
              <w:top w:val="single" w:sz="4" w:space="0" w:color="auto"/>
              <w:left w:val="single" w:sz="4" w:space="0" w:color="auto"/>
              <w:bottom w:val="single" w:sz="4" w:space="0" w:color="auto"/>
              <w:right w:val="single" w:sz="4" w:space="0" w:color="auto"/>
            </w:tcBorders>
            <w:hideMark/>
          </w:tcPr>
          <w:p w14:paraId="56E52991" w14:textId="77777777" w:rsidR="00B41760" w:rsidRPr="0011645D" w:rsidRDefault="00B41760">
            <w:pPr>
              <w:jc w:val="both"/>
              <w:rPr>
                <w:sz w:val="20"/>
                <w:szCs w:val="20"/>
              </w:rPr>
            </w:pPr>
            <w:r w:rsidRPr="0011645D">
              <w:rPr>
                <w:sz w:val="20"/>
                <w:szCs w:val="20"/>
              </w:rPr>
              <w:t>32.1 (6.9)</w:t>
            </w:r>
          </w:p>
        </w:tc>
        <w:tc>
          <w:tcPr>
            <w:tcW w:w="977" w:type="dxa"/>
            <w:tcBorders>
              <w:top w:val="single" w:sz="4" w:space="0" w:color="auto"/>
              <w:left w:val="single" w:sz="4" w:space="0" w:color="auto"/>
              <w:bottom w:val="single" w:sz="4" w:space="0" w:color="auto"/>
              <w:right w:val="single" w:sz="4" w:space="0" w:color="auto"/>
            </w:tcBorders>
            <w:hideMark/>
          </w:tcPr>
          <w:p w14:paraId="30789371" w14:textId="77777777" w:rsidR="00B41760" w:rsidRPr="0011645D" w:rsidRDefault="00B41760">
            <w:pPr>
              <w:jc w:val="both"/>
              <w:rPr>
                <w:sz w:val="20"/>
                <w:szCs w:val="20"/>
              </w:rPr>
            </w:pPr>
            <w:r w:rsidRPr="0011645D">
              <w:rPr>
                <w:sz w:val="20"/>
                <w:szCs w:val="20"/>
              </w:rPr>
              <w:t>0.02</w:t>
            </w:r>
          </w:p>
        </w:tc>
      </w:tr>
      <w:tr w:rsidR="0011645D" w:rsidRPr="0011645D" w14:paraId="75F1DB93"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1EC987B0" w14:textId="091698F6" w:rsidR="00B41760" w:rsidRPr="0011645D" w:rsidRDefault="00B41760">
            <w:pPr>
              <w:jc w:val="both"/>
              <w:rPr>
                <w:b/>
                <w:sz w:val="20"/>
                <w:szCs w:val="20"/>
              </w:rPr>
            </w:pPr>
            <w:r w:rsidRPr="0011645D">
              <w:rPr>
                <w:b/>
                <w:sz w:val="20"/>
                <w:szCs w:val="20"/>
              </w:rPr>
              <w:t>CKD stages</w:t>
            </w:r>
          </w:p>
        </w:tc>
        <w:tc>
          <w:tcPr>
            <w:tcW w:w="1668" w:type="dxa"/>
            <w:tcBorders>
              <w:top w:val="single" w:sz="4" w:space="0" w:color="auto"/>
              <w:left w:val="single" w:sz="4" w:space="0" w:color="auto"/>
              <w:bottom w:val="single" w:sz="4" w:space="0" w:color="auto"/>
              <w:right w:val="single" w:sz="4" w:space="0" w:color="auto"/>
            </w:tcBorders>
          </w:tcPr>
          <w:p w14:paraId="34672156" w14:textId="77777777" w:rsidR="00B41760" w:rsidRPr="0011645D" w:rsidRDefault="00B41760">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76B522" w14:textId="77777777" w:rsidR="00B41760" w:rsidRPr="0011645D" w:rsidRDefault="00B41760">
            <w:pPr>
              <w:jc w:val="both"/>
              <w:rPr>
                <w:sz w:val="20"/>
                <w:szCs w:val="20"/>
              </w:rPr>
            </w:pPr>
          </w:p>
        </w:tc>
        <w:tc>
          <w:tcPr>
            <w:tcW w:w="977" w:type="dxa"/>
            <w:tcBorders>
              <w:top w:val="single" w:sz="4" w:space="0" w:color="auto"/>
              <w:left w:val="single" w:sz="4" w:space="0" w:color="auto"/>
              <w:bottom w:val="single" w:sz="4" w:space="0" w:color="auto"/>
              <w:right w:val="single" w:sz="4" w:space="0" w:color="auto"/>
            </w:tcBorders>
          </w:tcPr>
          <w:p w14:paraId="2C0FD1D6" w14:textId="77777777" w:rsidR="00B41760" w:rsidRPr="0011645D" w:rsidRDefault="00B41760">
            <w:pPr>
              <w:jc w:val="both"/>
              <w:rPr>
                <w:sz w:val="20"/>
                <w:szCs w:val="20"/>
              </w:rPr>
            </w:pPr>
          </w:p>
        </w:tc>
      </w:tr>
      <w:tr w:rsidR="0011645D" w:rsidRPr="0011645D" w14:paraId="0A27F79D"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5A8198A0" w14:textId="77777777" w:rsidR="00B41760" w:rsidRPr="0011645D" w:rsidRDefault="00B41760" w:rsidP="00E11C5E">
            <w:pPr>
              <w:pStyle w:val="ListParagraph"/>
              <w:numPr>
                <w:ilvl w:val="0"/>
                <w:numId w:val="4"/>
              </w:numPr>
              <w:spacing w:line="240" w:lineRule="auto"/>
              <w:jc w:val="both"/>
              <w:rPr>
                <w:sz w:val="20"/>
                <w:szCs w:val="20"/>
              </w:rPr>
            </w:pPr>
            <w:r w:rsidRPr="0011645D">
              <w:rPr>
                <w:sz w:val="20"/>
                <w:szCs w:val="20"/>
              </w:rPr>
              <w:t>Stage 3</w:t>
            </w:r>
          </w:p>
        </w:tc>
        <w:tc>
          <w:tcPr>
            <w:tcW w:w="1668" w:type="dxa"/>
            <w:tcBorders>
              <w:top w:val="single" w:sz="4" w:space="0" w:color="auto"/>
              <w:left w:val="single" w:sz="4" w:space="0" w:color="auto"/>
              <w:bottom w:val="single" w:sz="4" w:space="0" w:color="auto"/>
              <w:right w:val="single" w:sz="4" w:space="0" w:color="auto"/>
            </w:tcBorders>
            <w:hideMark/>
          </w:tcPr>
          <w:p w14:paraId="38C926A4" w14:textId="77777777" w:rsidR="00B41760" w:rsidRPr="0011645D" w:rsidRDefault="00B41760">
            <w:pPr>
              <w:jc w:val="both"/>
              <w:rPr>
                <w:sz w:val="20"/>
                <w:szCs w:val="20"/>
              </w:rPr>
            </w:pPr>
            <w:r w:rsidRPr="0011645D">
              <w:rPr>
                <w:sz w:val="20"/>
                <w:szCs w:val="20"/>
              </w:rPr>
              <w:t>56.7% (55)</w:t>
            </w:r>
          </w:p>
        </w:tc>
        <w:tc>
          <w:tcPr>
            <w:tcW w:w="1559" w:type="dxa"/>
            <w:tcBorders>
              <w:top w:val="single" w:sz="4" w:space="0" w:color="auto"/>
              <w:left w:val="single" w:sz="4" w:space="0" w:color="auto"/>
              <w:bottom w:val="single" w:sz="4" w:space="0" w:color="auto"/>
              <w:right w:val="single" w:sz="4" w:space="0" w:color="auto"/>
            </w:tcBorders>
            <w:hideMark/>
          </w:tcPr>
          <w:p w14:paraId="17DC265D" w14:textId="77777777" w:rsidR="00B41760" w:rsidRPr="0011645D" w:rsidRDefault="00B41760">
            <w:pPr>
              <w:jc w:val="both"/>
              <w:rPr>
                <w:sz w:val="20"/>
                <w:szCs w:val="20"/>
              </w:rPr>
            </w:pPr>
            <w:r w:rsidRPr="0011645D">
              <w:rPr>
                <w:sz w:val="20"/>
                <w:szCs w:val="20"/>
              </w:rPr>
              <w:t>48.5% (47)</w:t>
            </w:r>
          </w:p>
        </w:tc>
        <w:tc>
          <w:tcPr>
            <w:tcW w:w="977" w:type="dxa"/>
            <w:tcBorders>
              <w:top w:val="single" w:sz="4" w:space="0" w:color="auto"/>
              <w:left w:val="single" w:sz="4" w:space="0" w:color="auto"/>
              <w:bottom w:val="single" w:sz="4" w:space="0" w:color="auto"/>
              <w:right w:val="single" w:sz="4" w:space="0" w:color="auto"/>
            </w:tcBorders>
          </w:tcPr>
          <w:p w14:paraId="73B88DE1" w14:textId="77777777" w:rsidR="00B41760" w:rsidRPr="0011645D" w:rsidRDefault="00B41760">
            <w:pPr>
              <w:jc w:val="both"/>
              <w:rPr>
                <w:sz w:val="20"/>
                <w:szCs w:val="20"/>
              </w:rPr>
            </w:pPr>
          </w:p>
        </w:tc>
      </w:tr>
      <w:tr w:rsidR="0011645D" w:rsidRPr="0011645D" w14:paraId="39A242CB"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3A52F3B7" w14:textId="77777777" w:rsidR="00B41760" w:rsidRPr="0011645D" w:rsidRDefault="00B41760" w:rsidP="00E11C5E">
            <w:pPr>
              <w:pStyle w:val="ListParagraph"/>
              <w:numPr>
                <w:ilvl w:val="0"/>
                <w:numId w:val="4"/>
              </w:numPr>
              <w:spacing w:line="240" w:lineRule="auto"/>
              <w:jc w:val="both"/>
              <w:rPr>
                <w:sz w:val="20"/>
                <w:szCs w:val="20"/>
              </w:rPr>
            </w:pPr>
            <w:r w:rsidRPr="0011645D">
              <w:rPr>
                <w:sz w:val="20"/>
                <w:szCs w:val="20"/>
              </w:rPr>
              <w:t>Stage 4</w:t>
            </w:r>
          </w:p>
        </w:tc>
        <w:tc>
          <w:tcPr>
            <w:tcW w:w="1668" w:type="dxa"/>
            <w:tcBorders>
              <w:top w:val="single" w:sz="4" w:space="0" w:color="auto"/>
              <w:left w:val="single" w:sz="4" w:space="0" w:color="auto"/>
              <w:bottom w:val="single" w:sz="4" w:space="0" w:color="auto"/>
              <w:right w:val="single" w:sz="4" w:space="0" w:color="auto"/>
            </w:tcBorders>
            <w:hideMark/>
          </w:tcPr>
          <w:p w14:paraId="1B5C775E" w14:textId="77777777" w:rsidR="00B41760" w:rsidRPr="0011645D" w:rsidRDefault="00B41760">
            <w:pPr>
              <w:jc w:val="both"/>
              <w:rPr>
                <w:sz w:val="20"/>
                <w:szCs w:val="20"/>
              </w:rPr>
            </w:pPr>
            <w:r w:rsidRPr="0011645D">
              <w:rPr>
                <w:sz w:val="20"/>
                <w:szCs w:val="20"/>
              </w:rPr>
              <w:t>38.1% (37)</w:t>
            </w:r>
          </w:p>
        </w:tc>
        <w:tc>
          <w:tcPr>
            <w:tcW w:w="1559" w:type="dxa"/>
            <w:tcBorders>
              <w:top w:val="single" w:sz="4" w:space="0" w:color="auto"/>
              <w:left w:val="single" w:sz="4" w:space="0" w:color="auto"/>
              <w:bottom w:val="single" w:sz="4" w:space="0" w:color="auto"/>
              <w:right w:val="single" w:sz="4" w:space="0" w:color="auto"/>
            </w:tcBorders>
            <w:hideMark/>
          </w:tcPr>
          <w:p w14:paraId="455C1A5A" w14:textId="77777777" w:rsidR="00B41760" w:rsidRPr="0011645D" w:rsidRDefault="00B41760">
            <w:pPr>
              <w:jc w:val="both"/>
              <w:rPr>
                <w:sz w:val="20"/>
                <w:szCs w:val="20"/>
              </w:rPr>
            </w:pPr>
            <w:r w:rsidRPr="0011645D">
              <w:rPr>
                <w:sz w:val="20"/>
                <w:szCs w:val="20"/>
              </w:rPr>
              <w:t>37.1% (36)</w:t>
            </w:r>
          </w:p>
        </w:tc>
        <w:tc>
          <w:tcPr>
            <w:tcW w:w="977" w:type="dxa"/>
            <w:tcBorders>
              <w:top w:val="single" w:sz="4" w:space="0" w:color="auto"/>
              <w:left w:val="single" w:sz="4" w:space="0" w:color="auto"/>
              <w:bottom w:val="single" w:sz="4" w:space="0" w:color="auto"/>
              <w:right w:val="single" w:sz="4" w:space="0" w:color="auto"/>
            </w:tcBorders>
          </w:tcPr>
          <w:p w14:paraId="796BDA4A" w14:textId="77777777" w:rsidR="00B41760" w:rsidRPr="0011645D" w:rsidRDefault="00B41760">
            <w:pPr>
              <w:jc w:val="both"/>
              <w:rPr>
                <w:sz w:val="20"/>
                <w:szCs w:val="20"/>
              </w:rPr>
            </w:pPr>
          </w:p>
        </w:tc>
      </w:tr>
      <w:tr w:rsidR="0011645D" w:rsidRPr="0011645D" w14:paraId="6E4CA999"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hideMark/>
          </w:tcPr>
          <w:p w14:paraId="20E92D9B" w14:textId="3A0F385B" w:rsidR="00B41760" w:rsidRPr="0011645D" w:rsidRDefault="00B41760" w:rsidP="00E11C5E">
            <w:pPr>
              <w:pStyle w:val="ListParagraph"/>
              <w:numPr>
                <w:ilvl w:val="0"/>
                <w:numId w:val="4"/>
              </w:numPr>
              <w:spacing w:line="240" w:lineRule="auto"/>
              <w:jc w:val="both"/>
              <w:rPr>
                <w:b/>
                <w:bCs/>
                <w:sz w:val="20"/>
                <w:szCs w:val="20"/>
              </w:rPr>
            </w:pPr>
            <w:r w:rsidRPr="0011645D">
              <w:rPr>
                <w:b/>
                <w:bCs/>
                <w:sz w:val="20"/>
                <w:szCs w:val="20"/>
              </w:rPr>
              <w:t>Stage 5</w:t>
            </w:r>
          </w:p>
        </w:tc>
        <w:tc>
          <w:tcPr>
            <w:tcW w:w="1668" w:type="dxa"/>
            <w:tcBorders>
              <w:top w:val="single" w:sz="4" w:space="0" w:color="auto"/>
              <w:left w:val="single" w:sz="4" w:space="0" w:color="auto"/>
              <w:bottom w:val="single" w:sz="4" w:space="0" w:color="auto"/>
              <w:right w:val="single" w:sz="4" w:space="0" w:color="auto"/>
            </w:tcBorders>
            <w:hideMark/>
          </w:tcPr>
          <w:p w14:paraId="2C874E34" w14:textId="7981CFC1" w:rsidR="00B41760" w:rsidRPr="0011645D" w:rsidRDefault="005F301F">
            <w:pPr>
              <w:jc w:val="both"/>
              <w:rPr>
                <w:b/>
                <w:bCs/>
                <w:sz w:val="20"/>
                <w:szCs w:val="20"/>
              </w:rPr>
            </w:pPr>
            <w:r w:rsidRPr="0011645D">
              <w:rPr>
                <w:b/>
                <w:bCs/>
                <w:sz w:val="20"/>
                <w:szCs w:val="20"/>
              </w:rPr>
              <w:t>2.1</w:t>
            </w:r>
            <w:r w:rsidR="00B41760" w:rsidRPr="0011645D">
              <w:rPr>
                <w:b/>
                <w:bCs/>
                <w:sz w:val="20"/>
                <w:szCs w:val="20"/>
              </w:rPr>
              <w:t>% (</w:t>
            </w:r>
            <w:r w:rsidRPr="0011645D">
              <w:rPr>
                <w:b/>
                <w:bCs/>
                <w:sz w:val="20"/>
                <w:szCs w:val="20"/>
              </w:rPr>
              <w:t>2</w:t>
            </w:r>
            <w:r w:rsidR="00B41760" w:rsidRPr="0011645D">
              <w:rPr>
                <w:b/>
                <w:bCs/>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14:paraId="5DCFF1E3" w14:textId="5E374DE6" w:rsidR="00B41760" w:rsidRPr="0011645D" w:rsidRDefault="005F301F">
            <w:pPr>
              <w:jc w:val="both"/>
              <w:rPr>
                <w:b/>
                <w:bCs/>
                <w:sz w:val="20"/>
                <w:szCs w:val="20"/>
              </w:rPr>
            </w:pPr>
            <w:r w:rsidRPr="0011645D">
              <w:rPr>
                <w:b/>
                <w:bCs/>
                <w:sz w:val="20"/>
                <w:szCs w:val="20"/>
              </w:rPr>
              <w:t>8.2</w:t>
            </w:r>
            <w:r w:rsidR="00B41760" w:rsidRPr="0011645D">
              <w:rPr>
                <w:b/>
                <w:bCs/>
                <w:sz w:val="20"/>
                <w:szCs w:val="20"/>
              </w:rPr>
              <w:t>% (</w:t>
            </w:r>
            <w:r w:rsidRPr="0011645D">
              <w:rPr>
                <w:b/>
                <w:bCs/>
                <w:sz w:val="20"/>
                <w:szCs w:val="20"/>
              </w:rPr>
              <w:t>8</w:t>
            </w:r>
            <w:r w:rsidR="00B41760" w:rsidRPr="0011645D">
              <w:rPr>
                <w:b/>
                <w:bCs/>
                <w:sz w:val="20"/>
                <w:szCs w:val="20"/>
              </w:rPr>
              <w:t>)</w:t>
            </w:r>
          </w:p>
        </w:tc>
        <w:tc>
          <w:tcPr>
            <w:tcW w:w="977" w:type="dxa"/>
            <w:tcBorders>
              <w:top w:val="single" w:sz="4" w:space="0" w:color="auto"/>
              <w:left w:val="single" w:sz="4" w:space="0" w:color="auto"/>
              <w:bottom w:val="single" w:sz="4" w:space="0" w:color="auto"/>
              <w:right w:val="single" w:sz="4" w:space="0" w:color="auto"/>
            </w:tcBorders>
          </w:tcPr>
          <w:p w14:paraId="0D7F78DF" w14:textId="77777777" w:rsidR="00B41760" w:rsidRPr="0011645D" w:rsidRDefault="00B41760">
            <w:pPr>
              <w:jc w:val="both"/>
              <w:rPr>
                <w:sz w:val="20"/>
                <w:szCs w:val="20"/>
              </w:rPr>
            </w:pPr>
          </w:p>
        </w:tc>
      </w:tr>
      <w:tr w:rsidR="0011645D" w:rsidRPr="0011645D" w14:paraId="0AAF08C5" w14:textId="77777777" w:rsidTr="007116F1">
        <w:trPr>
          <w:trHeight w:val="283"/>
        </w:trPr>
        <w:tc>
          <w:tcPr>
            <w:tcW w:w="5103" w:type="dxa"/>
            <w:tcBorders>
              <w:top w:val="single" w:sz="4" w:space="0" w:color="auto"/>
              <w:left w:val="single" w:sz="4" w:space="0" w:color="auto"/>
              <w:bottom w:val="single" w:sz="4" w:space="0" w:color="auto"/>
              <w:right w:val="single" w:sz="4" w:space="0" w:color="auto"/>
            </w:tcBorders>
          </w:tcPr>
          <w:p w14:paraId="7548581F" w14:textId="31EB358E" w:rsidR="00EC0B30" w:rsidRPr="0011645D" w:rsidRDefault="00EC0B30" w:rsidP="00E11C5E">
            <w:pPr>
              <w:pStyle w:val="ListParagraph"/>
              <w:numPr>
                <w:ilvl w:val="0"/>
                <w:numId w:val="4"/>
              </w:numPr>
              <w:spacing w:line="240" w:lineRule="auto"/>
              <w:jc w:val="both"/>
              <w:rPr>
                <w:b/>
                <w:bCs/>
                <w:sz w:val="20"/>
                <w:szCs w:val="20"/>
              </w:rPr>
            </w:pPr>
            <w:r w:rsidRPr="0011645D">
              <w:rPr>
                <w:b/>
                <w:bCs/>
                <w:sz w:val="20"/>
                <w:szCs w:val="20"/>
              </w:rPr>
              <w:t>Dialysis</w:t>
            </w:r>
          </w:p>
        </w:tc>
        <w:tc>
          <w:tcPr>
            <w:tcW w:w="1668" w:type="dxa"/>
            <w:tcBorders>
              <w:top w:val="single" w:sz="4" w:space="0" w:color="auto"/>
              <w:left w:val="single" w:sz="4" w:space="0" w:color="auto"/>
              <w:bottom w:val="single" w:sz="4" w:space="0" w:color="auto"/>
              <w:right w:val="single" w:sz="4" w:space="0" w:color="auto"/>
            </w:tcBorders>
          </w:tcPr>
          <w:p w14:paraId="73698C74" w14:textId="40025CF7" w:rsidR="00EC0B30" w:rsidRPr="0011645D" w:rsidRDefault="005F301F">
            <w:pPr>
              <w:jc w:val="both"/>
              <w:rPr>
                <w:b/>
                <w:bCs/>
                <w:sz w:val="20"/>
                <w:szCs w:val="20"/>
              </w:rPr>
            </w:pPr>
            <w:r w:rsidRPr="0011645D">
              <w:rPr>
                <w:b/>
                <w:bCs/>
                <w:sz w:val="20"/>
                <w:szCs w:val="20"/>
              </w:rPr>
              <w:t xml:space="preserve">3.1% </w:t>
            </w:r>
            <w:r w:rsidR="00EC0B30" w:rsidRPr="0011645D">
              <w:rPr>
                <w:b/>
                <w:bCs/>
                <w:sz w:val="20"/>
                <w:szCs w:val="20"/>
              </w:rPr>
              <w:t>(</w:t>
            </w:r>
            <w:r w:rsidR="00726413" w:rsidRPr="0011645D">
              <w:rPr>
                <w:b/>
                <w:bCs/>
                <w:sz w:val="20"/>
                <w:szCs w:val="20"/>
              </w:rPr>
              <w:t>3</w:t>
            </w:r>
            <w:r w:rsidR="00EC0B30" w:rsidRPr="0011645D">
              <w:rPr>
                <w:b/>
                <w:bC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333E2D43" w14:textId="113DFED2" w:rsidR="00EC0B30" w:rsidRPr="0011645D" w:rsidRDefault="005F301F">
            <w:pPr>
              <w:jc w:val="both"/>
              <w:rPr>
                <w:b/>
                <w:bCs/>
                <w:sz w:val="20"/>
                <w:szCs w:val="20"/>
              </w:rPr>
            </w:pPr>
            <w:r w:rsidRPr="0011645D">
              <w:rPr>
                <w:b/>
                <w:bCs/>
                <w:sz w:val="20"/>
                <w:szCs w:val="20"/>
              </w:rPr>
              <w:t xml:space="preserve">6.2% </w:t>
            </w:r>
            <w:r w:rsidR="00EC0B30" w:rsidRPr="0011645D">
              <w:rPr>
                <w:b/>
                <w:bCs/>
                <w:sz w:val="20"/>
                <w:szCs w:val="20"/>
              </w:rPr>
              <w:t>(</w:t>
            </w:r>
            <w:r w:rsidR="00726413" w:rsidRPr="0011645D">
              <w:rPr>
                <w:b/>
                <w:bCs/>
                <w:sz w:val="20"/>
                <w:szCs w:val="20"/>
              </w:rPr>
              <w:t>6</w:t>
            </w:r>
            <w:r w:rsidR="00EC0B30" w:rsidRPr="0011645D">
              <w:rPr>
                <w:b/>
                <w:bCs/>
                <w:sz w:val="20"/>
                <w:szCs w:val="20"/>
              </w:rPr>
              <w:t>)</w:t>
            </w:r>
          </w:p>
        </w:tc>
        <w:tc>
          <w:tcPr>
            <w:tcW w:w="977" w:type="dxa"/>
            <w:tcBorders>
              <w:top w:val="single" w:sz="4" w:space="0" w:color="auto"/>
              <w:left w:val="single" w:sz="4" w:space="0" w:color="auto"/>
              <w:bottom w:val="single" w:sz="4" w:space="0" w:color="auto"/>
              <w:right w:val="single" w:sz="4" w:space="0" w:color="auto"/>
            </w:tcBorders>
          </w:tcPr>
          <w:p w14:paraId="735B2533" w14:textId="77777777" w:rsidR="00EC0B30" w:rsidRPr="0011645D" w:rsidRDefault="00EC0B30">
            <w:pPr>
              <w:jc w:val="both"/>
              <w:rPr>
                <w:b/>
                <w:bCs/>
                <w:sz w:val="20"/>
                <w:szCs w:val="20"/>
              </w:rPr>
            </w:pPr>
          </w:p>
        </w:tc>
      </w:tr>
      <w:tr w:rsidR="0011645D" w:rsidRPr="0011645D" w14:paraId="003894AD" w14:textId="77777777" w:rsidTr="00FB4C14">
        <w:trPr>
          <w:trHeight w:val="283"/>
        </w:trPr>
        <w:tc>
          <w:tcPr>
            <w:tcW w:w="5103" w:type="dxa"/>
          </w:tcPr>
          <w:p w14:paraId="265C322C" w14:textId="0DB860EF" w:rsidR="00FB4C14" w:rsidRPr="0011645D" w:rsidRDefault="00FB4C14" w:rsidP="00D25DED">
            <w:pPr>
              <w:jc w:val="both"/>
              <w:rPr>
                <w:b/>
              </w:rPr>
            </w:pPr>
            <w:r w:rsidRPr="0011645D">
              <w:rPr>
                <w:b/>
              </w:rPr>
              <w:t>Hb</w:t>
            </w:r>
            <w:r w:rsidRPr="0011645D">
              <w:rPr>
                <w:bCs/>
              </w:rPr>
              <w:t>, g/L</w:t>
            </w:r>
          </w:p>
        </w:tc>
        <w:tc>
          <w:tcPr>
            <w:tcW w:w="1668" w:type="dxa"/>
          </w:tcPr>
          <w:p w14:paraId="39FD92D5" w14:textId="77777777" w:rsidR="00FB4C14" w:rsidRPr="0011645D" w:rsidRDefault="00FB4C14" w:rsidP="00D25DED">
            <w:pPr>
              <w:jc w:val="both"/>
            </w:pPr>
            <w:r w:rsidRPr="0011645D">
              <w:t>114.8 (20.6)</w:t>
            </w:r>
          </w:p>
        </w:tc>
        <w:tc>
          <w:tcPr>
            <w:tcW w:w="1559" w:type="dxa"/>
          </w:tcPr>
          <w:p w14:paraId="4FF6DA58" w14:textId="77777777" w:rsidR="00FB4C14" w:rsidRPr="0011645D" w:rsidRDefault="00FB4C14" w:rsidP="00D25DED">
            <w:pPr>
              <w:jc w:val="both"/>
            </w:pPr>
            <w:r w:rsidRPr="0011645D">
              <w:t>116.3 (19.7)</w:t>
            </w:r>
          </w:p>
        </w:tc>
        <w:tc>
          <w:tcPr>
            <w:tcW w:w="977" w:type="dxa"/>
          </w:tcPr>
          <w:p w14:paraId="4C2345C6" w14:textId="77777777" w:rsidR="00FB4C14" w:rsidRPr="0011645D" w:rsidRDefault="00FB4C14" w:rsidP="00D25DED">
            <w:pPr>
              <w:jc w:val="both"/>
            </w:pPr>
            <w:r w:rsidRPr="0011645D">
              <w:t>0.84</w:t>
            </w:r>
          </w:p>
        </w:tc>
      </w:tr>
      <w:tr w:rsidR="0011645D" w:rsidRPr="0011645D" w14:paraId="4D6CB48E" w14:textId="77777777" w:rsidTr="00FB4C14">
        <w:trPr>
          <w:trHeight w:val="283"/>
        </w:trPr>
        <w:tc>
          <w:tcPr>
            <w:tcW w:w="5103" w:type="dxa"/>
          </w:tcPr>
          <w:p w14:paraId="15AC58DD" w14:textId="77777777" w:rsidR="00FB4C14" w:rsidRPr="0011645D" w:rsidRDefault="00FB4C14" w:rsidP="00FB4C14">
            <w:pPr>
              <w:pStyle w:val="ListParagraph"/>
              <w:numPr>
                <w:ilvl w:val="0"/>
                <w:numId w:val="4"/>
              </w:numPr>
              <w:spacing w:line="240" w:lineRule="auto"/>
              <w:jc w:val="both"/>
            </w:pPr>
            <w:r w:rsidRPr="0011645D">
              <w:t>Anaemia (Hb &lt;100 g/L)</w:t>
            </w:r>
          </w:p>
        </w:tc>
        <w:tc>
          <w:tcPr>
            <w:tcW w:w="1668" w:type="dxa"/>
          </w:tcPr>
          <w:p w14:paraId="0FD9C99E" w14:textId="77777777" w:rsidR="00FB4C14" w:rsidRPr="0011645D" w:rsidRDefault="00FB4C14" w:rsidP="00D25DED">
            <w:pPr>
              <w:jc w:val="both"/>
            </w:pPr>
            <w:r w:rsidRPr="0011645D">
              <w:t>17.5%</w:t>
            </w:r>
          </w:p>
        </w:tc>
        <w:tc>
          <w:tcPr>
            <w:tcW w:w="1559" w:type="dxa"/>
          </w:tcPr>
          <w:p w14:paraId="31185E24" w14:textId="77777777" w:rsidR="00FB4C14" w:rsidRPr="0011645D" w:rsidRDefault="00FB4C14" w:rsidP="00D25DED">
            <w:pPr>
              <w:jc w:val="both"/>
            </w:pPr>
            <w:r w:rsidRPr="0011645D">
              <w:t>20.6%</w:t>
            </w:r>
          </w:p>
        </w:tc>
        <w:tc>
          <w:tcPr>
            <w:tcW w:w="977" w:type="dxa"/>
          </w:tcPr>
          <w:p w14:paraId="0EE04967" w14:textId="77777777" w:rsidR="00FB4C14" w:rsidRPr="0011645D" w:rsidRDefault="00FB4C14" w:rsidP="00D25DED">
            <w:pPr>
              <w:jc w:val="both"/>
            </w:pPr>
            <w:r w:rsidRPr="0011645D">
              <w:t>0.65</w:t>
            </w:r>
          </w:p>
        </w:tc>
      </w:tr>
      <w:tr w:rsidR="0011645D" w:rsidRPr="0011645D" w14:paraId="6467BB32" w14:textId="77777777" w:rsidTr="00FB4C14">
        <w:trPr>
          <w:trHeight w:val="283"/>
        </w:trPr>
        <w:tc>
          <w:tcPr>
            <w:tcW w:w="5103" w:type="dxa"/>
          </w:tcPr>
          <w:p w14:paraId="5E579801" w14:textId="77777777" w:rsidR="00FB4C14" w:rsidRPr="0011645D" w:rsidRDefault="00FB4C14" w:rsidP="00FB4C14">
            <w:pPr>
              <w:pStyle w:val="ListParagraph"/>
              <w:numPr>
                <w:ilvl w:val="0"/>
                <w:numId w:val="4"/>
              </w:numPr>
              <w:spacing w:line="240" w:lineRule="auto"/>
              <w:jc w:val="both"/>
            </w:pPr>
            <w:r w:rsidRPr="0011645D">
              <w:t>Hb (anaemic patients at first visit)</w:t>
            </w:r>
          </w:p>
        </w:tc>
        <w:tc>
          <w:tcPr>
            <w:tcW w:w="1668" w:type="dxa"/>
          </w:tcPr>
          <w:p w14:paraId="616F5832" w14:textId="77777777" w:rsidR="00FB4C14" w:rsidRPr="0011645D" w:rsidRDefault="00FB4C14" w:rsidP="00D25DED">
            <w:pPr>
              <w:jc w:val="both"/>
            </w:pPr>
            <w:r w:rsidRPr="0011645D">
              <w:t>85.9 (12.8)</w:t>
            </w:r>
          </w:p>
        </w:tc>
        <w:tc>
          <w:tcPr>
            <w:tcW w:w="1559" w:type="dxa"/>
          </w:tcPr>
          <w:p w14:paraId="07975D58" w14:textId="77777777" w:rsidR="00FB4C14" w:rsidRPr="0011645D" w:rsidRDefault="00FB4C14" w:rsidP="00D25DED">
            <w:pPr>
              <w:jc w:val="both"/>
            </w:pPr>
            <w:r w:rsidRPr="0011645D">
              <w:t>100.8 (18.1)</w:t>
            </w:r>
          </w:p>
        </w:tc>
        <w:tc>
          <w:tcPr>
            <w:tcW w:w="977" w:type="dxa"/>
          </w:tcPr>
          <w:p w14:paraId="54E4B104" w14:textId="77777777" w:rsidR="00FB4C14" w:rsidRPr="0011645D" w:rsidRDefault="00FB4C14" w:rsidP="00D25DED">
            <w:pPr>
              <w:jc w:val="both"/>
            </w:pPr>
            <w:r w:rsidRPr="0011645D">
              <w:t>0.02</w:t>
            </w:r>
          </w:p>
        </w:tc>
      </w:tr>
      <w:tr w:rsidR="0011645D" w:rsidRPr="0011645D" w14:paraId="73B6B2B0" w14:textId="77777777" w:rsidTr="00FB4C14">
        <w:trPr>
          <w:trHeight w:val="283"/>
        </w:trPr>
        <w:tc>
          <w:tcPr>
            <w:tcW w:w="5103" w:type="dxa"/>
          </w:tcPr>
          <w:p w14:paraId="7A8557B5" w14:textId="680F2D28" w:rsidR="00FB4C14" w:rsidRPr="0011645D" w:rsidRDefault="00FB4C14" w:rsidP="00D25DED">
            <w:pPr>
              <w:jc w:val="both"/>
              <w:rPr>
                <w:b/>
              </w:rPr>
            </w:pPr>
            <w:r w:rsidRPr="0011645D">
              <w:rPr>
                <w:b/>
              </w:rPr>
              <w:t xml:space="preserve">Ferritin, </w:t>
            </w:r>
            <w:proofErr w:type="spellStart"/>
            <w:r w:rsidRPr="0011645D">
              <w:rPr>
                <w:sz w:val="20"/>
                <w:szCs w:val="20"/>
              </w:rPr>
              <w:t>μg</w:t>
            </w:r>
            <w:proofErr w:type="spellEnd"/>
            <w:r w:rsidRPr="0011645D">
              <w:rPr>
                <w:sz w:val="20"/>
                <w:szCs w:val="20"/>
              </w:rPr>
              <w:t>/L</w:t>
            </w:r>
          </w:p>
        </w:tc>
        <w:tc>
          <w:tcPr>
            <w:tcW w:w="1668" w:type="dxa"/>
          </w:tcPr>
          <w:p w14:paraId="6882C631" w14:textId="77777777" w:rsidR="00FB4C14" w:rsidRPr="0011645D" w:rsidRDefault="00FB4C14" w:rsidP="00D25DED">
            <w:pPr>
              <w:jc w:val="both"/>
            </w:pPr>
            <w:r w:rsidRPr="0011645D">
              <w:t>131.0 (220.0)</w:t>
            </w:r>
          </w:p>
        </w:tc>
        <w:tc>
          <w:tcPr>
            <w:tcW w:w="1559" w:type="dxa"/>
          </w:tcPr>
          <w:p w14:paraId="7BFA4759" w14:textId="77777777" w:rsidR="00FB4C14" w:rsidRPr="0011645D" w:rsidRDefault="00FB4C14" w:rsidP="00D25DED">
            <w:pPr>
              <w:jc w:val="both"/>
            </w:pPr>
            <w:r w:rsidRPr="0011645D">
              <w:t>267.5 (359.0)</w:t>
            </w:r>
          </w:p>
        </w:tc>
        <w:tc>
          <w:tcPr>
            <w:tcW w:w="977" w:type="dxa"/>
          </w:tcPr>
          <w:p w14:paraId="4B9023B5" w14:textId="77777777" w:rsidR="00FB4C14" w:rsidRPr="0011645D" w:rsidRDefault="00FB4C14" w:rsidP="00D25DED">
            <w:pPr>
              <w:jc w:val="both"/>
            </w:pPr>
            <w:r w:rsidRPr="0011645D">
              <w:t>&lt;0.001</w:t>
            </w:r>
          </w:p>
        </w:tc>
      </w:tr>
      <w:tr w:rsidR="0011645D" w:rsidRPr="0011645D" w14:paraId="38450383" w14:textId="77777777" w:rsidTr="00FB4C14">
        <w:trPr>
          <w:trHeight w:val="283"/>
        </w:trPr>
        <w:tc>
          <w:tcPr>
            <w:tcW w:w="5103" w:type="dxa"/>
          </w:tcPr>
          <w:p w14:paraId="42F20545" w14:textId="77777777" w:rsidR="00FB4C14" w:rsidRPr="0011645D" w:rsidRDefault="00FB4C14" w:rsidP="00FB4C14">
            <w:pPr>
              <w:pStyle w:val="ListParagraph"/>
              <w:numPr>
                <w:ilvl w:val="0"/>
                <w:numId w:val="5"/>
              </w:numPr>
              <w:spacing w:line="240" w:lineRule="auto"/>
              <w:jc w:val="both"/>
            </w:pPr>
            <w:r w:rsidRPr="0011645D">
              <w:t>Iron deficiency</w:t>
            </w:r>
          </w:p>
        </w:tc>
        <w:tc>
          <w:tcPr>
            <w:tcW w:w="1668" w:type="dxa"/>
          </w:tcPr>
          <w:p w14:paraId="59C1014E" w14:textId="77777777" w:rsidR="00FB4C14" w:rsidRPr="0011645D" w:rsidRDefault="00FB4C14" w:rsidP="00D25DED">
            <w:pPr>
              <w:jc w:val="both"/>
            </w:pPr>
            <w:r w:rsidRPr="0011645D">
              <w:t>56.7% (55)</w:t>
            </w:r>
          </w:p>
        </w:tc>
        <w:tc>
          <w:tcPr>
            <w:tcW w:w="1559" w:type="dxa"/>
          </w:tcPr>
          <w:p w14:paraId="5C5BF3FC" w14:textId="77777777" w:rsidR="00FB4C14" w:rsidRPr="0011645D" w:rsidRDefault="00FB4C14" w:rsidP="00D25DED">
            <w:pPr>
              <w:jc w:val="both"/>
            </w:pPr>
            <w:r w:rsidRPr="0011645D">
              <w:t>26.8% (26)</w:t>
            </w:r>
          </w:p>
        </w:tc>
        <w:tc>
          <w:tcPr>
            <w:tcW w:w="977" w:type="dxa"/>
          </w:tcPr>
          <w:p w14:paraId="4EAC04E7" w14:textId="77777777" w:rsidR="00FB4C14" w:rsidRPr="0011645D" w:rsidRDefault="00FB4C14" w:rsidP="00D25DED">
            <w:pPr>
              <w:jc w:val="both"/>
            </w:pPr>
            <w:r w:rsidRPr="0011645D">
              <w:t>0.002</w:t>
            </w:r>
          </w:p>
        </w:tc>
      </w:tr>
      <w:tr w:rsidR="00FB4C14" w:rsidRPr="0011645D" w14:paraId="38C988F3" w14:textId="77777777" w:rsidTr="00FB4C14">
        <w:trPr>
          <w:trHeight w:val="283"/>
        </w:trPr>
        <w:tc>
          <w:tcPr>
            <w:tcW w:w="5103" w:type="dxa"/>
          </w:tcPr>
          <w:p w14:paraId="4AA47A27" w14:textId="77777777" w:rsidR="00FB4C14" w:rsidRPr="0011645D" w:rsidRDefault="00FB4C14" w:rsidP="00FB4C14">
            <w:pPr>
              <w:pStyle w:val="ListParagraph"/>
              <w:numPr>
                <w:ilvl w:val="0"/>
                <w:numId w:val="5"/>
              </w:numPr>
              <w:spacing w:line="240" w:lineRule="auto"/>
              <w:jc w:val="both"/>
            </w:pPr>
            <w:r w:rsidRPr="0011645D">
              <w:t>Ferritin (iron deficiency group at first visit)</w:t>
            </w:r>
          </w:p>
        </w:tc>
        <w:tc>
          <w:tcPr>
            <w:tcW w:w="1668" w:type="dxa"/>
          </w:tcPr>
          <w:p w14:paraId="22EF0189" w14:textId="77777777" w:rsidR="00FB4C14" w:rsidRPr="0011645D" w:rsidRDefault="00FB4C14" w:rsidP="00D25DED">
            <w:pPr>
              <w:jc w:val="both"/>
            </w:pPr>
            <w:r w:rsidRPr="0011645D">
              <w:t>67.0 (62.0)</w:t>
            </w:r>
          </w:p>
        </w:tc>
        <w:tc>
          <w:tcPr>
            <w:tcW w:w="1559" w:type="dxa"/>
          </w:tcPr>
          <w:p w14:paraId="461AB6AB" w14:textId="77777777" w:rsidR="00FB4C14" w:rsidRPr="0011645D" w:rsidRDefault="00FB4C14" w:rsidP="00D25DED">
            <w:pPr>
              <w:jc w:val="both"/>
            </w:pPr>
            <w:r w:rsidRPr="0011645D">
              <w:t>185.0 (269.0)</w:t>
            </w:r>
          </w:p>
        </w:tc>
        <w:tc>
          <w:tcPr>
            <w:tcW w:w="977" w:type="dxa"/>
          </w:tcPr>
          <w:p w14:paraId="09DE860E" w14:textId="77777777" w:rsidR="00FB4C14" w:rsidRPr="0011645D" w:rsidRDefault="00FB4C14" w:rsidP="00D25DED">
            <w:pPr>
              <w:jc w:val="both"/>
            </w:pPr>
            <w:r w:rsidRPr="0011645D">
              <w:t>&lt;0.001</w:t>
            </w:r>
          </w:p>
        </w:tc>
      </w:tr>
    </w:tbl>
    <w:p w14:paraId="71F3BC42" w14:textId="776546E9" w:rsidR="00B41760" w:rsidRPr="0011645D" w:rsidRDefault="00B41760" w:rsidP="00B41760">
      <w:pPr>
        <w:rPr>
          <w:b/>
          <w:sz w:val="20"/>
          <w:szCs w:val="20"/>
        </w:rPr>
      </w:pPr>
    </w:p>
    <w:p w14:paraId="69A7F9AE" w14:textId="6C2267F8" w:rsidR="00E64D70" w:rsidRPr="0011645D" w:rsidRDefault="00E64D70" w:rsidP="00B41760">
      <w:pPr>
        <w:rPr>
          <w:b/>
          <w:sz w:val="20"/>
          <w:szCs w:val="20"/>
        </w:rPr>
      </w:pPr>
    </w:p>
    <w:p w14:paraId="2E8A16A1" w14:textId="05A823C8" w:rsidR="00B41760" w:rsidRPr="0011645D" w:rsidRDefault="00B41760" w:rsidP="00B41760">
      <w:pPr>
        <w:jc w:val="both"/>
        <w:rPr>
          <w:b/>
          <w:sz w:val="20"/>
          <w:szCs w:val="20"/>
        </w:rPr>
      </w:pPr>
      <w:r w:rsidRPr="0011645D">
        <w:rPr>
          <w:b/>
          <w:sz w:val="20"/>
          <w:szCs w:val="20"/>
        </w:rPr>
        <w:t>Figure 1: Comparison of proportions of patients according to number of Renin-Angiotensin-Aldosterone-system inhibitors (</w:t>
      </w:r>
      <w:proofErr w:type="spellStart"/>
      <w:r w:rsidRPr="0011645D">
        <w:rPr>
          <w:b/>
          <w:sz w:val="20"/>
          <w:szCs w:val="20"/>
        </w:rPr>
        <w:t>RAASi</w:t>
      </w:r>
      <w:proofErr w:type="spellEnd"/>
      <w:r w:rsidRPr="0011645D">
        <w:rPr>
          <w:b/>
          <w:sz w:val="20"/>
          <w:szCs w:val="20"/>
        </w:rPr>
        <w:t>) agents used between the first and last visit (p=0.03)</w:t>
      </w:r>
    </w:p>
    <w:p w14:paraId="13F7E199" w14:textId="43326A8A" w:rsidR="005F301F" w:rsidRPr="0011645D" w:rsidRDefault="005F301F" w:rsidP="00B41760">
      <w:pPr>
        <w:jc w:val="both"/>
        <w:rPr>
          <w:b/>
          <w:sz w:val="20"/>
          <w:szCs w:val="20"/>
        </w:rPr>
      </w:pPr>
      <w:r w:rsidRPr="0011645D">
        <w:rPr>
          <w:noProof/>
          <w:lang w:eastAsia="en-GB"/>
        </w:rPr>
        <w:drawing>
          <wp:inline distT="0" distB="0" distL="0" distR="0" wp14:anchorId="52050D71" wp14:editId="2BE4AD72">
            <wp:extent cx="5252112" cy="40767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1305" cy="4083836"/>
                    </a:xfrm>
                    <a:prstGeom prst="rect">
                      <a:avLst/>
                    </a:prstGeom>
                    <a:noFill/>
                    <a:ln>
                      <a:noFill/>
                    </a:ln>
                  </pic:spPr>
                </pic:pic>
              </a:graphicData>
            </a:graphic>
          </wp:inline>
        </w:drawing>
      </w:r>
    </w:p>
    <w:p w14:paraId="0836EE26" w14:textId="77777777" w:rsidR="005F301F" w:rsidRPr="0011645D" w:rsidRDefault="00B41760" w:rsidP="00B41760">
      <w:pPr>
        <w:jc w:val="both"/>
        <w:rPr>
          <w:b/>
          <w:sz w:val="20"/>
          <w:szCs w:val="20"/>
        </w:rPr>
      </w:pPr>
      <w:r w:rsidRPr="0011645D">
        <w:rPr>
          <w:b/>
          <w:sz w:val="20"/>
          <w:szCs w:val="20"/>
        </w:rPr>
        <w:t>Figure 2: Comparison of proportions of patients in different medication dosage groups (None, Low dose and High dose) between the first and last visit</w:t>
      </w:r>
    </w:p>
    <w:p w14:paraId="0292F2A3" w14:textId="54B03D92" w:rsidR="00B41760" w:rsidRPr="0011645D" w:rsidRDefault="005F301F" w:rsidP="00B41760">
      <w:pPr>
        <w:jc w:val="both"/>
        <w:rPr>
          <w:b/>
          <w:sz w:val="20"/>
          <w:szCs w:val="20"/>
        </w:rPr>
      </w:pPr>
      <w:r w:rsidRPr="0011645D">
        <w:rPr>
          <w:noProof/>
          <w:lang w:eastAsia="en-GB"/>
        </w:rPr>
        <w:drawing>
          <wp:inline distT="0" distB="0" distL="0" distR="0" wp14:anchorId="18F7F25C" wp14:editId="491F669C">
            <wp:extent cx="5731510" cy="33077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307715"/>
                    </a:xfrm>
                    <a:prstGeom prst="rect">
                      <a:avLst/>
                    </a:prstGeom>
                    <a:noFill/>
                    <a:ln>
                      <a:noFill/>
                    </a:ln>
                  </pic:spPr>
                </pic:pic>
              </a:graphicData>
            </a:graphic>
          </wp:inline>
        </w:drawing>
      </w:r>
    </w:p>
    <w:p w14:paraId="0A541B24" w14:textId="33E99CE8" w:rsidR="00B41760" w:rsidRPr="0011645D" w:rsidRDefault="00B41760" w:rsidP="00B41760">
      <w:pPr>
        <w:jc w:val="both"/>
        <w:rPr>
          <w:b/>
          <w:sz w:val="20"/>
          <w:szCs w:val="20"/>
        </w:rPr>
      </w:pPr>
    </w:p>
    <w:p w14:paraId="541AD8E0" w14:textId="0D7C524D" w:rsidR="00B41760" w:rsidRPr="0011645D" w:rsidRDefault="00E64D70" w:rsidP="00E64D70">
      <w:pPr>
        <w:pStyle w:val="Heading1"/>
        <w:jc w:val="both"/>
        <w:rPr>
          <w:color w:val="auto"/>
          <w:sz w:val="20"/>
          <w:szCs w:val="20"/>
        </w:rPr>
      </w:pPr>
      <w:r w:rsidRPr="0011645D">
        <w:rPr>
          <w:b/>
          <w:color w:val="auto"/>
          <w:sz w:val="20"/>
          <w:szCs w:val="20"/>
        </w:rPr>
        <w:t>Abbreviations</w:t>
      </w:r>
    </w:p>
    <w:p w14:paraId="59C0B9FB" w14:textId="2E3CBC6F" w:rsidR="008F5CF8" w:rsidRPr="0011645D" w:rsidRDefault="00E64D70" w:rsidP="00FB4C14">
      <w:pPr>
        <w:jc w:val="both"/>
        <w:rPr>
          <w:sz w:val="20"/>
          <w:szCs w:val="20"/>
        </w:rPr>
      </w:pPr>
      <w:proofErr w:type="spellStart"/>
      <w:r w:rsidRPr="0011645D">
        <w:rPr>
          <w:b/>
          <w:sz w:val="20"/>
          <w:szCs w:val="20"/>
        </w:rPr>
        <w:t>ACEi</w:t>
      </w:r>
      <w:proofErr w:type="spellEnd"/>
      <w:r w:rsidRPr="0011645D">
        <w:rPr>
          <w:bCs/>
          <w:sz w:val="20"/>
          <w:szCs w:val="20"/>
        </w:rPr>
        <w:t xml:space="preserve">, angiotensin-converting enzyme inhibitor; </w:t>
      </w:r>
      <w:r w:rsidRPr="0011645D">
        <w:rPr>
          <w:b/>
          <w:sz w:val="20"/>
          <w:szCs w:val="20"/>
        </w:rPr>
        <w:t>ARB</w:t>
      </w:r>
      <w:r w:rsidRPr="0011645D">
        <w:rPr>
          <w:bCs/>
          <w:sz w:val="20"/>
          <w:szCs w:val="20"/>
        </w:rPr>
        <w:t xml:space="preserve">, angiotensin-receptor blocker; </w:t>
      </w:r>
      <w:r w:rsidRPr="0011645D">
        <w:rPr>
          <w:b/>
          <w:sz w:val="20"/>
          <w:szCs w:val="20"/>
        </w:rPr>
        <w:t>CI</w:t>
      </w:r>
      <w:r w:rsidRPr="0011645D">
        <w:rPr>
          <w:bCs/>
          <w:sz w:val="20"/>
          <w:szCs w:val="20"/>
        </w:rPr>
        <w:t xml:space="preserve">, confidence interval; </w:t>
      </w:r>
      <w:r w:rsidRPr="0011645D">
        <w:rPr>
          <w:b/>
          <w:sz w:val="20"/>
          <w:szCs w:val="20"/>
        </w:rPr>
        <w:t>CKD</w:t>
      </w:r>
      <w:r w:rsidRPr="0011645D">
        <w:rPr>
          <w:bCs/>
          <w:sz w:val="20"/>
          <w:szCs w:val="20"/>
        </w:rPr>
        <w:t>, chronic kidney disease;</w:t>
      </w:r>
      <w:r w:rsidRPr="0011645D">
        <w:rPr>
          <w:sz w:val="20"/>
          <w:szCs w:val="20"/>
        </w:rPr>
        <w:t xml:space="preserve"> </w:t>
      </w:r>
      <w:r w:rsidR="008F5CF8" w:rsidRPr="0011645D">
        <w:rPr>
          <w:b/>
          <w:sz w:val="20"/>
          <w:szCs w:val="20"/>
        </w:rPr>
        <w:t>EF</w:t>
      </w:r>
      <w:r w:rsidR="008F5CF8" w:rsidRPr="0011645D">
        <w:rPr>
          <w:bCs/>
          <w:sz w:val="20"/>
          <w:szCs w:val="20"/>
        </w:rPr>
        <w:t xml:space="preserve">, ejection fraction; </w:t>
      </w:r>
      <w:r w:rsidR="008F5CF8" w:rsidRPr="0011645D">
        <w:rPr>
          <w:b/>
          <w:sz w:val="20"/>
          <w:szCs w:val="20"/>
        </w:rPr>
        <w:t>eGFR</w:t>
      </w:r>
      <w:r w:rsidR="008F5CF8" w:rsidRPr="0011645D">
        <w:rPr>
          <w:bCs/>
          <w:sz w:val="20"/>
          <w:szCs w:val="20"/>
        </w:rPr>
        <w:t>, estimated glomerular filtration rate;</w:t>
      </w:r>
      <w:r w:rsidR="00FB4C14" w:rsidRPr="0011645D">
        <w:rPr>
          <w:bCs/>
          <w:sz w:val="20"/>
          <w:szCs w:val="20"/>
        </w:rPr>
        <w:t xml:space="preserve"> </w:t>
      </w:r>
      <w:r w:rsidR="00FB4C14" w:rsidRPr="0011645D">
        <w:rPr>
          <w:b/>
          <w:sz w:val="20"/>
          <w:szCs w:val="20"/>
        </w:rPr>
        <w:t>Hb</w:t>
      </w:r>
      <w:r w:rsidR="00FB4C14" w:rsidRPr="0011645D">
        <w:rPr>
          <w:bCs/>
          <w:sz w:val="20"/>
          <w:szCs w:val="20"/>
        </w:rPr>
        <w:t>, serum haemoglobin level;</w:t>
      </w:r>
      <w:r w:rsidR="008F5CF8" w:rsidRPr="0011645D">
        <w:rPr>
          <w:bCs/>
          <w:sz w:val="20"/>
          <w:szCs w:val="20"/>
        </w:rPr>
        <w:t xml:space="preserve"> </w:t>
      </w:r>
      <w:proofErr w:type="spellStart"/>
      <w:r w:rsidR="008F5CF8" w:rsidRPr="0011645D">
        <w:rPr>
          <w:b/>
          <w:sz w:val="20"/>
          <w:szCs w:val="20"/>
        </w:rPr>
        <w:t>HFmEF</w:t>
      </w:r>
      <w:proofErr w:type="spellEnd"/>
      <w:r w:rsidR="008F5CF8" w:rsidRPr="0011645D">
        <w:rPr>
          <w:bCs/>
          <w:sz w:val="20"/>
          <w:szCs w:val="20"/>
        </w:rPr>
        <w:t xml:space="preserve">, heart failure with mid-range ejection fraction; </w:t>
      </w:r>
      <w:proofErr w:type="spellStart"/>
      <w:r w:rsidR="008F5CF8" w:rsidRPr="0011645D">
        <w:rPr>
          <w:b/>
          <w:sz w:val="20"/>
          <w:szCs w:val="20"/>
        </w:rPr>
        <w:t>HFpEF</w:t>
      </w:r>
      <w:proofErr w:type="spellEnd"/>
      <w:r w:rsidR="008F5CF8" w:rsidRPr="0011645D">
        <w:rPr>
          <w:bCs/>
          <w:sz w:val="20"/>
          <w:szCs w:val="20"/>
        </w:rPr>
        <w:t xml:space="preserve">, heart failure with preserved ejection fraction; </w:t>
      </w:r>
      <w:proofErr w:type="spellStart"/>
      <w:r w:rsidR="008F5CF8" w:rsidRPr="0011645D">
        <w:rPr>
          <w:b/>
          <w:sz w:val="20"/>
          <w:szCs w:val="20"/>
        </w:rPr>
        <w:t>HFrEF</w:t>
      </w:r>
      <w:proofErr w:type="spellEnd"/>
      <w:r w:rsidR="008F5CF8" w:rsidRPr="0011645D">
        <w:rPr>
          <w:bCs/>
          <w:sz w:val="20"/>
          <w:szCs w:val="20"/>
        </w:rPr>
        <w:t xml:space="preserve">, heart failure with reduced ejection fraction; </w:t>
      </w:r>
      <w:r w:rsidR="008F5CF8" w:rsidRPr="0011645D">
        <w:rPr>
          <w:b/>
          <w:sz w:val="20"/>
          <w:szCs w:val="20"/>
        </w:rPr>
        <w:t>K</w:t>
      </w:r>
      <w:r w:rsidR="008F5CF8" w:rsidRPr="0011645D">
        <w:rPr>
          <w:bCs/>
          <w:sz w:val="20"/>
          <w:szCs w:val="20"/>
        </w:rPr>
        <w:t>, serum potassium level</w:t>
      </w:r>
      <w:r w:rsidRPr="0011645D">
        <w:rPr>
          <w:bCs/>
          <w:sz w:val="20"/>
          <w:szCs w:val="20"/>
        </w:rPr>
        <w:t xml:space="preserve">; </w:t>
      </w:r>
      <w:r w:rsidRPr="0011645D">
        <w:rPr>
          <w:b/>
          <w:sz w:val="20"/>
          <w:szCs w:val="20"/>
        </w:rPr>
        <w:t>MRA</w:t>
      </w:r>
      <w:r w:rsidRPr="0011645D">
        <w:rPr>
          <w:bCs/>
          <w:sz w:val="20"/>
          <w:szCs w:val="20"/>
        </w:rPr>
        <w:t xml:space="preserve">, </w:t>
      </w:r>
      <w:proofErr w:type="spellStart"/>
      <w:r w:rsidRPr="0011645D">
        <w:rPr>
          <w:bCs/>
          <w:sz w:val="20"/>
          <w:szCs w:val="20"/>
        </w:rPr>
        <w:t>mineralo</w:t>
      </w:r>
      <w:proofErr w:type="spellEnd"/>
      <w:r w:rsidRPr="0011645D">
        <w:rPr>
          <w:bCs/>
          <w:sz w:val="20"/>
          <w:szCs w:val="20"/>
        </w:rPr>
        <w:t>-corticoid antagonist</w:t>
      </w:r>
      <w:r w:rsidR="008F5CF8" w:rsidRPr="0011645D">
        <w:rPr>
          <w:bCs/>
          <w:sz w:val="20"/>
          <w:szCs w:val="20"/>
        </w:rPr>
        <w:t xml:space="preserve">; </w:t>
      </w:r>
      <w:r w:rsidR="008F5CF8" w:rsidRPr="0011645D">
        <w:rPr>
          <w:b/>
          <w:sz w:val="20"/>
          <w:szCs w:val="20"/>
        </w:rPr>
        <w:t>Na</w:t>
      </w:r>
      <w:r w:rsidR="008F5CF8" w:rsidRPr="0011645D">
        <w:rPr>
          <w:bCs/>
          <w:sz w:val="20"/>
          <w:szCs w:val="20"/>
        </w:rPr>
        <w:t>, serum sodium level</w:t>
      </w:r>
      <w:r w:rsidRPr="0011645D">
        <w:rPr>
          <w:sz w:val="20"/>
          <w:szCs w:val="20"/>
        </w:rPr>
        <w:t>;</w:t>
      </w:r>
      <w:r w:rsidR="008F5CF8" w:rsidRPr="0011645D">
        <w:rPr>
          <w:bCs/>
          <w:sz w:val="20"/>
          <w:szCs w:val="20"/>
        </w:rPr>
        <w:t xml:space="preserve"> </w:t>
      </w:r>
      <w:r w:rsidR="008F5CF8" w:rsidRPr="0011645D">
        <w:rPr>
          <w:b/>
          <w:sz w:val="20"/>
          <w:szCs w:val="20"/>
        </w:rPr>
        <w:t>OR</w:t>
      </w:r>
      <w:r w:rsidRPr="0011645D">
        <w:rPr>
          <w:bCs/>
          <w:sz w:val="20"/>
          <w:szCs w:val="20"/>
        </w:rPr>
        <w:t>,</w:t>
      </w:r>
      <w:r w:rsidR="008F5CF8" w:rsidRPr="0011645D">
        <w:rPr>
          <w:bCs/>
          <w:sz w:val="20"/>
          <w:szCs w:val="20"/>
        </w:rPr>
        <w:t xml:space="preserve"> odds ratio</w:t>
      </w:r>
    </w:p>
    <w:sectPr w:rsidR="008F5CF8" w:rsidRPr="001164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12E8" w14:textId="77777777" w:rsidR="001B200D" w:rsidRDefault="001B200D" w:rsidP="001B200D">
      <w:pPr>
        <w:spacing w:after="0" w:line="240" w:lineRule="auto"/>
      </w:pPr>
      <w:r>
        <w:separator/>
      </w:r>
    </w:p>
  </w:endnote>
  <w:endnote w:type="continuationSeparator" w:id="0">
    <w:p w14:paraId="577AA162" w14:textId="77777777" w:rsidR="001B200D" w:rsidRDefault="001B200D" w:rsidP="001B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983469"/>
      <w:docPartObj>
        <w:docPartGallery w:val="Page Numbers (Bottom of Page)"/>
        <w:docPartUnique/>
      </w:docPartObj>
    </w:sdtPr>
    <w:sdtEndPr>
      <w:rPr>
        <w:noProof/>
      </w:rPr>
    </w:sdtEndPr>
    <w:sdtContent>
      <w:p w14:paraId="11DDFCF8" w14:textId="149DBFE0" w:rsidR="001B200D" w:rsidRDefault="001B200D">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D3BEDF7" w14:textId="77777777" w:rsidR="001B200D" w:rsidRDefault="001B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1C84" w14:textId="77777777" w:rsidR="001B200D" w:rsidRDefault="001B200D" w:rsidP="001B200D">
      <w:pPr>
        <w:spacing w:after="0" w:line="240" w:lineRule="auto"/>
      </w:pPr>
      <w:r>
        <w:separator/>
      </w:r>
    </w:p>
  </w:footnote>
  <w:footnote w:type="continuationSeparator" w:id="0">
    <w:p w14:paraId="06260116" w14:textId="77777777" w:rsidR="001B200D" w:rsidRDefault="001B200D" w:rsidP="001B2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DA5"/>
    <w:multiLevelType w:val="hybridMultilevel"/>
    <w:tmpl w:val="84C29B82"/>
    <w:lvl w:ilvl="0" w:tplc="681A41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F82135"/>
    <w:multiLevelType w:val="hybridMultilevel"/>
    <w:tmpl w:val="72EAF4E0"/>
    <w:lvl w:ilvl="0" w:tplc="681A41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957F85"/>
    <w:multiLevelType w:val="hybridMultilevel"/>
    <w:tmpl w:val="6F685252"/>
    <w:lvl w:ilvl="0" w:tplc="681A41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E7714A"/>
    <w:multiLevelType w:val="hybridMultilevel"/>
    <w:tmpl w:val="EF56496A"/>
    <w:lvl w:ilvl="0" w:tplc="681A41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952F3C"/>
    <w:multiLevelType w:val="hybridMultilevel"/>
    <w:tmpl w:val="4B52FBCC"/>
    <w:lvl w:ilvl="0" w:tplc="681A41D0">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60"/>
    <w:rsid w:val="00067FE3"/>
    <w:rsid w:val="00083A97"/>
    <w:rsid w:val="0011645D"/>
    <w:rsid w:val="0015552C"/>
    <w:rsid w:val="001B200D"/>
    <w:rsid w:val="002175B7"/>
    <w:rsid w:val="00273E80"/>
    <w:rsid w:val="00276671"/>
    <w:rsid w:val="002D0C12"/>
    <w:rsid w:val="00314DAD"/>
    <w:rsid w:val="00323738"/>
    <w:rsid w:val="00377AE0"/>
    <w:rsid w:val="003C4065"/>
    <w:rsid w:val="00401ED4"/>
    <w:rsid w:val="004E042B"/>
    <w:rsid w:val="004E6C2C"/>
    <w:rsid w:val="004F472F"/>
    <w:rsid w:val="004F7AEA"/>
    <w:rsid w:val="00541AAF"/>
    <w:rsid w:val="00566BFA"/>
    <w:rsid w:val="005824C0"/>
    <w:rsid w:val="005954AC"/>
    <w:rsid w:val="005B48FE"/>
    <w:rsid w:val="005F301F"/>
    <w:rsid w:val="0060058B"/>
    <w:rsid w:val="006D65F4"/>
    <w:rsid w:val="006E280D"/>
    <w:rsid w:val="006E3757"/>
    <w:rsid w:val="007116F1"/>
    <w:rsid w:val="00726413"/>
    <w:rsid w:val="00765DA0"/>
    <w:rsid w:val="007A2666"/>
    <w:rsid w:val="007C398A"/>
    <w:rsid w:val="007C4122"/>
    <w:rsid w:val="007E26F8"/>
    <w:rsid w:val="007F6C74"/>
    <w:rsid w:val="00832034"/>
    <w:rsid w:val="008F2D3A"/>
    <w:rsid w:val="008F5CF8"/>
    <w:rsid w:val="00923015"/>
    <w:rsid w:val="009500C0"/>
    <w:rsid w:val="00965191"/>
    <w:rsid w:val="00A85FC4"/>
    <w:rsid w:val="00AC2B41"/>
    <w:rsid w:val="00AF6E49"/>
    <w:rsid w:val="00B41760"/>
    <w:rsid w:val="00B432B8"/>
    <w:rsid w:val="00B52888"/>
    <w:rsid w:val="00B83BAB"/>
    <w:rsid w:val="00C25E10"/>
    <w:rsid w:val="00C45D61"/>
    <w:rsid w:val="00C61797"/>
    <w:rsid w:val="00C82983"/>
    <w:rsid w:val="00CB2455"/>
    <w:rsid w:val="00CB7EC4"/>
    <w:rsid w:val="00D63B85"/>
    <w:rsid w:val="00DA0EE5"/>
    <w:rsid w:val="00DB3AF4"/>
    <w:rsid w:val="00E05F86"/>
    <w:rsid w:val="00E11C5E"/>
    <w:rsid w:val="00E64D70"/>
    <w:rsid w:val="00E66442"/>
    <w:rsid w:val="00E92D97"/>
    <w:rsid w:val="00EC0B30"/>
    <w:rsid w:val="00EC7DC0"/>
    <w:rsid w:val="00F626B9"/>
    <w:rsid w:val="00FB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C237"/>
  <w15:docId w15:val="{33E280B0-0C14-4EAB-96D9-226B1A04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76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1760"/>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7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176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B41760"/>
    <w:rPr>
      <w:color w:val="0563C1" w:themeColor="hyperlink"/>
      <w:u w:val="single"/>
    </w:rPr>
  </w:style>
  <w:style w:type="paragraph" w:styleId="ListParagraph">
    <w:name w:val="List Paragraph"/>
    <w:basedOn w:val="Normal"/>
    <w:uiPriority w:val="34"/>
    <w:qFormat/>
    <w:rsid w:val="00B41760"/>
    <w:pPr>
      <w:spacing w:line="254" w:lineRule="auto"/>
      <w:ind w:left="720"/>
      <w:contextualSpacing/>
    </w:pPr>
  </w:style>
  <w:style w:type="table" w:styleId="TableGrid">
    <w:name w:val="Table Grid"/>
    <w:basedOn w:val="TableNormal"/>
    <w:uiPriority w:val="39"/>
    <w:rsid w:val="00B4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417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6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97"/>
    <w:rPr>
      <w:rFonts w:ascii="Tahoma" w:hAnsi="Tahoma" w:cs="Tahoma"/>
      <w:sz w:val="16"/>
      <w:szCs w:val="16"/>
    </w:rPr>
  </w:style>
  <w:style w:type="paragraph" w:styleId="Header">
    <w:name w:val="header"/>
    <w:basedOn w:val="Normal"/>
    <w:link w:val="HeaderChar"/>
    <w:uiPriority w:val="99"/>
    <w:unhideWhenUsed/>
    <w:rsid w:val="001B2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00D"/>
  </w:style>
  <w:style w:type="paragraph" w:styleId="Footer">
    <w:name w:val="footer"/>
    <w:basedOn w:val="Normal"/>
    <w:link w:val="FooterChar"/>
    <w:uiPriority w:val="99"/>
    <w:unhideWhenUsed/>
    <w:rsid w:val="001B2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sish.Banerjee@stgeorges.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FEC8BFB-F819-43C2-9301-BA2BD8B3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14964</Words>
  <Characters>85296</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P Nguyen</dc:creator>
  <cp:lastModifiedBy>Irina Chis Ster</cp:lastModifiedBy>
  <cp:revision>2</cp:revision>
  <dcterms:created xsi:type="dcterms:W3CDTF">2020-05-15T15:30:00Z</dcterms:created>
  <dcterms:modified xsi:type="dcterms:W3CDTF">2020-05-15T15:30:00Z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143d514c-2346-3b3e-8070-a58bfbeec486</vt:lpwstr>
  </property>
  <property fmtid="{D5CDD505-2E9C-101B-9397-08002B2CF9AE}" pid="24" name="Mendeley Citation Style_1">
    <vt:lpwstr>http://www.zotero.org/styles/nature</vt:lpwstr>
  </property>
</Properties>
</file>