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68EA2" w14:textId="77777777" w:rsidR="00AD4742" w:rsidRDefault="00AD4742" w:rsidP="00AD4742">
      <w:pPr>
        <w:pStyle w:val="Caption"/>
        <w:keepNext/>
        <w:rPr>
          <w:lang w:val="en-US"/>
        </w:rPr>
      </w:pPr>
      <w:bookmarkStart w:id="0" w:name="_Hlk11675100"/>
      <w:bookmarkStart w:id="1" w:name="_Hlk11674961"/>
      <w:r>
        <w:rPr>
          <w:lang w:val="en-US"/>
        </w:rPr>
        <w:t xml:space="preserve">Table </w:t>
      </w:r>
      <w:r>
        <w:fldChar w:fldCharType="begin"/>
      </w:r>
      <w:r>
        <w:rPr>
          <w:noProof/>
          <w:lang w:val="en-US"/>
        </w:rPr>
        <w:instrText xml:space="preserve"> SEQ Table \* ARABIC </w:instrText>
      </w:r>
      <w:r>
        <w:fldChar w:fldCharType="separate"/>
      </w:r>
      <w:r>
        <w:rPr>
          <w:noProof/>
          <w:lang w:val="en-US"/>
        </w:rPr>
        <w:t>1</w:t>
      </w:r>
      <w:r>
        <w:fldChar w:fldCharType="end"/>
      </w:r>
      <w:r>
        <w:rPr>
          <w:lang w:val="en-US"/>
        </w:rPr>
        <w:t>:  Characteristics of infants at moment of ARTI episode.(Online only)</w:t>
      </w:r>
    </w:p>
    <w:tbl>
      <w:tblPr>
        <w:tblStyle w:val="TableGrid"/>
        <w:tblW w:w="9214" w:type="dxa"/>
        <w:tblInd w:w="-5" w:type="dxa"/>
        <w:tblLook w:val="04A0" w:firstRow="1" w:lastRow="0" w:firstColumn="1" w:lastColumn="0" w:noHBand="0" w:noVBand="1"/>
      </w:tblPr>
      <w:tblGrid>
        <w:gridCol w:w="2268"/>
        <w:gridCol w:w="1985"/>
        <w:gridCol w:w="1701"/>
        <w:gridCol w:w="1559"/>
        <w:gridCol w:w="1701"/>
      </w:tblGrid>
      <w:tr w:rsidR="00AD4742" w14:paraId="7BBD05EF" w14:textId="77777777" w:rsidTr="00AD4742">
        <w:trPr>
          <w:trHeight w:val="389"/>
        </w:trPr>
        <w:tc>
          <w:tcPr>
            <w:tcW w:w="2268" w:type="dxa"/>
            <w:tcBorders>
              <w:top w:val="single" w:sz="4" w:space="0" w:color="auto"/>
              <w:left w:val="single" w:sz="4" w:space="0" w:color="auto"/>
              <w:bottom w:val="single" w:sz="4" w:space="0" w:color="auto"/>
              <w:right w:val="single" w:sz="4" w:space="0" w:color="auto"/>
            </w:tcBorders>
            <w:hideMark/>
          </w:tcPr>
          <w:p w14:paraId="7A8ABD22" w14:textId="77777777" w:rsidR="00AD4742" w:rsidRDefault="00AD4742">
            <w:pPr>
              <w:rPr>
                <w:rFonts w:cs="Arial"/>
                <w:sz w:val="18"/>
                <w:szCs w:val="18"/>
                <w:vertAlign w:val="superscript"/>
                <w:lang w:val="en-US"/>
              </w:rPr>
            </w:pPr>
            <w:r>
              <w:rPr>
                <w:rFonts w:cs="Arial"/>
                <w:sz w:val="18"/>
                <w:szCs w:val="18"/>
                <w:lang w:val="en-US"/>
              </w:rPr>
              <w:t xml:space="preserve">Reference </w:t>
            </w:r>
            <w:proofErr w:type="spellStart"/>
            <w:r>
              <w:rPr>
                <w:rFonts w:cs="Arial"/>
                <w:sz w:val="18"/>
                <w:szCs w:val="18"/>
                <w:lang w:val="en-US"/>
              </w:rPr>
              <w:t>test</w:t>
            </w:r>
            <w:r>
              <w:rPr>
                <w:rFonts w:cs="Arial"/>
                <w:sz w:val="18"/>
                <w:szCs w:val="18"/>
                <w:vertAlign w:val="superscript"/>
                <w:lang w:val="en-US"/>
              </w:rPr>
              <w:t>a</w:t>
            </w:r>
            <w:proofErr w:type="spellEnd"/>
          </w:p>
        </w:tc>
        <w:tc>
          <w:tcPr>
            <w:tcW w:w="1985" w:type="dxa"/>
            <w:tcBorders>
              <w:top w:val="single" w:sz="4" w:space="0" w:color="auto"/>
              <w:left w:val="single" w:sz="4" w:space="0" w:color="auto"/>
              <w:bottom w:val="single" w:sz="4" w:space="0" w:color="auto"/>
              <w:right w:val="single" w:sz="4" w:space="0" w:color="auto"/>
            </w:tcBorders>
          </w:tcPr>
          <w:p w14:paraId="3786AADA" w14:textId="77777777" w:rsidR="00AD4742" w:rsidRDefault="00AD4742">
            <w:pPr>
              <w:tabs>
                <w:tab w:val="left" w:pos="810"/>
              </w:tabs>
              <w:rPr>
                <w:rFonts w:cs="Arial"/>
                <w:sz w:val="18"/>
                <w:szCs w:val="18"/>
                <w:lang w:val="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44553D72" w14:textId="77777777" w:rsidR="00AD4742" w:rsidRDefault="00AD4742">
            <w:pPr>
              <w:jc w:val="center"/>
              <w:rPr>
                <w:rFonts w:cs="Arial"/>
                <w:sz w:val="18"/>
                <w:szCs w:val="18"/>
                <w:lang w:val="en-US"/>
              </w:rPr>
            </w:pPr>
            <w:r>
              <w:rPr>
                <w:rFonts w:cs="Arial"/>
                <w:sz w:val="18"/>
                <w:szCs w:val="18"/>
                <w:lang w:val="en-US"/>
              </w:rPr>
              <w:t>RSV positive</w:t>
            </w:r>
          </w:p>
        </w:tc>
        <w:tc>
          <w:tcPr>
            <w:tcW w:w="1701" w:type="dxa"/>
            <w:tcBorders>
              <w:top w:val="single" w:sz="4" w:space="0" w:color="auto"/>
              <w:left w:val="single" w:sz="4" w:space="0" w:color="auto"/>
              <w:bottom w:val="single" w:sz="4" w:space="0" w:color="auto"/>
              <w:right w:val="single" w:sz="4" w:space="0" w:color="auto"/>
            </w:tcBorders>
            <w:hideMark/>
          </w:tcPr>
          <w:p w14:paraId="1523067F" w14:textId="77777777" w:rsidR="00AD4742" w:rsidRDefault="00AD4742">
            <w:pPr>
              <w:rPr>
                <w:rFonts w:cs="Arial"/>
                <w:sz w:val="18"/>
                <w:szCs w:val="18"/>
                <w:lang w:val="en-US"/>
              </w:rPr>
            </w:pPr>
            <w:r>
              <w:rPr>
                <w:rFonts w:cs="Arial"/>
                <w:sz w:val="18"/>
                <w:szCs w:val="18"/>
                <w:lang w:val="en-US"/>
              </w:rPr>
              <w:t>RSV negative</w:t>
            </w:r>
          </w:p>
        </w:tc>
        <w:bookmarkEnd w:id="0"/>
      </w:tr>
      <w:tr w:rsidR="00AD4742" w14:paraId="154612F7" w14:textId="77777777" w:rsidTr="00AD4742">
        <w:trPr>
          <w:trHeight w:val="1602"/>
        </w:trPr>
        <w:tc>
          <w:tcPr>
            <w:tcW w:w="2268" w:type="dxa"/>
            <w:tcBorders>
              <w:top w:val="single" w:sz="4" w:space="0" w:color="auto"/>
              <w:left w:val="single" w:sz="4" w:space="0" w:color="auto"/>
              <w:bottom w:val="single" w:sz="4" w:space="0" w:color="auto"/>
              <w:right w:val="single" w:sz="4" w:space="0" w:color="auto"/>
            </w:tcBorders>
          </w:tcPr>
          <w:p w14:paraId="1D998CD3" w14:textId="77777777" w:rsidR="00AD4742" w:rsidRDefault="00AD4742">
            <w:pPr>
              <w:rPr>
                <w:rFonts w:cs="Arial"/>
                <w:sz w:val="18"/>
                <w:szCs w:val="18"/>
                <w:lang w:val="en-US"/>
              </w:rPr>
            </w:pPr>
          </w:p>
        </w:tc>
        <w:tc>
          <w:tcPr>
            <w:tcW w:w="1985" w:type="dxa"/>
            <w:tcBorders>
              <w:top w:val="single" w:sz="4" w:space="0" w:color="auto"/>
              <w:left w:val="single" w:sz="4" w:space="0" w:color="auto"/>
              <w:bottom w:val="single" w:sz="4" w:space="0" w:color="auto"/>
              <w:right w:val="single" w:sz="4" w:space="0" w:color="auto"/>
            </w:tcBorders>
            <w:hideMark/>
          </w:tcPr>
          <w:p w14:paraId="26BC3CD1" w14:textId="77777777" w:rsidR="00AD4742" w:rsidRDefault="00AD4742">
            <w:pPr>
              <w:jc w:val="left"/>
              <w:rPr>
                <w:rFonts w:cs="Arial"/>
                <w:sz w:val="18"/>
                <w:szCs w:val="18"/>
                <w:lang w:val="en-US"/>
              </w:rPr>
            </w:pPr>
            <w:r>
              <w:rPr>
                <w:rFonts w:cs="Arial"/>
                <w:sz w:val="18"/>
                <w:szCs w:val="18"/>
                <w:lang w:val="en-US"/>
              </w:rPr>
              <w:t>Total ARTI episodes</w:t>
            </w:r>
          </w:p>
          <w:p w14:paraId="1E75E051" w14:textId="77777777" w:rsidR="00AD4742" w:rsidRDefault="00AD4742">
            <w:pPr>
              <w:jc w:val="left"/>
              <w:rPr>
                <w:rFonts w:cs="Arial"/>
                <w:sz w:val="18"/>
                <w:szCs w:val="18"/>
                <w:lang w:val="en-US"/>
              </w:rPr>
            </w:pPr>
            <w:r>
              <w:rPr>
                <w:rFonts w:cs="Arial"/>
                <w:sz w:val="18"/>
                <w:szCs w:val="18"/>
                <w:lang w:val="en-US"/>
              </w:rPr>
              <w:t>n=162</w:t>
            </w:r>
          </w:p>
        </w:tc>
        <w:tc>
          <w:tcPr>
            <w:tcW w:w="1701" w:type="dxa"/>
            <w:tcBorders>
              <w:top w:val="single" w:sz="4" w:space="0" w:color="auto"/>
              <w:left w:val="single" w:sz="4" w:space="0" w:color="auto"/>
              <w:bottom w:val="single" w:sz="4" w:space="0" w:color="auto"/>
              <w:right w:val="single" w:sz="4" w:space="0" w:color="auto"/>
            </w:tcBorders>
            <w:hideMark/>
          </w:tcPr>
          <w:p w14:paraId="2B2B345B" w14:textId="77777777" w:rsidR="00AD4742" w:rsidRDefault="00AD4742">
            <w:pPr>
              <w:jc w:val="left"/>
              <w:rPr>
                <w:rFonts w:cs="Arial"/>
                <w:sz w:val="18"/>
                <w:szCs w:val="18"/>
                <w:lang w:val="en-US"/>
              </w:rPr>
            </w:pPr>
            <w:r>
              <w:rPr>
                <w:rFonts w:cs="Arial"/>
                <w:sz w:val="18"/>
                <w:szCs w:val="18"/>
                <w:lang w:val="en-US"/>
              </w:rPr>
              <w:t>BinaxNOW</w:t>
            </w:r>
            <w:r>
              <w:rPr>
                <w:rFonts w:cs="Arial"/>
                <w:szCs w:val="20"/>
                <w:lang w:val="en-GB"/>
              </w:rPr>
              <w:t>®</w:t>
            </w:r>
            <w:r>
              <w:rPr>
                <w:rFonts w:cs="Arial"/>
                <w:sz w:val="18"/>
                <w:szCs w:val="18"/>
                <w:lang w:val="en-US"/>
              </w:rPr>
              <w:t xml:space="preserve"> positive</w:t>
            </w:r>
          </w:p>
          <w:p w14:paraId="338451FD" w14:textId="77777777" w:rsidR="00AD4742" w:rsidRDefault="00AD4742">
            <w:pPr>
              <w:jc w:val="left"/>
              <w:rPr>
                <w:rFonts w:cs="Arial"/>
                <w:sz w:val="18"/>
                <w:szCs w:val="18"/>
                <w:lang w:val="en-US"/>
              </w:rPr>
            </w:pPr>
            <w:r>
              <w:rPr>
                <w:rFonts w:cs="Arial"/>
                <w:sz w:val="18"/>
                <w:szCs w:val="18"/>
                <w:lang w:val="en-US"/>
              </w:rPr>
              <w:t>(TP)</w:t>
            </w:r>
          </w:p>
          <w:p w14:paraId="764A22F6" w14:textId="77777777" w:rsidR="00AD4742" w:rsidRDefault="00AD4742">
            <w:pPr>
              <w:jc w:val="left"/>
              <w:rPr>
                <w:rFonts w:cs="Arial"/>
                <w:sz w:val="18"/>
                <w:szCs w:val="18"/>
                <w:lang w:val="en-US"/>
              </w:rPr>
            </w:pPr>
            <w:r>
              <w:rPr>
                <w:rFonts w:cs="Arial"/>
                <w:sz w:val="18"/>
                <w:szCs w:val="18"/>
                <w:lang w:val="en-US"/>
              </w:rPr>
              <w:t>n=5</w:t>
            </w:r>
          </w:p>
        </w:tc>
        <w:tc>
          <w:tcPr>
            <w:tcW w:w="1559" w:type="dxa"/>
            <w:tcBorders>
              <w:top w:val="single" w:sz="4" w:space="0" w:color="auto"/>
              <w:left w:val="single" w:sz="4" w:space="0" w:color="auto"/>
              <w:bottom w:val="single" w:sz="4" w:space="0" w:color="auto"/>
              <w:right w:val="single" w:sz="4" w:space="0" w:color="auto"/>
            </w:tcBorders>
            <w:hideMark/>
          </w:tcPr>
          <w:p w14:paraId="152C1F39" w14:textId="77777777" w:rsidR="00AD4742" w:rsidRDefault="00AD4742">
            <w:pPr>
              <w:rPr>
                <w:rFonts w:cs="Arial"/>
                <w:sz w:val="18"/>
                <w:szCs w:val="18"/>
                <w:lang w:val="en-US"/>
              </w:rPr>
            </w:pPr>
            <w:r>
              <w:rPr>
                <w:rFonts w:cs="Arial"/>
                <w:sz w:val="18"/>
                <w:szCs w:val="18"/>
                <w:lang w:val="en-US"/>
              </w:rPr>
              <w:t>BinaxNOW</w:t>
            </w:r>
            <w:r>
              <w:rPr>
                <w:rFonts w:cs="Arial"/>
                <w:szCs w:val="20"/>
                <w:lang w:val="en-GB"/>
              </w:rPr>
              <w:t>®</w:t>
            </w:r>
            <w:r>
              <w:rPr>
                <w:rFonts w:cs="Arial"/>
                <w:sz w:val="18"/>
                <w:szCs w:val="18"/>
                <w:lang w:val="en-US"/>
              </w:rPr>
              <w:t xml:space="preserve"> negative</w:t>
            </w:r>
          </w:p>
          <w:p w14:paraId="58B677E4" w14:textId="77777777" w:rsidR="00AD4742" w:rsidRDefault="00AD4742">
            <w:pPr>
              <w:rPr>
                <w:rFonts w:cs="Arial"/>
                <w:sz w:val="18"/>
                <w:szCs w:val="18"/>
                <w:lang w:val="en-US"/>
              </w:rPr>
            </w:pPr>
            <w:r>
              <w:rPr>
                <w:rFonts w:cs="Arial"/>
                <w:sz w:val="18"/>
                <w:szCs w:val="18"/>
                <w:lang w:val="en-US"/>
              </w:rPr>
              <w:t>(FN)</w:t>
            </w:r>
          </w:p>
          <w:p w14:paraId="6B2249C8" w14:textId="77777777" w:rsidR="00AD4742" w:rsidRDefault="00AD4742">
            <w:pPr>
              <w:rPr>
                <w:rFonts w:cs="Arial"/>
                <w:sz w:val="18"/>
                <w:szCs w:val="18"/>
                <w:lang w:val="en-US"/>
              </w:rPr>
            </w:pPr>
            <w:r>
              <w:rPr>
                <w:rFonts w:cs="Arial"/>
                <w:sz w:val="18"/>
                <w:szCs w:val="18"/>
                <w:lang w:val="en-US"/>
              </w:rPr>
              <w:t>n=61</w:t>
            </w:r>
          </w:p>
        </w:tc>
        <w:tc>
          <w:tcPr>
            <w:tcW w:w="1701" w:type="dxa"/>
            <w:tcBorders>
              <w:top w:val="single" w:sz="4" w:space="0" w:color="auto"/>
              <w:left w:val="single" w:sz="4" w:space="0" w:color="auto"/>
              <w:bottom w:val="single" w:sz="4" w:space="0" w:color="auto"/>
              <w:right w:val="single" w:sz="4" w:space="0" w:color="auto"/>
            </w:tcBorders>
            <w:hideMark/>
          </w:tcPr>
          <w:p w14:paraId="1D756356" w14:textId="77777777" w:rsidR="00AD4742" w:rsidRDefault="00AD4742">
            <w:pPr>
              <w:rPr>
                <w:rFonts w:cs="Arial"/>
                <w:szCs w:val="20"/>
                <w:lang w:val="en-GB"/>
              </w:rPr>
            </w:pPr>
            <w:r>
              <w:rPr>
                <w:rFonts w:cs="Arial"/>
                <w:sz w:val="18"/>
                <w:szCs w:val="18"/>
                <w:lang w:val="en-US"/>
              </w:rPr>
              <w:t>BinaxNOW</w:t>
            </w:r>
            <w:r>
              <w:rPr>
                <w:rFonts w:cs="Arial"/>
                <w:szCs w:val="20"/>
                <w:lang w:val="en-GB"/>
              </w:rPr>
              <w:t>®</w:t>
            </w:r>
          </w:p>
          <w:p w14:paraId="3B70A073" w14:textId="77777777" w:rsidR="00AD4742" w:rsidRDefault="00AD4742">
            <w:pPr>
              <w:rPr>
                <w:rFonts w:cs="Arial"/>
                <w:sz w:val="18"/>
                <w:szCs w:val="18"/>
                <w:lang w:val="en-US"/>
              </w:rPr>
            </w:pPr>
            <w:r>
              <w:rPr>
                <w:rFonts w:cs="Arial"/>
                <w:sz w:val="18"/>
                <w:szCs w:val="18"/>
                <w:lang w:val="en-US"/>
              </w:rPr>
              <w:t>negative</w:t>
            </w:r>
          </w:p>
          <w:p w14:paraId="6AC83D2F" w14:textId="77777777" w:rsidR="00AD4742" w:rsidRDefault="00AD4742">
            <w:pPr>
              <w:rPr>
                <w:rFonts w:cs="Arial"/>
                <w:sz w:val="18"/>
                <w:szCs w:val="18"/>
                <w:lang w:val="en-US"/>
              </w:rPr>
            </w:pPr>
            <w:r>
              <w:rPr>
                <w:rFonts w:cs="Arial"/>
                <w:sz w:val="18"/>
                <w:szCs w:val="18"/>
                <w:lang w:val="en-US"/>
              </w:rPr>
              <w:t>(TN)</w:t>
            </w:r>
          </w:p>
          <w:p w14:paraId="1EE01303" w14:textId="77777777" w:rsidR="00AD4742" w:rsidRDefault="00AD4742">
            <w:pPr>
              <w:rPr>
                <w:rFonts w:cs="Arial"/>
                <w:sz w:val="18"/>
                <w:szCs w:val="18"/>
                <w:lang w:val="en-US"/>
              </w:rPr>
            </w:pPr>
            <w:r>
              <w:rPr>
                <w:rFonts w:cs="Arial"/>
                <w:sz w:val="18"/>
                <w:szCs w:val="18"/>
                <w:lang w:val="en-US"/>
              </w:rPr>
              <w:t>n=96</w:t>
            </w:r>
          </w:p>
        </w:tc>
      </w:tr>
      <w:tr w:rsidR="00AD4742" w14:paraId="37E65B27" w14:textId="77777777" w:rsidTr="00AD4742">
        <w:trPr>
          <w:trHeight w:val="808"/>
        </w:trPr>
        <w:tc>
          <w:tcPr>
            <w:tcW w:w="2268" w:type="dxa"/>
            <w:tcBorders>
              <w:top w:val="single" w:sz="4" w:space="0" w:color="auto"/>
              <w:left w:val="single" w:sz="4" w:space="0" w:color="auto"/>
              <w:bottom w:val="single" w:sz="4" w:space="0" w:color="auto"/>
              <w:right w:val="single" w:sz="4" w:space="0" w:color="auto"/>
            </w:tcBorders>
            <w:hideMark/>
          </w:tcPr>
          <w:p w14:paraId="3C523C09" w14:textId="77777777" w:rsidR="00AD4742" w:rsidRDefault="00AD4742">
            <w:pPr>
              <w:rPr>
                <w:rFonts w:cs="Arial"/>
                <w:sz w:val="18"/>
                <w:szCs w:val="18"/>
                <w:lang w:val="en-US"/>
              </w:rPr>
            </w:pPr>
            <w:r>
              <w:rPr>
                <w:rFonts w:cs="Arial"/>
                <w:sz w:val="18"/>
                <w:szCs w:val="18"/>
                <w:lang w:val="en-US"/>
              </w:rPr>
              <w:t xml:space="preserve">Age at moment of ARTI episode, </w:t>
            </w:r>
          </w:p>
          <w:p w14:paraId="39D608DA" w14:textId="77777777" w:rsidR="00AD4742" w:rsidRDefault="00AD4742">
            <w:pPr>
              <w:rPr>
                <w:rFonts w:cs="Arial"/>
                <w:sz w:val="18"/>
                <w:szCs w:val="18"/>
                <w:lang w:val="en-US"/>
              </w:rPr>
            </w:pPr>
            <w:r>
              <w:rPr>
                <w:rFonts w:cs="Arial"/>
                <w:sz w:val="18"/>
                <w:szCs w:val="18"/>
                <w:lang w:val="en-US"/>
              </w:rPr>
              <w:t>days (median [IQR])</w:t>
            </w:r>
          </w:p>
        </w:tc>
        <w:tc>
          <w:tcPr>
            <w:tcW w:w="1985" w:type="dxa"/>
            <w:tcBorders>
              <w:top w:val="single" w:sz="4" w:space="0" w:color="auto"/>
              <w:left w:val="single" w:sz="4" w:space="0" w:color="auto"/>
              <w:bottom w:val="single" w:sz="4" w:space="0" w:color="auto"/>
              <w:right w:val="single" w:sz="4" w:space="0" w:color="auto"/>
            </w:tcBorders>
          </w:tcPr>
          <w:p w14:paraId="631E5608" w14:textId="77777777" w:rsidR="00AD4742" w:rsidRDefault="00AD4742">
            <w:pPr>
              <w:rPr>
                <w:rFonts w:cs="Arial"/>
                <w:sz w:val="18"/>
                <w:szCs w:val="18"/>
                <w:lang w:val="en-US"/>
              </w:rPr>
            </w:pPr>
          </w:p>
          <w:p w14:paraId="1DD74BA6" w14:textId="77777777" w:rsidR="00AD4742" w:rsidRDefault="00AD4742">
            <w:pPr>
              <w:rPr>
                <w:rFonts w:cs="Arial"/>
                <w:sz w:val="18"/>
                <w:szCs w:val="18"/>
                <w:lang w:val="en-US"/>
              </w:rPr>
            </w:pPr>
            <w:r>
              <w:rPr>
                <w:rFonts w:cs="Arial"/>
                <w:sz w:val="18"/>
                <w:szCs w:val="18"/>
                <w:lang w:val="en-US"/>
              </w:rPr>
              <w:t>84 [39-178]</w:t>
            </w:r>
          </w:p>
        </w:tc>
        <w:tc>
          <w:tcPr>
            <w:tcW w:w="1701" w:type="dxa"/>
            <w:tcBorders>
              <w:top w:val="single" w:sz="4" w:space="0" w:color="auto"/>
              <w:left w:val="single" w:sz="4" w:space="0" w:color="auto"/>
              <w:bottom w:val="single" w:sz="4" w:space="0" w:color="auto"/>
              <w:right w:val="single" w:sz="4" w:space="0" w:color="auto"/>
            </w:tcBorders>
          </w:tcPr>
          <w:p w14:paraId="677DD181" w14:textId="77777777" w:rsidR="00AD4742" w:rsidRDefault="00AD4742">
            <w:pPr>
              <w:rPr>
                <w:rFonts w:cs="Arial"/>
                <w:sz w:val="18"/>
                <w:szCs w:val="18"/>
                <w:lang w:val="en-US"/>
              </w:rPr>
            </w:pPr>
          </w:p>
          <w:p w14:paraId="60DB3686" w14:textId="77777777" w:rsidR="00AD4742" w:rsidRDefault="00AD4742">
            <w:pPr>
              <w:rPr>
                <w:rFonts w:cs="Arial"/>
                <w:sz w:val="18"/>
                <w:szCs w:val="18"/>
                <w:lang w:val="en-US"/>
              </w:rPr>
            </w:pPr>
            <w:r>
              <w:rPr>
                <w:rFonts w:cs="Arial"/>
                <w:sz w:val="18"/>
                <w:szCs w:val="18"/>
                <w:lang w:val="en-US"/>
              </w:rPr>
              <w:t>42 [33-203]</w:t>
            </w:r>
          </w:p>
        </w:tc>
        <w:tc>
          <w:tcPr>
            <w:tcW w:w="1559" w:type="dxa"/>
            <w:tcBorders>
              <w:top w:val="single" w:sz="4" w:space="0" w:color="auto"/>
              <w:left w:val="single" w:sz="4" w:space="0" w:color="auto"/>
              <w:bottom w:val="single" w:sz="4" w:space="0" w:color="auto"/>
              <w:right w:val="single" w:sz="4" w:space="0" w:color="auto"/>
            </w:tcBorders>
          </w:tcPr>
          <w:p w14:paraId="54C7ABC3" w14:textId="77777777" w:rsidR="00AD4742" w:rsidRDefault="00AD4742">
            <w:pPr>
              <w:rPr>
                <w:rFonts w:cs="Arial"/>
                <w:sz w:val="18"/>
                <w:szCs w:val="18"/>
                <w:lang w:val="en-US"/>
              </w:rPr>
            </w:pPr>
          </w:p>
          <w:p w14:paraId="0B154610" w14:textId="77777777" w:rsidR="00AD4742" w:rsidRDefault="00AD4742">
            <w:pPr>
              <w:rPr>
                <w:rFonts w:cs="Arial"/>
                <w:sz w:val="18"/>
                <w:szCs w:val="18"/>
                <w:lang w:val="en-US"/>
              </w:rPr>
            </w:pPr>
            <w:r>
              <w:rPr>
                <w:rFonts w:cs="Arial"/>
                <w:sz w:val="18"/>
                <w:szCs w:val="18"/>
                <w:lang w:val="en-US"/>
              </w:rPr>
              <w:t>99 [49-197]</w:t>
            </w:r>
          </w:p>
        </w:tc>
        <w:tc>
          <w:tcPr>
            <w:tcW w:w="1701" w:type="dxa"/>
            <w:tcBorders>
              <w:top w:val="single" w:sz="4" w:space="0" w:color="auto"/>
              <w:left w:val="single" w:sz="4" w:space="0" w:color="auto"/>
              <w:bottom w:val="single" w:sz="4" w:space="0" w:color="auto"/>
              <w:right w:val="single" w:sz="4" w:space="0" w:color="auto"/>
            </w:tcBorders>
          </w:tcPr>
          <w:p w14:paraId="4A2D8EB5" w14:textId="77777777" w:rsidR="00AD4742" w:rsidRDefault="00AD4742">
            <w:pPr>
              <w:rPr>
                <w:rFonts w:cs="Arial"/>
                <w:sz w:val="18"/>
                <w:szCs w:val="18"/>
                <w:lang w:val="en-US"/>
              </w:rPr>
            </w:pPr>
          </w:p>
          <w:p w14:paraId="50C886C0" w14:textId="77777777" w:rsidR="00AD4742" w:rsidRDefault="00AD4742">
            <w:pPr>
              <w:rPr>
                <w:rFonts w:cs="Arial"/>
                <w:sz w:val="18"/>
                <w:szCs w:val="18"/>
                <w:lang w:val="en-US"/>
              </w:rPr>
            </w:pPr>
            <w:r>
              <w:rPr>
                <w:rFonts w:cs="Arial"/>
                <w:sz w:val="18"/>
                <w:szCs w:val="18"/>
                <w:lang w:val="en-US"/>
              </w:rPr>
              <w:t>67 [34-161]</w:t>
            </w:r>
          </w:p>
        </w:tc>
      </w:tr>
      <w:tr w:rsidR="00AD4742" w14:paraId="697A27F2" w14:textId="77777777" w:rsidTr="00AD4742">
        <w:trPr>
          <w:trHeight w:val="458"/>
        </w:trPr>
        <w:tc>
          <w:tcPr>
            <w:tcW w:w="2268" w:type="dxa"/>
            <w:tcBorders>
              <w:top w:val="single" w:sz="4" w:space="0" w:color="auto"/>
              <w:left w:val="single" w:sz="4" w:space="0" w:color="auto"/>
              <w:bottom w:val="single" w:sz="4" w:space="0" w:color="auto"/>
              <w:right w:val="single" w:sz="4" w:space="0" w:color="auto"/>
            </w:tcBorders>
            <w:hideMark/>
          </w:tcPr>
          <w:p w14:paraId="1B43B41F" w14:textId="77777777" w:rsidR="00AD4742" w:rsidRDefault="00AD4742">
            <w:pPr>
              <w:rPr>
                <w:rFonts w:cs="Arial"/>
                <w:sz w:val="18"/>
                <w:szCs w:val="18"/>
                <w:vertAlign w:val="superscript"/>
                <w:lang w:val="en-US"/>
              </w:rPr>
            </w:pPr>
            <w:r>
              <w:rPr>
                <w:rFonts w:cs="Arial"/>
                <w:sz w:val="18"/>
                <w:szCs w:val="18"/>
                <w:lang w:val="en-US"/>
              </w:rPr>
              <w:t>Sex, male (n (%))</w:t>
            </w:r>
            <w:r>
              <w:rPr>
                <w:rFonts w:cs="Arial"/>
                <w:sz w:val="18"/>
                <w:szCs w:val="18"/>
                <w:vertAlign w:val="superscript"/>
                <w:lang w:val="en-US"/>
              </w:rPr>
              <w:t>b</w:t>
            </w:r>
          </w:p>
        </w:tc>
        <w:tc>
          <w:tcPr>
            <w:tcW w:w="1985" w:type="dxa"/>
            <w:tcBorders>
              <w:top w:val="single" w:sz="4" w:space="0" w:color="auto"/>
              <w:left w:val="single" w:sz="4" w:space="0" w:color="auto"/>
              <w:bottom w:val="single" w:sz="4" w:space="0" w:color="auto"/>
              <w:right w:val="single" w:sz="4" w:space="0" w:color="auto"/>
            </w:tcBorders>
            <w:hideMark/>
          </w:tcPr>
          <w:p w14:paraId="0F61D1A5" w14:textId="77777777" w:rsidR="00AD4742" w:rsidRDefault="00AD4742">
            <w:pPr>
              <w:rPr>
                <w:rFonts w:cs="Arial"/>
                <w:sz w:val="18"/>
                <w:szCs w:val="18"/>
                <w:vertAlign w:val="superscript"/>
                <w:lang w:val="en-US"/>
              </w:rPr>
            </w:pPr>
            <w:r>
              <w:rPr>
                <w:rFonts w:cs="Arial"/>
                <w:sz w:val="18"/>
                <w:szCs w:val="18"/>
                <w:lang w:val="en-US"/>
              </w:rPr>
              <w:t>94 (58.0%)</w:t>
            </w:r>
          </w:p>
        </w:tc>
        <w:tc>
          <w:tcPr>
            <w:tcW w:w="1701" w:type="dxa"/>
            <w:tcBorders>
              <w:top w:val="single" w:sz="4" w:space="0" w:color="auto"/>
              <w:left w:val="single" w:sz="4" w:space="0" w:color="auto"/>
              <w:bottom w:val="single" w:sz="4" w:space="0" w:color="auto"/>
              <w:right w:val="single" w:sz="4" w:space="0" w:color="auto"/>
            </w:tcBorders>
            <w:hideMark/>
          </w:tcPr>
          <w:p w14:paraId="36B46C40" w14:textId="77777777" w:rsidR="00AD4742" w:rsidRDefault="00AD4742">
            <w:pPr>
              <w:rPr>
                <w:rFonts w:cs="Arial"/>
                <w:sz w:val="18"/>
                <w:szCs w:val="18"/>
                <w:lang w:val="en-US"/>
              </w:rPr>
            </w:pPr>
            <w:r>
              <w:rPr>
                <w:rFonts w:cs="Arial"/>
                <w:sz w:val="18"/>
                <w:szCs w:val="18"/>
                <w:lang w:val="en-US"/>
              </w:rPr>
              <w:t>4 (80.0%)</w:t>
            </w:r>
          </w:p>
        </w:tc>
        <w:tc>
          <w:tcPr>
            <w:tcW w:w="1559" w:type="dxa"/>
            <w:tcBorders>
              <w:top w:val="single" w:sz="4" w:space="0" w:color="auto"/>
              <w:left w:val="single" w:sz="4" w:space="0" w:color="auto"/>
              <w:bottom w:val="single" w:sz="4" w:space="0" w:color="auto"/>
              <w:right w:val="single" w:sz="4" w:space="0" w:color="auto"/>
            </w:tcBorders>
            <w:hideMark/>
          </w:tcPr>
          <w:p w14:paraId="42A9ADC3" w14:textId="77777777" w:rsidR="00AD4742" w:rsidRDefault="00AD4742">
            <w:pPr>
              <w:rPr>
                <w:rFonts w:cs="Arial"/>
                <w:sz w:val="18"/>
                <w:szCs w:val="18"/>
                <w:lang w:val="en-US"/>
              </w:rPr>
            </w:pPr>
            <w:r>
              <w:rPr>
                <w:rFonts w:cs="Arial"/>
                <w:sz w:val="18"/>
                <w:szCs w:val="18"/>
                <w:lang w:val="en-US"/>
              </w:rPr>
              <w:t>33 (54.1%)</w:t>
            </w:r>
          </w:p>
        </w:tc>
        <w:tc>
          <w:tcPr>
            <w:tcW w:w="1701" w:type="dxa"/>
            <w:tcBorders>
              <w:top w:val="single" w:sz="4" w:space="0" w:color="auto"/>
              <w:left w:val="single" w:sz="4" w:space="0" w:color="auto"/>
              <w:bottom w:val="single" w:sz="4" w:space="0" w:color="auto"/>
              <w:right w:val="single" w:sz="4" w:space="0" w:color="auto"/>
            </w:tcBorders>
            <w:hideMark/>
          </w:tcPr>
          <w:p w14:paraId="027BFBDE" w14:textId="77777777" w:rsidR="00AD4742" w:rsidRDefault="00AD4742">
            <w:pPr>
              <w:rPr>
                <w:rFonts w:cs="Arial"/>
                <w:sz w:val="18"/>
                <w:szCs w:val="18"/>
                <w:lang w:val="en-US"/>
              </w:rPr>
            </w:pPr>
            <w:r>
              <w:rPr>
                <w:rFonts w:cs="Arial"/>
                <w:sz w:val="18"/>
                <w:szCs w:val="18"/>
                <w:lang w:val="en-US"/>
              </w:rPr>
              <w:t>57 (59.4%)</w:t>
            </w:r>
          </w:p>
        </w:tc>
      </w:tr>
      <w:tr w:rsidR="00AD4742" w14:paraId="48F1625A" w14:textId="77777777" w:rsidTr="00AD4742">
        <w:trPr>
          <w:trHeight w:val="404"/>
        </w:trPr>
        <w:tc>
          <w:tcPr>
            <w:tcW w:w="2268" w:type="dxa"/>
            <w:tcBorders>
              <w:top w:val="single" w:sz="4" w:space="0" w:color="auto"/>
              <w:left w:val="single" w:sz="4" w:space="0" w:color="auto"/>
              <w:bottom w:val="single" w:sz="4" w:space="0" w:color="auto"/>
              <w:right w:val="single" w:sz="4" w:space="0" w:color="auto"/>
            </w:tcBorders>
            <w:hideMark/>
          </w:tcPr>
          <w:p w14:paraId="0E5B66E1" w14:textId="77777777" w:rsidR="00AD4742" w:rsidRDefault="00AD4742">
            <w:pPr>
              <w:rPr>
                <w:rFonts w:cs="Arial"/>
                <w:sz w:val="18"/>
                <w:szCs w:val="18"/>
                <w:vertAlign w:val="superscript"/>
                <w:lang w:val="en-US"/>
              </w:rPr>
            </w:pPr>
            <w:r>
              <w:rPr>
                <w:rFonts w:cs="Arial"/>
                <w:sz w:val="18"/>
                <w:szCs w:val="18"/>
                <w:lang w:val="en-US"/>
              </w:rPr>
              <w:t>Comorbidity, (n (%))</w:t>
            </w:r>
            <w:r>
              <w:rPr>
                <w:rFonts w:cs="Arial"/>
                <w:sz w:val="18"/>
                <w:szCs w:val="18"/>
                <w:vertAlign w:val="superscript"/>
                <w:lang w:val="en-US"/>
              </w:rPr>
              <w:t>c</w:t>
            </w:r>
          </w:p>
        </w:tc>
        <w:tc>
          <w:tcPr>
            <w:tcW w:w="1985" w:type="dxa"/>
            <w:tcBorders>
              <w:top w:val="single" w:sz="4" w:space="0" w:color="auto"/>
              <w:left w:val="single" w:sz="4" w:space="0" w:color="auto"/>
              <w:bottom w:val="single" w:sz="4" w:space="0" w:color="auto"/>
              <w:right w:val="single" w:sz="4" w:space="0" w:color="auto"/>
            </w:tcBorders>
            <w:hideMark/>
          </w:tcPr>
          <w:p w14:paraId="638688CC" w14:textId="77777777" w:rsidR="00AD4742" w:rsidRDefault="00AD4742">
            <w:pPr>
              <w:rPr>
                <w:rFonts w:cs="Arial"/>
                <w:sz w:val="18"/>
                <w:szCs w:val="18"/>
                <w:vertAlign w:val="superscript"/>
                <w:lang w:val="en-US"/>
              </w:rPr>
            </w:pPr>
            <w:r>
              <w:rPr>
                <w:rFonts w:cs="Arial"/>
                <w:sz w:val="18"/>
                <w:szCs w:val="18"/>
                <w:lang w:val="en-US"/>
              </w:rPr>
              <w:t>4 (2.5%)</w:t>
            </w:r>
          </w:p>
        </w:tc>
        <w:tc>
          <w:tcPr>
            <w:tcW w:w="1701" w:type="dxa"/>
            <w:tcBorders>
              <w:top w:val="single" w:sz="4" w:space="0" w:color="auto"/>
              <w:left w:val="single" w:sz="4" w:space="0" w:color="auto"/>
              <w:bottom w:val="single" w:sz="4" w:space="0" w:color="auto"/>
              <w:right w:val="single" w:sz="4" w:space="0" w:color="auto"/>
            </w:tcBorders>
            <w:hideMark/>
          </w:tcPr>
          <w:p w14:paraId="3B3AE9C1" w14:textId="77777777" w:rsidR="00AD4742" w:rsidRDefault="00AD4742">
            <w:pPr>
              <w:rPr>
                <w:rFonts w:cs="Arial"/>
                <w:sz w:val="18"/>
                <w:szCs w:val="18"/>
                <w:lang w:val="en-US"/>
              </w:rPr>
            </w:pPr>
            <w:r>
              <w:rPr>
                <w:rFonts w:cs="Arial"/>
                <w:sz w:val="18"/>
                <w:szCs w:val="18"/>
                <w:lang w:val="en-US"/>
              </w:rPr>
              <w:t>1 (20.0%)</w:t>
            </w:r>
          </w:p>
        </w:tc>
        <w:tc>
          <w:tcPr>
            <w:tcW w:w="1559" w:type="dxa"/>
            <w:tcBorders>
              <w:top w:val="single" w:sz="4" w:space="0" w:color="auto"/>
              <w:left w:val="single" w:sz="4" w:space="0" w:color="auto"/>
              <w:bottom w:val="single" w:sz="4" w:space="0" w:color="auto"/>
              <w:right w:val="single" w:sz="4" w:space="0" w:color="auto"/>
            </w:tcBorders>
            <w:hideMark/>
          </w:tcPr>
          <w:p w14:paraId="5E265D50" w14:textId="77777777" w:rsidR="00AD4742" w:rsidRDefault="00AD4742">
            <w:pPr>
              <w:rPr>
                <w:rFonts w:cs="Arial"/>
                <w:sz w:val="18"/>
                <w:szCs w:val="18"/>
                <w:lang w:val="en-US"/>
              </w:rPr>
            </w:pPr>
            <w:r>
              <w:rPr>
                <w:rFonts w:cs="Arial"/>
                <w:sz w:val="18"/>
                <w:szCs w:val="18"/>
                <w:lang w:val="en-US"/>
              </w:rPr>
              <w:t>3 (4.9%)</w:t>
            </w:r>
          </w:p>
        </w:tc>
        <w:tc>
          <w:tcPr>
            <w:tcW w:w="1701" w:type="dxa"/>
            <w:tcBorders>
              <w:top w:val="single" w:sz="4" w:space="0" w:color="auto"/>
              <w:left w:val="single" w:sz="4" w:space="0" w:color="auto"/>
              <w:bottom w:val="single" w:sz="4" w:space="0" w:color="auto"/>
              <w:right w:val="single" w:sz="4" w:space="0" w:color="auto"/>
            </w:tcBorders>
            <w:hideMark/>
          </w:tcPr>
          <w:p w14:paraId="00D6BBDB" w14:textId="77777777" w:rsidR="00AD4742" w:rsidRDefault="00AD4742">
            <w:pPr>
              <w:rPr>
                <w:rFonts w:cs="Arial"/>
                <w:sz w:val="18"/>
                <w:szCs w:val="18"/>
                <w:lang w:val="en-US"/>
              </w:rPr>
            </w:pPr>
            <w:r>
              <w:rPr>
                <w:rFonts w:cs="Arial"/>
                <w:sz w:val="18"/>
                <w:szCs w:val="18"/>
                <w:lang w:val="en-US"/>
              </w:rPr>
              <w:t>0 (0%)</w:t>
            </w:r>
          </w:p>
        </w:tc>
      </w:tr>
      <w:tr w:rsidR="00AD4742" w14:paraId="3AFF4477" w14:textId="77777777" w:rsidTr="00AD4742">
        <w:trPr>
          <w:trHeight w:val="793"/>
        </w:trPr>
        <w:tc>
          <w:tcPr>
            <w:tcW w:w="2268" w:type="dxa"/>
            <w:tcBorders>
              <w:top w:val="single" w:sz="4" w:space="0" w:color="auto"/>
              <w:left w:val="single" w:sz="4" w:space="0" w:color="auto"/>
              <w:bottom w:val="single" w:sz="4" w:space="0" w:color="auto"/>
              <w:right w:val="single" w:sz="4" w:space="0" w:color="auto"/>
            </w:tcBorders>
            <w:hideMark/>
          </w:tcPr>
          <w:p w14:paraId="6F56ED76" w14:textId="77777777" w:rsidR="00AD4742" w:rsidRDefault="00AD4742">
            <w:pPr>
              <w:rPr>
                <w:rFonts w:cs="Arial"/>
                <w:sz w:val="18"/>
                <w:szCs w:val="18"/>
                <w:vertAlign w:val="superscript"/>
                <w:lang w:val="en-US"/>
              </w:rPr>
            </w:pPr>
            <w:r>
              <w:rPr>
                <w:rFonts w:cs="Arial"/>
                <w:sz w:val="18"/>
                <w:szCs w:val="18"/>
                <w:lang w:val="en-US"/>
              </w:rPr>
              <w:t xml:space="preserve">Duration of </w:t>
            </w:r>
            <w:proofErr w:type="spellStart"/>
            <w:r>
              <w:rPr>
                <w:rFonts w:cs="Arial"/>
                <w:sz w:val="18"/>
                <w:szCs w:val="18"/>
                <w:lang w:val="en-US"/>
              </w:rPr>
              <w:t>symptoms</w:t>
            </w:r>
            <w:r>
              <w:rPr>
                <w:rFonts w:cs="Arial"/>
                <w:sz w:val="18"/>
                <w:szCs w:val="18"/>
                <w:vertAlign w:val="superscript"/>
                <w:lang w:val="en-US"/>
              </w:rPr>
              <w:t>d</w:t>
            </w:r>
            <w:proofErr w:type="spellEnd"/>
          </w:p>
          <w:p w14:paraId="74E0BA34" w14:textId="77777777" w:rsidR="00AD4742" w:rsidRDefault="00AD4742">
            <w:pPr>
              <w:rPr>
                <w:rFonts w:cs="Arial"/>
                <w:sz w:val="18"/>
                <w:szCs w:val="18"/>
                <w:lang w:val="en-US"/>
              </w:rPr>
            </w:pPr>
            <w:r>
              <w:rPr>
                <w:rFonts w:cs="Arial"/>
                <w:sz w:val="18"/>
                <w:szCs w:val="18"/>
                <w:lang w:val="en-US"/>
              </w:rPr>
              <w:t>days (median, [IQR])</w:t>
            </w:r>
          </w:p>
        </w:tc>
        <w:tc>
          <w:tcPr>
            <w:tcW w:w="1985" w:type="dxa"/>
            <w:tcBorders>
              <w:top w:val="single" w:sz="4" w:space="0" w:color="auto"/>
              <w:left w:val="single" w:sz="4" w:space="0" w:color="auto"/>
              <w:bottom w:val="single" w:sz="4" w:space="0" w:color="auto"/>
              <w:right w:val="single" w:sz="4" w:space="0" w:color="auto"/>
            </w:tcBorders>
          </w:tcPr>
          <w:p w14:paraId="6C546449" w14:textId="77777777" w:rsidR="00AD4742" w:rsidRDefault="00AD4742">
            <w:pPr>
              <w:rPr>
                <w:rFonts w:cs="Arial"/>
                <w:sz w:val="18"/>
                <w:szCs w:val="18"/>
                <w:lang w:val="en-US"/>
              </w:rPr>
            </w:pPr>
          </w:p>
          <w:p w14:paraId="7C98270C" w14:textId="77777777" w:rsidR="00AD4742" w:rsidRDefault="00AD4742">
            <w:pPr>
              <w:rPr>
                <w:rFonts w:cs="Arial"/>
                <w:sz w:val="18"/>
                <w:szCs w:val="18"/>
                <w:lang w:val="en-US"/>
              </w:rPr>
            </w:pPr>
            <w:r>
              <w:rPr>
                <w:rFonts w:cs="Arial"/>
                <w:sz w:val="18"/>
                <w:szCs w:val="18"/>
                <w:lang w:val="en-US"/>
              </w:rPr>
              <w:t>3 [2-5]</w:t>
            </w:r>
          </w:p>
        </w:tc>
        <w:tc>
          <w:tcPr>
            <w:tcW w:w="1701" w:type="dxa"/>
            <w:tcBorders>
              <w:top w:val="single" w:sz="4" w:space="0" w:color="auto"/>
              <w:left w:val="single" w:sz="4" w:space="0" w:color="auto"/>
              <w:bottom w:val="single" w:sz="4" w:space="0" w:color="auto"/>
              <w:right w:val="single" w:sz="4" w:space="0" w:color="auto"/>
            </w:tcBorders>
          </w:tcPr>
          <w:p w14:paraId="741EF22A" w14:textId="77777777" w:rsidR="00AD4742" w:rsidRDefault="00AD4742">
            <w:pPr>
              <w:rPr>
                <w:rFonts w:cs="Arial"/>
                <w:sz w:val="18"/>
                <w:szCs w:val="18"/>
                <w:lang w:val="en-US"/>
              </w:rPr>
            </w:pPr>
          </w:p>
          <w:p w14:paraId="623D2A5E" w14:textId="77777777" w:rsidR="00AD4742" w:rsidRDefault="00AD4742">
            <w:pPr>
              <w:rPr>
                <w:rFonts w:cs="Arial"/>
                <w:sz w:val="18"/>
                <w:szCs w:val="18"/>
                <w:lang w:val="en-US"/>
              </w:rPr>
            </w:pPr>
            <w:r>
              <w:rPr>
                <w:rFonts w:cs="Arial"/>
                <w:sz w:val="18"/>
                <w:szCs w:val="18"/>
                <w:lang w:val="en-US"/>
              </w:rPr>
              <w:t>4 [2-5]</w:t>
            </w:r>
          </w:p>
        </w:tc>
        <w:tc>
          <w:tcPr>
            <w:tcW w:w="1559" w:type="dxa"/>
            <w:tcBorders>
              <w:top w:val="single" w:sz="4" w:space="0" w:color="auto"/>
              <w:left w:val="single" w:sz="4" w:space="0" w:color="auto"/>
              <w:bottom w:val="single" w:sz="4" w:space="0" w:color="auto"/>
              <w:right w:val="single" w:sz="4" w:space="0" w:color="auto"/>
            </w:tcBorders>
          </w:tcPr>
          <w:p w14:paraId="5F8F54C1" w14:textId="77777777" w:rsidR="00AD4742" w:rsidRDefault="00AD4742">
            <w:pPr>
              <w:rPr>
                <w:rFonts w:cs="Arial"/>
                <w:sz w:val="18"/>
                <w:szCs w:val="18"/>
                <w:lang w:val="en-US"/>
              </w:rPr>
            </w:pPr>
          </w:p>
          <w:p w14:paraId="18B34C94" w14:textId="77777777" w:rsidR="00AD4742" w:rsidRDefault="00AD4742">
            <w:pPr>
              <w:rPr>
                <w:rFonts w:cs="Arial"/>
                <w:sz w:val="18"/>
                <w:szCs w:val="18"/>
                <w:lang w:val="en-US"/>
              </w:rPr>
            </w:pPr>
            <w:r>
              <w:rPr>
                <w:rFonts w:cs="Arial"/>
                <w:sz w:val="18"/>
                <w:szCs w:val="18"/>
                <w:lang w:val="en-US"/>
              </w:rPr>
              <w:t>3 [2-4]</w:t>
            </w:r>
          </w:p>
        </w:tc>
        <w:tc>
          <w:tcPr>
            <w:tcW w:w="1701" w:type="dxa"/>
            <w:tcBorders>
              <w:top w:val="single" w:sz="4" w:space="0" w:color="auto"/>
              <w:left w:val="single" w:sz="4" w:space="0" w:color="auto"/>
              <w:bottom w:val="single" w:sz="4" w:space="0" w:color="auto"/>
              <w:right w:val="single" w:sz="4" w:space="0" w:color="auto"/>
            </w:tcBorders>
          </w:tcPr>
          <w:p w14:paraId="318D82CA" w14:textId="77777777" w:rsidR="00AD4742" w:rsidRDefault="00AD4742">
            <w:pPr>
              <w:rPr>
                <w:rFonts w:cs="Arial"/>
                <w:sz w:val="18"/>
                <w:szCs w:val="18"/>
                <w:lang w:val="en-US"/>
              </w:rPr>
            </w:pPr>
          </w:p>
          <w:p w14:paraId="1CDF3BA1" w14:textId="77777777" w:rsidR="00AD4742" w:rsidRDefault="00AD4742">
            <w:pPr>
              <w:rPr>
                <w:rFonts w:cs="Arial"/>
                <w:sz w:val="18"/>
                <w:szCs w:val="18"/>
                <w:lang w:val="en-US"/>
              </w:rPr>
            </w:pPr>
            <w:r>
              <w:rPr>
                <w:rFonts w:cs="Arial"/>
                <w:sz w:val="18"/>
                <w:szCs w:val="18"/>
                <w:lang w:val="en-US"/>
              </w:rPr>
              <w:t>3 [2-6]</w:t>
            </w:r>
          </w:p>
        </w:tc>
      </w:tr>
      <w:tr w:rsidR="00AD4742" w14:paraId="54A717FE" w14:textId="77777777" w:rsidTr="00AD4742">
        <w:trPr>
          <w:trHeight w:val="1983"/>
        </w:trPr>
        <w:tc>
          <w:tcPr>
            <w:tcW w:w="2268" w:type="dxa"/>
            <w:tcBorders>
              <w:top w:val="single" w:sz="4" w:space="0" w:color="auto"/>
              <w:left w:val="single" w:sz="4" w:space="0" w:color="auto"/>
              <w:bottom w:val="single" w:sz="4" w:space="0" w:color="auto"/>
              <w:right w:val="single" w:sz="4" w:space="0" w:color="auto"/>
            </w:tcBorders>
            <w:hideMark/>
          </w:tcPr>
          <w:p w14:paraId="6DF24CD0" w14:textId="77777777" w:rsidR="00AD4742" w:rsidRDefault="00AD4742">
            <w:pPr>
              <w:rPr>
                <w:rFonts w:cs="Arial"/>
                <w:sz w:val="18"/>
                <w:szCs w:val="18"/>
                <w:vertAlign w:val="superscript"/>
                <w:lang w:val="en-GB"/>
              </w:rPr>
            </w:pPr>
            <w:r>
              <w:rPr>
                <w:rFonts w:cs="Arial"/>
                <w:sz w:val="18"/>
                <w:szCs w:val="18"/>
                <w:lang w:val="en-GB"/>
              </w:rPr>
              <w:t xml:space="preserve">Level of care needed  </w:t>
            </w:r>
            <w:r>
              <w:rPr>
                <w:rFonts w:cs="Arial"/>
                <w:sz w:val="18"/>
                <w:szCs w:val="18"/>
                <w:lang w:val="en-GB"/>
              </w:rPr>
              <w:br/>
              <w:t>(n, (%))</w:t>
            </w:r>
            <w:r>
              <w:rPr>
                <w:rFonts w:cs="Arial"/>
                <w:sz w:val="18"/>
                <w:szCs w:val="18"/>
                <w:vertAlign w:val="superscript"/>
                <w:lang w:val="en-GB"/>
              </w:rPr>
              <w:t>e</w:t>
            </w:r>
          </w:p>
          <w:p w14:paraId="0379C1A0" w14:textId="77777777" w:rsidR="00AD4742" w:rsidRDefault="00AD4742">
            <w:pPr>
              <w:rPr>
                <w:rFonts w:cs="Arial"/>
                <w:sz w:val="18"/>
                <w:szCs w:val="18"/>
                <w:lang w:val="it-IT"/>
              </w:rPr>
            </w:pPr>
            <w:r>
              <w:rPr>
                <w:rFonts w:cs="Arial"/>
                <w:sz w:val="18"/>
                <w:szCs w:val="18"/>
                <w:lang w:val="en-GB"/>
              </w:rPr>
              <w:tab/>
            </w:r>
            <w:r>
              <w:rPr>
                <w:rFonts w:cs="Arial"/>
                <w:sz w:val="18"/>
                <w:szCs w:val="18"/>
                <w:lang w:val="it-IT"/>
              </w:rPr>
              <w:t>Non MA-ARTI</w:t>
            </w:r>
          </w:p>
          <w:p w14:paraId="7105C68D" w14:textId="77777777" w:rsidR="00AD4742" w:rsidRDefault="00AD4742">
            <w:pPr>
              <w:rPr>
                <w:rFonts w:cs="Arial"/>
                <w:sz w:val="18"/>
                <w:szCs w:val="18"/>
                <w:lang w:val="it-IT"/>
              </w:rPr>
            </w:pPr>
            <w:r>
              <w:rPr>
                <w:rFonts w:cs="Arial"/>
                <w:sz w:val="18"/>
                <w:szCs w:val="18"/>
                <w:lang w:val="it-IT"/>
              </w:rPr>
              <w:tab/>
              <w:t>MA-ARTI</w:t>
            </w:r>
          </w:p>
          <w:p w14:paraId="059F0E9B" w14:textId="77777777" w:rsidR="00AD4742" w:rsidRDefault="00AD4742">
            <w:pPr>
              <w:rPr>
                <w:rFonts w:cs="Arial"/>
                <w:sz w:val="18"/>
                <w:szCs w:val="18"/>
                <w:lang w:val="it-IT"/>
              </w:rPr>
            </w:pPr>
            <w:r>
              <w:rPr>
                <w:rFonts w:cs="Arial"/>
                <w:sz w:val="18"/>
                <w:szCs w:val="18"/>
                <w:lang w:val="it-IT"/>
              </w:rPr>
              <w:tab/>
              <w:t>Hospitalised</w:t>
            </w:r>
          </w:p>
          <w:p w14:paraId="41FFFBB1" w14:textId="77777777" w:rsidR="00AD4742" w:rsidRDefault="00AD4742">
            <w:pPr>
              <w:rPr>
                <w:rFonts w:cs="Arial"/>
                <w:sz w:val="18"/>
                <w:szCs w:val="18"/>
                <w:lang w:val="en-US"/>
              </w:rPr>
            </w:pPr>
            <w:r>
              <w:rPr>
                <w:rFonts w:cs="Arial"/>
                <w:sz w:val="18"/>
                <w:szCs w:val="18"/>
                <w:lang w:val="it-IT"/>
              </w:rPr>
              <w:tab/>
              <w:t xml:space="preserve">    </w:t>
            </w:r>
            <w:r>
              <w:rPr>
                <w:rFonts w:cs="Arial"/>
                <w:sz w:val="18"/>
                <w:szCs w:val="18"/>
                <w:lang w:val="en-US"/>
              </w:rPr>
              <w:t>PICU</w:t>
            </w:r>
          </w:p>
        </w:tc>
        <w:tc>
          <w:tcPr>
            <w:tcW w:w="1985" w:type="dxa"/>
            <w:tcBorders>
              <w:top w:val="single" w:sz="4" w:space="0" w:color="auto"/>
              <w:left w:val="single" w:sz="4" w:space="0" w:color="auto"/>
              <w:bottom w:val="single" w:sz="4" w:space="0" w:color="auto"/>
              <w:right w:val="single" w:sz="4" w:space="0" w:color="auto"/>
            </w:tcBorders>
          </w:tcPr>
          <w:p w14:paraId="146795A9" w14:textId="77777777" w:rsidR="00AD4742" w:rsidRDefault="00AD4742">
            <w:pPr>
              <w:rPr>
                <w:rFonts w:cs="Arial"/>
                <w:sz w:val="18"/>
                <w:szCs w:val="18"/>
                <w:lang w:val="en-US"/>
              </w:rPr>
            </w:pPr>
          </w:p>
          <w:p w14:paraId="64E53E7F" w14:textId="77777777" w:rsidR="00AD4742" w:rsidRDefault="00AD4742">
            <w:pPr>
              <w:rPr>
                <w:rFonts w:cs="Arial"/>
                <w:sz w:val="18"/>
                <w:szCs w:val="18"/>
                <w:lang w:val="en-US"/>
              </w:rPr>
            </w:pPr>
          </w:p>
          <w:p w14:paraId="499B80A0" w14:textId="77777777" w:rsidR="00AD4742" w:rsidRDefault="00AD4742">
            <w:pPr>
              <w:rPr>
                <w:rFonts w:cs="Arial"/>
                <w:sz w:val="18"/>
                <w:szCs w:val="18"/>
                <w:lang w:val="en-US"/>
              </w:rPr>
            </w:pPr>
            <w:r>
              <w:rPr>
                <w:rFonts w:cs="Arial"/>
                <w:sz w:val="18"/>
                <w:szCs w:val="18"/>
                <w:lang w:val="en-US"/>
              </w:rPr>
              <w:t>41 (25.3%)</w:t>
            </w:r>
          </w:p>
          <w:p w14:paraId="6DA268F1" w14:textId="77777777" w:rsidR="00AD4742" w:rsidRDefault="00AD4742">
            <w:pPr>
              <w:rPr>
                <w:rFonts w:cs="Arial"/>
                <w:sz w:val="18"/>
                <w:szCs w:val="18"/>
                <w:lang w:val="en-US"/>
              </w:rPr>
            </w:pPr>
            <w:r>
              <w:rPr>
                <w:rFonts w:cs="Arial"/>
                <w:sz w:val="18"/>
                <w:szCs w:val="18"/>
                <w:lang w:val="en-US"/>
              </w:rPr>
              <w:t>83 (51.2%)</w:t>
            </w:r>
          </w:p>
          <w:p w14:paraId="0AA0D832" w14:textId="77777777" w:rsidR="00AD4742" w:rsidRDefault="00AD4742">
            <w:pPr>
              <w:rPr>
                <w:rFonts w:cs="Arial"/>
                <w:sz w:val="18"/>
                <w:szCs w:val="18"/>
                <w:lang w:val="en-US"/>
              </w:rPr>
            </w:pPr>
            <w:r>
              <w:rPr>
                <w:rFonts w:cs="Arial"/>
                <w:sz w:val="18"/>
                <w:szCs w:val="18"/>
                <w:lang w:val="en-US"/>
              </w:rPr>
              <w:t>36 (22.2%)</w:t>
            </w:r>
          </w:p>
          <w:p w14:paraId="5792A658" w14:textId="77777777" w:rsidR="00AD4742" w:rsidRDefault="00AD4742">
            <w:pPr>
              <w:rPr>
                <w:rFonts w:cs="Arial"/>
                <w:sz w:val="18"/>
                <w:szCs w:val="18"/>
                <w:lang w:val="en-US"/>
              </w:rPr>
            </w:pPr>
            <w:r>
              <w:rPr>
                <w:rFonts w:cs="Arial"/>
                <w:sz w:val="18"/>
                <w:szCs w:val="18"/>
                <w:lang w:val="en-US"/>
              </w:rPr>
              <w:t xml:space="preserve">    11 (30.6%)</w:t>
            </w:r>
          </w:p>
        </w:tc>
        <w:tc>
          <w:tcPr>
            <w:tcW w:w="1701" w:type="dxa"/>
            <w:tcBorders>
              <w:top w:val="single" w:sz="4" w:space="0" w:color="auto"/>
              <w:left w:val="single" w:sz="4" w:space="0" w:color="auto"/>
              <w:bottom w:val="single" w:sz="4" w:space="0" w:color="auto"/>
              <w:right w:val="single" w:sz="4" w:space="0" w:color="auto"/>
            </w:tcBorders>
          </w:tcPr>
          <w:p w14:paraId="30044FF1" w14:textId="77777777" w:rsidR="00AD4742" w:rsidRDefault="00AD4742">
            <w:pPr>
              <w:rPr>
                <w:rFonts w:cs="Arial"/>
                <w:sz w:val="18"/>
                <w:szCs w:val="18"/>
                <w:lang w:val="en-US"/>
              </w:rPr>
            </w:pPr>
          </w:p>
          <w:p w14:paraId="307B9F74" w14:textId="77777777" w:rsidR="00AD4742" w:rsidRDefault="00AD4742">
            <w:pPr>
              <w:rPr>
                <w:rFonts w:cs="Arial"/>
                <w:sz w:val="18"/>
                <w:szCs w:val="18"/>
                <w:lang w:val="en-US"/>
              </w:rPr>
            </w:pPr>
          </w:p>
          <w:p w14:paraId="11A0E2E2" w14:textId="77777777" w:rsidR="00AD4742" w:rsidRDefault="00AD4742">
            <w:pPr>
              <w:rPr>
                <w:rFonts w:cs="Arial"/>
                <w:sz w:val="18"/>
                <w:szCs w:val="18"/>
                <w:lang w:val="en-US"/>
              </w:rPr>
            </w:pPr>
            <w:r>
              <w:rPr>
                <w:rFonts w:cs="Arial"/>
                <w:sz w:val="18"/>
                <w:szCs w:val="18"/>
                <w:lang w:val="en-US"/>
              </w:rPr>
              <w:t>0 (0.0%)</w:t>
            </w:r>
          </w:p>
          <w:p w14:paraId="642CC55A" w14:textId="77777777" w:rsidR="00AD4742" w:rsidRDefault="00AD4742">
            <w:pPr>
              <w:rPr>
                <w:rFonts w:cs="Arial"/>
                <w:sz w:val="18"/>
                <w:szCs w:val="18"/>
                <w:lang w:val="en-US"/>
              </w:rPr>
            </w:pPr>
            <w:r>
              <w:rPr>
                <w:rFonts w:cs="Arial"/>
                <w:sz w:val="18"/>
                <w:szCs w:val="18"/>
                <w:lang w:val="en-US"/>
              </w:rPr>
              <w:t>3 (60.0%)</w:t>
            </w:r>
          </w:p>
          <w:p w14:paraId="249BF1F4" w14:textId="77777777" w:rsidR="00AD4742" w:rsidRDefault="00AD4742">
            <w:pPr>
              <w:rPr>
                <w:rFonts w:cs="Arial"/>
                <w:sz w:val="18"/>
                <w:szCs w:val="18"/>
                <w:lang w:val="en-US"/>
              </w:rPr>
            </w:pPr>
            <w:r>
              <w:rPr>
                <w:rFonts w:cs="Arial"/>
                <w:sz w:val="18"/>
                <w:szCs w:val="18"/>
                <w:lang w:val="en-US"/>
              </w:rPr>
              <w:t>2 (40.0%)</w:t>
            </w:r>
          </w:p>
          <w:p w14:paraId="0D9DD278" w14:textId="77777777" w:rsidR="00AD4742" w:rsidRDefault="00AD4742">
            <w:pPr>
              <w:rPr>
                <w:rFonts w:cs="Arial"/>
                <w:sz w:val="18"/>
                <w:szCs w:val="18"/>
                <w:lang w:val="en-US"/>
              </w:rPr>
            </w:pPr>
            <w:r>
              <w:rPr>
                <w:rFonts w:cs="Arial"/>
                <w:sz w:val="18"/>
                <w:szCs w:val="18"/>
                <w:lang w:val="en-US"/>
              </w:rPr>
              <w:t xml:space="preserve">    2 (100%)</w:t>
            </w:r>
          </w:p>
        </w:tc>
        <w:tc>
          <w:tcPr>
            <w:tcW w:w="1559" w:type="dxa"/>
            <w:tcBorders>
              <w:top w:val="single" w:sz="4" w:space="0" w:color="auto"/>
              <w:left w:val="single" w:sz="4" w:space="0" w:color="auto"/>
              <w:bottom w:val="single" w:sz="4" w:space="0" w:color="auto"/>
              <w:right w:val="single" w:sz="4" w:space="0" w:color="auto"/>
            </w:tcBorders>
          </w:tcPr>
          <w:p w14:paraId="7A9FFB3D" w14:textId="77777777" w:rsidR="00AD4742" w:rsidRDefault="00AD4742">
            <w:pPr>
              <w:rPr>
                <w:rFonts w:cs="Arial"/>
                <w:sz w:val="18"/>
                <w:szCs w:val="18"/>
                <w:lang w:val="en-US"/>
              </w:rPr>
            </w:pPr>
          </w:p>
          <w:p w14:paraId="66765575" w14:textId="77777777" w:rsidR="00AD4742" w:rsidRDefault="00AD4742">
            <w:pPr>
              <w:rPr>
                <w:rFonts w:cs="Arial"/>
                <w:sz w:val="18"/>
                <w:szCs w:val="18"/>
                <w:lang w:val="en-US"/>
              </w:rPr>
            </w:pPr>
          </w:p>
          <w:p w14:paraId="64B964E9" w14:textId="77777777" w:rsidR="00AD4742" w:rsidRDefault="00AD4742">
            <w:pPr>
              <w:rPr>
                <w:rFonts w:cs="Arial"/>
                <w:sz w:val="18"/>
                <w:szCs w:val="18"/>
                <w:lang w:val="en-US"/>
              </w:rPr>
            </w:pPr>
            <w:r>
              <w:rPr>
                <w:rFonts w:cs="Arial"/>
                <w:sz w:val="18"/>
                <w:szCs w:val="18"/>
                <w:lang w:val="en-US"/>
              </w:rPr>
              <w:t>5 (8.2%)</w:t>
            </w:r>
          </w:p>
          <w:p w14:paraId="37611EB4" w14:textId="77777777" w:rsidR="00AD4742" w:rsidRDefault="00AD4742">
            <w:pPr>
              <w:rPr>
                <w:rFonts w:cs="Arial"/>
                <w:sz w:val="18"/>
                <w:szCs w:val="18"/>
                <w:lang w:val="en-US"/>
              </w:rPr>
            </w:pPr>
            <w:r>
              <w:rPr>
                <w:rFonts w:cs="Arial"/>
                <w:sz w:val="18"/>
                <w:szCs w:val="18"/>
                <w:lang w:val="en-US"/>
              </w:rPr>
              <w:t>28 (45.9%)</w:t>
            </w:r>
          </w:p>
          <w:p w14:paraId="23E3B3FD" w14:textId="77777777" w:rsidR="00AD4742" w:rsidRDefault="00AD4742">
            <w:pPr>
              <w:rPr>
                <w:rFonts w:cs="Arial"/>
                <w:sz w:val="18"/>
                <w:szCs w:val="18"/>
                <w:lang w:val="en-US"/>
              </w:rPr>
            </w:pPr>
            <w:r>
              <w:rPr>
                <w:rFonts w:cs="Arial"/>
                <w:sz w:val="18"/>
                <w:szCs w:val="18"/>
                <w:lang w:val="en-US"/>
              </w:rPr>
              <w:t>28 (45.9%)</w:t>
            </w:r>
          </w:p>
          <w:p w14:paraId="717CA728" w14:textId="77777777" w:rsidR="00AD4742" w:rsidRDefault="00AD4742">
            <w:pPr>
              <w:rPr>
                <w:rFonts w:cs="Arial"/>
                <w:sz w:val="18"/>
                <w:szCs w:val="18"/>
                <w:lang w:val="en-US"/>
              </w:rPr>
            </w:pPr>
            <w:r>
              <w:rPr>
                <w:rFonts w:cs="Arial"/>
                <w:sz w:val="18"/>
                <w:szCs w:val="18"/>
                <w:lang w:val="en-US"/>
              </w:rPr>
              <w:t xml:space="preserve">    7 (25.0%)</w:t>
            </w:r>
          </w:p>
        </w:tc>
        <w:tc>
          <w:tcPr>
            <w:tcW w:w="1701" w:type="dxa"/>
            <w:tcBorders>
              <w:top w:val="single" w:sz="4" w:space="0" w:color="auto"/>
              <w:left w:val="single" w:sz="4" w:space="0" w:color="auto"/>
              <w:bottom w:val="single" w:sz="4" w:space="0" w:color="auto"/>
              <w:right w:val="single" w:sz="4" w:space="0" w:color="auto"/>
            </w:tcBorders>
          </w:tcPr>
          <w:p w14:paraId="562596DA" w14:textId="77777777" w:rsidR="00AD4742" w:rsidRDefault="00AD4742">
            <w:pPr>
              <w:rPr>
                <w:rFonts w:cs="Arial"/>
                <w:sz w:val="18"/>
                <w:szCs w:val="18"/>
                <w:lang w:val="en-US"/>
              </w:rPr>
            </w:pPr>
          </w:p>
          <w:p w14:paraId="7B1903A1" w14:textId="77777777" w:rsidR="00AD4742" w:rsidRDefault="00AD4742">
            <w:pPr>
              <w:rPr>
                <w:rFonts w:cs="Arial"/>
                <w:sz w:val="18"/>
                <w:szCs w:val="18"/>
                <w:lang w:val="en-US"/>
              </w:rPr>
            </w:pPr>
          </w:p>
          <w:p w14:paraId="09AD40E9" w14:textId="77777777" w:rsidR="00AD4742" w:rsidRDefault="00AD4742">
            <w:pPr>
              <w:rPr>
                <w:rFonts w:cs="Arial"/>
                <w:sz w:val="18"/>
                <w:szCs w:val="18"/>
                <w:lang w:val="en-US"/>
              </w:rPr>
            </w:pPr>
            <w:r>
              <w:rPr>
                <w:rFonts w:cs="Arial"/>
                <w:sz w:val="18"/>
                <w:szCs w:val="18"/>
                <w:lang w:val="en-US"/>
              </w:rPr>
              <w:t>36 (37.5%)</w:t>
            </w:r>
          </w:p>
          <w:p w14:paraId="569FE337" w14:textId="77777777" w:rsidR="00AD4742" w:rsidRDefault="00AD4742">
            <w:pPr>
              <w:rPr>
                <w:rFonts w:cs="Arial"/>
                <w:sz w:val="18"/>
                <w:szCs w:val="18"/>
                <w:lang w:val="en-US"/>
              </w:rPr>
            </w:pPr>
            <w:r>
              <w:rPr>
                <w:rFonts w:cs="Arial"/>
                <w:sz w:val="18"/>
                <w:szCs w:val="18"/>
                <w:lang w:val="en-US"/>
              </w:rPr>
              <w:t>52 (54.2%)</w:t>
            </w:r>
          </w:p>
          <w:p w14:paraId="4EDC9424" w14:textId="77777777" w:rsidR="00AD4742" w:rsidRDefault="00AD4742">
            <w:pPr>
              <w:rPr>
                <w:rFonts w:cs="Arial"/>
                <w:sz w:val="18"/>
                <w:szCs w:val="18"/>
                <w:lang w:val="en-US"/>
              </w:rPr>
            </w:pPr>
            <w:r>
              <w:rPr>
                <w:rFonts w:cs="Arial"/>
                <w:sz w:val="18"/>
                <w:szCs w:val="18"/>
                <w:lang w:val="en-US"/>
              </w:rPr>
              <w:t>6 (6.3%)</w:t>
            </w:r>
          </w:p>
          <w:p w14:paraId="7F2BF6C6" w14:textId="77777777" w:rsidR="00AD4742" w:rsidRDefault="00AD4742">
            <w:pPr>
              <w:rPr>
                <w:rFonts w:cs="Arial"/>
                <w:sz w:val="18"/>
                <w:szCs w:val="18"/>
                <w:lang w:val="en-US"/>
              </w:rPr>
            </w:pPr>
            <w:r>
              <w:rPr>
                <w:rFonts w:cs="Arial"/>
                <w:sz w:val="18"/>
                <w:szCs w:val="18"/>
                <w:lang w:val="en-US"/>
              </w:rPr>
              <w:t xml:space="preserve">    2 (33.3%)</w:t>
            </w:r>
          </w:p>
        </w:tc>
      </w:tr>
      <w:tr w:rsidR="00AD4742" w14:paraId="3B58BBB1" w14:textId="77777777" w:rsidTr="00AD4742">
        <w:trPr>
          <w:trHeight w:val="1602"/>
        </w:trPr>
        <w:tc>
          <w:tcPr>
            <w:tcW w:w="2268" w:type="dxa"/>
            <w:tcBorders>
              <w:top w:val="single" w:sz="4" w:space="0" w:color="auto"/>
              <w:left w:val="single" w:sz="4" w:space="0" w:color="auto"/>
              <w:bottom w:val="single" w:sz="4" w:space="0" w:color="auto"/>
              <w:right w:val="single" w:sz="4" w:space="0" w:color="auto"/>
            </w:tcBorders>
            <w:hideMark/>
          </w:tcPr>
          <w:p w14:paraId="2950541A" w14:textId="77777777" w:rsidR="00AD4742" w:rsidRDefault="00AD4742">
            <w:pPr>
              <w:rPr>
                <w:rFonts w:cs="Arial"/>
                <w:sz w:val="18"/>
                <w:szCs w:val="18"/>
                <w:lang w:val="en-US"/>
              </w:rPr>
            </w:pPr>
            <w:r>
              <w:rPr>
                <w:rFonts w:cs="Arial"/>
                <w:sz w:val="18"/>
                <w:szCs w:val="18"/>
                <w:lang w:val="en-US"/>
              </w:rPr>
              <w:t>Country (n, (%))</w:t>
            </w:r>
          </w:p>
          <w:p w14:paraId="09B72158" w14:textId="77777777" w:rsidR="00AD4742" w:rsidRDefault="00AD4742">
            <w:pPr>
              <w:rPr>
                <w:rFonts w:cs="Arial"/>
                <w:sz w:val="18"/>
                <w:szCs w:val="18"/>
                <w:lang w:val="en-US"/>
              </w:rPr>
            </w:pPr>
            <w:r>
              <w:rPr>
                <w:rFonts w:cs="Arial"/>
                <w:sz w:val="18"/>
                <w:szCs w:val="18"/>
                <w:lang w:val="en-US"/>
              </w:rPr>
              <w:tab/>
              <w:t>Netherlands</w:t>
            </w:r>
            <w:r>
              <w:rPr>
                <w:rFonts w:cs="Arial"/>
                <w:sz w:val="18"/>
                <w:szCs w:val="18"/>
                <w:lang w:val="en-US"/>
              </w:rPr>
              <w:br/>
            </w:r>
            <w:r>
              <w:rPr>
                <w:rFonts w:cs="Arial"/>
                <w:sz w:val="18"/>
                <w:szCs w:val="18"/>
                <w:lang w:val="en-US"/>
              </w:rPr>
              <w:tab/>
              <w:t>United Kingdom</w:t>
            </w:r>
          </w:p>
          <w:p w14:paraId="5186F3C6" w14:textId="77777777" w:rsidR="00AD4742" w:rsidRDefault="00AD4742">
            <w:pPr>
              <w:rPr>
                <w:rFonts w:cs="Arial"/>
                <w:sz w:val="18"/>
                <w:szCs w:val="18"/>
                <w:lang w:val="en-GB"/>
              </w:rPr>
            </w:pPr>
            <w:r>
              <w:rPr>
                <w:rFonts w:cs="Arial"/>
                <w:sz w:val="18"/>
                <w:szCs w:val="18"/>
                <w:lang w:val="en-US"/>
              </w:rPr>
              <w:tab/>
              <w:t>Spain</w:t>
            </w:r>
          </w:p>
        </w:tc>
        <w:tc>
          <w:tcPr>
            <w:tcW w:w="1985" w:type="dxa"/>
            <w:tcBorders>
              <w:top w:val="single" w:sz="4" w:space="0" w:color="auto"/>
              <w:left w:val="single" w:sz="4" w:space="0" w:color="auto"/>
              <w:bottom w:val="single" w:sz="4" w:space="0" w:color="auto"/>
              <w:right w:val="single" w:sz="4" w:space="0" w:color="auto"/>
            </w:tcBorders>
          </w:tcPr>
          <w:p w14:paraId="4142E5B8" w14:textId="77777777" w:rsidR="00AD4742" w:rsidRDefault="00AD4742">
            <w:pPr>
              <w:rPr>
                <w:rFonts w:cs="Arial"/>
                <w:sz w:val="18"/>
                <w:szCs w:val="18"/>
                <w:lang w:val="en-US"/>
              </w:rPr>
            </w:pPr>
          </w:p>
          <w:p w14:paraId="3E73A82C" w14:textId="77777777" w:rsidR="00AD4742" w:rsidRDefault="00AD4742">
            <w:pPr>
              <w:rPr>
                <w:rFonts w:cs="Arial"/>
                <w:sz w:val="18"/>
                <w:szCs w:val="18"/>
                <w:lang w:val="en-US"/>
              </w:rPr>
            </w:pPr>
            <w:r>
              <w:rPr>
                <w:rFonts w:cs="Arial"/>
                <w:sz w:val="18"/>
                <w:szCs w:val="18"/>
                <w:lang w:val="en-US"/>
              </w:rPr>
              <w:t>118 (72.8%)</w:t>
            </w:r>
          </w:p>
          <w:p w14:paraId="76078223" w14:textId="77777777" w:rsidR="00AD4742" w:rsidRDefault="00AD4742">
            <w:pPr>
              <w:rPr>
                <w:rFonts w:cs="Arial"/>
                <w:sz w:val="18"/>
                <w:szCs w:val="18"/>
                <w:lang w:val="en-US"/>
              </w:rPr>
            </w:pPr>
            <w:r>
              <w:rPr>
                <w:rFonts w:cs="Arial"/>
                <w:sz w:val="18"/>
                <w:szCs w:val="18"/>
                <w:lang w:val="en-US"/>
              </w:rPr>
              <w:t>14 (8.6%)</w:t>
            </w:r>
          </w:p>
          <w:p w14:paraId="191876F9" w14:textId="77777777" w:rsidR="00AD4742" w:rsidRDefault="00AD4742">
            <w:pPr>
              <w:rPr>
                <w:rFonts w:cs="Arial"/>
                <w:sz w:val="18"/>
                <w:szCs w:val="18"/>
                <w:lang w:val="en-US"/>
              </w:rPr>
            </w:pPr>
            <w:r>
              <w:rPr>
                <w:rFonts w:cs="Arial"/>
                <w:sz w:val="18"/>
                <w:szCs w:val="18"/>
                <w:lang w:val="en-US"/>
              </w:rPr>
              <w:t>30 (18.5%)</w:t>
            </w:r>
          </w:p>
        </w:tc>
        <w:tc>
          <w:tcPr>
            <w:tcW w:w="1701" w:type="dxa"/>
            <w:tcBorders>
              <w:top w:val="single" w:sz="4" w:space="0" w:color="auto"/>
              <w:left w:val="single" w:sz="4" w:space="0" w:color="auto"/>
              <w:bottom w:val="single" w:sz="4" w:space="0" w:color="auto"/>
              <w:right w:val="single" w:sz="4" w:space="0" w:color="auto"/>
            </w:tcBorders>
          </w:tcPr>
          <w:p w14:paraId="5A98E47B" w14:textId="77777777" w:rsidR="00AD4742" w:rsidRDefault="00AD4742">
            <w:pPr>
              <w:rPr>
                <w:rFonts w:cs="Arial"/>
                <w:sz w:val="18"/>
                <w:szCs w:val="18"/>
                <w:lang w:val="en-US"/>
              </w:rPr>
            </w:pPr>
          </w:p>
          <w:p w14:paraId="36821B1A" w14:textId="77777777" w:rsidR="00AD4742" w:rsidRDefault="00AD4742">
            <w:pPr>
              <w:rPr>
                <w:rFonts w:cs="Arial"/>
                <w:sz w:val="18"/>
                <w:szCs w:val="18"/>
                <w:lang w:val="en-US"/>
              </w:rPr>
            </w:pPr>
            <w:r>
              <w:rPr>
                <w:rFonts w:cs="Arial"/>
                <w:sz w:val="18"/>
                <w:szCs w:val="18"/>
                <w:lang w:val="en-US"/>
              </w:rPr>
              <w:t>3 (60.0%)</w:t>
            </w:r>
          </w:p>
          <w:p w14:paraId="385674CF" w14:textId="77777777" w:rsidR="00AD4742" w:rsidRDefault="00AD4742">
            <w:pPr>
              <w:rPr>
                <w:rFonts w:cs="Arial"/>
                <w:sz w:val="18"/>
                <w:szCs w:val="18"/>
                <w:lang w:val="en-US"/>
              </w:rPr>
            </w:pPr>
            <w:r>
              <w:rPr>
                <w:rFonts w:cs="Arial"/>
                <w:sz w:val="18"/>
                <w:szCs w:val="18"/>
                <w:lang w:val="en-US"/>
              </w:rPr>
              <w:t>0 (0.0%)</w:t>
            </w:r>
          </w:p>
          <w:p w14:paraId="67CC0429" w14:textId="77777777" w:rsidR="00AD4742" w:rsidRDefault="00AD4742">
            <w:pPr>
              <w:rPr>
                <w:rFonts w:cs="Arial"/>
                <w:sz w:val="18"/>
                <w:szCs w:val="18"/>
                <w:lang w:val="en-US"/>
              </w:rPr>
            </w:pPr>
            <w:r>
              <w:rPr>
                <w:rFonts w:cs="Arial"/>
                <w:sz w:val="18"/>
                <w:szCs w:val="18"/>
                <w:lang w:val="en-US"/>
              </w:rPr>
              <w:t>2 (40.0%)</w:t>
            </w:r>
          </w:p>
        </w:tc>
        <w:tc>
          <w:tcPr>
            <w:tcW w:w="1559" w:type="dxa"/>
            <w:tcBorders>
              <w:top w:val="single" w:sz="4" w:space="0" w:color="auto"/>
              <w:left w:val="single" w:sz="4" w:space="0" w:color="auto"/>
              <w:bottom w:val="single" w:sz="4" w:space="0" w:color="auto"/>
              <w:right w:val="single" w:sz="4" w:space="0" w:color="auto"/>
            </w:tcBorders>
          </w:tcPr>
          <w:p w14:paraId="18C8865E" w14:textId="77777777" w:rsidR="00AD4742" w:rsidRDefault="00AD4742">
            <w:pPr>
              <w:rPr>
                <w:rFonts w:cs="Arial"/>
                <w:sz w:val="18"/>
                <w:szCs w:val="18"/>
                <w:lang w:val="en-US"/>
              </w:rPr>
            </w:pPr>
          </w:p>
          <w:p w14:paraId="5FD78615" w14:textId="77777777" w:rsidR="00AD4742" w:rsidRDefault="00AD4742">
            <w:pPr>
              <w:rPr>
                <w:rFonts w:cs="Arial"/>
                <w:sz w:val="18"/>
                <w:szCs w:val="18"/>
                <w:lang w:val="en-US"/>
              </w:rPr>
            </w:pPr>
            <w:r>
              <w:rPr>
                <w:rFonts w:cs="Arial"/>
                <w:sz w:val="18"/>
                <w:szCs w:val="18"/>
                <w:lang w:val="en-US"/>
              </w:rPr>
              <w:t>53 (86.9%)</w:t>
            </w:r>
          </w:p>
          <w:p w14:paraId="6A3FCDD6" w14:textId="77777777" w:rsidR="00AD4742" w:rsidRDefault="00AD4742">
            <w:pPr>
              <w:rPr>
                <w:rFonts w:cs="Arial"/>
                <w:sz w:val="18"/>
                <w:szCs w:val="18"/>
                <w:lang w:val="en-US"/>
              </w:rPr>
            </w:pPr>
            <w:r>
              <w:rPr>
                <w:rFonts w:cs="Arial"/>
                <w:sz w:val="18"/>
                <w:szCs w:val="18"/>
                <w:lang w:val="en-US"/>
              </w:rPr>
              <w:t>0 (0.0%)</w:t>
            </w:r>
          </w:p>
          <w:p w14:paraId="2CC86E66" w14:textId="77777777" w:rsidR="00AD4742" w:rsidRDefault="00AD4742">
            <w:pPr>
              <w:rPr>
                <w:rFonts w:cs="Arial"/>
                <w:sz w:val="18"/>
                <w:szCs w:val="18"/>
                <w:lang w:val="en-US"/>
              </w:rPr>
            </w:pPr>
            <w:r>
              <w:rPr>
                <w:rFonts w:cs="Arial"/>
                <w:sz w:val="18"/>
                <w:szCs w:val="18"/>
                <w:lang w:val="en-US"/>
              </w:rPr>
              <w:t>8 (13.1%)</w:t>
            </w:r>
          </w:p>
        </w:tc>
        <w:tc>
          <w:tcPr>
            <w:tcW w:w="1701" w:type="dxa"/>
            <w:tcBorders>
              <w:top w:val="single" w:sz="4" w:space="0" w:color="auto"/>
              <w:left w:val="single" w:sz="4" w:space="0" w:color="auto"/>
              <w:bottom w:val="single" w:sz="4" w:space="0" w:color="auto"/>
              <w:right w:val="single" w:sz="4" w:space="0" w:color="auto"/>
            </w:tcBorders>
          </w:tcPr>
          <w:p w14:paraId="204008DC" w14:textId="77777777" w:rsidR="00AD4742" w:rsidRDefault="00AD4742">
            <w:pPr>
              <w:rPr>
                <w:rFonts w:cs="Arial"/>
                <w:sz w:val="18"/>
                <w:szCs w:val="18"/>
                <w:lang w:val="en-US"/>
              </w:rPr>
            </w:pPr>
          </w:p>
          <w:p w14:paraId="53A0B68A" w14:textId="77777777" w:rsidR="00AD4742" w:rsidRDefault="00AD4742">
            <w:pPr>
              <w:tabs>
                <w:tab w:val="center" w:pos="895"/>
              </w:tabs>
              <w:rPr>
                <w:rFonts w:cs="Arial"/>
                <w:sz w:val="18"/>
                <w:szCs w:val="18"/>
                <w:lang w:val="en-US"/>
              </w:rPr>
            </w:pPr>
            <w:r>
              <w:rPr>
                <w:rFonts w:cs="Arial"/>
                <w:sz w:val="18"/>
                <w:szCs w:val="18"/>
                <w:lang w:val="en-US"/>
              </w:rPr>
              <w:t>62 (64.6%)</w:t>
            </w:r>
          </w:p>
          <w:p w14:paraId="5787A512" w14:textId="77777777" w:rsidR="00AD4742" w:rsidRDefault="00AD4742">
            <w:pPr>
              <w:rPr>
                <w:rFonts w:cs="Arial"/>
                <w:sz w:val="18"/>
                <w:szCs w:val="18"/>
                <w:lang w:val="en-US"/>
              </w:rPr>
            </w:pPr>
            <w:r>
              <w:rPr>
                <w:rFonts w:cs="Arial"/>
                <w:sz w:val="18"/>
                <w:szCs w:val="18"/>
                <w:lang w:val="en-US"/>
              </w:rPr>
              <w:t>14 (14.9%)</w:t>
            </w:r>
          </w:p>
          <w:p w14:paraId="09D494AF" w14:textId="77777777" w:rsidR="00AD4742" w:rsidRDefault="00AD4742">
            <w:pPr>
              <w:rPr>
                <w:rFonts w:cs="Arial"/>
                <w:sz w:val="18"/>
                <w:szCs w:val="18"/>
                <w:lang w:val="en-US"/>
              </w:rPr>
            </w:pPr>
            <w:r>
              <w:rPr>
                <w:rFonts w:cs="Arial"/>
                <w:sz w:val="18"/>
                <w:szCs w:val="18"/>
                <w:lang w:val="en-US"/>
              </w:rPr>
              <w:t>20 (20.8%)</w:t>
            </w:r>
          </w:p>
        </w:tc>
      </w:tr>
      <w:tr w:rsidR="00AD4742" w14:paraId="6784CF66" w14:textId="77777777" w:rsidTr="00AD4742">
        <w:trPr>
          <w:trHeight w:val="793"/>
        </w:trPr>
        <w:tc>
          <w:tcPr>
            <w:tcW w:w="2268" w:type="dxa"/>
            <w:tcBorders>
              <w:top w:val="single" w:sz="4" w:space="0" w:color="auto"/>
              <w:left w:val="single" w:sz="4" w:space="0" w:color="auto"/>
              <w:bottom w:val="single" w:sz="4" w:space="0" w:color="auto"/>
              <w:right w:val="single" w:sz="4" w:space="0" w:color="auto"/>
            </w:tcBorders>
            <w:hideMark/>
          </w:tcPr>
          <w:p w14:paraId="56253F07" w14:textId="77777777" w:rsidR="00AD4742" w:rsidRDefault="00AD4742">
            <w:pPr>
              <w:rPr>
                <w:rFonts w:cs="Arial"/>
                <w:sz w:val="18"/>
                <w:szCs w:val="18"/>
                <w:vertAlign w:val="superscript"/>
                <w:lang w:val="en-US"/>
              </w:rPr>
            </w:pPr>
            <w:proofErr w:type="spellStart"/>
            <w:r>
              <w:rPr>
                <w:rFonts w:cs="Arial"/>
                <w:sz w:val="18"/>
                <w:szCs w:val="18"/>
                <w:lang w:val="en-US"/>
              </w:rPr>
              <w:t>ReSViNET</w:t>
            </w:r>
            <w:proofErr w:type="spellEnd"/>
            <w:r>
              <w:rPr>
                <w:rFonts w:cs="Arial"/>
                <w:sz w:val="18"/>
                <w:szCs w:val="18"/>
                <w:lang w:val="en-US"/>
              </w:rPr>
              <w:t xml:space="preserve"> </w:t>
            </w:r>
            <w:proofErr w:type="spellStart"/>
            <w:r>
              <w:rPr>
                <w:rFonts w:cs="Arial"/>
                <w:sz w:val="18"/>
                <w:szCs w:val="18"/>
                <w:lang w:val="en-US"/>
              </w:rPr>
              <w:t>score</w:t>
            </w:r>
            <w:r>
              <w:rPr>
                <w:rFonts w:cs="Arial"/>
                <w:sz w:val="18"/>
                <w:szCs w:val="18"/>
                <w:vertAlign w:val="superscript"/>
                <w:lang w:val="en-US"/>
              </w:rPr>
              <w:t>f</w:t>
            </w:r>
            <w:proofErr w:type="spellEnd"/>
          </w:p>
          <w:p w14:paraId="6DEFE58D" w14:textId="77777777" w:rsidR="00AD4742" w:rsidRDefault="00AD4742">
            <w:pPr>
              <w:rPr>
                <w:rFonts w:cs="Arial"/>
                <w:sz w:val="18"/>
                <w:szCs w:val="18"/>
                <w:lang w:val="en-US"/>
              </w:rPr>
            </w:pPr>
            <w:r>
              <w:rPr>
                <w:rFonts w:cs="Arial"/>
                <w:sz w:val="18"/>
                <w:szCs w:val="18"/>
                <w:lang w:val="en-US"/>
              </w:rPr>
              <w:t>(median [IQR])</w:t>
            </w:r>
          </w:p>
        </w:tc>
        <w:tc>
          <w:tcPr>
            <w:tcW w:w="1985" w:type="dxa"/>
            <w:tcBorders>
              <w:top w:val="single" w:sz="4" w:space="0" w:color="auto"/>
              <w:left w:val="single" w:sz="4" w:space="0" w:color="auto"/>
              <w:bottom w:val="single" w:sz="4" w:space="0" w:color="auto"/>
              <w:right w:val="single" w:sz="4" w:space="0" w:color="auto"/>
            </w:tcBorders>
          </w:tcPr>
          <w:p w14:paraId="274655A6" w14:textId="77777777" w:rsidR="00AD4742" w:rsidRDefault="00AD4742">
            <w:pPr>
              <w:rPr>
                <w:rFonts w:cs="Arial"/>
                <w:sz w:val="18"/>
                <w:szCs w:val="18"/>
                <w:lang w:val="en-US"/>
              </w:rPr>
            </w:pPr>
          </w:p>
          <w:p w14:paraId="50508BDC" w14:textId="77777777" w:rsidR="00AD4742" w:rsidRDefault="00AD4742">
            <w:pPr>
              <w:rPr>
                <w:rFonts w:cs="Arial"/>
                <w:sz w:val="18"/>
                <w:szCs w:val="18"/>
                <w:lang w:val="en-US"/>
              </w:rPr>
            </w:pPr>
            <w:r>
              <w:rPr>
                <w:rFonts w:cs="Arial"/>
                <w:sz w:val="18"/>
                <w:szCs w:val="18"/>
                <w:lang w:val="en-US"/>
              </w:rPr>
              <w:t>3 [1-6]</w:t>
            </w:r>
          </w:p>
        </w:tc>
        <w:tc>
          <w:tcPr>
            <w:tcW w:w="1701" w:type="dxa"/>
            <w:tcBorders>
              <w:top w:val="single" w:sz="4" w:space="0" w:color="auto"/>
              <w:left w:val="single" w:sz="4" w:space="0" w:color="auto"/>
              <w:bottom w:val="single" w:sz="4" w:space="0" w:color="auto"/>
              <w:right w:val="single" w:sz="4" w:space="0" w:color="auto"/>
            </w:tcBorders>
          </w:tcPr>
          <w:p w14:paraId="3D12467F" w14:textId="77777777" w:rsidR="00AD4742" w:rsidRDefault="00AD4742">
            <w:pPr>
              <w:rPr>
                <w:rFonts w:cs="Arial"/>
                <w:sz w:val="18"/>
                <w:szCs w:val="18"/>
                <w:lang w:val="en-US"/>
              </w:rPr>
            </w:pPr>
          </w:p>
          <w:p w14:paraId="01274C3C" w14:textId="77777777" w:rsidR="00AD4742" w:rsidRDefault="00AD4742">
            <w:pPr>
              <w:rPr>
                <w:rFonts w:cs="Arial"/>
                <w:sz w:val="18"/>
                <w:szCs w:val="18"/>
                <w:lang w:val="en-US"/>
              </w:rPr>
            </w:pPr>
            <w:r>
              <w:rPr>
                <w:rFonts w:cs="Arial"/>
                <w:sz w:val="18"/>
                <w:szCs w:val="18"/>
                <w:lang w:val="en-US"/>
              </w:rPr>
              <w:t>6 [5-16]</w:t>
            </w:r>
          </w:p>
        </w:tc>
        <w:tc>
          <w:tcPr>
            <w:tcW w:w="1559" w:type="dxa"/>
            <w:tcBorders>
              <w:top w:val="single" w:sz="4" w:space="0" w:color="auto"/>
              <w:left w:val="single" w:sz="4" w:space="0" w:color="auto"/>
              <w:bottom w:val="single" w:sz="4" w:space="0" w:color="auto"/>
              <w:right w:val="single" w:sz="4" w:space="0" w:color="auto"/>
            </w:tcBorders>
          </w:tcPr>
          <w:p w14:paraId="5BA441F5" w14:textId="77777777" w:rsidR="00AD4742" w:rsidRDefault="00AD4742">
            <w:pPr>
              <w:rPr>
                <w:rFonts w:cs="Arial"/>
                <w:sz w:val="18"/>
                <w:szCs w:val="18"/>
                <w:lang w:val="en-US"/>
              </w:rPr>
            </w:pPr>
          </w:p>
          <w:p w14:paraId="47833BA1" w14:textId="77777777" w:rsidR="00AD4742" w:rsidRDefault="00AD4742">
            <w:pPr>
              <w:rPr>
                <w:rFonts w:cs="Arial"/>
                <w:sz w:val="18"/>
                <w:szCs w:val="18"/>
                <w:lang w:val="en-US"/>
              </w:rPr>
            </w:pPr>
            <w:r>
              <w:rPr>
                <w:rFonts w:cs="Arial"/>
                <w:sz w:val="18"/>
                <w:szCs w:val="18"/>
                <w:lang w:val="en-US"/>
              </w:rPr>
              <w:t>5 [3-9]</w:t>
            </w:r>
          </w:p>
        </w:tc>
        <w:tc>
          <w:tcPr>
            <w:tcW w:w="1701" w:type="dxa"/>
            <w:tcBorders>
              <w:top w:val="single" w:sz="4" w:space="0" w:color="auto"/>
              <w:left w:val="single" w:sz="4" w:space="0" w:color="auto"/>
              <w:bottom w:val="single" w:sz="4" w:space="0" w:color="auto"/>
              <w:right w:val="single" w:sz="4" w:space="0" w:color="auto"/>
            </w:tcBorders>
          </w:tcPr>
          <w:p w14:paraId="10937CD0" w14:textId="77777777" w:rsidR="00AD4742" w:rsidRDefault="00AD4742">
            <w:pPr>
              <w:rPr>
                <w:rFonts w:cs="Arial"/>
                <w:sz w:val="18"/>
                <w:szCs w:val="18"/>
                <w:lang w:val="en-US"/>
              </w:rPr>
            </w:pPr>
          </w:p>
          <w:p w14:paraId="0527EB91" w14:textId="77777777" w:rsidR="00AD4742" w:rsidRDefault="00AD4742">
            <w:pPr>
              <w:rPr>
                <w:rFonts w:cs="Arial"/>
                <w:sz w:val="18"/>
                <w:szCs w:val="18"/>
                <w:lang w:val="en-US"/>
              </w:rPr>
            </w:pPr>
            <w:r>
              <w:rPr>
                <w:rFonts w:cs="Arial"/>
                <w:sz w:val="18"/>
                <w:szCs w:val="18"/>
                <w:lang w:val="en-US"/>
              </w:rPr>
              <w:t>1 [1-3]</w:t>
            </w:r>
          </w:p>
        </w:tc>
      </w:tr>
      <w:tr w:rsidR="00AD4742" w14:paraId="3C092CF3" w14:textId="77777777" w:rsidTr="00AD4742">
        <w:trPr>
          <w:trHeight w:val="808"/>
        </w:trPr>
        <w:tc>
          <w:tcPr>
            <w:tcW w:w="2268" w:type="dxa"/>
            <w:tcBorders>
              <w:top w:val="single" w:sz="4" w:space="0" w:color="auto"/>
              <w:left w:val="single" w:sz="4" w:space="0" w:color="auto"/>
              <w:bottom w:val="single" w:sz="4" w:space="0" w:color="auto"/>
              <w:right w:val="single" w:sz="4" w:space="0" w:color="auto"/>
            </w:tcBorders>
            <w:hideMark/>
          </w:tcPr>
          <w:p w14:paraId="6D155EF5" w14:textId="77777777" w:rsidR="00AD4742" w:rsidRDefault="00AD4742">
            <w:pPr>
              <w:rPr>
                <w:rFonts w:cs="Arial"/>
                <w:sz w:val="18"/>
                <w:szCs w:val="18"/>
                <w:lang w:val="en-US"/>
              </w:rPr>
            </w:pPr>
            <w:r>
              <w:rPr>
                <w:rFonts w:cs="Arial"/>
                <w:sz w:val="18"/>
                <w:szCs w:val="18"/>
                <w:lang w:val="en-US"/>
              </w:rPr>
              <w:t>Reference test  (n, (%))</w:t>
            </w:r>
          </w:p>
          <w:p w14:paraId="67E8D436" w14:textId="77777777" w:rsidR="00AD4742" w:rsidRDefault="00AD4742">
            <w:pPr>
              <w:rPr>
                <w:rFonts w:cs="Arial"/>
                <w:sz w:val="18"/>
                <w:szCs w:val="18"/>
                <w:lang w:val="en-US"/>
              </w:rPr>
            </w:pPr>
            <w:r>
              <w:rPr>
                <w:rFonts w:cs="Arial"/>
                <w:sz w:val="18"/>
                <w:szCs w:val="18"/>
                <w:lang w:val="en-US"/>
              </w:rPr>
              <w:tab/>
              <w:t xml:space="preserve">Alere </w:t>
            </w:r>
            <w:proofErr w:type="spellStart"/>
            <w:r>
              <w:rPr>
                <w:rFonts w:cs="Arial"/>
                <w:sz w:val="18"/>
                <w:szCs w:val="18"/>
                <w:lang w:val="en-US"/>
              </w:rPr>
              <w:t>i</w:t>
            </w:r>
            <w:proofErr w:type="spellEnd"/>
            <w:r>
              <w:rPr>
                <w:rFonts w:cs="Arial"/>
                <w:sz w:val="18"/>
                <w:szCs w:val="18"/>
                <w:lang w:val="en-US"/>
              </w:rPr>
              <w:t xml:space="preserve"> RSV</w:t>
            </w:r>
          </w:p>
          <w:p w14:paraId="6A221B84" w14:textId="77777777" w:rsidR="00AD4742" w:rsidRDefault="00AD4742">
            <w:pPr>
              <w:spacing w:line="240" w:lineRule="auto"/>
              <w:rPr>
                <w:rFonts w:cs="Arial"/>
                <w:sz w:val="18"/>
                <w:szCs w:val="18"/>
                <w:lang w:val="en-US"/>
              </w:rPr>
            </w:pPr>
            <w:r>
              <w:rPr>
                <w:rFonts w:cs="Arial"/>
                <w:sz w:val="18"/>
                <w:szCs w:val="18"/>
                <w:lang w:val="en-US"/>
              </w:rPr>
              <w:tab/>
            </w:r>
          </w:p>
          <w:p w14:paraId="3986997B" w14:textId="77777777" w:rsidR="00AD4742" w:rsidRDefault="00AD4742">
            <w:pPr>
              <w:spacing w:line="240" w:lineRule="auto"/>
              <w:rPr>
                <w:rFonts w:cs="Arial"/>
                <w:sz w:val="18"/>
                <w:szCs w:val="18"/>
                <w:lang w:val="en-US"/>
              </w:rPr>
            </w:pPr>
            <w:r>
              <w:rPr>
                <w:rFonts w:cs="Arial"/>
                <w:sz w:val="18"/>
                <w:szCs w:val="18"/>
                <w:lang w:val="en-US"/>
              </w:rPr>
              <w:tab/>
            </w:r>
            <w:proofErr w:type="spellStart"/>
            <w:r>
              <w:rPr>
                <w:rFonts w:cs="Arial"/>
                <w:sz w:val="18"/>
                <w:szCs w:val="18"/>
                <w:lang w:val="en-US"/>
              </w:rPr>
              <w:t>Xpert</w:t>
            </w:r>
            <w:proofErr w:type="spellEnd"/>
            <w:r>
              <w:rPr>
                <w:rFonts w:cs="Arial"/>
                <w:sz w:val="18"/>
                <w:szCs w:val="18"/>
                <w:lang w:val="en-US"/>
              </w:rPr>
              <w:t xml:space="preserve"> Xpress </w:t>
            </w:r>
            <w:r>
              <w:rPr>
                <w:rFonts w:cs="Arial"/>
                <w:sz w:val="18"/>
                <w:szCs w:val="18"/>
                <w:lang w:val="en-US"/>
              </w:rPr>
              <w:tab/>
              <w:t>Flu/RSV</w:t>
            </w:r>
          </w:p>
        </w:tc>
        <w:tc>
          <w:tcPr>
            <w:tcW w:w="1985" w:type="dxa"/>
            <w:tcBorders>
              <w:top w:val="single" w:sz="4" w:space="0" w:color="auto"/>
              <w:left w:val="single" w:sz="4" w:space="0" w:color="auto"/>
              <w:bottom w:val="single" w:sz="4" w:space="0" w:color="auto"/>
              <w:right w:val="single" w:sz="4" w:space="0" w:color="auto"/>
            </w:tcBorders>
          </w:tcPr>
          <w:p w14:paraId="7BBAC731" w14:textId="77777777" w:rsidR="00AD4742" w:rsidRDefault="00AD4742">
            <w:pPr>
              <w:rPr>
                <w:rFonts w:cs="Arial"/>
                <w:sz w:val="18"/>
                <w:szCs w:val="18"/>
                <w:lang w:val="en-US"/>
              </w:rPr>
            </w:pPr>
          </w:p>
          <w:p w14:paraId="477895E4" w14:textId="77777777" w:rsidR="00AD4742" w:rsidRDefault="00AD4742">
            <w:pPr>
              <w:rPr>
                <w:rFonts w:cs="Arial"/>
                <w:sz w:val="18"/>
                <w:szCs w:val="18"/>
                <w:lang w:val="en-US"/>
              </w:rPr>
            </w:pPr>
            <w:r>
              <w:rPr>
                <w:rFonts w:cs="Arial"/>
                <w:sz w:val="18"/>
                <w:szCs w:val="18"/>
                <w:lang w:val="en-US"/>
              </w:rPr>
              <w:t>120 (74.1%)</w:t>
            </w:r>
          </w:p>
          <w:p w14:paraId="781B25AA" w14:textId="77777777" w:rsidR="00AD4742" w:rsidRDefault="00AD4742">
            <w:pPr>
              <w:rPr>
                <w:rFonts w:cs="Arial"/>
                <w:sz w:val="18"/>
                <w:szCs w:val="18"/>
                <w:lang w:val="en-US"/>
              </w:rPr>
            </w:pPr>
          </w:p>
          <w:p w14:paraId="4480E2CB" w14:textId="77777777" w:rsidR="00AD4742" w:rsidRDefault="00AD4742">
            <w:pPr>
              <w:rPr>
                <w:rFonts w:cs="Arial"/>
                <w:sz w:val="18"/>
                <w:szCs w:val="18"/>
                <w:lang w:val="en-US"/>
              </w:rPr>
            </w:pPr>
            <w:r>
              <w:rPr>
                <w:rFonts w:cs="Arial"/>
                <w:sz w:val="18"/>
                <w:szCs w:val="18"/>
                <w:lang w:val="en-US"/>
              </w:rPr>
              <w:t>42 (25.9%)</w:t>
            </w:r>
          </w:p>
        </w:tc>
        <w:tc>
          <w:tcPr>
            <w:tcW w:w="1701" w:type="dxa"/>
            <w:tcBorders>
              <w:top w:val="single" w:sz="4" w:space="0" w:color="auto"/>
              <w:left w:val="single" w:sz="4" w:space="0" w:color="auto"/>
              <w:bottom w:val="single" w:sz="4" w:space="0" w:color="auto"/>
              <w:right w:val="single" w:sz="4" w:space="0" w:color="auto"/>
            </w:tcBorders>
          </w:tcPr>
          <w:p w14:paraId="1F895F4A" w14:textId="77777777" w:rsidR="00AD4742" w:rsidRDefault="00AD4742">
            <w:pPr>
              <w:rPr>
                <w:rFonts w:cs="Arial"/>
                <w:sz w:val="18"/>
                <w:szCs w:val="18"/>
                <w:lang w:val="en-US"/>
              </w:rPr>
            </w:pPr>
          </w:p>
          <w:p w14:paraId="74194FAE" w14:textId="77777777" w:rsidR="00AD4742" w:rsidRDefault="00AD4742">
            <w:pPr>
              <w:rPr>
                <w:rFonts w:cs="Arial"/>
                <w:sz w:val="18"/>
                <w:szCs w:val="18"/>
                <w:lang w:val="en-US"/>
              </w:rPr>
            </w:pPr>
            <w:r>
              <w:rPr>
                <w:rFonts w:cs="Arial"/>
                <w:sz w:val="18"/>
                <w:szCs w:val="18"/>
                <w:lang w:val="en-US"/>
              </w:rPr>
              <w:t>5 (100.0%)</w:t>
            </w:r>
          </w:p>
          <w:p w14:paraId="0A12B017" w14:textId="77777777" w:rsidR="00AD4742" w:rsidRDefault="00AD4742">
            <w:pPr>
              <w:rPr>
                <w:rFonts w:cs="Arial"/>
                <w:sz w:val="18"/>
                <w:szCs w:val="18"/>
                <w:lang w:val="en-US"/>
              </w:rPr>
            </w:pPr>
          </w:p>
          <w:p w14:paraId="09FA08CC" w14:textId="77777777" w:rsidR="00AD4742" w:rsidRDefault="00AD4742">
            <w:pPr>
              <w:rPr>
                <w:rFonts w:cs="Arial"/>
                <w:sz w:val="18"/>
                <w:szCs w:val="18"/>
                <w:lang w:val="en-US"/>
              </w:rPr>
            </w:pPr>
            <w:r>
              <w:rPr>
                <w:rFonts w:cs="Arial"/>
                <w:sz w:val="18"/>
                <w:szCs w:val="18"/>
                <w:lang w:val="en-US"/>
              </w:rPr>
              <w:t>0 (0.0%)</w:t>
            </w:r>
          </w:p>
        </w:tc>
        <w:tc>
          <w:tcPr>
            <w:tcW w:w="1559" w:type="dxa"/>
            <w:tcBorders>
              <w:top w:val="single" w:sz="4" w:space="0" w:color="auto"/>
              <w:left w:val="single" w:sz="4" w:space="0" w:color="auto"/>
              <w:bottom w:val="single" w:sz="4" w:space="0" w:color="auto"/>
              <w:right w:val="single" w:sz="4" w:space="0" w:color="auto"/>
            </w:tcBorders>
          </w:tcPr>
          <w:p w14:paraId="5830348D" w14:textId="77777777" w:rsidR="00AD4742" w:rsidRDefault="00AD4742">
            <w:pPr>
              <w:rPr>
                <w:rFonts w:cs="Arial"/>
                <w:sz w:val="18"/>
                <w:szCs w:val="18"/>
                <w:lang w:val="en-US"/>
              </w:rPr>
            </w:pPr>
          </w:p>
          <w:p w14:paraId="4C5CF923" w14:textId="77777777" w:rsidR="00AD4742" w:rsidRDefault="00AD4742">
            <w:pPr>
              <w:rPr>
                <w:rFonts w:cs="Arial"/>
                <w:sz w:val="18"/>
                <w:szCs w:val="18"/>
                <w:lang w:val="en-US"/>
              </w:rPr>
            </w:pPr>
            <w:r>
              <w:rPr>
                <w:rFonts w:cs="Arial"/>
                <w:sz w:val="18"/>
                <w:szCs w:val="18"/>
                <w:lang w:val="en-US"/>
              </w:rPr>
              <w:t>32 (52.5%)</w:t>
            </w:r>
          </w:p>
          <w:p w14:paraId="25CE8D7B" w14:textId="77777777" w:rsidR="00AD4742" w:rsidRDefault="00AD4742">
            <w:pPr>
              <w:rPr>
                <w:rFonts w:cs="Arial"/>
                <w:sz w:val="18"/>
                <w:szCs w:val="18"/>
                <w:lang w:val="en-US"/>
              </w:rPr>
            </w:pPr>
          </w:p>
          <w:p w14:paraId="00167264" w14:textId="77777777" w:rsidR="00AD4742" w:rsidRDefault="00AD4742">
            <w:pPr>
              <w:rPr>
                <w:rFonts w:cs="Arial"/>
                <w:sz w:val="18"/>
                <w:szCs w:val="18"/>
                <w:lang w:val="en-US"/>
              </w:rPr>
            </w:pPr>
            <w:r>
              <w:rPr>
                <w:rFonts w:cs="Arial"/>
                <w:sz w:val="18"/>
                <w:szCs w:val="18"/>
                <w:lang w:val="en-US"/>
              </w:rPr>
              <w:t>29 (47.5%)</w:t>
            </w:r>
          </w:p>
        </w:tc>
        <w:tc>
          <w:tcPr>
            <w:tcW w:w="1701" w:type="dxa"/>
            <w:tcBorders>
              <w:top w:val="single" w:sz="4" w:space="0" w:color="auto"/>
              <w:left w:val="single" w:sz="4" w:space="0" w:color="auto"/>
              <w:bottom w:val="single" w:sz="4" w:space="0" w:color="auto"/>
              <w:right w:val="single" w:sz="4" w:space="0" w:color="auto"/>
            </w:tcBorders>
          </w:tcPr>
          <w:p w14:paraId="782F1D79" w14:textId="77777777" w:rsidR="00AD4742" w:rsidRDefault="00AD4742">
            <w:pPr>
              <w:rPr>
                <w:rFonts w:cs="Arial"/>
                <w:sz w:val="18"/>
                <w:szCs w:val="18"/>
                <w:lang w:val="en-US"/>
              </w:rPr>
            </w:pPr>
          </w:p>
          <w:p w14:paraId="428A9F2C" w14:textId="77777777" w:rsidR="00AD4742" w:rsidRDefault="00AD4742">
            <w:pPr>
              <w:rPr>
                <w:rFonts w:cs="Arial"/>
                <w:sz w:val="18"/>
                <w:szCs w:val="18"/>
                <w:lang w:val="en-US"/>
              </w:rPr>
            </w:pPr>
            <w:r>
              <w:rPr>
                <w:rFonts w:cs="Arial"/>
                <w:sz w:val="18"/>
                <w:szCs w:val="18"/>
                <w:lang w:val="en-US"/>
              </w:rPr>
              <w:t>83 (86.5%)</w:t>
            </w:r>
          </w:p>
          <w:p w14:paraId="5B0937F8" w14:textId="77777777" w:rsidR="00AD4742" w:rsidRDefault="00AD4742">
            <w:pPr>
              <w:rPr>
                <w:rFonts w:cs="Arial"/>
                <w:sz w:val="18"/>
                <w:szCs w:val="18"/>
                <w:lang w:val="en-US"/>
              </w:rPr>
            </w:pPr>
          </w:p>
          <w:p w14:paraId="0BB50EE5" w14:textId="77777777" w:rsidR="00AD4742" w:rsidRDefault="00AD4742">
            <w:pPr>
              <w:rPr>
                <w:rFonts w:cs="Arial"/>
                <w:sz w:val="18"/>
                <w:szCs w:val="18"/>
                <w:lang w:val="en-US"/>
              </w:rPr>
            </w:pPr>
            <w:r>
              <w:rPr>
                <w:rFonts w:cs="Arial"/>
                <w:sz w:val="18"/>
                <w:szCs w:val="18"/>
                <w:lang w:val="en-US"/>
              </w:rPr>
              <w:t>13 (13.5%)</w:t>
            </w:r>
          </w:p>
        </w:tc>
      </w:tr>
    </w:tbl>
    <w:p w14:paraId="470E443D" w14:textId="77777777" w:rsidR="00AD4742" w:rsidRDefault="00AD4742" w:rsidP="00AD4742">
      <w:pPr>
        <w:pStyle w:val="Caption"/>
        <w:rPr>
          <w:lang w:val="en-US"/>
        </w:rPr>
      </w:pPr>
      <w:r>
        <w:rPr>
          <w:lang w:val="en-US"/>
        </w:rPr>
        <w:t>Categorical data are expressed as frequency (%) and continuous data are expressed as median [interquartile range]. Percentages may not equal 100, because of rounding and missing values. P-values were not determined because of the low number of positive test results with BinaxNOW RSV.</w:t>
      </w:r>
    </w:p>
    <w:p w14:paraId="095CA976" w14:textId="77777777" w:rsidR="00AD4742" w:rsidRDefault="00AD4742" w:rsidP="00AD4742">
      <w:pPr>
        <w:pStyle w:val="Caption"/>
        <w:jc w:val="left"/>
        <w:rPr>
          <w:lang w:val="en-US"/>
        </w:rPr>
      </w:pPr>
      <w:bookmarkStart w:id="2" w:name="_Hlk4570456"/>
      <w:r>
        <w:rPr>
          <w:lang w:val="en-US"/>
        </w:rPr>
        <w:t>Abbreviations: ARTI, acute respiratory tract infection;</w:t>
      </w:r>
      <w:bookmarkEnd w:id="2"/>
      <w:r>
        <w:rPr>
          <w:lang w:val="en-US"/>
        </w:rPr>
        <w:t xml:space="preserve"> n, number of ARTI episodes; FN, false negative; MA-ARTI medically attended acute respiratory tract infection; PICU, pediatric intensive care unit; TN, true negative; TP, true positive; </w:t>
      </w:r>
      <w:r>
        <w:rPr>
          <w:lang w:val="en-US"/>
        </w:rPr>
        <w:br/>
      </w:r>
      <w:proofErr w:type="spellStart"/>
      <w:r>
        <w:rPr>
          <w:vertAlign w:val="superscript"/>
          <w:lang w:val="en-US"/>
        </w:rPr>
        <w:t>a</w:t>
      </w:r>
      <w:r>
        <w:rPr>
          <w:lang w:val="en-US"/>
        </w:rPr>
        <w:t>Alere</w:t>
      </w:r>
      <w:proofErr w:type="spellEnd"/>
      <w:r>
        <w:rPr>
          <w:lang w:val="en-US"/>
        </w:rPr>
        <w:t xml:space="preserve"> </w:t>
      </w:r>
      <w:proofErr w:type="spellStart"/>
      <w:r>
        <w:rPr>
          <w:lang w:val="en-US"/>
        </w:rPr>
        <w:t>i</w:t>
      </w:r>
      <w:proofErr w:type="spellEnd"/>
      <w:r>
        <w:rPr>
          <w:lang w:val="en-US"/>
        </w:rPr>
        <w:t xml:space="preserve"> RSV or </w:t>
      </w:r>
      <w:proofErr w:type="spellStart"/>
      <w:r>
        <w:rPr>
          <w:lang w:val="en-US"/>
        </w:rPr>
        <w:t>Xpert</w:t>
      </w:r>
      <w:proofErr w:type="spellEnd"/>
      <w:r>
        <w:rPr>
          <w:lang w:val="en-US"/>
        </w:rPr>
        <w:t xml:space="preserve"> Xpress Flu/RSV were used as reference test.</w:t>
      </w:r>
    </w:p>
    <w:p w14:paraId="42DDCA6A" w14:textId="77777777" w:rsidR="00AD4742" w:rsidRDefault="00AD4742" w:rsidP="00AD4742">
      <w:pPr>
        <w:pStyle w:val="Caption"/>
        <w:jc w:val="left"/>
        <w:rPr>
          <w:lang w:val="en-US"/>
        </w:rPr>
      </w:pPr>
      <w:r>
        <w:rPr>
          <w:vertAlign w:val="superscript"/>
          <w:lang w:val="en-US"/>
        </w:rPr>
        <w:t xml:space="preserve">b </w:t>
      </w:r>
      <w:r>
        <w:rPr>
          <w:lang w:val="en-US"/>
        </w:rPr>
        <w:t>Including ten males which were tested twice</w:t>
      </w:r>
    </w:p>
    <w:p w14:paraId="51AB2756" w14:textId="77777777" w:rsidR="00AD4742" w:rsidRDefault="00AD4742" w:rsidP="00AD4742">
      <w:pPr>
        <w:pStyle w:val="Caption"/>
        <w:jc w:val="left"/>
        <w:rPr>
          <w:lang w:val="en-US"/>
        </w:rPr>
      </w:pPr>
      <w:r>
        <w:rPr>
          <w:vertAlign w:val="superscript"/>
          <w:lang w:val="en-US"/>
        </w:rPr>
        <w:t xml:space="preserve">c </w:t>
      </w:r>
      <w:r>
        <w:rPr>
          <w:lang w:val="en-US"/>
        </w:rPr>
        <w:t>None of the infants with comorbidity were tested twice</w:t>
      </w:r>
    </w:p>
    <w:p w14:paraId="2E10FE7C" w14:textId="77777777" w:rsidR="00AD4742" w:rsidRPr="00AD4742" w:rsidRDefault="00AD4742" w:rsidP="00AD4742">
      <w:pPr>
        <w:pStyle w:val="Caption"/>
        <w:jc w:val="left"/>
        <w:rPr>
          <w:rStyle w:val="CommentReference"/>
          <w:iCs w:val="0"/>
          <w:color w:val="auto"/>
          <w:lang w:val="en-US"/>
        </w:rPr>
      </w:pPr>
      <w:r>
        <w:rPr>
          <w:vertAlign w:val="superscript"/>
          <w:lang w:val="en-US"/>
        </w:rPr>
        <w:t xml:space="preserve">d </w:t>
      </w:r>
      <w:r>
        <w:rPr>
          <w:lang w:val="en-US"/>
        </w:rPr>
        <w:t>Data available for 125 episodes</w:t>
      </w:r>
    </w:p>
    <w:p w14:paraId="5CFFB8A2" w14:textId="77777777" w:rsidR="00AD4742" w:rsidRPr="00AD4742" w:rsidRDefault="00AD4742" w:rsidP="00AD4742">
      <w:pPr>
        <w:pStyle w:val="Caption"/>
        <w:jc w:val="left"/>
        <w:rPr>
          <w:rFonts w:cs="Arial"/>
          <w:b/>
          <w:szCs w:val="20"/>
          <w:lang w:val="en-US"/>
        </w:rPr>
      </w:pPr>
      <w:r>
        <w:rPr>
          <w:vertAlign w:val="superscript"/>
          <w:lang w:val="en-US"/>
        </w:rPr>
        <w:t xml:space="preserve">e </w:t>
      </w:r>
      <w:r>
        <w:rPr>
          <w:lang w:val="en-US"/>
        </w:rPr>
        <w:t>Data available for 160 episodes</w:t>
      </w:r>
    </w:p>
    <w:p w14:paraId="595AF3AB" w14:textId="77777777" w:rsidR="00AD4742" w:rsidRDefault="00AD4742" w:rsidP="00AD4742">
      <w:pPr>
        <w:pStyle w:val="Caption"/>
        <w:jc w:val="left"/>
        <w:rPr>
          <w:lang w:val="en-US"/>
        </w:rPr>
      </w:pPr>
      <w:r>
        <w:rPr>
          <w:vertAlign w:val="superscript"/>
          <w:lang w:val="en-US"/>
        </w:rPr>
        <w:t xml:space="preserve">f </w:t>
      </w:r>
      <w:r>
        <w:rPr>
          <w:lang w:val="en-US"/>
        </w:rPr>
        <w:t>Data available for 99 episodes</w:t>
      </w:r>
      <w:bookmarkEnd w:id="1"/>
    </w:p>
    <w:p w14:paraId="2E003F21" w14:textId="77777777" w:rsidR="00AD4742" w:rsidRDefault="00AD4742" w:rsidP="00AD4742">
      <w:pPr>
        <w:pStyle w:val="Caption"/>
        <w:keepNext/>
        <w:rPr>
          <w:lang w:val="en-US"/>
        </w:rPr>
      </w:pPr>
      <w:r>
        <w:rPr>
          <w:lang w:val="en-US"/>
        </w:rPr>
        <w:lastRenderedPageBreak/>
        <w:t xml:space="preserve">Table </w:t>
      </w:r>
      <w:r>
        <w:rPr>
          <w:noProof/>
          <w:lang w:val="en-US"/>
        </w:rPr>
        <w:t>2</w:t>
      </w:r>
      <w:r>
        <w:rPr>
          <w:lang w:val="en-US"/>
        </w:rPr>
        <w:t>: Primary analysis of BinaxNOW</w:t>
      </w:r>
      <w:r>
        <w:rPr>
          <w:rFonts w:cs="Arial"/>
          <w:lang w:val="en-US"/>
        </w:rPr>
        <w:t xml:space="preserve">® </w:t>
      </w:r>
      <w:r>
        <w:rPr>
          <w:lang w:val="en-US"/>
        </w:rPr>
        <w:t xml:space="preserve">RSV performance. </w:t>
      </w:r>
    </w:p>
    <w:tbl>
      <w:tblPr>
        <w:tblStyle w:val="TableGrid"/>
        <w:tblW w:w="9063" w:type="dxa"/>
        <w:tblInd w:w="0" w:type="dxa"/>
        <w:tblLook w:val="04A0" w:firstRow="1" w:lastRow="0" w:firstColumn="1" w:lastColumn="0" w:noHBand="0" w:noVBand="1"/>
      </w:tblPr>
      <w:tblGrid>
        <w:gridCol w:w="2830"/>
        <w:gridCol w:w="1567"/>
        <w:gridCol w:w="1567"/>
        <w:gridCol w:w="1544"/>
        <w:gridCol w:w="1555"/>
      </w:tblGrid>
      <w:tr w:rsidR="00AD4742" w14:paraId="2952B705" w14:textId="77777777" w:rsidTr="00AD4742">
        <w:tc>
          <w:tcPr>
            <w:tcW w:w="2830" w:type="dxa"/>
            <w:tcBorders>
              <w:top w:val="single" w:sz="4" w:space="0" w:color="auto"/>
              <w:left w:val="single" w:sz="4" w:space="0" w:color="auto"/>
              <w:bottom w:val="single" w:sz="4" w:space="0" w:color="auto"/>
              <w:right w:val="single" w:sz="4" w:space="0" w:color="auto"/>
            </w:tcBorders>
          </w:tcPr>
          <w:p w14:paraId="5A82A16A" w14:textId="77777777" w:rsidR="00AD4742" w:rsidRDefault="00AD4742" w:rsidP="002941EC">
            <w:pPr>
              <w:spacing w:after="160" w:line="480" w:lineRule="auto"/>
              <w:jc w:val="left"/>
              <w:rPr>
                <w:rFonts w:cs="Arial"/>
                <w:szCs w:val="20"/>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607743D6" w14:textId="77777777" w:rsidR="00AD4742" w:rsidRDefault="00AD4742" w:rsidP="002941EC">
            <w:pPr>
              <w:spacing w:after="160" w:line="480" w:lineRule="auto"/>
              <w:jc w:val="left"/>
              <w:rPr>
                <w:rFonts w:cs="Arial"/>
                <w:szCs w:val="20"/>
              </w:rPr>
            </w:pPr>
            <w:r>
              <w:rPr>
                <w:rFonts w:cs="Arial"/>
                <w:szCs w:val="20"/>
                <w:lang w:val="en-GB"/>
              </w:rPr>
              <w:t>Sensitivity (%)</w:t>
            </w:r>
          </w:p>
        </w:tc>
        <w:tc>
          <w:tcPr>
            <w:tcW w:w="1567" w:type="dxa"/>
            <w:tcBorders>
              <w:top w:val="single" w:sz="4" w:space="0" w:color="auto"/>
              <w:left w:val="single" w:sz="4" w:space="0" w:color="auto"/>
              <w:bottom w:val="single" w:sz="4" w:space="0" w:color="auto"/>
              <w:right w:val="single" w:sz="4" w:space="0" w:color="auto"/>
            </w:tcBorders>
            <w:hideMark/>
          </w:tcPr>
          <w:p w14:paraId="5A724AE6" w14:textId="77777777" w:rsidR="00AD4742" w:rsidRDefault="00AD4742" w:rsidP="002941EC">
            <w:pPr>
              <w:spacing w:after="160" w:line="480" w:lineRule="auto"/>
              <w:jc w:val="left"/>
              <w:rPr>
                <w:rFonts w:cs="Arial"/>
                <w:szCs w:val="20"/>
              </w:rPr>
            </w:pPr>
            <w:r>
              <w:rPr>
                <w:rFonts w:cs="Arial"/>
                <w:szCs w:val="20"/>
                <w:lang w:val="en-GB"/>
              </w:rPr>
              <w:t>Specificity (%)</w:t>
            </w:r>
          </w:p>
        </w:tc>
        <w:tc>
          <w:tcPr>
            <w:tcW w:w="1544" w:type="dxa"/>
            <w:tcBorders>
              <w:top w:val="single" w:sz="4" w:space="0" w:color="auto"/>
              <w:left w:val="single" w:sz="4" w:space="0" w:color="auto"/>
              <w:bottom w:val="single" w:sz="4" w:space="0" w:color="auto"/>
              <w:right w:val="single" w:sz="4" w:space="0" w:color="auto"/>
            </w:tcBorders>
            <w:hideMark/>
          </w:tcPr>
          <w:p w14:paraId="6DB03171" w14:textId="77777777" w:rsidR="00AD4742" w:rsidRDefault="00AD4742" w:rsidP="002941EC">
            <w:pPr>
              <w:spacing w:after="160" w:line="480" w:lineRule="auto"/>
              <w:jc w:val="left"/>
              <w:rPr>
                <w:rFonts w:cs="Arial"/>
                <w:szCs w:val="20"/>
              </w:rPr>
            </w:pPr>
            <w:r>
              <w:rPr>
                <w:rFonts w:cs="Arial"/>
                <w:szCs w:val="20"/>
              </w:rPr>
              <w:t>PPV (%)</w:t>
            </w:r>
          </w:p>
        </w:tc>
        <w:tc>
          <w:tcPr>
            <w:tcW w:w="1555" w:type="dxa"/>
            <w:tcBorders>
              <w:top w:val="single" w:sz="4" w:space="0" w:color="auto"/>
              <w:left w:val="single" w:sz="4" w:space="0" w:color="auto"/>
              <w:bottom w:val="single" w:sz="4" w:space="0" w:color="auto"/>
              <w:right w:val="single" w:sz="4" w:space="0" w:color="auto"/>
            </w:tcBorders>
            <w:hideMark/>
          </w:tcPr>
          <w:p w14:paraId="1B65BEBA" w14:textId="77777777" w:rsidR="00AD4742" w:rsidRDefault="00AD4742" w:rsidP="002941EC">
            <w:pPr>
              <w:spacing w:after="160" w:line="480" w:lineRule="auto"/>
              <w:jc w:val="left"/>
              <w:rPr>
                <w:rFonts w:cs="Arial"/>
                <w:szCs w:val="20"/>
              </w:rPr>
            </w:pPr>
            <w:r>
              <w:rPr>
                <w:rFonts w:cs="Arial"/>
                <w:szCs w:val="20"/>
              </w:rPr>
              <w:t>NPV (%)</w:t>
            </w:r>
          </w:p>
        </w:tc>
      </w:tr>
      <w:tr w:rsidR="00AD4742" w14:paraId="4361FC5D" w14:textId="77777777" w:rsidTr="00AD4742">
        <w:tc>
          <w:tcPr>
            <w:tcW w:w="2830" w:type="dxa"/>
            <w:tcBorders>
              <w:top w:val="single" w:sz="4" w:space="0" w:color="auto"/>
              <w:left w:val="single" w:sz="4" w:space="0" w:color="auto"/>
              <w:bottom w:val="single" w:sz="4" w:space="0" w:color="auto"/>
              <w:right w:val="single" w:sz="4" w:space="0" w:color="auto"/>
            </w:tcBorders>
            <w:hideMark/>
          </w:tcPr>
          <w:p w14:paraId="6543FF4D" w14:textId="77777777" w:rsidR="00AD4742" w:rsidRDefault="00AD4742" w:rsidP="002941EC">
            <w:pPr>
              <w:spacing w:after="160" w:line="480" w:lineRule="auto"/>
              <w:jc w:val="left"/>
              <w:rPr>
                <w:rFonts w:cs="Arial"/>
                <w:szCs w:val="20"/>
                <w:lang w:val="en-US"/>
              </w:rPr>
            </w:pPr>
            <w:r>
              <w:rPr>
                <w:rFonts w:cs="Arial"/>
                <w:szCs w:val="20"/>
                <w:lang w:val="en-US"/>
              </w:rPr>
              <w:t>Primary analysis (n=162)</w:t>
            </w:r>
          </w:p>
          <w:p w14:paraId="7CA6078F" w14:textId="77777777" w:rsidR="00AD4742" w:rsidRDefault="00AD4742" w:rsidP="002941EC">
            <w:pPr>
              <w:spacing w:after="160" w:line="480" w:lineRule="auto"/>
              <w:jc w:val="left"/>
              <w:rPr>
                <w:rFonts w:cs="Arial"/>
                <w:i/>
                <w:szCs w:val="20"/>
                <w:lang w:val="en-US"/>
              </w:rPr>
            </w:pPr>
            <w:r>
              <w:rPr>
                <w:rFonts w:cs="Arial"/>
                <w:i/>
                <w:szCs w:val="20"/>
                <w:lang w:val="en-US"/>
              </w:rPr>
              <w:t>95% CI (%)</w:t>
            </w:r>
          </w:p>
        </w:tc>
        <w:tc>
          <w:tcPr>
            <w:tcW w:w="1567" w:type="dxa"/>
            <w:tcBorders>
              <w:top w:val="single" w:sz="4" w:space="0" w:color="auto"/>
              <w:left w:val="single" w:sz="4" w:space="0" w:color="auto"/>
              <w:bottom w:val="single" w:sz="4" w:space="0" w:color="auto"/>
              <w:right w:val="single" w:sz="4" w:space="0" w:color="auto"/>
            </w:tcBorders>
            <w:hideMark/>
          </w:tcPr>
          <w:p w14:paraId="087CE9F2" w14:textId="77777777" w:rsidR="00AD4742" w:rsidRDefault="00AD4742" w:rsidP="002941EC">
            <w:pPr>
              <w:spacing w:after="160" w:line="480" w:lineRule="auto"/>
              <w:jc w:val="left"/>
              <w:rPr>
                <w:rFonts w:cs="Arial"/>
                <w:szCs w:val="20"/>
                <w:lang w:val="en-US"/>
              </w:rPr>
            </w:pPr>
            <w:r>
              <w:rPr>
                <w:rFonts w:cs="Arial"/>
                <w:szCs w:val="20"/>
                <w:lang w:val="en-US"/>
              </w:rPr>
              <w:t>7.6 (5/66)</w:t>
            </w:r>
          </w:p>
          <w:p w14:paraId="3B279918" w14:textId="77777777" w:rsidR="00AD4742" w:rsidRDefault="00AD4742" w:rsidP="002941EC">
            <w:pPr>
              <w:spacing w:after="160" w:line="480" w:lineRule="auto"/>
              <w:jc w:val="left"/>
              <w:rPr>
                <w:rFonts w:cs="Arial"/>
                <w:i/>
                <w:szCs w:val="20"/>
                <w:lang w:val="en-US"/>
              </w:rPr>
            </w:pPr>
            <w:r>
              <w:rPr>
                <w:rFonts w:cs="Arial"/>
                <w:i/>
                <w:szCs w:val="20"/>
                <w:lang w:val="en-US"/>
              </w:rPr>
              <w:t>3.3-16.5</w:t>
            </w:r>
          </w:p>
        </w:tc>
        <w:tc>
          <w:tcPr>
            <w:tcW w:w="1567" w:type="dxa"/>
            <w:tcBorders>
              <w:top w:val="single" w:sz="4" w:space="0" w:color="auto"/>
              <w:left w:val="single" w:sz="4" w:space="0" w:color="auto"/>
              <w:bottom w:val="single" w:sz="4" w:space="0" w:color="auto"/>
              <w:right w:val="single" w:sz="4" w:space="0" w:color="auto"/>
            </w:tcBorders>
            <w:hideMark/>
          </w:tcPr>
          <w:p w14:paraId="7928FFB0" w14:textId="77777777" w:rsidR="00AD4742" w:rsidRDefault="00AD4742" w:rsidP="002941EC">
            <w:pPr>
              <w:spacing w:after="160" w:line="480" w:lineRule="auto"/>
              <w:jc w:val="left"/>
              <w:rPr>
                <w:rFonts w:cs="Arial"/>
                <w:szCs w:val="20"/>
              </w:rPr>
            </w:pPr>
            <w:r>
              <w:rPr>
                <w:rFonts w:cs="Arial"/>
                <w:szCs w:val="20"/>
              </w:rPr>
              <w:t>100 (96/96)</w:t>
            </w:r>
          </w:p>
          <w:p w14:paraId="34E5F834" w14:textId="77777777" w:rsidR="00AD4742" w:rsidRDefault="00AD4742" w:rsidP="002941EC">
            <w:pPr>
              <w:spacing w:after="160" w:line="480" w:lineRule="auto"/>
              <w:jc w:val="left"/>
              <w:rPr>
                <w:rFonts w:cs="Arial"/>
                <w:i/>
                <w:szCs w:val="20"/>
              </w:rPr>
            </w:pPr>
            <w:r>
              <w:rPr>
                <w:rFonts w:cs="Arial"/>
                <w:i/>
                <w:szCs w:val="20"/>
              </w:rPr>
              <w:t>96.2-100.0</w:t>
            </w:r>
          </w:p>
        </w:tc>
        <w:tc>
          <w:tcPr>
            <w:tcW w:w="1544" w:type="dxa"/>
            <w:tcBorders>
              <w:top w:val="single" w:sz="4" w:space="0" w:color="auto"/>
              <w:left w:val="single" w:sz="4" w:space="0" w:color="auto"/>
              <w:bottom w:val="single" w:sz="4" w:space="0" w:color="auto"/>
              <w:right w:val="single" w:sz="4" w:space="0" w:color="auto"/>
            </w:tcBorders>
            <w:hideMark/>
          </w:tcPr>
          <w:p w14:paraId="756FA0B4" w14:textId="77777777" w:rsidR="00AD4742" w:rsidRDefault="00AD4742" w:rsidP="002941EC">
            <w:pPr>
              <w:spacing w:after="160" w:line="480" w:lineRule="auto"/>
              <w:jc w:val="left"/>
              <w:rPr>
                <w:rFonts w:cs="Arial"/>
                <w:szCs w:val="20"/>
              </w:rPr>
            </w:pPr>
            <w:r>
              <w:rPr>
                <w:rFonts w:cs="Arial"/>
                <w:szCs w:val="20"/>
              </w:rPr>
              <w:t>100 (5/5)</w:t>
            </w:r>
          </w:p>
          <w:p w14:paraId="567513F9" w14:textId="77777777" w:rsidR="00AD4742" w:rsidRDefault="00AD4742" w:rsidP="002941EC">
            <w:pPr>
              <w:spacing w:after="160" w:line="480" w:lineRule="auto"/>
              <w:jc w:val="left"/>
              <w:rPr>
                <w:rFonts w:cs="Arial"/>
                <w:i/>
                <w:szCs w:val="20"/>
              </w:rPr>
            </w:pPr>
            <w:r>
              <w:rPr>
                <w:rFonts w:cs="Arial"/>
                <w:i/>
                <w:szCs w:val="20"/>
              </w:rPr>
              <w:t>56.6-100.0</w:t>
            </w:r>
          </w:p>
        </w:tc>
        <w:tc>
          <w:tcPr>
            <w:tcW w:w="1555" w:type="dxa"/>
            <w:tcBorders>
              <w:top w:val="single" w:sz="4" w:space="0" w:color="auto"/>
              <w:left w:val="single" w:sz="4" w:space="0" w:color="auto"/>
              <w:bottom w:val="single" w:sz="4" w:space="0" w:color="auto"/>
              <w:right w:val="single" w:sz="4" w:space="0" w:color="auto"/>
            </w:tcBorders>
            <w:hideMark/>
          </w:tcPr>
          <w:p w14:paraId="648C1797" w14:textId="77777777" w:rsidR="00AD4742" w:rsidRDefault="00AD4742" w:rsidP="002941EC">
            <w:pPr>
              <w:spacing w:after="160" w:line="480" w:lineRule="auto"/>
              <w:jc w:val="left"/>
              <w:rPr>
                <w:rFonts w:cs="Arial"/>
                <w:szCs w:val="20"/>
              </w:rPr>
            </w:pPr>
            <w:r>
              <w:rPr>
                <w:rFonts w:cs="Arial"/>
                <w:szCs w:val="20"/>
              </w:rPr>
              <w:t>61.1 (96/157)</w:t>
            </w:r>
          </w:p>
          <w:p w14:paraId="6D71D76A" w14:textId="77777777" w:rsidR="00AD4742" w:rsidRDefault="00AD4742" w:rsidP="002941EC">
            <w:pPr>
              <w:spacing w:after="160" w:line="480" w:lineRule="auto"/>
              <w:jc w:val="left"/>
              <w:rPr>
                <w:rFonts w:cs="Arial"/>
                <w:i/>
                <w:szCs w:val="20"/>
              </w:rPr>
            </w:pPr>
            <w:r>
              <w:rPr>
                <w:rFonts w:cs="Arial"/>
                <w:i/>
                <w:szCs w:val="20"/>
              </w:rPr>
              <w:t>54.3-68.4</w:t>
            </w:r>
          </w:p>
        </w:tc>
      </w:tr>
    </w:tbl>
    <w:p w14:paraId="211B4332" w14:textId="77777777" w:rsidR="00AD4742" w:rsidRDefault="00AD4742" w:rsidP="00AD4742">
      <w:pPr>
        <w:pStyle w:val="Caption"/>
        <w:rPr>
          <w:lang w:val="en-US"/>
        </w:rPr>
      </w:pPr>
      <w:r>
        <w:rPr>
          <w:lang w:val="en-US"/>
        </w:rPr>
        <w:t xml:space="preserve">Data are percentages (proportions) of BinaxNOW RSV test results compared to the reference test. </w:t>
      </w:r>
    </w:p>
    <w:p w14:paraId="2DED8C9D" w14:textId="77777777" w:rsidR="00AD4742" w:rsidRDefault="00AD4742" w:rsidP="00AD4742">
      <w:pPr>
        <w:pStyle w:val="Caption"/>
        <w:keepNext/>
        <w:rPr>
          <w:lang w:val="en-US"/>
        </w:rPr>
      </w:pPr>
      <w:r>
        <w:rPr>
          <w:lang w:val="en-US"/>
        </w:rPr>
        <w:t>Abbreviations: ; PPV, positive predictive value; NPV, negative predictive value; n, number of ARTI episodes; 95% CI, 95% confidence interval</w:t>
      </w:r>
    </w:p>
    <w:p w14:paraId="0B660A98" w14:textId="77777777" w:rsidR="00AD4742" w:rsidRDefault="00AD4742" w:rsidP="00AD4742">
      <w:pPr>
        <w:pStyle w:val="Caption"/>
        <w:keepNext/>
        <w:rPr>
          <w:lang w:val="en-US"/>
        </w:rPr>
      </w:pPr>
    </w:p>
    <w:p w14:paraId="30CA4AD0" w14:textId="4D1E8F63" w:rsidR="00AD4742" w:rsidRDefault="00AD4742" w:rsidP="00AD4742">
      <w:pPr>
        <w:pStyle w:val="Caption"/>
        <w:keepNext/>
        <w:rPr>
          <w:lang w:val="en-US"/>
        </w:rPr>
      </w:pPr>
      <w:r>
        <w:rPr>
          <w:lang w:val="en-US"/>
        </w:rPr>
        <w:t xml:space="preserve">Table </w:t>
      </w:r>
      <w:r>
        <w:rPr>
          <w:noProof/>
          <w:lang w:val="en-US"/>
        </w:rPr>
        <w:t>3</w:t>
      </w:r>
      <w:r>
        <w:rPr>
          <w:lang w:val="en-US"/>
        </w:rPr>
        <w:t>: BinaxNOW RSV performance by different variables. (online only)</w:t>
      </w:r>
    </w:p>
    <w:tbl>
      <w:tblPr>
        <w:tblStyle w:val="TableGrid"/>
        <w:tblW w:w="9063" w:type="dxa"/>
        <w:tblInd w:w="0" w:type="dxa"/>
        <w:tblLook w:val="04A0" w:firstRow="1" w:lastRow="0" w:firstColumn="1" w:lastColumn="0" w:noHBand="0" w:noVBand="1"/>
        <w:tblCaption w:val="Table 2"/>
      </w:tblPr>
      <w:tblGrid>
        <w:gridCol w:w="2830"/>
        <w:gridCol w:w="1567"/>
        <w:gridCol w:w="1567"/>
        <w:gridCol w:w="1544"/>
        <w:gridCol w:w="1555"/>
      </w:tblGrid>
      <w:tr w:rsidR="00AD4742" w14:paraId="342FFA41" w14:textId="77777777" w:rsidTr="00AD4742">
        <w:tc>
          <w:tcPr>
            <w:tcW w:w="2830" w:type="dxa"/>
            <w:tcBorders>
              <w:top w:val="single" w:sz="4" w:space="0" w:color="auto"/>
              <w:left w:val="single" w:sz="4" w:space="0" w:color="auto"/>
              <w:bottom w:val="single" w:sz="4" w:space="0" w:color="auto"/>
              <w:right w:val="single" w:sz="4" w:space="0" w:color="auto"/>
            </w:tcBorders>
          </w:tcPr>
          <w:p w14:paraId="5BA4C90E" w14:textId="77777777" w:rsidR="00AD4742" w:rsidRDefault="00AD4742" w:rsidP="002941EC">
            <w:pPr>
              <w:spacing w:after="160" w:line="480" w:lineRule="auto"/>
              <w:jc w:val="left"/>
              <w:rPr>
                <w:rFonts w:cs="Arial"/>
                <w:szCs w:val="20"/>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5BC20077" w14:textId="77777777" w:rsidR="00AD4742" w:rsidRDefault="00AD4742" w:rsidP="002941EC">
            <w:pPr>
              <w:spacing w:after="160" w:line="480" w:lineRule="auto"/>
              <w:jc w:val="left"/>
              <w:rPr>
                <w:rFonts w:cs="Arial"/>
                <w:szCs w:val="20"/>
              </w:rPr>
            </w:pPr>
            <w:r>
              <w:rPr>
                <w:rFonts w:cs="Arial"/>
                <w:szCs w:val="20"/>
                <w:lang w:val="en-GB"/>
              </w:rPr>
              <w:t>Sensitivity (%)</w:t>
            </w:r>
          </w:p>
        </w:tc>
        <w:tc>
          <w:tcPr>
            <w:tcW w:w="1567" w:type="dxa"/>
            <w:tcBorders>
              <w:top w:val="single" w:sz="4" w:space="0" w:color="auto"/>
              <w:left w:val="single" w:sz="4" w:space="0" w:color="auto"/>
              <w:bottom w:val="single" w:sz="4" w:space="0" w:color="auto"/>
              <w:right w:val="single" w:sz="4" w:space="0" w:color="auto"/>
            </w:tcBorders>
            <w:hideMark/>
          </w:tcPr>
          <w:p w14:paraId="3C98C207" w14:textId="77777777" w:rsidR="00AD4742" w:rsidRDefault="00AD4742" w:rsidP="002941EC">
            <w:pPr>
              <w:spacing w:after="160" w:line="480" w:lineRule="auto"/>
              <w:jc w:val="left"/>
              <w:rPr>
                <w:rFonts w:cs="Arial"/>
                <w:szCs w:val="20"/>
              </w:rPr>
            </w:pPr>
            <w:r>
              <w:rPr>
                <w:rFonts w:cs="Arial"/>
                <w:szCs w:val="20"/>
                <w:lang w:val="en-GB"/>
              </w:rPr>
              <w:t>Specificity (%)</w:t>
            </w:r>
          </w:p>
        </w:tc>
        <w:tc>
          <w:tcPr>
            <w:tcW w:w="1544" w:type="dxa"/>
            <w:tcBorders>
              <w:top w:val="single" w:sz="4" w:space="0" w:color="auto"/>
              <w:left w:val="single" w:sz="4" w:space="0" w:color="auto"/>
              <w:bottom w:val="single" w:sz="4" w:space="0" w:color="auto"/>
              <w:right w:val="single" w:sz="4" w:space="0" w:color="auto"/>
            </w:tcBorders>
            <w:hideMark/>
          </w:tcPr>
          <w:p w14:paraId="4B58567E" w14:textId="77777777" w:rsidR="00AD4742" w:rsidRDefault="00AD4742" w:rsidP="002941EC">
            <w:pPr>
              <w:spacing w:after="160" w:line="480" w:lineRule="auto"/>
              <w:jc w:val="left"/>
              <w:rPr>
                <w:rFonts w:cs="Arial"/>
                <w:szCs w:val="20"/>
              </w:rPr>
            </w:pPr>
            <w:r>
              <w:rPr>
                <w:rFonts w:cs="Arial"/>
                <w:szCs w:val="20"/>
              </w:rPr>
              <w:t>PPV (%)</w:t>
            </w:r>
          </w:p>
        </w:tc>
        <w:tc>
          <w:tcPr>
            <w:tcW w:w="1555" w:type="dxa"/>
            <w:tcBorders>
              <w:top w:val="single" w:sz="4" w:space="0" w:color="auto"/>
              <w:left w:val="single" w:sz="4" w:space="0" w:color="auto"/>
              <w:bottom w:val="single" w:sz="4" w:space="0" w:color="auto"/>
              <w:right w:val="single" w:sz="4" w:space="0" w:color="auto"/>
            </w:tcBorders>
            <w:hideMark/>
          </w:tcPr>
          <w:p w14:paraId="16FAF259" w14:textId="77777777" w:rsidR="00AD4742" w:rsidRDefault="00AD4742" w:rsidP="002941EC">
            <w:pPr>
              <w:spacing w:after="160" w:line="480" w:lineRule="auto"/>
              <w:jc w:val="left"/>
              <w:rPr>
                <w:rFonts w:cs="Arial"/>
                <w:szCs w:val="20"/>
              </w:rPr>
            </w:pPr>
            <w:r>
              <w:rPr>
                <w:rFonts w:cs="Arial"/>
                <w:szCs w:val="20"/>
              </w:rPr>
              <w:t>NPV (%)</w:t>
            </w:r>
          </w:p>
        </w:tc>
      </w:tr>
      <w:tr w:rsidR="00AD4742" w14:paraId="425C977A" w14:textId="77777777" w:rsidTr="00AD4742">
        <w:tc>
          <w:tcPr>
            <w:tcW w:w="2830" w:type="dxa"/>
            <w:tcBorders>
              <w:top w:val="single" w:sz="4" w:space="0" w:color="auto"/>
              <w:left w:val="single" w:sz="4" w:space="0" w:color="auto"/>
              <w:bottom w:val="single" w:sz="4" w:space="0" w:color="auto"/>
              <w:right w:val="single" w:sz="4" w:space="0" w:color="auto"/>
            </w:tcBorders>
            <w:hideMark/>
          </w:tcPr>
          <w:p w14:paraId="2FA052C0" w14:textId="77777777" w:rsidR="00AD4742" w:rsidRDefault="00AD4742" w:rsidP="002941EC">
            <w:pPr>
              <w:spacing w:after="160" w:line="480" w:lineRule="auto"/>
              <w:jc w:val="left"/>
              <w:rPr>
                <w:rFonts w:cs="Arial"/>
                <w:szCs w:val="20"/>
                <w:lang w:val="en-US"/>
              </w:rPr>
            </w:pPr>
            <w:r>
              <w:rPr>
                <w:rFonts w:cs="Arial"/>
                <w:szCs w:val="20"/>
                <w:lang w:val="en-US"/>
              </w:rPr>
              <w:t xml:space="preserve">Level of care </w:t>
            </w:r>
            <w:proofErr w:type="spellStart"/>
            <w:r>
              <w:rPr>
                <w:rFonts w:cs="Arial"/>
                <w:szCs w:val="20"/>
                <w:lang w:val="en-US"/>
              </w:rPr>
              <w:t>needed</w:t>
            </w:r>
            <w:r>
              <w:rPr>
                <w:rFonts w:cs="Arial"/>
                <w:szCs w:val="20"/>
                <w:vertAlign w:val="superscript"/>
                <w:lang w:val="en-US"/>
              </w:rPr>
              <w:t>a</w:t>
            </w:r>
            <w:proofErr w:type="spellEnd"/>
          </w:p>
          <w:p w14:paraId="34936000" w14:textId="77777777" w:rsidR="00AD4742" w:rsidRDefault="00AD4742" w:rsidP="002941EC">
            <w:pPr>
              <w:spacing w:after="160" w:line="480" w:lineRule="auto"/>
              <w:jc w:val="left"/>
              <w:rPr>
                <w:rFonts w:cs="Arial"/>
                <w:szCs w:val="20"/>
                <w:lang w:val="en-US"/>
              </w:rPr>
            </w:pPr>
            <w:r>
              <w:rPr>
                <w:rFonts w:cs="Arial"/>
                <w:szCs w:val="20"/>
                <w:lang w:val="en-US"/>
              </w:rPr>
              <w:tab/>
              <w:t>Non-MA ARTI (n=41)</w:t>
            </w:r>
          </w:p>
          <w:p w14:paraId="14D6A815" w14:textId="77777777" w:rsidR="00AD4742" w:rsidRDefault="00AD4742" w:rsidP="002941EC">
            <w:pPr>
              <w:spacing w:after="160" w:line="480" w:lineRule="auto"/>
              <w:jc w:val="left"/>
              <w:rPr>
                <w:rFonts w:cs="Arial"/>
                <w:szCs w:val="20"/>
                <w:lang w:val="en-US"/>
              </w:rPr>
            </w:pPr>
            <w:r>
              <w:rPr>
                <w:rFonts w:cs="Arial"/>
                <w:szCs w:val="20"/>
                <w:lang w:val="en-US"/>
              </w:rPr>
              <w:tab/>
              <w:t>MA ARTI (n=83)</w:t>
            </w:r>
          </w:p>
          <w:p w14:paraId="09FAFD6E" w14:textId="77777777" w:rsidR="00AD4742" w:rsidRDefault="00AD4742" w:rsidP="002941EC">
            <w:pPr>
              <w:spacing w:after="160" w:line="480" w:lineRule="auto"/>
              <w:jc w:val="left"/>
              <w:rPr>
                <w:rFonts w:cs="Arial"/>
                <w:szCs w:val="20"/>
                <w:lang w:val="en-US"/>
              </w:rPr>
            </w:pPr>
            <w:r>
              <w:rPr>
                <w:rFonts w:cs="Arial"/>
                <w:szCs w:val="20"/>
                <w:lang w:val="en-US"/>
              </w:rPr>
              <w:tab/>
            </w:r>
            <w:proofErr w:type="spellStart"/>
            <w:r>
              <w:rPr>
                <w:rFonts w:cs="Arial"/>
                <w:szCs w:val="20"/>
                <w:lang w:val="en-US"/>
              </w:rPr>
              <w:t>Hospitalised</w:t>
            </w:r>
            <w:proofErr w:type="spellEnd"/>
            <w:r>
              <w:rPr>
                <w:rFonts w:cs="Arial"/>
                <w:szCs w:val="20"/>
                <w:lang w:val="en-US"/>
              </w:rPr>
              <w:t xml:space="preserve"> (n=36)</w:t>
            </w:r>
          </w:p>
          <w:p w14:paraId="7CD92998" w14:textId="77777777" w:rsidR="00AD4742" w:rsidRDefault="00AD4742" w:rsidP="002941EC">
            <w:pPr>
              <w:spacing w:after="160" w:line="480" w:lineRule="auto"/>
              <w:jc w:val="left"/>
              <w:rPr>
                <w:rFonts w:cs="Arial"/>
                <w:szCs w:val="20"/>
                <w:lang w:val="en-US"/>
              </w:rPr>
            </w:pPr>
            <w:r>
              <w:rPr>
                <w:rFonts w:cs="Arial"/>
                <w:szCs w:val="20"/>
                <w:lang w:val="en-US"/>
              </w:rPr>
              <w:tab/>
              <w:t xml:space="preserve">        PICU (n=11)</w:t>
            </w:r>
          </w:p>
          <w:p w14:paraId="321D94BF" w14:textId="77777777" w:rsidR="00AD4742" w:rsidRDefault="00AD4742" w:rsidP="002941EC">
            <w:pPr>
              <w:spacing w:after="160" w:line="480" w:lineRule="auto"/>
              <w:jc w:val="left"/>
              <w:rPr>
                <w:rFonts w:cs="Arial"/>
                <w:i/>
                <w:szCs w:val="20"/>
                <w:lang w:val="en-US"/>
              </w:rPr>
            </w:pPr>
            <w:r>
              <w:rPr>
                <w:rFonts w:cs="Arial"/>
                <w:i/>
                <w:szCs w:val="20"/>
                <w:lang w:val="en-US"/>
              </w:rPr>
              <w:t>P value</w:t>
            </w:r>
          </w:p>
        </w:tc>
        <w:tc>
          <w:tcPr>
            <w:tcW w:w="1567" w:type="dxa"/>
            <w:tcBorders>
              <w:top w:val="single" w:sz="4" w:space="0" w:color="auto"/>
              <w:left w:val="single" w:sz="4" w:space="0" w:color="auto"/>
              <w:bottom w:val="single" w:sz="4" w:space="0" w:color="auto"/>
              <w:right w:val="single" w:sz="4" w:space="0" w:color="auto"/>
            </w:tcBorders>
          </w:tcPr>
          <w:p w14:paraId="33E025D9" w14:textId="77777777" w:rsidR="00AD4742" w:rsidRDefault="00AD4742" w:rsidP="002941EC">
            <w:pPr>
              <w:spacing w:after="160" w:line="480" w:lineRule="auto"/>
              <w:jc w:val="left"/>
              <w:rPr>
                <w:rFonts w:cs="Arial"/>
                <w:szCs w:val="20"/>
                <w:lang w:val="en-US"/>
              </w:rPr>
            </w:pPr>
          </w:p>
          <w:p w14:paraId="3918D418" w14:textId="77777777" w:rsidR="00AD4742" w:rsidRDefault="00AD4742" w:rsidP="002941EC">
            <w:pPr>
              <w:spacing w:after="160" w:line="480" w:lineRule="auto"/>
              <w:jc w:val="left"/>
              <w:rPr>
                <w:rFonts w:cs="Arial"/>
                <w:szCs w:val="20"/>
              </w:rPr>
            </w:pPr>
            <w:r>
              <w:rPr>
                <w:rFonts w:cs="Arial"/>
                <w:szCs w:val="20"/>
              </w:rPr>
              <w:t>0 (0/5)</w:t>
            </w:r>
          </w:p>
          <w:p w14:paraId="088D6388" w14:textId="77777777" w:rsidR="00AD4742" w:rsidRDefault="00AD4742" w:rsidP="002941EC">
            <w:pPr>
              <w:spacing w:after="160" w:line="480" w:lineRule="auto"/>
              <w:jc w:val="left"/>
              <w:rPr>
                <w:rFonts w:cs="Arial"/>
                <w:szCs w:val="20"/>
              </w:rPr>
            </w:pPr>
            <w:r>
              <w:rPr>
                <w:rFonts w:cs="Arial"/>
                <w:szCs w:val="20"/>
              </w:rPr>
              <w:t>9.7 (3/31)</w:t>
            </w:r>
          </w:p>
          <w:p w14:paraId="332FFE79" w14:textId="77777777" w:rsidR="00AD4742" w:rsidRDefault="00AD4742" w:rsidP="002941EC">
            <w:pPr>
              <w:spacing w:after="160" w:line="480" w:lineRule="auto"/>
              <w:jc w:val="left"/>
              <w:rPr>
                <w:rFonts w:cs="Arial"/>
                <w:szCs w:val="20"/>
                <w:lang w:val="en-US"/>
              </w:rPr>
            </w:pPr>
            <w:r>
              <w:rPr>
                <w:rFonts w:cs="Arial"/>
                <w:szCs w:val="20"/>
              </w:rPr>
              <w:t>6.7 (2/30)</w:t>
            </w:r>
            <w:r>
              <w:rPr>
                <w:rFonts w:cs="Arial"/>
                <w:szCs w:val="20"/>
                <w:lang w:val="en-US"/>
              </w:rPr>
              <w:t xml:space="preserve">      </w:t>
            </w:r>
          </w:p>
          <w:p w14:paraId="534225EC" w14:textId="77777777" w:rsidR="00AD4742" w:rsidRDefault="00AD4742" w:rsidP="002941EC">
            <w:pPr>
              <w:spacing w:after="160" w:line="480" w:lineRule="auto"/>
              <w:jc w:val="left"/>
              <w:rPr>
                <w:rFonts w:cs="Arial"/>
                <w:szCs w:val="20"/>
                <w:lang w:val="en-US"/>
              </w:rPr>
            </w:pPr>
            <w:r>
              <w:rPr>
                <w:rFonts w:cs="Arial"/>
                <w:szCs w:val="20"/>
                <w:lang w:val="en-US"/>
              </w:rPr>
              <w:t xml:space="preserve">     22.2 (2/9)</w:t>
            </w:r>
          </w:p>
          <w:p w14:paraId="2BB5B0E4" w14:textId="77777777" w:rsidR="00AD4742" w:rsidRDefault="00AD4742" w:rsidP="002941EC">
            <w:pPr>
              <w:spacing w:after="160" w:line="480" w:lineRule="auto"/>
              <w:jc w:val="left"/>
              <w:rPr>
                <w:rFonts w:cs="Arial"/>
                <w:i/>
                <w:szCs w:val="20"/>
                <w:lang w:val="en-US"/>
              </w:rPr>
            </w:pPr>
            <w:r>
              <w:rPr>
                <w:rFonts w:cs="Arial"/>
                <w:i/>
                <w:szCs w:val="20"/>
                <w:lang w:val="en-US"/>
              </w:rPr>
              <w:t>0.726</w:t>
            </w:r>
          </w:p>
        </w:tc>
        <w:tc>
          <w:tcPr>
            <w:tcW w:w="1567" w:type="dxa"/>
            <w:tcBorders>
              <w:top w:val="single" w:sz="4" w:space="0" w:color="auto"/>
              <w:left w:val="single" w:sz="4" w:space="0" w:color="auto"/>
              <w:bottom w:val="single" w:sz="4" w:space="0" w:color="auto"/>
              <w:right w:val="single" w:sz="4" w:space="0" w:color="auto"/>
            </w:tcBorders>
          </w:tcPr>
          <w:p w14:paraId="744FF2B7" w14:textId="77777777" w:rsidR="00AD4742" w:rsidRDefault="00AD4742" w:rsidP="002941EC">
            <w:pPr>
              <w:spacing w:after="160" w:line="480" w:lineRule="auto"/>
              <w:jc w:val="left"/>
              <w:rPr>
                <w:rFonts w:cs="Arial"/>
                <w:szCs w:val="20"/>
              </w:rPr>
            </w:pPr>
          </w:p>
          <w:p w14:paraId="3A1F5928" w14:textId="77777777" w:rsidR="00AD4742" w:rsidRDefault="00AD4742" w:rsidP="002941EC">
            <w:pPr>
              <w:spacing w:after="160" w:line="480" w:lineRule="auto"/>
              <w:jc w:val="left"/>
              <w:rPr>
                <w:rFonts w:cs="Arial"/>
                <w:szCs w:val="20"/>
              </w:rPr>
            </w:pPr>
            <w:r>
              <w:rPr>
                <w:rFonts w:cs="Arial"/>
                <w:szCs w:val="20"/>
              </w:rPr>
              <w:t>100 (36/36)</w:t>
            </w:r>
          </w:p>
          <w:p w14:paraId="5FAC24FA" w14:textId="77777777" w:rsidR="00AD4742" w:rsidRDefault="00AD4742" w:rsidP="002941EC">
            <w:pPr>
              <w:spacing w:after="160" w:line="480" w:lineRule="auto"/>
              <w:jc w:val="left"/>
              <w:rPr>
                <w:rFonts w:cs="Arial"/>
                <w:szCs w:val="20"/>
              </w:rPr>
            </w:pPr>
            <w:r>
              <w:rPr>
                <w:rFonts w:cs="Arial"/>
                <w:szCs w:val="20"/>
              </w:rPr>
              <w:t>100 (52/52)</w:t>
            </w:r>
          </w:p>
          <w:p w14:paraId="6A1375AA" w14:textId="77777777" w:rsidR="00AD4742" w:rsidRDefault="00AD4742" w:rsidP="002941EC">
            <w:pPr>
              <w:spacing w:after="160" w:line="480" w:lineRule="auto"/>
              <w:jc w:val="left"/>
              <w:rPr>
                <w:rFonts w:cs="Arial"/>
                <w:szCs w:val="20"/>
              </w:rPr>
            </w:pPr>
            <w:r>
              <w:rPr>
                <w:rFonts w:cs="Arial"/>
                <w:szCs w:val="20"/>
              </w:rPr>
              <w:t xml:space="preserve">100 (6/6) </w:t>
            </w:r>
          </w:p>
          <w:p w14:paraId="0795FBB7" w14:textId="77777777" w:rsidR="00AD4742" w:rsidRDefault="00AD4742" w:rsidP="002941EC">
            <w:pPr>
              <w:spacing w:after="160" w:line="480" w:lineRule="auto"/>
              <w:jc w:val="left"/>
              <w:rPr>
                <w:rFonts w:cs="Arial"/>
                <w:szCs w:val="20"/>
              </w:rPr>
            </w:pPr>
            <w:r>
              <w:rPr>
                <w:rFonts w:cs="Arial"/>
                <w:szCs w:val="20"/>
              </w:rPr>
              <w:t xml:space="preserve">      100 (2/2)</w:t>
            </w:r>
          </w:p>
          <w:p w14:paraId="1FE63FC0" w14:textId="77777777" w:rsidR="00AD4742" w:rsidRDefault="00AD4742" w:rsidP="002941EC">
            <w:pPr>
              <w:spacing w:after="160" w:line="480" w:lineRule="auto"/>
              <w:jc w:val="left"/>
              <w:rPr>
                <w:rFonts w:cs="Arial"/>
                <w:i/>
                <w:szCs w:val="20"/>
              </w:rPr>
            </w:pPr>
            <w:r>
              <w:rPr>
                <w:rFonts w:cs="Arial"/>
                <w:i/>
                <w:szCs w:val="20"/>
              </w:rPr>
              <w:t>NA</w:t>
            </w:r>
          </w:p>
        </w:tc>
        <w:tc>
          <w:tcPr>
            <w:tcW w:w="1544" w:type="dxa"/>
            <w:tcBorders>
              <w:top w:val="single" w:sz="4" w:space="0" w:color="auto"/>
              <w:left w:val="single" w:sz="4" w:space="0" w:color="auto"/>
              <w:bottom w:val="single" w:sz="4" w:space="0" w:color="auto"/>
              <w:right w:val="single" w:sz="4" w:space="0" w:color="auto"/>
            </w:tcBorders>
          </w:tcPr>
          <w:p w14:paraId="5F2858ED" w14:textId="77777777" w:rsidR="00AD4742" w:rsidRDefault="00AD4742" w:rsidP="002941EC">
            <w:pPr>
              <w:spacing w:after="160" w:line="480" w:lineRule="auto"/>
              <w:jc w:val="left"/>
              <w:rPr>
                <w:rFonts w:cs="Arial"/>
                <w:szCs w:val="20"/>
              </w:rPr>
            </w:pPr>
          </w:p>
          <w:p w14:paraId="29E8746F" w14:textId="77777777" w:rsidR="00AD4742" w:rsidRDefault="00AD4742" w:rsidP="002941EC">
            <w:pPr>
              <w:spacing w:after="160" w:line="480" w:lineRule="auto"/>
              <w:jc w:val="left"/>
              <w:rPr>
                <w:rFonts w:cs="Arial"/>
                <w:szCs w:val="20"/>
              </w:rPr>
            </w:pPr>
            <w:r>
              <w:rPr>
                <w:rFonts w:cs="Arial"/>
                <w:szCs w:val="20"/>
              </w:rPr>
              <w:t>NA (0/0)</w:t>
            </w:r>
          </w:p>
          <w:p w14:paraId="55C79539" w14:textId="77777777" w:rsidR="00AD4742" w:rsidRDefault="00AD4742" w:rsidP="002941EC">
            <w:pPr>
              <w:spacing w:after="160" w:line="480" w:lineRule="auto"/>
              <w:jc w:val="left"/>
              <w:rPr>
                <w:rFonts w:cs="Arial"/>
                <w:szCs w:val="20"/>
              </w:rPr>
            </w:pPr>
            <w:r>
              <w:rPr>
                <w:rFonts w:cs="Arial"/>
                <w:szCs w:val="20"/>
              </w:rPr>
              <w:t>100 (3/3)</w:t>
            </w:r>
          </w:p>
          <w:p w14:paraId="64B48FCF" w14:textId="77777777" w:rsidR="00AD4742" w:rsidRDefault="00AD4742" w:rsidP="002941EC">
            <w:pPr>
              <w:spacing w:after="160" w:line="480" w:lineRule="auto"/>
              <w:jc w:val="left"/>
              <w:rPr>
                <w:rFonts w:cs="Arial"/>
                <w:szCs w:val="20"/>
              </w:rPr>
            </w:pPr>
            <w:r>
              <w:rPr>
                <w:rFonts w:cs="Arial"/>
                <w:szCs w:val="20"/>
              </w:rPr>
              <w:t xml:space="preserve">100 (2/2) </w:t>
            </w:r>
          </w:p>
          <w:p w14:paraId="7DFDEBCF" w14:textId="77777777" w:rsidR="00AD4742" w:rsidRDefault="00AD4742" w:rsidP="002941EC">
            <w:pPr>
              <w:spacing w:after="160" w:line="480" w:lineRule="auto"/>
              <w:jc w:val="left"/>
              <w:rPr>
                <w:rFonts w:cs="Arial"/>
                <w:szCs w:val="20"/>
              </w:rPr>
            </w:pPr>
            <w:r>
              <w:rPr>
                <w:rFonts w:cs="Arial"/>
                <w:szCs w:val="20"/>
              </w:rPr>
              <w:t xml:space="preserve">      100 (2/2)</w:t>
            </w:r>
          </w:p>
          <w:p w14:paraId="114C6ED2" w14:textId="77777777" w:rsidR="00AD4742" w:rsidRDefault="00AD4742" w:rsidP="002941EC">
            <w:pPr>
              <w:spacing w:after="160" w:line="480" w:lineRule="auto"/>
              <w:jc w:val="left"/>
              <w:rPr>
                <w:rFonts w:cs="Arial"/>
                <w:i/>
                <w:szCs w:val="20"/>
              </w:rPr>
            </w:pPr>
            <w:r>
              <w:rPr>
                <w:rFonts w:cs="Arial"/>
                <w:i/>
                <w:szCs w:val="20"/>
              </w:rPr>
              <w:t>NA</w:t>
            </w:r>
          </w:p>
        </w:tc>
        <w:tc>
          <w:tcPr>
            <w:tcW w:w="1555" w:type="dxa"/>
            <w:tcBorders>
              <w:top w:val="single" w:sz="4" w:space="0" w:color="auto"/>
              <w:left w:val="single" w:sz="4" w:space="0" w:color="auto"/>
              <w:bottom w:val="single" w:sz="4" w:space="0" w:color="auto"/>
              <w:right w:val="single" w:sz="4" w:space="0" w:color="auto"/>
            </w:tcBorders>
          </w:tcPr>
          <w:p w14:paraId="3C442344" w14:textId="77777777" w:rsidR="00AD4742" w:rsidRDefault="00AD4742" w:rsidP="002941EC">
            <w:pPr>
              <w:spacing w:after="160" w:line="480" w:lineRule="auto"/>
              <w:jc w:val="left"/>
              <w:rPr>
                <w:rFonts w:cs="Arial"/>
                <w:szCs w:val="20"/>
              </w:rPr>
            </w:pPr>
          </w:p>
          <w:p w14:paraId="1D09AB4A" w14:textId="77777777" w:rsidR="00AD4742" w:rsidRDefault="00AD4742" w:rsidP="002941EC">
            <w:pPr>
              <w:spacing w:after="160" w:line="480" w:lineRule="auto"/>
              <w:jc w:val="left"/>
              <w:rPr>
                <w:rFonts w:cs="Arial"/>
                <w:szCs w:val="20"/>
              </w:rPr>
            </w:pPr>
            <w:r>
              <w:rPr>
                <w:rFonts w:cs="Arial"/>
                <w:szCs w:val="20"/>
              </w:rPr>
              <w:t>87.8 (36/41)</w:t>
            </w:r>
          </w:p>
          <w:p w14:paraId="16FD0995" w14:textId="77777777" w:rsidR="00AD4742" w:rsidRDefault="00AD4742" w:rsidP="002941EC">
            <w:pPr>
              <w:spacing w:after="160" w:line="480" w:lineRule="auto"/>
              <w:jc w:val="left"/>
              <w:rPr>
                <w:rFonts w:cs="Arial"/>
                <w:szCs w:val="20"/>
              </w:rPr>
            </w:pPr>
            <w:r>
              <w:rPr>
                <w:rFonts w:cs="Arial"/>
                <w:szCs w:val="20"/>
              </w:rPr>
              <w:t>65.0 (52/80)</w:t>
            </w:r>
          </w:p>
          <w:p w14:paraId="0465487D" w14:textId="77777777" w:rsidR="00AD4742" w:rsidRDefault="00AD4742" w:rsidP="002941EC">
            <w:pPr>
              <w:spacing w:after="160" w:line="480" w:lineRule="auto"/>
              <w:jc w:val="left"/>
              <w:rPr>
                <w:rFonts w:cs="Arial"/>
                <w:szCs w:val="20"/>
              </w:rPr>
            </w:pPr>
            <w:r>
              <w:rPr>
                <w:rFonts w:cs="Arial"/>
                <w:szCs w:val="20"/>
              </w:rPr>
              <w:t>17.6 (6/34)</w:t>
            </w:r>
          </w:p>
          <w:p w14:paraId="3C9A8F18" w14:textId="77777777" w:rsidR="00AD4742" w:rsidRDefault="00AD4742" w:rsidP="002941EC">
            <w:pPr>
              <w:spacing w:after="160" w:line="480" w:lineRule="auto"/>
              <w:jc w:val="left"/>
              <w:rPr>
                <w:rFonts w:cs="Arial"/>
                <w:szCs w:val="20"/>
              </w:rPr>
            </w:pPr>
            <w:r>
              <w:rPr>
                <w:rFonts w:cs="Arial"/>
                <w:szCs w:val="20"/>
              </w:rPr>
              <w:t xml:space="preserve">       22.2 (2/9)</w:t>
            </w:r>
          </w:p>
          <w:p w14:paraId="10706197" w14:textId="77777777" w:rsidR="00AD4742" w:rsidRDefault="00AD4742" w:rsidP="002941EC">
            <w:pPr>
              <w:spacing w:after="160" w:line="480" w:lineRule="auto"/>
              <w:jc w:val="left"/>
              <w:rPr>
                <w:rFonts w:cs="Arial"/>
                <w:i/>
                <w:szCs w:val="20"/>
              </w:rPr>
            </w:pPr>
            <w:r>
              <w:rPr>
                <w:rFonts w:cs="Arial"/>
                <w:i/>
                <w:szCs w:val="20"/>
              </w:rPr>
              <w:t>&lt;0.005</w:t>
            </w:r>
          </w:p>
        </w:tc>
      </w:tr>
      <w:tr w:rsidR="00AD4742" w14:paraId="0B60E87E" w14:textId="77777777" w:rsidTr="00AD4742">
        <w:tc>
          <w:tcPr>
            <w:tcW w:w="2830" w:type="dxa"/>
            <w:tcBorders>
              <w:top w:val="single" w:sz="4" w:space="0" w:color="auto"/>
              <w:left w:val="single" w:sz="4" w:space="0" w:color="auto"/>
              <w:bottom w:val="single" w:sz="4" w:space="0" w:color="auto"/>
              <w:right w:val="single" w:sz="4" w:space="0" w:color="auto"/>
            </w:tcBorders>
            <w:hideMark/>
          </w:tcPr>
          <w:p w14:paraId="752BF0F1" w14:textId="77777777" w:rsidR="00AD4742" w:rsidRDefault="00AD4742" w:rsidP="002941EC">
            <w:pPr>
              <w:spacing w:after="160" w:line="480" w:lineRule="auto"/>
              <w:jc w:val="left"/>
              <w:rPr>
                <w:rFonts w:cs="Arial"/>
                <w:szCs w:val="20"/>
                <w:lang w:val="en-US"/>
              </w:rPr>
            </w:pPr>
            <w:r>
              <w:rPr>
                <w:rFonts w:cs="Arial"/>
                <w:szCs w:val="20"/>
                <w:lang w:val="en-US"/>
              </w:rPr>
              <w:t>Age</w:t>
            </w:r>
          </w:p>
          <w:p w14:paraId="31C754A6" w14:textId="77777777" w:rsidR="00AD4742" w:rsidRDefault="00AD4742" w:rsidP="002941EC">
            <w:pPr>
              <w:spacing w:after="160" w:line="480" w:lineRule="auto"/>
              <w:jc w:val="left"/>
              <w:rPr>
                <w:rFonts w:cs="Arial"/>
                <w:szCs w:val="20"/>
                <w:lang w:val="en-US"/>
              </w:rPr>
            </w:pPr>
            <w:r>
              <w:rPr>
                <w:rFonts w:cs="Arial"/>
                <w:szCs w:val="20"/>
                <w:lang w:val="en-US"/>
              </w:rPr>
              <w:tab/>
              <w:t>&lt;= 60 days (n=68)</w:t>
            </w:r>
          </w:p>
          <w:p w14:paraId="47072AF6" w14:textId="77777777" w:rsidR="00AD4742" w:rsidRDefault="00AD4742" w:rsidP="002941EC">
            <w:pPr>
              <w:spacing w:after="160" w:line="480" w:lineRule="auto"/>
              <w:jc w:val="left"/>
              <w:rPr>
                <w:rFonts w:cs="Arial"/>
                <w:szCs w:val="20"/>
                <w:lang w:val="en-US"/>
              </w:rPr>
            </w:pPr>
            <w:r>
              <w:rPr>
                <w:rFonts w:cs="Arial"/>
                <w:szCs w:val="20"/>
                <w:lang w:val="en-US"/>
              </w:rPr>
              <w:t xml:space="preserve"> </w:t>
            </w:r>
            <w:r>
              <w:rPr>
                <w:rFonts w:cs="Arial"/>
                <w:szCs w:val="20"/>
                <w:lang w:val="en-US"/>
              </w:rPr>
              <w:tab/>
              <w:t>&gt; 60 days (n=93)</w:t>
            </w:r>
          </w:p>
          <w:p w14:paraId="79080438" w14:textId="77777777" w:rsidR="00AD4742" w:rsidRDefault="00AD4742" w:rsidP="002941EC">
            <w:pPr>
              <w:spacing w:after="160" w:line="480" w:lineRule="auto"/>
              <w:jc w:val="left"/>
              <w:rPr>
                <w:rFonts w:cs="Arial"/>
                <w:i/>
                <w:szCs w:val="20"/>
                <w:lang w:val="en-US"/>
              </w:rPr>
            </w:pPr>
            <w:r>
              <w:rPr>
                <w:rFonts w:cs="Arial"/>
                <w:i/>
                <w:szCs w:val="20"/>
                <w:lang w:val="en-US"/>
              </w:rPr>
              <w:t>P value</w:t>
            </w:r>
          </w:p>
        </w:tc>
        <w:tc>
          <w:tcPr>
            <w:tcW w:w="1567" w:type="dxa"/>
            <w:tcBorders>
              <w:top w:val="single" w:sz="4" w:space="0" w:color="auto"/>
              <w:left w:val="single" w:sz="4" w:space="0" w:color="auto"/>
              <w:bottom w:val="single" w:sz="4" w:space="0" w:color="auto"/>
              <w:right w:val="single" w:sz="4" w:space="0" w:color="auto"/>
            </w:tcBorders>
          </w:tcPr>
          <w:p w14:paraId="4396C4EA" w14:textId="77777777" w:rsidR="00AD4742" w:rsidRDefault="00AD4742" w:rsidP="002941EC">
            <w:pPr>
              <w:spacing w:after="160" w:line="480" w:lineRule="auto"/>
              <w:jc w:val="left"/>
              <w:rPr>
                <w:rFonts w:cs="Arial"/>
                <w:szCs w:val="20"/>
                <w:lang w:val="en-US"/>
              </w:rPr>
            </w:pPr>
          </w:p>
          <w:p w14:paraId="0A0D267E" w14:textId="77777777" w:rsidR="00AD4742" w:rsidRDefault="00AD4742" w:rsidP="002941EC">
            <w:pPr>
              <w:spacing w:after="160" w:line="480" w:lineRule="auto"/>
              <w:jc w:val="left"/>
              <w:rPr>
                <w:rFonts w:cs="Arial"/>
                <w:szCs w:val="20"/>
              </w:rPr>
            </w:pPr>
            <w:r>
              <w:rPr>
                <w:rFonts w:cs="Arial"/>
                <w:szCs w:val="20"/>
              </w:rPr>
              <w:t>12.5 (3/24)</w:t>
            </w:r>
          </w:p>
          <w:p w14:paraId="358A6F50" w14:textId="77777777" w:rsidR="00AD4742" w:rsidRDefault="00AD4742" w:rsidP="002941EC">
            <w:pPr>
              <w:spacing w:after="160" w:line="480" w:lineRule="auto"/>
              <w:jc w:val="left"/>
              <w:rPr>
                <w:rFonts w:cs="Arial"/>
                <w:szCs w:val="20"/>
              </w:rPr>
            </w:pPr>
            <w:r>
              <w:rPr>
                <w:rFonts w:cs="Arial"/>
                <w:szCs w:val="20"/>
              </w:rPr>
              <w:t>4.8 (2/42)</w:t>
            </w:r>
          </w:p>
          <w:p w14:paraId="1ADD2B1A" w14:textId="77777777" w:rsidR="00AD4742" w:rsidRDefault="00AD4742" w:rsidP="002941EC">
            <w:pPr>
              <w:spacing w:after="160" w:line="480" w:lineRule="auto"/>
              <w:jc w:val="left"/>
              <w:rPr>
                <w:rFonts w:cs="Arial"/>
                <w:i/>
                <w:szCs w:val="20"/>
              </w:rPr>
            </w:pPr>
            <w:r>
              <w:rPr>
                <w:rFonts w:cs="Arial"/>
                <w:i/>
                <w:szCs w:val="20"/>
              </w:rPr>
              <w:t>0.345</w:t>
            </w:r>
          </w:p>
        </w:tc>
        <w:tc>
          <w:tcPr>
            <w:tcW w:w="1567" w:type="dxa"/>
            <w:tcBorders>
              <w:top w:val="single" w:sz="4" w:space="0" w:color="auto"/>
              <w:left w:val="single" w:sz="4" w:space="0" w:color="auto"/>
              <w:bottom w:val="single" w:sz="4" w:space="0" w:color="auto"/>
              <w:right w:val="single" w:sz="4" w:space="0" w:color="auto"/>
            </w:tcBorders>
          </w:tcPr>
          <w:p w14:paraId="31CB5286" w14:textId="77777777" w:rsidR="00AD4742" w:rsidRDefault="00AD4742" w:rsidP="002941EC">
            <w:pPr>
              <w:spacing w:after="160" w:line="480" w:lineRule="auto"/>
              <w:jc w:val="left"/>
              <w:rPr>
                <w:rFonts w:cs="Arial"/>
                <w:szCs w:val="20"/>
              </w:rPr>
            </w:pPr>
          </w:p>
          <w:p w14:paraId="60299C7E" w14:textId="77777777" w:rsidR="00AD4742" w:rsidRDefault="00AD4742" w:rsidP="002941EC">
            <w:pPr>
              <w:spacing w:after="160" w:line="480" w:lineRule="auto"/>
              <w:jc w:val="left"/>
              <w:rPr>
                <w:rFonts w:cs="Arial"/>
                <w:szCs w:val="20"/>
              </w:rPr>
            </w:pPr>
            <w:r>
              <w:rPr>
                <w:rFonts w:cs="Arial"/>
                <w:szCs w:val="20"/>
              </w:rPr>
              <w:t>100 (44/44)</w:t>
            </w:r>
          </w:p>
          <w:p w14:paraId="3765885B" w14:textId="77777777" w:rsidR="00AD4742" w:rsidRDefault="00AD4742" w:rsidP="002941EC">
            <w:pPr>
              <w:spacing w:after="160" w:line="480" w:lineRule="auto"/>
              <w:jc w:val="left"/>
              <w:rPr>
                <w:rFonts w:cs="Arial"/>
                <w:szCs w:val="20"/>
              </w:rPr>
            </w:pPr>
            <w:r>
              <w:rPr>
                <w:rFonts w:cs="Arial"/>
                <w:szCs w:val="20"/>
              </w:rPr>
              <w:t>100 (51/51)</w:t>
            </w:r>
          </w:p>
          <w:p w14:paraId="4D2CEB31" w14:textId="77777777" w:rsidR="00AD4742" w:rsidRDefault="00AD4742" w:rsidP="002941EC">
            <w:pPr>
              <w:spacing w:after="160" w:line="480" w:lineRule="auto"/>
              <w:jc w:val="left"/>
              <w:rPr>
                <w:rFonts w:cs="Arial"/>
                <w:i/>
                <w:szCs w:val="20"/>
              </w:rPr>
            </w:pPr>
            <w:r>
              <w:rPr>
                <w:rFonts w:cs="Arial"/>
                <w:i/>
                <w:szCs w:val="20"/>
              </w:rPr>
              <w:t>NA</w:t>
            </w:r>
          </w:p>
        </w:tc>
        <w:tc>
          <w:tcPr>
            <w:tcW w:w="1544" w:type="dxa"/>
            <w:tcBorders>
              <w:top w:val="single" w:sz="4" w:space="0" w:color="auto"/>
              <w:left w:val="single" w:sz="4" w:space="0" w:color="auto"/>
              <w:bottom w:val="single" w:sz="4" w:space="0" w:color="auto"/>
              <w:right w:val="single" w:sz="4" w:space="0" w:color="auto"/>
            </w:tcBorders>
          </w:tcPr>
          <w:p w14:paraId="4F47925D" w14:textId="77777777" w:rsidR="00AD4742" w:rsidRDefault="00AD4742" w:rsidP="002941EC">
            <w:pPr>
              <w:spacing w:after="160" w:line="480" w:lineRule="auto"/>
              <w:jc w:val="left"/>
              <w:rPr>
                <w:rFonts w:cs="Arial"/>
                <w:szCs w:val="20"/>
              </w:rPr>
            </w:pPr>
          </w:p>
          <w:p w14:paraId="07C6D247" w14:textId="77777777" w:rsidR="00AD4742" w:rsidRDefault="00AD4742" w:rsidP="002941EC">
            <w:pPr>
              <w:spacing w:after="160" w:line="480" w:lineRule="auto"/>
              <w:jc w:val="left"/>
              <w:rPr>
                <w:rFonts w:cs="Arial"/>
                <w:szCs w:val="20"/>
              </w:rPr>
            </w:pPr>
            <w:r>
              <w:rPr>
                <w:rFonts w:cs="Arial"/>
                <w:szCs w:val="20"/>
              </w:rPr>
              <w:t>100 (3/3)</w:t>
            </w:r>
          </w:p>
          <w:p w14:paraId="717DB51F" w14:textId="77777777" w:rsidR="00AD4742" w:rsidRDefault="00AD4742" w:rsidP="002941EC">
            <w:pPr>
              <w:spacing w:after="160" w:line="480" w:lineRule="auto"/>
              <w:jc w:val="left"/>
              <w:rPr>
                <w:rFonts w:cs="Arial"/>
                <w:szCs w:val="20"/>
              </w:rPr>
            </w:pPr>
            <w:r>
              <w:rPr>
                <w:rFonts w:cs="Arial"/>
                <w:szCs w:val="20"/>
              </w:rPr>
              <w:t>100 (2/2)</w:t>
            </w:r>
          </w:p>
          <w:p w14:paraId="7E9A6377" w14:textId="77777777" w:rsidR="00AD4742" w:rsidRDefault="00AD4742" w:rsidP="002941EC">
            <w:pPr>
              <w:spacing w:after="160" w:line="480" w:lineRule="auto"/>
              <w:jc w:val="left"/>
              <w:rPr>
                <w:rFonts w:cs="Arial"/>
                <w:i/>
                <w:szCs w:val="20"/>
              </w:rPr>
            </w:pPr>
            <w:r>
              <w:rPr>
                <w:rFonts w:cs="Arial"/>
                <w:i/>
                <w:szCs w:val="20"/>
              </w:rPr>
              <w:t>NA</w:t>
            </w:r>
          </w:p>
        </w:tc>
        <w:tc>
          <w:tcPr>
            <w:tcW w:w="1555" w:type="dxa"/>
            <w:tcBorders>
              <w:top w:val="single" w:sz="4" w:space="0" w:color="auto"/>
              <w:left w:val="single" w:sz="4" w:space="0" w:color="auto"/>
              <w:bottom w:val="single" w:sz="4" w:space="0" w:color="auto"/>
              <w:right w:val="single" w:sz="4" w:space="0" w:color="auto"/>
            </w:tcBorders>
          </w:tcPr>
          <w:p w14:paraId="03E6BA27" w14:textId="77777777" w:rsidR="00AD4742" w:rsidRDefault="00AD4742" w:rsidP="002941EC">
            <w:pPr>
              <w:spacing w:after="160" w:line="480" w:lineRule="auto"/>
              <w:jc w:val="left"/>
              <w:rPr>
                <w:rFonts w:cs="Arial"/>
                <w:szCs w:val="20"/>
              </w:rPr>
            </w:pPr>
          </w:p>
          <w:p w14:paraId="45802FA0" w14:textId="77777777" w:rsidR="00AD4742" w:rsidRDefault="00AD4742" w:rsidP="002941EC">
            <w:pPr>
              <w:spacing w:after="160" w:line="480" w:lineRule="auto"/>
              <w:jc w:val="left"/>
              <w:rPr>
                <w:rFonts w:cs="Arial"/>
                <w:szCs w:val="20"/>
              </w:rPr>
            </w:pPr>
            <w:r>
              <w:rPr>
                <w:rFonts w:cs="Arial"/>
                <w:szCs w:val="20"/>
              </w:rPr>
              <w:t>67.7 (44/65)</w:t>
            </w:r>
          </w:p>
          <w:p w14:paraId="61AFF593" w14:textId="77777777" w:rsidR="00AD4742" w:rsidRDefault="00AD4742" w:rsidP="002941EC">
            <w:pPr>
              <w:spacing w:after="160" w:line="480" w:lineRule="auto"/>
              <w:jc w:val="left"/>
              <w:rPr>
                <w:rFonts w:cs="Arial"/>
                <w:szCs w:val="20"/>
              </w:rPr>
            </w:pPr>
            <w:r>
              <w:rPr>
                <w:rFonts w:cs="Arial"/>
                <w:szCs w:val="20"/>
              </w:rPr>
              <w:t>56.0 (51/91)</w:t>
            </w:r>
          </w:p>
          <w:p w14:paraId="366CEA2F" w14:textId="77777777" w:rsidR="00AD4742" w:rsidRDefault="00AD4742" w:rsidP="002941EC">
            <w:pPr>
              <w:spacing w:after="160" w:line="480" w:lineRule="auto"/>
              <w:jc w:val="left"/>
              <w:rPr>
                <w:rFonts w:cs="Arial"/>
                <w:i/>
                <w:szCs w:val="20"/>
              </w:rPr>
            </w:pPr>
            <w:r>
              <w:rPr>
                <w:rFonts w:cs="Arial"/>
                <w:i/>
                <w:szCs w:val="20"/>
              </w:rPr>
              <w:t>0.183</w:t>
            </w:r>
          </w:p>
        </w:tc>
      </w:tr>
      <w:tr w:rsidR="00AD4742" w14:paraId="0667A572" w14:textId="77777777" w:rsidTr="00AD4742">
        <w:tc>
          <w:tcPr>
            <w:tcW w:w="2830" w:type="dxa"/>
            <w:tcBorders>
              <w:top w:val="single" w:sz="4" w:space="0" w:color="auto"/>
              <w:left w:val="single" w:sz="4" w:space="0" w:color="auto"/>
              <w:bottom w:val="single" w:sz="4" w:space="0" w:color="auto"/>
              <w:right w:val="single" w:sz="4" w:space="0" w:color="auto"/>
            </w:tcBorders>
            <w:hideMark/>
          </w:tcPr>
          <w:p w14:paraId="1FC3CDF7" w14:textId="77777777" w:rsidR="00AD4742" w:rsidRDefault="00AD4742" w:rsidP="002941EC">
            <w:pPr>
              <w:spacing w:after="160" w:line="480" w:lineRule="auto"/>
              <w:jc w:val="left"/>
              <w:rPr>
                <w:rFonts w:cs="Arial"/>
                <w:szCs w:val="20"/>
                <w:vertAlign w:val="superscript"/>
                <w:lang w:val="en-US"/>
              </w:rPr>
            </w:pPr>
            <w:r>
              <w:rPr>
                <w:rFonts w:cs="Arial"/>
                <w:szCs w:val="20"/>
                <w:lang w:val="en-US"/>
              </w:rPr>
              <w:t xml:space="preserve">Duration of symptoms </w:t>
            </w:r>
            <w:r>
              <w:rPr>
                <w:rFonts w:cs="Arial"/>
                <w:szCs w:val="20"/>
                <w:lang w:val="en-US"/>
              </w:rPr>
              <w:br/>
              <w:t xml:space="preserve">before </w:t>
            </w:r>
            <w:proofErr w:type="spellStart"/>
            <w:r>
              <w:rPr>
                <w:rFonts w:cs="Arial"/>
                <w:szCs w:val="20"/>
                <w:lang w:val="en-US"/>
              </w:rPr>
              <w:t>testing</w:t>
            </w:r>
            <w:r>
              <w:rPr>
                <w:rFonts w:cs="Arial"/>
                <w:szCs w:val="20"/>
                <w:vertAlign w:val="superscript"/>
                <w:lang w:val="en-US"/>
              </w:rPr>
              <w:t>b</w:t>
            </w:r>
            <w:proofErr w:type="spellEnd"/>
          </w:p>
          <w:p w14:paraId="35C14C4E" w14:textId="77777777" w:rsidR="00AD4742" w:rsidRDefault="00AD4742" w:rsidP="002941EC">
            <w:pPr>
              <w:spacing w:after="160" w:line="480" w:lineRule="auto"/>
              <w:jc w:val="left"/>
              <w:rPr>
                <w:rFonts w:cs="Arial"/>
                <w:szCs w:val="20"/>
                <w:lang w:val="en-US"/>
              </w:rPr>
            </w:pPr>
            <w:r>
              <w:rPr>
                <w:rFonts w:cs="Arial"/>
                <w:szCs w:val="20"/>
                <w:lang w:val="en-US"/>
              </w:rPr>
              <w:tab/>
              <w:t>&lt;= 5 days (n=98)</w:t>
            </w:r>
          </w:p>
          <w:p w14:paraId="5399226D" w14:textId="77777777" w:rsidR="00AD4742" w:rsidRDefault="00AD4742" w:rsidP="002941EC">
            <w:pPr>
              <w:spacing w:after="160" w:line="480" w:lineRule="auto"/>
              <w:jc w:val="left"/>
              <w:rPr>
                <w:rFonts w:cs="Arial"/>
                <w:szCs w:val="20"/>
                <w:lang w:val="en-US"/>
              </w:rPr>
            </w:pPr>
            <w:r>
              <w:rPr>
                <w:rFonts w:cs="Arial"/>
                <w:szCs w:val="20"/>
                <w:lang w:val="en-US"/>
              </w:rPr>
              <w:tab/>
              <w:t>&gt; 5 days (n=26)</w:t>
            </w:r>
          </w:p>
          <w:p w14:paraId="34CAA47D" w14:textId="77777777" w:rsidR="00AD4742" w:rsidRDefault="00AD4742" w:rsidP="002941EC">
            <w:pPr>
              <w:spacing w:after="160" w:line="480" w:lineRule="auto"/>
              <w:jc w:val="left"/>
              <w:rPr>
                <w:rFonts w:cs="Arial"/>
                <w:i/>
                <w:szCs w:val="20"/>
                <w:lang w:val="en-US"/>
              </w:rPr>
            </w:pPr>
            <w:r>
              <w:rPr>
                <w:rFonts w:cs="Arial"/>
                <w:i/>
                <w:szCs w:val="20"/>
                <w:lang w:val="en-US"/>
              </w:rPr>
              <w:t>P value</w:t>
            </w:r>
          </w:p>
        </w:tc>
        <w:tc>
          <w:tcPr>
            <w:tcW w:w="1567" w:type="dxa"/>
            <w:tcBorders>
              <w:top w:val="single" w:sz="4" w:space="0" w:color="auto"/>
              <w:left w:val="single" w:sz="4" w:space="0" w:color="auto"/>
              <w:bottom w:val="single" w:sz="4" w:space="0" w:color="auto"/>
              <w:right w:val="single" w:sz="4" w:space="0" w:color="auto"/>
            </w:tcBorders>
          </w:tcPr>
          <w:p w14:paraId="5D1510AC" w14:textId="77777777" w:rsidR="00AD4742" w:rsidRDefault="00AD4742" w:rsidP="002941EC">
            <w:pPr>
              <w:spacing w:after="160" w:line="480" w:lineRule="auto"/>
              <w:jc w:val="left"/>
              <w:rPr>
                <w:rFonts w:cs="Arial"/>
                <w:szCs w:val="20"/>
                <w:lang w:val="en-US"/>
              </w:rPr>
            </w:pPr>
          </w:p>
          <w:p w14:paraId="0C2D7858" w14:textId="77777777" w:rsidR="00AD4742" w:rsidRDefault="00AD4742" w:rsidP="002941EC">
            <w:pPr>
              <w:spacing w:after="160" w:line="480" w:lineRule="auto"/>
              <w:jc w:val="left"/>
              <w:rPr>
                <w:rFonts w:cs="Arial"/>
                <w:szCs w:val="20"/>
                <w:lang w:val="en-US"/>
              </w:rPr>
            </w:pPr>
            <w:r>
              <w:rPr>
                <w:rFonts w:cs="Arial"/>
                <w:szCs w:val="20"/>
                <w:lang w:val="en-US"/>
              </w:rPr>
              <w:br/>
              <w:t>9.8 (5/51)</w:t>
            </w:r>
          </w:p>
          <w:p w14:paraId="476E83FC" w14:textId="77777777" w:rsidR="00AD4742" w:rsidRDefault="00AD4742" w:rsidP="002941EC">
            <w:pPr>
              <w:tabs>
                <w:tab w:val="left" w:pos="975"/>
              </w:tabs>
              <w:spacing w:after="160" w:line="480" w:lineRule="auto"/>
              <w:jc w:val="left"/>
              <w:rPr>
                <w:rFonts w:cs="Arial"/>
                <w:szCs w:val="20"/>
                <w:lang w:val="en-US"/>
              </w:rPr>
            </w:pPr>
            <w:r>
              <w:rPr>
                <w:rFonts w:cs="Arial"/>
                <w:szCs w:val="20"/>
                <w:lang w:val="en-US"/>
              </w:rPr>
              <w:t>0 (0/8)</w:t>
            </w:r>
          </w:p>
          <w:p w14:paraId="75CA4757" w14:textId="77777777" w:rsidR="00AD4742" w:rsidRDefault="00AD4742" w:rsidP="002941EC">
            <w:pPr>
              <w:tabs>
                <w:tab w:val="left" w:pos="975"/>
              </w:tabs>
              <w:spacing w:after="160" w:line="480" w:lineRule="auto"/>
              <w:jc w:val="left"/>
              <w:rPr>
                <w:rFonts w:cs="Arial"/>
                <w:i/>
                <w:szCs w:val="20"/>
                <w:lang w:val="en-US"/>
              </w:rPr>
            </w:pPr>
            <w:r>
              <w:rPr>
                <w:rFonts w:cs="Arial"/>
                <w:i/>
                <w:szCs w:val="20"/>
                <w:lang w:val="en-US"/>
              </w:rPr>
              <w:t>&gt;0.999</w:t>
            </w:r>
          </w:p>
        </w:tc>
        <w:tc>
          <w:tcPr>
            <w:tcW w:w="1567" w:type="dxa"/>
            <w:tcBorders>
              <w:top w:val="single" w:sz="4" w:space="0" w:color="auto"/>
              <w:left w:val="single" w:sz="4" w:space="0" w:color="auto"/>
              <w:bottom w:val="single" w:sz="4" w:space="0" w:color="auto"/>
              <w:right w:val="single" w:sz="4" w:space="0" w:color="auto"/>
            </w:tcBorders>
            <w:hideMark/>
          </w:tcPr>
          <w:p w14:paraId="6C1FCAEA" w14:textId="77777777" w:rsidR="00AD4742" w:rsidRDefault="00AD4742" w:rsidP="002941EC">
            <w:pPr>
              <w:spacing w:after="160" w:line="480" w:lineRule="auto"/>
              <w:jc w:val="left"/>
              <w:rPr>
                <w:rFonts w:cs="Arial"/>
                <w:szCs w:val="20"/>
                <w:lang w:val="en-US"/>
              </w:rPr>
            </w:pPr>
            <w:r>
              <w:rPr>
                <w:rFonts w:cs="Arial"/>
                <w:szCs w:val="20"/>
                <w:lang w:val="en-US"/>
              </w:rPr>
              <w:br/>
            </w:r>
          </w:p>
          <w:p w14:paraId="1AB86C05" w14:textId="77777777" w:rsidR="00AD4742" w:rsidRDefault="00AD4742" w:rsidP="002941EC">
            <w:pPr>
              <w:spacing w:after="160" w:line="480" w:lineRule="auto"/>
              <w:jc w:val="left"/>
              <w:rPr>
                <w:rFonts w:cs="Arial"/>
                <w:szCs w:val="20"/>
                <w:lang w:val="en-US"/>
              </w:rPr>
            </w:pPr>
            <w:r>
              <w:rPr>
                <w:rFonts w:cs="Arial"/>
                <w:szCs w:val="20"/>
                <w:lang w:val="en-US"/>
              </w:rPr>
              <w:t>100 (47/47)</w:t>
            </w:r>
          </w:p>
          <w:p w14:paraId="3014BCC8" w14:textId="77777777" w:rsidR="00AD4742" w:rsidRDefault="00AD4742" w:rsidP="002941EC">
            <w:pPr>
              <w:spacing w:after="160" w:line="480" w:lineRule="auto"/>
              <w:jc w:val="left"/>
              <w:rPr>
                <w:rFonts w:cs="Arial"/>
                <w:szCs w:val="20"/>
                <w:lang w:val="en-US"/>
              </w:rPr>
            </w:pPr>
            <w:r>
              <w:rPr>
                <w:rFonts w:cs="Arial"/>
                <w:szCs w:val="20"/>
                <w:lang w:val="en-US"/>
              </w:rPr>
              <w:t>100 (18/18)</w:t>
            </w:r>
          </w:p>
          <w:p w14:paraId="269B0AA4" w14:textId="77777777" w:rsidR="00AD4742" w:rsidRDefault="00AD4742" w:rsidP="002941EC">
            <w:pPr>
              <w:spacing w:after="160" w:line="480" w:lineRule="auto"/>
              <w:jc w:val="left"/>
              <w:rPr>
                <w:rFonts w:cs="Arial"/>
                <w:i/>
                <w:szCs w:val="20"/>
                <w:lang w:val="en-US"/>
              </w:rPr>
            </w:pPr>
            <w:r>
              <w:rPr>
                <w:rFonts w:cs="Arial"/>
                <w:i/>
                <w:szCs w:val="20"/>
                <w:lang w:val="en-US"/>
              </w:rPr>
              <w:t>NA</w:t>
            </w:r>
          </w:p>
        </w:tc>
        <w:tc>
          <w:tcPr>
            <w:tcW w:w="1544" w:type="dxa"/>
            <w:tcBorders>
              <w:top w:val="single" w:sz="4" w:space="0" w:color="auto"/>
              <w:left w:val="single" w:sz="4" w:space="0" w:color="auto"/>
              <w:bottom w:val="single" w:sz="4" w:space="0" w:color="auto"/>
              <w:right w:val="single" w:sz="4" w:space="0" w:color="auto"/>
            </w:tcBorders>
          </w:tcPr>
          <w:p w14:paraId="24F40215" w14:textId="77777777" w:rsidR="00AD4742" w:rsidRDefault="00AD4742" w:rsidP="002941EC">
            <w:pPr>
              <w:spacing w:after="160" w:line="480" w:lineRule="auto"/>
              <w:jc w:val="left"/>
              <w:rPr>
                <w:rFonts w:cs="Arial"/>
                <w:szCs w:val="20"/>
                <w:lang w:val="en-US"/>
              </w:rPr>
            </w:pPr>
          </w:p>
          <w:p w14:paraId="4000A490" w14:textId="77777777" w:rsidR="00AD4742" w:rsidRDefault="00AD4742" w:rsidP="002941EC">
            <w:pPr>
              <w:spacing w:after="160" w:line="480" w:lineRule="auto"/>
              <w:jc w:val="left"/>
              <w:rPr>
                <w:rFonts w:cs="Arial"/>
                <w:szCs w:val="20"/>
                <w:lang w:val="en-US"/>
              </w:rPr>
            </w:pPr>
            <w:r>
              <w:rPr>
                <w:rFonts w:cs="Arial"/>
                <w:szCs w:val="20"/>
                <w:lang w:val="en-US"/>
              </w:rPr>
              <w:br/>
              <w:t>100 (5/5)</w:t>
            </w:r>
          </w:p>
          <w:p w14:paraId="73B60658" w14:textId="77777777" w:rsidR="00AD4742" w:rsidRDefault="00AD4742" w:rsidP="002941EC">
            <w:pPr>
              <w:spacing w:after="160" w:line="480" w:lineRule="auto"/>
              <w:jc w:val="left"/>
              <w:rPr>
                <w:rFonts w:cs="Arial"/>
                <w:szCs w:val="20"/>
                <w:lang w:val="en-US"/>
              </w:rPr>
            </w:pPr>
            <w:r>
              <w:rPr>
                <w:rFonts w:cs="Arial"/>
                <w:szCs w:val="20"/>
                <w:lang w:val="en-US"/>
              </w:rPr>
              <w:t>NA (0/0)</w:t>
            </w:r>
          </w:p>
          <w:p w14:paraId="291E5C99" w14:textId="77777777" w:rsidR="00AD4742" w:rsidRDefault="00AD4742" w:rsidP="002941EC">
            <w:pPr>
              <w:spacing w:after="160" w:line="480" w:lineRule="auto"/>
              <w:jc w:val="left"/>
              <w:rPr>
                <w:rFonts w:cs="Arial"/>
                <w:i/>
                <w:szCs w:val="20"/>
                <w:lang w:val="en-US"/>
              </w:rPr>
            </w:pPr>
            <w:r>
              <w:rPr>
                <w:rFonts w:cs="Arial"/>
                <w:i/>
                <w:szCs w:val="20"/>
                <w:lang w:val="en-US"/>
              </w:rPr>
              <w:t>NA</w:t>
            </w:r>
          </w:p>
        </w:tc>
        <w:tc>
          <w:tcPr>
            <w:tcW w:w="1555" w:type="dxa"/>
            <w:tcBorders>
              <w:top w:val="single" w:sz="4" w:space="0" w:color="auto"/>
              <w:left w:val="single" w:sz="4" w:space="0" w:color="auto"/>
              <w:bottom w:val="single" w:sz="4" w:space="0" w:color="auto"/>
              <w:right w:val="single" w:sz="4" w:space="0" w:color="auto"/>
            </w:tcBorders>
          </w:tcPr>
          <w:p w14:paraId="0CD33286" w14:textId="77777777" w:rsidR="00AD4742" w:rsidRDefault="00AD4742" w:rsidP="002941EC">
            <w:pPr>
              <w:spacing w:after="160" w:line="480" w:lineRule="auto"/>
              <w:jc w:val="left"/>
              <w:rPr>
                <w:rFonts w:cs="Arial"/>
                <w:szCs w:val="20"/>
                <w:lang w:val="en-US"/>
              </w:rPr>
            </w:pPr>
          </w:p>
          <w:p w14:paraId="1D460976" w14:textId="77777777" w:rsidR="00AD4742" w:rsidRDefault="00AD4742" w:rsidP="002941EC">
            <w:pPr>
              <w:spacing w:after="160" w:line="480" w:lineRule="auto"/>
              <w:jc w:val="left"/>
              <w:rPr>
                <w:rFonts w:cs="Arial"/>
                <w:szCs w:val="20"/>
                <w:lang w:val="en-US"/>
              </w:rPr>
            </w:pPr>
            <w:r>
              <w:rPr>
                <w:rFonts w:cs="Arial"/>
                <w:szCs w:val="20"/>
                <w:lang w:val="en-US"/>
              </w:rPr>
              <w:br/>
              <w:t>50.5 (47/93)</w:t>
            </w:r>
          </w:p>
          <w:p w14:paraId="22E5B1FC" w14:textId="77777777" w:rsidR="00AD4742" w:rsidRDefault="00AD4742" w:rsidP="002941EC">
            <w:pPr>
              <w:spacing w:after="160" w:line="480" w:lineRule="auto"/>
              <w:jc w:val="left"/>
              <w:rPr>
                <w:rFonts w:cs="Arial"/>
                <w:szCs w:val="20"/>
                <w:lang w:val="en-US"/>
              </w:rPr>
            </w:pPr>
            <w:r>
              <w:rPr>
                <w:rFonts w:cs="Arial"/>
                <w:szCs w:val="20"/>
                <w:lang w:val="en-US"/>
              </w:rPr>
              <w:t>69.2 (18/26)</w:t>
            </w:r>
          </w:p>
          <w:p w14:paraId="60E9DA46" w14:textId="77777777" w:rsidR="00AD4742" w:rsidRDefault="00AD4742" w:rsidP="002941EC">
            <w:pPr>
              <w:spacing w:after="160" w:line="480" w:lineRule="auto"/>
              <w:jc w:val="left"/>
              <w:rPr>
                <w:rFonts w:cs="Arial"/>
                <w:i/>
                <w:szCs w:val="20"/>
                <w:lang w:val="en-US"/>
              </w:rPr>
            </w:pPr>
            <w:r>
              <w:rPr>
                <w:rFonts w:cs="Arial"/>
                <w:i/>
                <w:szCs w:val="20"/>
                <w:lang w:val="en-US"/>
              </w:rPr>
              <w:t>0.119</w:t>
            </w:r>
          </w:p>
        </w:tc>
      </w:tr>
      <w:tr w:rsidR="00AD4742" w14:paraId="1A2268F9" w14:textId="77777777" w:rsidTr="00AD4742">
        <w:tc>
          <w:tcPr>
            <w:tcW w:w="2830" w:type="dxa"/>
            <w:tcBorders>
              <w:top w:val="single" w:sz="4" w:space="0" w:color="auto"/>
              <w:left w:val="single" w:sz="4" w:space="0" w:color="auto"/>
              <w:bottom w:val="single" w:sz="4" w:space="0" w:color="auto"/>
              <w:right w:val="single" w:sz="4" w:space="0" w:color="auto"/>
            </w:tcBorders>
            <w:hideMark/>
          </w:tcPr>
          <w:p w14:paraId="5142BD1C" w14:textId="77777777" w:rsidR="00AD4742" w:rsidRDefault="00AD4742" w:rsidP="002941EC">
            <w:pPr>
              <w:spacing w:after="160" w:line="480" w:lineRule="auto"/>
              <w:jc w:val="left"/>
              <w:rPr>
                <w:rFonts w:cs="Arial"/>
                <w:szCs w:val="20"/>
                <w:vertAlign w:val="superscript"/>
                <w:lang w:val="en-US"/>
              </w:rPr>
            </w:pPr>
            <w:proofErr w:type="spellStart"/>
            <w:r>
              <w:rPr>
                <w:rFonts w:cs="Arial"/>
                <w:szCs w:val="20"/>
                <w:lang w:val="en-US"/>
              </w:rPr>
              <w:t>ReSViNET</w:t>
            </w:r>
            <w:proofErr w:type="spellEnd"/>
            <w:r>
              <w:rPr>
                <w:rFonts w:cs="Arial"/>
                <w:szCs w:val="20"/>
                <w:lang w:val="en-US"/>
              </w:rPr>
              <w:t xml:space="preserve"> </w:t>
            </w:r>
            <w:proofErr w:type="spellStart"/>
            <w:r>
              <w:rPr>
                <w:rFonts w:cs="Arial"/>
                <w:szCs w:val="20"/>
                <w:lang w:val="en-US"/>
              </w:rPr>
              <w:t>score</w:t>
            </w:r>
            <w:r>
              <w:rPr>
                <w:rFonts w:cs="Arial"/>
                <w:szCs w:val="20"/>
                <w:vertAlign w:val="superscript"/>
                <w:lang w:val="en-US"/>
              </w:rPr>
              <w:t>c</w:t>
            </w:r>
            <w:proofErr w:type="spellEnd"/>
          </w:p>
          <w:p w14:paraId="085DCBF1" w14:textId="77777777" w:rsidR="00AD4742" w:rsidRDefault="00AD4742" w:rsidP="002941EC">
            <w:pPr>
              <w:spacing w:after="160" w:line="480" w:lineRule="auto"/>
              <w:jc w:val="left"/>
              <w:rPr>
                <w:rFonts w:cs="Arial"/>
                <w:szCs w:val="20"/>
                <w:lang w:val="en-US"/>
              </w:rPr>
            </w:pPr>
            <w:r>
              <w:rPr>
                <w:rFonts w:cs="Arial"/>
                <w:szCs w:val="20"/>
                <w:lang w:val="en-US"/>
              </w:rPr>
              <w:tab/>
              <w:t>&lt;= 3 (n=53)</w:t>
            </w:r>
          </w:p>
          <w:p w14:paraId="11659E31" w14:textId="77777777" w:rsidR="00AD4742" w:rsidRDefault="00AD4742" w:rsidP="002941EC">
            <w:pPr>
              <w:spacing w:after="160" w:line="480" w:lineRule="auto"/>
              <w:jc w:val="left"/>
              <w:rPr>
                <w:rFonts w:cs="Arial"/>
                <w:szCs w:val="20"/>
                <w:lang w:val="en-US"/>
              </w:rPr>
            </w:pPr>
            <w:r>
              <w:rPr>
                <w:rFonts w:cs="Arial"/>
                <w:szCs w:val="20"/>
                <w:lang w:val="en-US"/>
              </w:rPr>
              <w:tab/>
              <w:t>&gt; 3 (n=46)</w:t>
            </w:r>
          </w:p>
          <w:p w14:paraId="027275C7" w14:textId="77777777" w:rsidR="00AD4742" w:rsidRDefault="00AD4742" w:rsidP="002941EC">
            <w:pPr>
              <w:spacing w:after="160" w:line="480" w:lineRule="auto"/>
              <w:jc w:val="left"/>
              <w:rPr>
                <w:rFonts w:cs="Arial"/>
                <w:i/>
                <w:szCs w:val="20"/>
                <w:lang w:val="en-US"/>
              </w:rPr>
            </w:pPr>
            <w:r>
              <w:rPr>
                <w:rFonts w:cs="Arial"/>
                <w:i/>
                <w:szCs w:val="20"/>
                <w:lang w:val="en-US"/>
              </w:rPr>
              <w:t>P value</w:t>
            </w:r>
          </w:p>
        </w:tc>
        <w:tc>
          <w:tcPr>
            <w:tcW w:w="1567" w:type="dxa"/>
            <w:tcBorders>
              <w:top w:val="single" w:sz="4" w:space="0" w:color="auto"/>
              <w:left w:val="single" w:sz="4" w:space="0" w:color="auto"/>
              <w:bottom w:val="single" w:sz="4" w:space="0" w:color="auto"/>
              <w:right w:val="single" w:sz="4" w:space="0" w:color="auto"/>
            </w:tcBorders>
          </w:tcPr>
          <w:p w14:paraId="7C1CFAB4" w14:textId="77777777" w:rsidR="00AD4742" w:rsidRDefault="00AD4742" w:rsidP="002941EC">
            <w:pPr>
              <w:spacing w:after="160" w:line="480" w:lineRule="auto"/>
              <w:jc w:val="left"/>
              <w:rPr>
                <w:rFonts w:cs="Arial"/>
                <w:szCs w:val="20"/>
                <w:lang w:val="en-US"/>
              </w:rPr>
            </w:pPr>
          </w:p>
          <w:p w14:paraId="7ECABA0F" w14:textId="77777777" w:rsidR="00AD4742" w:rsidRDefault="00AD4742" w:rsidP="002941EC">
            <w:pPr>
              <w:spacing w:after="160" w:line="480" w:lineRule="auto"/>
              <w:jc w:val="left"/>
              <w:rPr>
                <w:rFonts w:cs="Arial"/>
                <w:szCs w:val="20"/>
                <w:lang w:val="en-US"/>
              </w:rPr>
            </w:pPr>
            <w:r>
              <w:rPr>
                <w:rFonts w:cs="Arial"/>
                <w:szCs w:val="20"/>
                <w:lang w:val="en-US"/>
              </w:rPr>
              <w:t>0 (0/17)</w:t>
            </w:r>
          </w:p>
          <w:p w14:paraId="4250CD28" w14:textId="77777777" w:rsidR="00AD4742" w:rsidRDefault="00AD4742" w:rsidP="002941EC">
            <w:pPr>
              <w:spacing w:after="160" w:line="480" w:lineRule="auto"/>
              <w:jc w:val="left"/>
              <w:rPr>
                <w:rFonts w:cs="Arial"/>
                <w:szCs w:val="20"/>
                <w:lang w:val="en-US"/>
              </w:rPr>
            </w:pPr>
            <w:r>
              <w:rPr>
                <w:rFonts w:cs="Arial"/>
                <w:szCs w:val="20"/>
                <w:lang w:val="en-US"/>
              </w:rPr>
              <w:t>12.8 (5/39)</w:t>
            </w:r>
          </w:p>
          <w:p w14:paraId="30DB4D2D" w14:textId="77777777" w:rsidR="00AD4742" w:rsidRDefault="00AD4742" w:rsidP="002941EC">
            <w:pPr>
              <w:spacing w:after="160" w:line="480" w:lineRule="auto"/>
              <w:jc w:val="left"/>
              <w:rPr>
                <w:rFonts w:cs="Arial"/>
                <w:i/>
                <w:szCs w:val="20"/>
                <w:lang w:val="en-US"/>
              </w:rPr>
            </w:pPr>
            <w:r>
              <w:rPr>
                <w:rFonts w:cs="Arial"/>
                <w:i/>
                <w:szCs w:val="20"/>
                <w:lang w:val="en-US"/>
              </w:rPr>
              <w:t>0.309</w:t>
            </w:r>
          </w:p>
        </w:tc>
        <w:tc>
          <w:tcPr>
            <w:tcW w:w="1567" w:type="dxa"/>
            <w:tcBorders>
              <w:top w:val="single" w:sz="4" w:space="0" w:color="auto"/>
              <w:left w:val="single" w:sz="4" w:space="0" w:color="auto"/>
              <w:bottom w:val="single" w:sz="4" w:space="0" w:color="auto"/>
              <w:right w:val="single" w:sz="4" w:space="0" w:color="auto"/>
            </w:tcBorders>
          </w:tcPr>
          <w:p w14:paraId="682C826C" w14:textId="77777777" w:rsidR="00AD4742" w:rsidRDefault="00AD4742" w:rsidP="002941EC">
            <w:pPr>
              <w:spacing w:after="160" w:line="480" w:lineRule="auto"/>
              <w:jc w:val="left"/>
              <w:rPr>
                <w:rFonts w:cs="Arial"/>
                <w:szCs w:val="20"/>
                <w:lang w:val="en-US"/>
              </w:rPr>
            </w:pPr>
          </w:p>
          <w:p w14:paraId="0E946997" w14:textId="77777777" w:rsidR="00AD4742" w:rsidRDefault="00AD4742" w:rsidP="002941EC">
            <w:pPr>
              <w:spacing w:after="160" w:line="480" w:lineRule="auto"/>
              <w:jc w:val="left"/>
              <w:rPr>
                <w:rFonts w:cs="Arial"/>
                <w:szCs w:val="20"/>
                <w:lang w:val="en-US"/>
              </w:rPr>
            </w:pPr>
            <w:r>
              <w:rPr>
                <w:rFonts w:cs="Arial"/>
                <w:szCs w:val="20"/>
                <w:lang w:val="en-US"/>
              </w:rPr>
              <w:t>100 (36/36)</w:t>
            </w:r>
          </w:p>
          <w:p w14:paraId="6EA37F19" w14:textId="77777777" w:rsidR="00AD4742" w:rsidRDefault="00AD4742" w:rsidP="002941EC">
            <w:pPr>
              <w:spacing w:after="160" w:line="480" w:lineRule="auto"/>
              <w:jc w:val="left"/>
              <w:rPr>
                <w:rFonts w:cs="Arial"/>
                <w:szCs w:val="20"/>
                <w:lang w:val="en-US"/>
              </w:rPr>
            </w:pPr>
            <w:r>
              <w:rPr>
                <w:rFonts w:cs="Arial"/>
                <w:szCs w:val="20"/>
                <w:lang w:val="en-US"/>
              </w:rPr>
              <w:t>100 (7/7)</w:t>
            </w:r>
          </w:p>
          <w:p w14:paraId="114FD999" w14:textId="77777777" w:rsidR="00AD4742" w:rsidRDefault="00AD4742" w:rsidP="002941EC">
            <w:pPr>
              <w:spacing w:after="160" w:line="480" w:lineRule="auto"/>
              <w:jc w:val="left"/>
              <w:rPr>
                <w:rFonts w:cs="Arial"/>
                <w:i/>
                <w:szCs w:val="20"/>
                <w:lang w:val="en-US"/>
              </w:rPr>
            </w:pPr>
            <w:r>
              <w:rPr>
                <w:rFonts w:cs="Arial"/>
                <w:i/>
                <w:szCs w:val="20"/>
                <w:lang w:val="en-US"/>
              </w:rPr>
              <w:t>NA</w:t>
            </w:r>
          </w:p>
        </w:tc>
        <w:tc>
          <w:tcPr>
            <w:tcW w:w="1544" w:type="dxa"/>
            <w:tcBorders>
              <w:top w:val="single" w:sz="4" w:space="0" w:color="auto"/>
              <w:left w:val="single" w:sz="4" w:space="0" w:color="auto"/>
              <w:bottom w:val="single" w:sz="4" w:space="0" w:color="auto"/>
              <w:right w:val="single" w:sz="4" w:space="0" w:color="auto"/>
            </w:tcBorders>
          </w:tcPr>
          <w:p w14:paraId="3F5B6B45" w14:textId="77777777" w:rsidR="00AD4742" w:rsidRDefault="00AD4742" w:rsidP="002941EC">
            <w:pPr>
              <w:spacing w:after="160" w:line="480" w:lineRule="auto"/>
              <w:jc w:val="left"/>
              <w:rPr>
                <w:rFonts w:cs="Arial"/>
                <w:szCs w:val="20"/>
                <w:lang w:val="en-US"/>
              </w:rPr>
            </w:pPr>
          </w:p>
          <w:p w14:paraId="312F01BF" w14:textId="77777777" w:rsidR="00AD4742" w:rsidRDefault="00AD4742" w:rsidP="002941EC">
            <w:pPr>
              <w:spacing w:after="160" w:line="480" w:lineRule="auto"/>
              <w:jc w:val="left"/>
              <w:rPr>
                <w:rFonts w:cs="Arial"/>
                <w:szCs w:val="20"/>
                <w:lang w:val="en-US"/>
              </w:rPr>
            </w:pPr>
            <w:r>
              <w:rPr>
                <w:rFonts w:cs="Arial"/>
                <w:szCs w:val="20"/>
                <w:lang w:val="en-US"/>
              </w:rPr>
              <w:t>NA (0/0)</w:t>
            </w:r>
          </w:p>
          <w:p w14:paraId="7362C165" w14:textId="77777777" w:rsidR="00AD4742" w:rsidRDefault="00AD4742" w:rsidP="002941EC">
            <w:pPr>
              <w:spacing w:after="160" w:line="480" w:lineRule="auto"/>
              <w:jc w:val="left"/>
              <w:rPr>
                <w:rFonts w:cs="Arial"/>
                <w:szCs w:val="20"/>
                <w:lang w:val="en-US"/>
              </w:rPr>
            </w:pPr>
            <w:r>
              <w:rPr>
                <w:rFonts w:cs="Arial"/>
                <w:szCs w:val="20"/>
                <w:lang w:val="en-US"/>
              </w:rPr>
              <w:t>100 (5/5)</w:t>
            </w:r>
          </w:p>
          <w:p w14:paraId="2EA224B2" w14:textId="77777777" w:rsidR="00AD4742" w:rsidRDefault="00AD4742" w:rsidP="002941EC">
            <w:pPr>
              <w:spacing w:after="160" w:line="480" w:lineRule="auto"/>
              <w:jc w:val="left"/>
              <w:rPr>
                <w:rFonts w:cs="Arial"/>
                <w:i/>
                <w:szCs w:val="20"/>
                <w:lang w:val="en-US"/>
              </w:rPr>
            </w:pPr>
            <w:r>
              <w:rPr>
                <w:rFonts w:cs="Arial"/>
                <w:i/>
                <w:szCs w:val="20"/>
                <w:lang w:val="en-US"/>
              </w:rPr>
              <w:t>NA</w:t>
            </w:r>
          </w:p>
        </w:tc>
        <w:tc>
          <w:tcPr>
            <w:tcW w:w="1555" w:type="dxa"/>
            <w:tcBorders>
              <w:top w:val="single" w:sz="4" w:space="0" w:color="auto"/>
              <w:left w:val="single" w:sz="4" w:space="0" w:color="auto"/>
              <w:bottom w:val="single" w:sz="4" w:space="0" w:color="auto"/>
              <w:right w:val="single" w:sz="4" w:space="0" w:color="auto"/>
            </w:tcBorders>
          </w:tcPr>
          <w:p w14:paraId="1D6694D0" w14:textId="77777777" w:rsidR="00AD4742" w:rsidRDefault="00AD4742" w:rsidP="002941EC">
            <w:pPr>
              <w:spacing w:after="160" w:line="480" w:lineRule="auto"/>
              <w:jc w:val="left"/>
              <w:rPr>
                <w:rFonts w:cs="Arial"/>
                <w:szCs w:val="20"/>
                <w:lang w:val="en-US"/>
              </w:rPr>
            </w:pPr>
          </w:p>
          <w:p w14:paraId="0367A25E" w14:textId="77777777" w:rsidR="00AD4742" w:rsidRDefault="00AD4742" w:rsidP="002941EC">
            <w:pPr>
              <w:spacing w:after="160" w:line="480" w:lineRule="auto"/>
              <w:jc w:val="left"/>
              <w:rPr>
                <w:rFonts w:cs="Arial"/>
                <w:szCs w:val="20"/>
                <w:lang w:val="en-US"/>
              </w:rPr>
            </w:pPr>
            <w:r>
              <w:rPr>
                <w:rFonts w:cs="Arial"/>
                <w:szCs w:val="20"/>
                <w:lang w:val="en-US"/>
              </w:rPr>
              <w:t>67.9 (36/53)</w:t>
            </w:r>
          </w:p>
          <w:p w14:paraId="39CCA978" w14:textId="77777777" w:rsidR="00AD4742" w:rsidRDefault="00AD4742" w:rsidP="002941EC">
            <w:pPr>
              <w:spacing w:after="160" w:line="480" w:lineRule="auto"/>
              <w:jc w:val="left"/>
              <w:rPr>
                <w:rFonts w:cs="Arial"/>
                <w:szCs w:val="20"/>
                <w:lang w:val="en-US"/>
              </w:rPr>
            </w:pPr>
            <w:r>
              <w:rPr>
                <w:rFonts w:cs="Arial"/>
                <w:szCs w:val="20"/>
                <w:lang w:val="en-US"/>
              </w:rPr>
              <w:t>17.1 (7/41)</w:t>
            </w:r>
          </w:p>
          <w:p w14:paraId="7B8E38B5" w14:textId="77777777" w:rsidR="00AD4742" w:rsidRDefault="00AD4742" w:rsidP="002941EC">
            <w:pPr>
              <w:spacing w:after="160" w:line="480" w:lineRule="auto"/>
              <w:jc w:val="left"/>
              <w:rPr>
                <w:rFonts w:cs="Arial"/>
                <w:i/>
                <w:szCs w:val="20"/>
                <w:lang w:val="en-US"/>
              </w:rPr>
            </w:pPr>
            <w:r>
              <w:rPr>
                <w:rFonts w:cs="Arial"/>
                <w:i/>
                <w:szCs w:val="20"/>
                <w:lang w:val="en-US"/>
              </w:rPr>
              <w:t>&lt;0.005</w:t>
            </w:r>
          </w:p>
        </w:tc>
      </w:tr>
    </w:tbl>
    <w:p w14:paraId="3521DD9E" w14:textId="77777777" w:rsidR="00AD4742" w:rsidRDefault="00AD4742" w:rsidP="00AD4742">
      <w:pPr>
        <w:pStyle w:val="Caption"/>
        <w:rPr>
          <w:lang w:val="en-US"/>
        </w:rPr>
      </w:pPr>
      <w:r>
        <w:rPr>
          <w:lang w:val="en-US"/>
        </w:rPr>
        <w:t xml:space="preserve">Data are percentages (proportions) of BinaxNOW RSV performance test results compared to the reference test. </w:t>
      </w:r>
      <w:proofErr w:type="spellStart"/>
      <w:r>
        <w:rPr>
          <w:lang w:val="en-US"/>
        </w:rPr>
        <w:t>ReSViNET</w:t>
      </w:r>
      <w:proofErr w:type="spellEnd"/>
      <w:r>
        <w:rPr>
          <w:lang w:val="en-US"/>
        </w:rPr>
        <w:t xml:space="preserve"> score was used to evaluate disease severity (Suppl fig 1)</w:t>
      </w:r>
    </w:p>
    <w:p w14:paraId="6F3FC2F9" w14:textId="77777777" w:rsidR="00AD4742" w:rsidRDefault="00AD4742" w:rsidP="00AD4742">
      <w:pPr>
        <w:pStyle w:val="Caption"/>
        <w:jc w:val="left"/>
        <w:rPr>
          <w:lang w:val="en-US"/>
        </w:rPr>
      </w:pPr>
      <w:r>
        <w:rPr>
          <w:lang w:val="en-US"/>
        </w:rPr>
        <w:t>Abbreviations: ARTI, acute respiratory tract infection; MA-ARTI medically attended acute respiratory tract infection; NPV, negative predictive value; PICU, pediatric intensive care unit; PPV, positive predictive value; n, number of ARTI episodes</w:t>
      </w:r>
    </w:p>
    <w:p w14:paraId="7C27BCB8" w14:textId="77777777" w:rsidR="00AD4742" w:rsidRDefault="00AD4742" w:rsidP="00AD4742">
      <w:pPr>
        <w:pStyle w:val="Caption"/>
        <w:jc w:val="left"/>
        <w:rPr>
          <w:rFonts w:cs="Arial"/>
          <w:b/>
          <w:szCs w:val="20"/>
          <w:lang w:val="en-US"/>
        </w:rPr>
      </w:pPr>
      <w:r>
        <w:rPr>
          <w:vertAlign w:val="superscript"/>
          <w:lang w:val="en-US"/>
        </w:rPr>
        <w:t xml:space="preserve">a </w:t>
      </w:r>
      <w:r>
        <w:rPr>
          <w:lang w:val="en-US"/>
        </w:rPr>
        <w:t>Data available for 160 episodes</w:t>
      </w:r>
    </w:p>
    <w:p w14:paraId="1B7FDF33" w14:textId="77777777" w:rsidR="00AD4742" w:rsidRPr="00AD4742" w:rsidRDefault="00AD4742" w:rsidP="00AD4742">
      <w:pPr>
        <w:pStyle w:val="Caption"/>
        <w:jc w:val="left"/>
        <w:rPr>
          <w:rStyle w:val="CommentReference"/>
          <w:iCs w:val="0"/>
          <w:color w:val="auto"/>
          <w:lang w:val="en-US"/>
        </w:rPr>
      </w:pPr>
      <w:r>
        <w:rPr>
          <w:vertAlign w:val="superscript"/>
          <w:lang w:val="en-US"/>
        </w:rPr>
        <w:t xml:space="preserve">b </w:t>
      </w:r>
      <w:r>
        <w:rPr>
          <w:lang w:val="en-US"/>
        </w:rPr>
        <w:t>Data available for 125 episodes</w:t>
      </w:r>
    </w:p>
    <w:p w14:paraId="13A260DA" w14:textId="4872CE64" w:rsidR="00E23CA5" w:rsidRDefault="00AD4742" w:rsidP="00AD4742">
      <w:pPr>
        <w:pStyle w:val="Caption"/>
        <w:jc w:val="left"/>
        <w:rPr>
          <w:lang w:val="en-US"/>
        </w:rPr>
      </w:pPr>
      <w:r>
        <w:rPr>
          <w:vertAlign w:val="superscript"/>
          <w:lang w:val="en-US"/>
        </w:rPr>
        <w:t xml:space="preserve">c </w:t>
      </w:r>
      <w:r>
        <w:rPr>
          <w:lang w:val="en-US"/>
        </w:rPr>
        <w:t>Data available for 99 episodes</w:t>
      </w:r>
    </w:p>
    <w:p w14:paraId="1E6BC0D5" w14:textId="77777777" w:rsidR="00E23CA5" w:rsidRPr="00CC1D92" w:rsidRDefault="00E23CA5" w:rsidP="00E23CA5">
      <w:pPr>
        <w:pStyle w:val="Caption"/>
        <w:keepNext/>
        <w:rPr>
          <w:lang w:val="en-US"/>
        </w:rPr>
      </w:pPr>
      <w:bookmarkStart w:id="3" w:name="_Hlk11675126"/>
      <w:r w:rsidRPr="00CC1D92">
        <w:rPr>
          <w:lang w:val="en-US"/>
        </w:rPr>
        <w:lastRenderedPageBreak/>
        <w:t xml:space="preserve">Table 4: Overview of characteristics of published studies about the performance of BN compared to molecular tests in children. </w:t>
      </w:r>
      <w:r>
        <w:rPr>
          <w:lang w:val="en-US"/>
        </w:rPr>
        <w:t>(online only)</w:t>
      </w:r>
    </w:p>
    <w:tbl>
      <w:tblPr>
        <w:tblStyle w:val="TableGrid"/>
        <w:tblW w:w="9870" w:type="dxa"/>
        <w:tblInd w:w="-572" w:type="dxa"/>
        <w:tblLayout w:type="fixed"/>
        <w:tblLook w:val="04A0" w:firstRow="1" w:lastRow="0" w:firstColumn="1" w:lastColumn="0" w:noHBand="0" w:noVBand="1"/>
      </w:tblPr>
      <w:tblGrid>
        <w:gridCol w:w="1560"/>
        <w:gridCol w:w="1134"/>
        <w:gridCol w:w="1417"/>
        <w:gridCol w:w="1276"/>
        <w:gridCol w:w="850"/>
        <w:gridCol w:w="849"/>
        <w:gridCol w:w="550"/>
        <w:gridCol w:w="1117"/>
        <w:gridCol w:w="1117"/>
      </w:tblGrid>
      <w:tr w:rsidR="00E23CA5" w:rsidRPr="00983604" w14:paraId="17DBB100" w14:textId="77777777" w:rsidTr="00810691">
        <w:trPr>
          <w:trHeight w:val="339"/>
        </w:trPr>
        <w:tc>
          <w:tcPr>
            <w:tcW w:w="1560" w:type="dxa"/>
          </w:tcPr>
          <w:p w14:paraId="26D16C32" w14:textId="77777777" w:rsidR="00E23CA5" w:rsidRPr="00983604" w:rsidRDefault="00E23CA5" w:rsidP="00810691">
            <w:pPr>
              <w:rPr>
                <w:sz w:val="16"/>
                <w:szCs w:val="16"/>
                <w:lang w:val="en-GB"/>
              </w:rPr>
            </w:pPr>
            <w:r w:rsidRPr="00983604">
              <w:rPr>
                <w:sz w:val="16"/>
                <w:szCs w:val="16"/>
                <w:lang w:val="en-GB"/>
              </w:rPr>
              <w:t>Study</w:t>
            </w:r>
          </w:p>
        </w:tc>
        <w:tc>
          <w:tcPr>
            <w:tcW w:w="1134" w:type="dxa"/>
          </w:tcPr>
          <w:p w14:paraId="4B307236" w14:textId="77777777" w:rsidR="00E23CA5" w:rsidRPr="00983604" w:rsidRDefault="00E23CA5" w:rsidP="00810691">
            <w:pPr>
              <w:rPr>
                <w:sz w:val="16"/>
                <w:szCs w:val="16"/>
                <w:lang w:val="en-GB"/>
              </w:rPr>
            </w:pPr>
            <w:r w:rsidRPr="00983604">
              <w:rPr>
                <w:sz w:val="16"/>
                <w:szCs w:val="16"/>
                <w:lang w:val="en-GB"/>
              </w:rPr>
              <w:t xml:space="preserve">Age </w:t>
            </w:r>
          </w:p>
          <w:p w14:paraId="1C9A565D" w14:textId="77777777" w:rsidR="00E23CA5" w:rsidRPr="00983604" w:rsidRDefault="00E23CA5" w:rsidP="00810691">
            <w:pPr>
              <w:rPr>
                <w:sz w:val="16"/>
                <w:szCs w:val="16"/>
                <w:lang w:val="en-GB"/>
              </w:rPr>
            </w:pPr>
          </w:p>
        </w:tc>
        <w:tc>
          <w:tcPr>
            <w:tcW w:w="1417" w:type="dxa"/>
          </w:tcPr>
          <w:p w14:paraId="67EFF1F8" w14:textId="77777777" w:rsidR="00E23CA5" w:rsidRPr="00983604" w:rsidRDefault="00E23CA5" w:rsidP="00810691">
            <w:pPr>
              <w:rPr>
                <w:sz w:val="16"/>
                <w:szCs w:val="16"/>
                <w:lang w:val="en-GB"/>
              </w:rPr>
            </w:pPr>
            <w:r w:rsidRPr="00983604">
              <w:rPr>
                <w:sz w:val="16"/>
                <w:szCs w:val="16"/>
                <w:lang w:val="en-GB"/>
              </w:rPr>
              <w:t>Type of ARTI</w:t>
            </w:r>
          </w:p>
        </w:tc>
        <w:tc>
          <w:tcPr>
            <w:tcW w:w="1276" w:type="dxa"/>
          </w:tcPr>
          <w:p w14:paraId="7B229C2B" w14:textId="77777777" w:rsidR="00E23CA5" w:rsidRPr="00983604" w:rsidRDefault="00E23CA5" w:rsidP="00810691">
            <w:pPr>
              <w:rPr>
                <w:sz w:val="16"/>
                <w:szCs w:val="16"/>
                <w:lang w:val="en-GB"/>
              </w:rPr>
            </w:pPr>
            <w:r w:rsidRPr="00983604">
              <w:rPr>
                <w:sz w:val="16"/>
                <w:szCs w:val="16"/>
                <w:lang w:val="en-GB"/>
              </w:rPr>
              <w:t>Reference test</w:t>
            </w:r>
          </w:p>
        </w:tc>
        <w:tc>
          <w:tcPr>
            <w:tcW w:w="850" w:type="dxa"/>
          </w:tcPr>
          <w:p w14:paraId="79CE1F18" w14:textId="77777777" w:rsidR="00E23CA5" w:rsidRPr="00983604" w:rsidRDefault="00E23CA5" w:rsidP="00810691">
            <w:pPr>
              <w:rPr>
                <w:sz w:val="16"/>
                <w:szCs w:val="16"/>
                <w:lang w:val="en-GB"/>
              </w:rPr>
            </w:pPr>
            <w:r w:rsidRPr="00983604">
              <w:rPr>
                <w:sz w:val="16"/>
                <w:szCs w:val="16"/>
                <w:lang w:val="en-GB"/>
              </w:rPr>
              <w:t>Type of sample</w:t>
            </w:r>
          </w:p>
        </w:tc>
        <w:tc>
          <w:tcPr>
            <w:tcW w:w="849" w:type="dxa"/>
          </w:tcPr>
          <w:p w14:paraId="738BD71F" w14:textId="77777777" w:rsidR="00E23CA5" w:rsidRPr="00983604" w:rsidRDefault="00E23CA5" w:rsidP="00810691">
            <w:pPr>
              <w:rPr>
                <w:sz w:val="16"/>
                <w:szCs w:val="16"/>
                <w:lang w:val="en-GB"/>
              </w:rPr>
            </w:pPr>
            <w:r w:rsidRPr="00983604">
              <w:rPr>
                <w:sz w:val="16"/>
                <w:szCs w:val="16"/>
                <w:lang w:val="en-GB"/>
              </w:rPr>
              <w:t>POC setting</w:t>
            </w:r>
          </w:p>
        </w:tc>
        <w:tc>
          <w:tcPr>
            <w:tcW w:w="550" w:type="dxa"/>
          </w:tcPr>
          <w:p w14:paraId="56C8C6C2" w14:textId="77777777" w:rsidR="00E23CA5" w:rsidRPr="00983604" w:rsidRDefault="00E23CA5" w:rsidP="00810691">
            <w:pPr>
              <w:rPr>
                <w:sz w:val="16"/>
                <w:szCs w:val="16"/>
                <w:lang w:val="en-GB"/>
              </w:rPr>
            </w:pPr>
            <w:r w:rsidRPr="00983604">
              <w:rPr>
                <w:sz w:val="16"/>
                <w:szCs w:val="16"/>
                <w:lang w:val="en-GB"/>
              </w:rPr>
              <w:t xml:space="preserve"> n=</w:t>
            </w:r>
          </w:p>
        </w:tc>
        <w:tc>
          <w:tcPr>
            <w:tcW w:w="1117" w:type="dxa"/>
          </w:tcPr>
          <w:p w14:paraId="6F7DDC1C" w14:textId="77777777" w:rsidR="00E23CA5" w:rsidRPr="00983604" w:rsidRDefault="00E23CA5" w:rsidP="00810691">
            <w:pPr>
              <w:rPr>
                <w:sz w:val="16"/>
                <w:szCs w:val="16"/>
                <w:lang w:val="en-GB"/>
              </w:rPr>
            </w:pPr>
            <w:r w:rsidRPr="00983604">
              <w:rPr>
                <w:sz w:val="16"/>
                <w:szCs w:val="16"/>
                <w:lang w:val="en-GB"/>
              </w:rPr>
              <w:t>Sensitivity (95% CI)</w:t>
            </w:r>
          </w:p>
        </w:tc>
        <w:tc>
          <w:tcPr>
            <w:tcW w:w="1117" w:type="dxa"/>
          </w:tcPr>
          <w:p w14:paraId="4A7223FE" w14:textId="77777777" w:rsidR="00E23CA5" w:rsidRPr="00983604" w:rsidRDefault="00E23CA5" w:rsidP="00810691">
            <w:pPr>
              <w:rPr>
                <w:sz w:val="16"/>
                <w:szCs w:val="16"/>
                <w:lang w:val="en-GB"/>
              </w:rPr>
            </w:pPr>
            <w:r w:rsidRPr="00983604">
              <w:rPr>
                <w:sz w:val="16"/>
                <w:szCs w:val="16"/>
                <w:lang w:val="en-GB"/>
              </w:rPr>
              <w:t>Specificity (95% CI)</w:t>
            </w:r>
          </w:p>
        </w:tc>
      </w:tr>
      <w:tr w:rsidR="00E23CA5" w:rsidRPr="00983604" w14:paraId="1CDA34E1" w14:textId="77777777" w:rsidTr="00810691">
        <w:trPr>
          <w:trHeight w:val="999"/>
        </w:trPr>
        <w:tc>
          <w:tcPr>
            <w:tcW w:w="1560" w:type="dxa"/>
          </w:tcPr>
          <w:p w14:paraId="62220BCA" w14:textId="77777777" w:rsidR="00E23CA5" w:rsidRPr="00983604" w:rsidRDefault="00E23CA5" w:rsidP="00810691">
            <w:pPr>
              <w:rPr>
                <w:sz w:val="16"/>
                <w:szCs w:val="16"/>
                <w:lang w:val="en-GB"/>
              </w:rPr>
            </w:pPr>
            <w:r w:rsidRPr="00983604">
              <w:rPr>
                <w:sz w:val="16"/>
                <w:szCs w:val="16"/>
                <w:lang w:val="en-GB"/>
              </w:rPr>
              <w:t>Present study</w:t>
            </w:r>
          </w:p>
        </w:tc>
        <w:tc>
          <w:tcPr>
            <w:tcW w:w="1134" w:type="dxa"/>
          </w:tcPr>
          <w:p w14:paraId="4F2B2677" w14:textId="77777777" w:rsidR="00E23CA5" w:rsidRPr="00983604" w:rsidRDefault="00E23CA5" w:rsidP="00810691">
            <w:pPr>
              <w:rPr>
                <w:sz w:val="16"/>
                <w:szCs w:val="16"/>
                <w:lang w:val="en-GB"/>
              </w:rPr>
            </w:pPr>
            <w:r w:rsidRPr="00983604">
              <w:rPr>
                <w:sz w:val="16"/>
                <w:szCs w:val="16"/>
                <w:lang w:val="en-GB"/>
              </w:rPr>
              <w:t>&lt;1 year (median, 84 days)</w:t>
            </w:r>
          </w:p>
        </w:tc>
        <w:tc>
          <w:tcPr>
            <w:tcW w:w="1417" w:type="dxa"/>
          </w:tcPr>
          <w:p w14:paraId="456F7427" w14:textId="77777777" w:rsidR="00E23CA5" w:rsidRPr="00983604" w:rsidRDefault="00E23CA5" w:rsidP="00810691">
            <w:pPr>
              <w:rPr>
                <w:sz w:val="16"/>
                <w:szCs w:val="16"/>
                <w:lang w:val="en-GB"/>
              </w:rPr>
            </w:pPr>
            <w:r w:rsidRPr="00983604">
              <w:rPr>
                <w:sz w:val="16"/>
                <w:szCs w:val="16"/>
                <w:lang w:val="en-GB"/>
              </w:rPr>
              <w:t>Hospital</w:t>
            </w:r>
            <w:r>
              <w:rPr>
                <w:sz w:val="16"/>
                <w:szCs w:val="16"/>
                <w:lang w:val="en-GB"/>
              </w:rPr>
              <w:t>ise</w:t>
            </w:r>
            <w:r w:rsidRPr="00983604">
              <w:rPr>
                <w:sz w:val="16"/>
                <w:szCs w:val="16"/>
                <w:lang w:val="en-GB"/>
              </w:rPr>
              <w:t>d, (non)-MA ARTI</w:t>
            </w:r>
          </w:p>
        </w:tc>
        <w:tc>
          <w:tcPr>
            <w:tcW w:w="1276" w:type="dxa"/>
          </w:tcPr>
          <w:p w14:paraId="5FC7DC99" w14:textId="77777777" w:rsidR="00E23CA5" w:rsidRPr="00983604" w:rsidRDefault="00E23CA5" w:rsidP="00810691">
            <w:pPr>
              <w:rPr>
                <w:sz w:val="16"/>
                <w:szCs w:val="16"/>
                <w:lang w:val="en-GB"/>
              </w:rPr>
            </w:pPr>
            <w:r w:rsidRPr="00983604">
              <w:rPr>
                <w:sz w:val="16"/>
                <w:szCs w:val="16"/>
                <w:lang w:val="en-GB"/>
              </w:rPr>
              <w:t xml:space="preserve">Alere </w:t>
            </w:r>
            <w:proofErr w:type="spellStart"/>
            <w:r w:rsidRPr="00983604">
              <w:rPr>
                <w:sz w:val="16"/>
                <w:szCs w:val="16"/>
                <w:lang w:val="en-GB"/>
              </w:rPr>
              <w:t>i</w:t>
            </w:r>
            <w:proofErr w:type="spellEnd"/>
            <w:r w:rsidRPr="00983604">
              <w:rPr>
                <w:sz w:val="16"/>
                <w:szCs w:val="16"/>
                <w:lang w:val="en-GB"/>
              </w:rPr>
              <w:t>,</w:t>
            </w:r>
          </w:p>
          <w:p w14:paraId="1166D105" w14:textId="77777777" w:rsidR="00E23CA5" w:rsidRPr="00983604" w:rsidRDefault="00E23CA5" w:rsidP="00810691">
            <w:pPr>
              <w:rPr>
                <w:sz w:val="16"/>
                <w:szCs w:val="16"/>
                <w:lang w:val="en-GB"/>
              </w:rPr>
            </w:pPr>
            <w:proofErr w:type="spellStart"/>
            <w:r w:rsidRPr="00983604">
              <w:rPr>
                <w:sz w:val="16"/>
                <w:szCs w:val="16"/>
                <w:lang w:val="en-GB"/>
              </w:rPr>
              <w:t>Xpert</w:t>
            </w:r>
            <w:proofErr w:type="spellEnd"/>
            <w:r w:rsidRPr="00983604">
              <w:rPr>
                <w:sz w:val="16"/>
                <w:szCs w:val="16"/>
                <w:lang w:val="en-GB"/>
              </w:rPr>
              <w:t xml:space="preserve"> Xpress</w:t>
            </w:r>
          </w:p>
        </w:tc>
        <w:tc>
          <w:tcPr>
            <w:tcW w:w="850" w:type="dxa"/>
          </w:tcPr>
          <w:p w14:paraId="306D74D3" w14:textId="77777777" w:rsidR="00E23CA5" w:rsidRPr="00983604" w:rsidRDefault="00E23CA5" w:rsidP="00810691">
            <w:pPr>
              <w:rPr>
                <w:sz w:val="16"/>
                <w:szCs w:val="16"/>
                <w:lang w:val="en-GB"/>
              </w:rPr>
            </w:pPr>
            <w:r w:rsidRPr="00983604">
              <w:rPr>
                <w:sz w:val="16"/>
                <w:szCs w:val="16"/>
                <w:lang w:val="en-GB"/>
              </w:rPr>
              <w:t>NS (flocked swabs in 3 ml UTM/M4RT</w:t>
            </w:r>
          </w:p>
        </w:tc>
        <w:tc>
          <w:tcPr>
            <w:tcW w:w="849" w:type="dxa"/>
          </w:tcPr>
          <w:p w14:paraId="72278B7B" w14:textId="77777777" w:rsidR="00E23CA5" w:rsidRPr="00983604" w:rsidRDefault="00E23CA5" w:rsidP="00810691">
            <w:pPr>
              <w:rPr>
                <w:sz w:val="16"/>
                <w:szCs w:val="16"/>
                <w:lang w:val="en-GB"/>
              </w:rPr>
            </w:pPr>
            <w:r w:rsidRPr="00983604">
              <w:rPr>
                <w:sz w:val="16"/>
                <w:szCs w:val="16"/>
                <w:lang w:val="en-GB"/>
              </w:rPr>
              <w:t>Yes</w:t>
            </w:r>
          </w:p>
        </w:tc>
        <w:tc>
          <w:tcPr>
            <w:tcW w:w="550" w:type="dxa"/>
          </w:tcPr>
          <w:p w14:paraId="721EDCCD" w14:textId="77777777" w:rsidR="00E23CA5" w:rsidRPr="00983604" w:rsidRDefault="00E23CA5" w:rsidP="00810691">
            <w:pPr>
              <w:rPr>
                <w:sz w:val="16"/>
                <w:szCs w:val="16"/>
                <w:lang w:val="en-GB"/>
              </w:rPr>
            </w:pPr>
            <w:r w:rsidRPr="00983604">
              <w:rPr>
                <w:sz w:val="16"/>
                <w:szCs w:val="16"/>
                <w:lang w:val="en-GB"/>
              </w:rPr>
              <w:t>162</w:t>
            </w:r>
          </w:p>
        </w:tc>
        <w:tc>
          <w:tcPr>
            <w:tcW w:w="1117" w:type="dxa"/>
          </w:tcPr>
          <w:p w14:paraId="25098CB3" w14:textId="77777777" w:rsidR="00E23CA5" w:rsidRDefault="00E23CA5" w:rsidP="00810691">
            <w:pPr>
              <w:rPr>
                <w:sz w:val="16"/>
                <w:szCs w:val="16"/>
                <w:lang w:val="en-GB"/>
              </w:rPr>
            </w:pPr>
            <w:r w:rsidRPr="00983604">
              <w:rPr>
                <w:sz w:val="16"/>
                <w:szCs w:val="16"/>
                <w:lang w:val="en-GB"/>
              </w:rPr>
              <w:t xml:space="preserve">7.6% </w:t>
            </w:r>
          </w:p>
          <w:p w14:paraId="7A677BFA" w14:textId="77777777" w:rsidR="00E23CA5" w:rsidRPr="00983604" w:rsidRDefault="00E23CA5" w:rsidP="00810691">
            <w:pPr>
              <w:rPr>
                <w:sz w:val="16"/>
                <w:szCs w:val="16"/>
                <w:lang w:val="en-GB"/>
              </w:rPr>
            </w:pPr>
            <w:r w:rsidRPr="00983604">
              <w:rPr>
                <w:sz w:val="16"/>
                <w:szCs w:val="16"/>
                <w:lang w:val="en-GB"/>
              </w:rPr>
              <w:t>(3.3 – 16.5)</w:t>
            </w:r>
          </w:p>
        </w:tc>
        <w:tc>
          <w:tcPr>
            <w:tcW w:w="1117" w:type="dxa"/>
          </w:tcPr>
          <w:p w14:paraId="6F0C1490" w14:textId="77777777" w:rsidR="00E23CA5" w:rsidRDefault="00E23CA5" w:rsidP="00810691">
            <w:pPr>
              <w:rPr>
                <w:sz w:val="16"/>
                <w:szCs w:val="16"/>
                <w:lang w:val="en-GB"/>
              </w:rPr>
            </w:pPr>
            <w:r w:rsidRPr="00983604">
              <w:rPr>
                <w:sz w:val="16"/>
                <w:szCs w:val="16"/>
                <w:lang w:val="en-GB"/>
              </w:rPr>
              <w:t xml:space="preserve">100% </w:t>
            </w:r>
          </w:p>
          <w:p w14:paraId="3D7DC423" w14:textId="77777777" w:rsidR="00E23CA5" w:rsidRPr="00983604" w:rsidRDefault="00E23CA5" w:rsidP="00810691">
            <w:pPr>
              <w:rPr>
                <w:sz w:val="16"/>
                <w:szCs w:val="16"/>
                <w:lang w:val="en-GB"/>
              </w:rPr>
            </w:pPr>
            <w:r w:rsidRPr="00983604">
              <w:rPr>
                <w:sz w:val="16"/>
                <w:szCs w:val="16"/>
                <w:lang w:val="en-GB"/>
              </w:rPr>
              <w:t>(96.2-100)</w:t>
            </w:r>
          </w:p>
        </w:tc>
      </w:tr>
      <w:tr w:rsidR="00E23CA5" w:rsidRPr="00983604" w14:paraId="17A9E3EA" w14:textId="77777777" w:rsidTr="00810691">
        <w:trPr>
          <w:trHeight w:val="999"/>
        </w:trPr>
        <w:tc>
          <w:tcPr>
            <w:tcW w:w="1560" w:type="dxa"/>
          </w:tcPr>
          <w:p w14:paraId="7A2B5E1F" w14:textId="77777777" w:rsidR="00E23CA5" w:rsidRPr="00983604" w:rsidRDefault="00E23CA5" w:rsidP="00810691">
            <w:pPr>
              <w:rPr>
                <w:sz w:val="16"/>
                <w:szCs w:val="16"/>
                <w:lang w:val="en-GB"/>
              </w:rPr>
            </w:pPr>
            <w:proofErr w:type="spellStart"/>
            <w:r w:rsidRPr="00983604">
              <w:rPr>
                <w:sz w:val="16"/>
                <w:szCs w:val="16"/>
                <w:lang w:val="en-GB"/>
              </w:rPr>
              <w:t>Bruning</w:t>
            </w:r>
            <w:proofErr w:type="spellEnd"/>
            <w:r w:rsidRPr="00983604">
              <w:rPr>
                <w:sz w:val="16"/>
                <w:szCs w:val="16"/>
                <w:lang w:val="en-GB"/>
              </w:rPr>
              <w:t xml:space="preserve"> et al., 2014</w:t>
            </w:r>
            <w:r w:rsidRPr="00983604">
              <w:rPr>
                <w:sz w:val="16"/>
                <w:szCs w:val="16"/>
                <w:lang w:val="en-GB"/>
              </w:rPr>
              <w:fldChar w:fldCharType="begin" w:fldLock="1"/>
            </w:r>
            <w:r>
              <w:rPr>
                <w:sz w:val="16"/>
                <w:szCs w:val="16"/>
                <w:lang w:val="en-GB"/>
              </w:rPr>
              <w:instrText>ADDIN CSL_CITATION {"citationItems":[{"id":"ITEM-1","itemData":{"DOI":"10.1016/j.diagmicrobio.2014.08.010","ISBN":"0000000000000","ISSN":"18790070","PMID":"25241640","abstract":"This pilot study evaluates the diagnostic performance of Sofia RSV Fluorescent Immunoassay Analyzer (FIA) and Sofia Influenza A + B FIA for rapid detection of respiratory syncytial virus and influenza A and B. Sofia had a lower-than-expected sensitivity for all viruses and a high rate of false-positive results for influenza B virus.","author":[{"dropping-particle":"","family":"Bruning","given":"Andrea H.L.","non-dropping-particle":"","parse-names":false,"suffix":""},{"dropping-particle":"","family":"Dijk","given":"Karin","non-dropping-particle":"van","parse-names":false,"suffix":""},{"dropping-particle":"","family":"Eijk","given":"Hetty W.M.","non-dropping-particle":"van","parse-names":false,"suffix":""},{"dropping-particle":"","family":"Koen","given":"Gerrit","non-dropping-particle":"","parse-names":false,"suffix":""},{"dropping-particle":"","family":"Woensel","given":"Job B.M.","non-dropping-particle":"van","parse-names":false,"suffix":""},{"dropping-particle":"","family":"Kruisinga","given":"Frea H.","non-dropping-particle":"","parse-names":false,"suffix":""},{"dropping-particle":"","family":"Pajkrt","given":"Dasja","non-dropping-particle":"","parse-names":false,"suffix":""},{"dropping-particle":"","family":"Wolthers","given":"Katja C.","non-dropping-particle":"","parse-names":false,"suffix":""}],"container-title":"Diagnostic Microbiology and Infectious Disease","id":"ITEM-1","issue":"4","issued":{"date-parts":[["2014"]]},"page":"292-293","publisher":"Elsevier Inc.","title":"Evaluation of a rapid antigen detection point-of-care test for respiratory syncytial virus and influenza in a pediatric hospitalized population in the Netherlands","type":"article-journal","volume":"80"},"uris":["http://www.mendeley.com/documents/?uuid=8f926a19-bc60-424d-88d3-ff861ce22c83"]}],"mendeley":{"formattedCitation":"[18]","plainTextFormattedCitation":"[18]","previouslyFormattedCitation":"[18]"},"properties":{"noteIndex":0},"schema":"https://github.com/citation-style-language/schema/raw/master/csl-citation.json"}</w:instrText>
            </w:r>
            <w:r w:rsidRPr="00983604">
              <w:rPr>
                <w:sz w:val="16"/>
                <w:szCs w:val="16"/>
                <w:lang w:val="en-GB"/>
              </w:rPr>
              <w:fldChar w:fldCharType="separate"/>
            </w:r>
            <w:r w:rsidRPr="008768B9">
              <w:rPr>
                <w:noProof/>
                <w:sz w:val="16"/>
                <w:szCs w:val="16"/>
                <w:lang w:val="en-GB"/>
              </w:rPr>
              <w:t>[18]</w:t>
            </w:r>
            <w:r w:rsidRPr="00983604">
              <w:rPr>
                <w:sz w:val="16"/>
                <w:szCs w:val="16"/>
                <w:lang w:val="en-GB"/>
              </w:rPr>
              <w:fldChar w:fldCharType="end"/>
            </w:r>
          </w:p>
        </w:tc>
        <w:tc>
          <w:tcPr>
            <w:tcW w:w="1134" w:type="dxa"/>
          </w:tcPr>
          <w:p w14:paraId="6CC6C8EA" w14:textId="77777777" w:rsidR="00E23CA5" w:rsidRPr="00983604" w:rsidRDefault="00E23CA5" w:rsidP="00810691">
            <w:pPr>
              <w:rPr>
                <w:sz w:val="16"/>
                <w:szCs w:val="16"/>
                <w:lang w:val="en-GB"/>
              </w:rPr>
            </w:pPr>
            <w:r w:rsidRPr="00983604">
              <w:rPr>
                <w:sz w:val="16"/>
                <w:szCs w:val="16"/>
                <w:lang w:val="en-GB"/>
              </w:rPr>
              <w:t>&lt;16 years</w:t>
            </w:r>
          </w:p>
        </w:tc>
        <w:tc>
          <w:tcPr>
            <w:tcW w:w="1417" w:type="dxa"/>
          </w:tcPr>
          <w:p w14:paraId="2116AA60" w14:textId="77777777" w:rsidR="00E23CA5" w:rsidRPr="00983604" w:rsidRDefault="00E23CA5" w:rsidP="00810691">
            <w:pPr>
              <w:rPr>
                <w:sz w:val="16"/>
                <w:szCs w:val="16"/>
                <w:lang w:val="en-GB"/>
              </w:rPr>
            </w:pPr>
            <w:r w:rsidRPr="00983604">
              <w:rPr>
                <w:sz w:val="16"/>
                <w:szCs w:val="16"/>
                <w:lang w:val="en-GB"/>
              </w:rPr>
              <w:t>Hospital</w:t>
            </w:r>
            <w:r>
              <w:rPr>
                <w:sz w:val="16"/>
                <w:szCs w:val="16"/>
                <w:lang w:val="en-GB"/>
              </w:rPr>
              <w:t>ise</w:t>
            </w:r>
            <w:r w:rsidRPr="00983604">
              <w:rPr>
                <w:sz w:val="16"/>
                <w:szCs w:val="16"/>
                <w:lang w:val="en-GB"/>
              </w:rPr>
              <w:t>d, (PICU), respiratory illness</w:t>
            </w:r>
          </w:p>
        </w:tc>
        <w:tc>
          <w:tcPr>
            <w:tcW w:w="1276" w:type="dxa"/>
          </w:tcPr>
          <w:p w14:paraId="7D92F7F8" w14:textId="77777777" w:rsidR="00E23CA5" w:rsidRPr="00983604" w:rsidRDefault="00E23CA5" w:rsidP="00810691">
            <w:pPr>
              <w:rPr>
                <w:sz w:val="16"/>
                <w:szCs w:val="16"/>
                <w:lang w:val="en-GB"/>
              </w:rPr>
            </w:pPr>
            <w:r w:rsidRPr="00983604">
              <w:rPr>
                <w:sz w:val="16"/>
                <w:szCs w:val="16"/>
                <w:lang w:val="en-GB"/>
              </w:rPr>
              <w:t>RT-PCR</w:t>
            </w:r>
          </w:p>
        </w:tc>
        <w:tc>
          <w:tcPr>
            <w:tcW w:w="850" w:type="dxa"/>
          </w:tcPr>
          <w:p w14:paraId="0A3FCFCC" w14:textId="77777777" w:rsidR="00E23CA5" w:rsidRPr="00983604" w:rsidRDefault="00E23CA5" w:rsidP="00810691">
            <w:pPr>
              <w:rPr>
                <w:sz w:val="16"/>
                <w:szCs w:val="16"/>
                <w:lang w:val="en-GB"/>
              </w:rPr>
            </w:pPr>
            <w:r w:rsidRPr="00983604">
              <w:rPr>
                <w:sz w:val="16"/>
                <w:szCs w:val="16"/>
                <w:lang w:val="en-GB"/>
              </w:rPr>
              <w:t>NPS, NPW</w:t>
            </w:r>
          </w:p>
        </w:tc>
        <w:tc>
          <w:tcPr>
            <w:tcW w:w="849" w:type="dxa"/>
          </w:tcPr>
          <w:p w14:paraId="4D136B66" w14:textId="77777777" w:rsidR="00E23CA5" w:rsidRPr="00983604" w:rsidRDefault="00E23CA5" w:rsidP="00810691">
            <w:pPr>
              <w:rPr>
                <w:sz w:val="16"/>
                <w:szCs w:val="16"/>
                <w:lang w:val="en-GB"/>
              </w:rPr>
            </w:pPr>
            <w:r w:rsidRPr="00983604">
              <w:rPr>
                <w:sz w:val="16"/>
                <w:szCs w:val="16"/>
                <w:lang w:val="en-GB"/>
              </w:rPr>
              <w:t>No</w:t>
            </w:r>
          </w:p>
        </w:tc>
        <w:tc>
          <w:tcPr>
            <w:tcW w:w="550" w:type="dxa"/>
          </w:tcPr>
          <w:p w14:paraId="7D0BFAEC" w14:textId="77777777" w:rsidR="00E23CA5" w:rsidRPr="00983604" w:rsidRDefault="00E23CA5" w:rsidP="00810691">
            <w:pPr>
              <w:rPr>
                <w:sz w:val="16"/>
                <w:szCs w:val="16"/>
                <w:lang w:val="en-GB"/>
              </w:rPr>
            </w:pPr>
            <w:r w:rsidRPr="00983604">
              <w:rPr>
                <w:sz w:val="16"/>
                <w:szCs w:val="16"/>
                <w:lang w:val="en-GB"/>
              </w:rPr>
              <w:t>66</w:t>
            </w:r>
          </w:p>
        </w:tc>
        <w:tc>
          <w:tcPr>
            <w:tcW w:w="1117" w:type="dxa"/>
          </w:tcPr>
          <w:p w14:paraId="4FA62BE4" w14:textId="77777777" w:rsidR="00E23CA5" w:rsidRDefault="00E23CA5" w:rsidP="00810691">
            <w:pPr>
              <w:rPr>
                <w:sz w:val="16"/>
                <w:szCs w:val="16"/>
                <w:lang w:val="en-GB"/>
              </w:rPr>
            </w:pPr>
            <w:r w:rsidRPr="00983604">
              <w:rPr>
                <w:sz w:val="16"/>
                <w:szCs w:val="16"/>
                <w:lang w:val="en-GB"/>
              </w:rPr>
              <w:t xml:space="preserve">80% </w:t>
            </w:r>
          </w:p>
          <w:p w14:paraId="34EEA2EB" w14:textId="77777777" w:rsidR="00E23CA5" w:rsidRPr="00983604" w:rsidRDefault="00E23CA5" w:rsidP="00810691">
            <w:pPr>
              <w:rPr>
                <w:sz w:val="16"/>
                <w:szCs w:val="16"/>
                <w:lang w:val="en-GB"/>
              </w:rPr>
            </w:pPr>
            <w:r w:rsidRPr="00983604">
              <w:rPr>
                <w:sz w:val="16"/>
                <w:szCs w:val="16"/>
                <w:lang w:val="en-GB"/>
              </w:rPr>
              <w:t>(64.3-95.7)</w:t>
            </w:r>
          </w:p>
        </w:tc>
        <w:tc>
          <w:tcPr>
            <w:tcW w:w="1117" w:type="dxa"/>
          </w:tcPr>
          <w:p w14:paraId="41ECEA16" w14:textId="77777777" w:rsidR="00E23CA5" w:rsidRDefault="00E23CA5" w:rsidP="00810691">
            <w:pPr>
              <w:rPr>
                <w:sz w:val="16"/>
                <w:szCs w:val="16"/>
                <w:lang w:val="en-GB"/>
              </w:rPr>
            </w:pPr>
            <w:r w:rsidRPr="00983604">
              <w:rPr>
                <w:sz w:val="16"/>
                <w:szCs w:val="16"/>
                <w:lang w:val="en-GB"/>
              </w:rPr>
              <w:t xml:space="preserve">100% </w:t>
            </w:r>
          </w:p>
          <w:p w14:paraId="38DD2A3B" w14:textId="77777777" w:rsidR="00E23CA5" w:rsidRPr="00983604" w:rsidRDefault="00E23CA5" w:rsidP="00810691">
            <w:pPr>
              <w:rPr>
                <w:sz w:val="16"/>
                <w:szCs w:val="16"/>
                <w:lang w:val="en-GB"/>
              </w:rPr>
            </w:pPr>
            <w:r w:rsidRPr="00983604">
              <w:rPr>
                <w:sz w:val="16"/>
                <w:szCs w:val="16"/>
                <w:lang w:val="en-GB"/>
              </w:rPr>
              <w:t>(NA)</w:t>
            </w:r>
          </w:p>
        </w:tc>
      </w:tr>
      <w:tr w:rsidR="00E23CA5" w:rsidRPr="00983604" w14:paraId="4F79873E" w14:textId="77777777" w:rsidTr="00810691">
        <w:trPr>
          <w:trHeight w:val="999"/>
        </w:trPr>
        <w:tc>
          <w:tcPr>
            <w:tcW w:w="1560" w:type="dxa"/>
          </w:tcPr>
          <w:p w14:paraId="6B99509C" w14:textId="77777777" w:rsidR="00E23CA5" w:rsidRPr="00983604" w:rsidRDefault="00E23CA5" w:rsidP="00810691">
            <w:pPr>
              <w:rPr>
                <w:sz w:val="16"/>
                <w:szCs w:val="16"/>
                <w:lang w:val="en-GB"/>
              </w:rPr>
            </w:pPr>
            <w:r w:rsidRPr="00983604">
              <w:rPr>
                <w:sz w:val="16"/>
                <w:szCs w:val="16"/>
                <w:lang w:val="en-GB"/>
              </w:rPr>
              <w:t>Jung et al.,</w:t>
            </w:r>
          </w:p>
          <w:p w14:paraId="73B6713F" w14:textId="77777777" w:rsidR="00E23CA5" w:rsidRPr="00983604" w:rsidRDefault="00E23CA5" w:rsidP="00810691">
            <w:pPr>
              <w:rPr>
                <w:sz w:val="16"/>
                <w:szCs w:val="16"/>
                <w:lang w:val="en-GB"/>
              </w:rPr>
            </w:pPr>
            <w:r w:rsidRPr="00983604">
              <w:rPr>
                <w:sz w:val="16"/>
                <w:szCs w:val="16"/>
                <w:lang w:val="en-GB"/>
              </w:rPr>
              <w:t>2016</w:t>
            </w:r>
            <w:r w:rsidRPr="00983604">
              <w:rPr>
                <w:sz w:val="16"/>
                <w:szCs w:val="16"/>
                <w:lang w:val="en-GB"/>
              </w:rPr>
              <w:fldChar w:fldCharType="begin" w:fldLock="1"/>
            </w:r>
            <w:r>
              <w:rPr>
                <w:sz w:val="16"/>
                <w:szCs w:val="16"/>
                <w:lang w:val="en-GB"/>
              </w:rPr>
              <w:instrText>ADDIN CSL_CITATION {"citationItems":[{"id":"ITEM-1","itemData":{"DOI":"10.1002/jmv.24522","ISSN":"10969071","abstract":"Rapid identification of Respiratory syncytial virus (RSV) is important in the management of infected patients. Rapid diagnostic tests (RDT) are widely used for this purpose. This study aimed to evaluate the clinical performance of four RSV antigen tests including the BinaxNow RSV Card test, SD Bioline RSV test, BD Veritor RSV test, and Humasis RSV antigen test in comparison with real-time RT-PCR as the reference method. Nasopharyngeal swabs were collected from 280 patients with symptoms of lower respiratory tract infection and stored at -80°C. All swabs were tested for RSV using four rapid antigen tests and real time RT-PCR. The sensitivity of the BinaxNow RSV Card test, SD Bioline RSV test, BD Veritor RSV test, and Humasis RSV Antigen tests were 62.5%, 61.3%, 65.0%, and 67.5% for RSV A, and 61.3%, 65.0%, 61.3%, and 67.5% for RSV B compared to real time RT-PCR, respectively. The specificity of BD Veritor RSV test was 95.8% and those of the other three RDTs was 100%. Commercial RSV antigen detection assays are useful tools for the rapid diagnosis of RSV infection. However, confirmatory testing is always recommended. J. Med. Virol. 88:1720-1724, 2016. © 2016 Wiley Periodicals, Inc.","author":[{"dropping-particle":"","family":"Jung","given":"Bo Kyeung","non-dropping-particle":"","parse-names":false,"suffix":""},{"dropping-particle":"","family":"Choi","given":"Sung Hyuk","non-dropping-particle":"","parse-names":false,"suffix":""},{"dropping-particle":"","family":"Lee","given":"Jong Han","non-dropping-particle":"","parse-names":false,"suffix":""},{"dropping-particle":"","family":"Lee","given":"Jung Hwa","non-dropping-particle":"","parse-names":false,"suffix":""},{"dropping-particle":"","family":"Lim","given":"Chae Seung","non-dropping-particle":"","parse-names":false,"suffix":""}],"container-title":"Journal of Medical Virology","id":"ITEM-1","issue":"10","issued":{"date-parts":[["2016","10","1"]]},"page":"1720-1724","publisher":"John Wiley &amp; Sons, Ltd","title":"Performance evaluation of four rapid antigen tests for the detection of Respiratory syncytial virus","type":"article-journal","volume":"88"},"uris":["http://www.mendeley.com/documents/?uuid=1046d3d4-31a3-3886-943c-30f5936f8a4c"]}],"mendeley":{"formattedCitation":"[19]","plainTextFormattedCitation":"[19]","previouslyFormattedCitation":"[19]"},"properties":{"noteIndex":0},"schema":"https://github.com/citation-style-language/schema/raw/master/csl-citation.json"}</w:instrText>
            </w:r>
            <w:r w:rsidRPr="00983604">
              <w:rPr>
                <w:sz w:val="16"/>
                <w:szCs w:val="16"/>
                <w:lang w:val="en-GB"/>
              </w:rPr>
              <w:fldChar w:fldCharType="separate"/>
            </w:r>
            <w:r w:rsidRPr="008768B9">
              <w:rPr>
                <w:noProof/>
                <w:sz w:val="16"/>
                <w:szCs w:val="16"/>
                <w:lang w:val="en-GB"/>
              </w:rPr>
              <w:t>[19]</w:t>
            </w:r>
            <w:r w:rsidRPr="00983604">
              <w:rPr>
                <w:sz w:val="16"/>
                <w:szCs w:val="16"/>
                <w:lang w:val="en-GB"/>
              </w:rPr>
              <w:fldChar w:fldCharType="end"/>
            </w:r>
          </w:p>
        </w:tc>
        <w:tc>
          <w:tcPr>
            <w:tcW w:w="1134" w:type="dxa"/>
          </w:tcPr>
          <w:p w14:paraId="39237267" w14:textId="77777777" w:rsidR="00E23CA5" w:rsidRPr="00983604" w:rsidRDefault="00E23CA5" w:rsidP="00810691">
            <w:pPr>
              <w:rPr>
                <w:sz w:val="16"/>
                <w:szCs w:val="16"/>
                <w:lang w:val="en-GB"/>
              </w:rPr>
            </w:pPr>
            <w:r w:rsidRPr="00983604">
              <w:rPr>
                <w:sz w:val="16"/>
                <w:szCs w:val="16"/>
                <w:lang w:val="en-GB"/>
              </w:rPr>
              <w:t>&lt;2 years</w:t>
            </w:r>
          </w:p>
        </w:tc>
        <w:tc>
          <w:tcPr>
            <w:tcW w:w="1417" w:type="dxa"/>
          </w:tcPr>
          <w:p w14:paraId="1FE89E48" w14:textId="77777777" w:rsidR="00E23CA5" w:rsidRPr="00983604" w:rsidRDefault="00E23CA5" w:rsidP="00810691">
            <w:pPr>
              <w:rPr>
                <w:sz w:val="16"/>
                <w:szCs w:val="16"/>
                <w:lang w:val="en-GB"/>
              </w:rPr>
            </w:pPr>
            <w:r w:rsidRPr="00983604">
              <w:rPr>
                <w:sz w:val="16"/>
                <w:szCs w:val="16"/>
                <w:lang w:val="en-GB"/>
              </w:rPr>
              <w:t>Hospital</w:t>
            </w:r>
            <w:r>
              <w:rPr>
                <w:sz w:val="16"/>
                <w:szCs w:val="16"/>
                <w:lang w:val="en-GB"/>
              </w:rPr>
              <w:t>ise</w:t>
            </w:r>
            <w:r w:rsidRPr="00983604">
              <w:rPr>
                <w:sz w:val="16"/>
                <w:szCs w:val="16"/>
                <w:lang w:val="en-GB"/>
              </w:rPr>
              <w:t>d, ALRI</w:t>
            </w:r>
          </w:p>
        </w:tc>
        <w:tc>
          <w:tcPr>
            <w:tcW w:w="1276" w:type="dxa"/>
          </w:tcPr>
          <w:p w14:paraId="3A0CE0DC" w14:textId="77777777" w:rsidR="00E23CA5" w:rsidRPr="00983604" w:rsidRDefault="00E23CA5" w:rsidP="00810691">
            <w:pPr>
              <w:rPr>
                <w:sz w:val="16"/>
                <w:szCs w:val="16"/>
                <w:lang w:val="en-GB"/>
              </w:rPr>
            </w:pPr>
            <w:r w:rsidRPr="00983604">
              <w:rPr>
                <w:sz w:val="16"/>
                <w:szCs w:val="16"/>
                <w:lang w:val="en-GB"/>
              </w:rPr>
              <w:t>RT-PCR</w:t>
            </w:r>
          </w:p>
        </w:tc>
        <w:tc>
          <w:tcPr>
            <w:tcW w:w="850" w:type="dxa"/>
          </w:tcPr>
          <w:p w14:paraId="1B1B3450" w14:textId="77777777" w:rsidR="00E23CA5" w:rsidRPr="00983604" w:rsidRDefault="00E23CA5" w:rsidP="00810691">
            <w:pPr>
              <w:rPr>
                <w:sz w:val="16"/>
                <w:szCs w:val="16"/>
                <w:lang w:val="en-GB"/>
              </w:rPr>
            </w:pPr>
            <w:r w:rsidRPr="00983604">
              <w:rPr>
                <w:sz w:val="16"/>
                <w:szCs w:val="16"/>
                <w:lang w:val="en-GB"/>
              </w:rPr>
              <w:t>NPS in 1.5 ml VTM (in-house)</w:t>
            </w:r>
          </w:p>
        </w:tc>
        <w:tc>
          <w:tcPr>
            <w:tcW w:w="849" w:type="dxa"/>
          </w:tcPr>
          <w:p w14:paraId="7DB2931C" w14:textId="77777777" w:rsidR="00E23CA5" w:rsidRPr="00983604" w:rsidRDefault="00E23CA5" w:rsidP="00810691">
            <w:pPr>
              <w:rPr>
                <w:sz w:val="16"/>
                <w:szCs w:val="16"/>
                <w:lang w:val="en-GB"/>
              </w:rPr>
            </w:pPr>
            <w:r w:rsidRPr="00983604">
              <w:rPr>
                <w:sz w:val="16"/>
                <w:szCs w:val="16"/>
                <w:lang w:val="en-GB"/>
              </w:rPr>
              <w:t>No</w:t>
            </w:r>
          </w:p>
        </w:tc>
        <w:tc>
          <w:tcPr>
            <w:tcW w:w="550" w:type="dxa"/>
          </w:tcPr>
          <w:p w14:paraId="46C2A643" w14:textId="77777777" w:rsidR="00E23CA5" w:rsidRPr="00983604" w:rsidRDefault="00E23CA5" w:rsidP="00810691">
            <w:pPr>
              <w:rPr>
                <w:sz w:val="16"/>
                <w:szCs w:val="16"/>
                <w:lang w:val="en-GB"/>
              </w:rPr>
            </w:pPr>
            <w:r w:rsidRPr="00983604">
              <w:rPr>
                <w:sz w:val="16"/>
                <w:szCs w:val="16"/>
                <w:lang w:val="en-GB"/>
              </w:rPr>
              <w:t>91</w:t>
            </w:r>
          </w:p>
        </w:tc>
        <w:tc>
          <w:tcPr>
            <w:tcW w:w="1117" w:type="dxa"/>
          </w:tcPr>
          <w:p w14:paraId="34713361" w14:textId="77777777" w:rsidR="00E23CA5" w:rsidRPr="00983604" w:rsidRDefault="00E23CA5" w:rsidP="00810691">
            <w:pPr>
              <w:rPr>
                <w:sz w:val="16"/>
                <w:szCs w:val="16"/>
                <w:lang w:val="en-GB"/>
              </w:rPr>
            </w:pPr>
            <w:r w:rsidRPr="00983604">
              <w:rPr>
                <w:sz w:val="16"/>
                <w:szCs w:val="16"/>
                <w:lang w:val="en-GB"/>
              </w:rPr>
              <w:t>71.4% (61.4-79.7)</w:t>
            </w:r>
          </w:p>
        </w:tc>
        <w:tc>
          <w:tcPr>
            <w:tcW w:w="1117" w:type="dxa"/>
          </w:tcPr>
          <w:p w14:paraId="75CCDE50" w14:textId="77777777" w:rsidR="00E23CA5" w:rsidRPr="00983604" w:rsidRDefault="00E23CA5" w:rsidP="00810691">
            <w:pPr>
              <w:rPr>
                <w:sz w:val="16"/>
                <w:szCs w:val="16"/>
                <w:lang w:val="en-GB"/>
              </w:rPr>
            </w:pPr>
            <w:r w:rsidRPr="00983604">
              <w:rPr>
                <w:sz w:val="16"/>
                <w:szCs w:val="16"/>
                <w:lang w:val="en-GB"/>
              </w:rPr>
              <w:t>NA</w:t>
            </w:r>
          </w:p>
        </w:tc>
      </w:tr>
      <w:tr w:rsidR="00E23CA5" w:rsidRPr="00983604" w14:paraId="01C24488" w14:textId="77777777" w:rsidTr="00810691">
        <w:trPr>
          <w:trHeight w:val="660"/>
        </w:trPr>
        <w:tc>
          <w:tcPr>
            <w:tcW w:w="1560" w:type="dxa"/>
          </w:tcPr>
          <w:p w14:paraId="044629D2" w14:textId="77777777" w:rsidR="00E23CA5" w:rsidRPr="00983604" w:rsidRDefault="00E23CA5" w:rsidP="00810691">
            <w:pPr>
              <w:rPr>
                <w:sz w:val="16"/>
                <w:szCs w:val="16"/>
                <w:lang w:val="en-GB"/>
              </w:rPr>
            </w:pPr>
            <w:proofErr w:type="spellStart"/>
            <w:r w:rsidRPr="00983604">
              <w:rPr>
                <w:sz w:val="16"/>
                <w:szCs w:val="16"/>
                <w:lang w:val="en-GB"/>
              </w:rPr>
              <w:t>Khanom</w:t>
            </w:r>
            <w:proofErr w:type="spellEnd"/>
            <w:r w:rsidRPr="00983604">
              <w:rPr>
                <w:sz w:val="16"/>
                <w:szCs w:val="16"/>
                <w:lang w:val="en-GB"/>
              </w:rPr>
              <w:t xml:space="preserve"> et al., 2011</w:t>
            </w:r>
            <w:r w:rsidRPr="00983604">
              <w:rPr>
                <w:sz w:val="16"/>
                <w:szCs w:val="16"/>
                <w:lang w:val="en-GB"/>
              </w:rPr>
              <w:fldChar w:fldCharType="begin" w:fldLock="1"/>
            </w:r>
            <w:r>
              <w:rPr>
                <w:sz w:val="16"/>
                <w:szCs w:val="16"/>
                <w:lang w:val="en-GB"/>
              </w:rPr>
              <w:instrText>ADDIN CSL_CITATION {"citationItems":[{"id":"ITEM-1","itemData":{"DOI":"10.1016/j.jinf.2010.11.002","abstract":"Objectives: To evaluate respiratory syncytial virus (RSV)-point-of-care-testing (POCT) performance among paediatric patients with respiratory symptoms, using the BinaxNOW Ò RSV assay performed by trained nurses on the paediatric ward, and compare results with those obtained by real-time polymerase chain reaction (PCR). Methods: Four paediatric nurses were trained and certified in using RSV-POCT. Between Octo-ber 2008 and March 2009, all hospitalised children below 5 years of age presenting with a suspected RSV infection had nasopharyngeal swabs (NPS) tested by RSV-POCT by the nurses and a real-time PCR targeting common respiratory viruses by laboratory staff. Results: Among 159 NPS, 21 (13.2%) were RSV-POCT positive and 138 (86.8%) negative. All 21 RSV-POCT positive samples were positive by PCR, yielding a specificity of 100% (95% CI 95.7%, 100.0%). Of 138 RSV-POCT negative samples, 30 (21.7%) were RSV positive by PCR (sen-sitivity 41.2%; 95% CI: 27.9%, 55.8%). The positive and negative predictive values for RSV-POCT were 100% (95% CI 80.8%, 100.0%) and 78.3% (95% CI 70.3%, 84.6%) respectively. Other respiratory viruses were detected in 52/138 (39.9%) NPS. Conclusions: A POCT for RSV run by trained nurses can be used reliably as a first screening step in symptomatic children. Negative samples should be analysed for RSV and other respiratory pathogens by real-time PCR.","author":[{"dropping-particle":"","family":"Khanom","given":"Aysha Begum","non-dropping-particle":"","parse-names":false,"suffix":""},{"dropping-particle":"","family":"Velvin","given":"Charlotte","non-dropping-particle":"","parse-names":false,"suffix":""},{"dropping-particle":"","family":"Hawrami","given":"Khidir","non-dropping-particle":"","parse-names":false,"suffix":""},{"dropping-particle":"","family":"Schutten","given":"Martin","non-dropping-particle":"","parse-names":false,"suffix":""},{"dropping-particle":"","family":"Patel","given":"Mauli","non-dropping-particle":"","parse-names":false,"suffix":""},{"dropping-particle":"V","family":"Holmes","given":"Michael","non-dropping-particle":"","parse-names":false,"suffix":""},{"dropping-particle":"","family":"Atkinson","given":"Claire","non-dropping-particle":"","parse-names":false,"suffix":""},{"dropping-particle":"","family":"Breuer","given":"Judith","non-dropping-particle":"","parse-names":false,"suffix":""},{"dropping-particle":"","family":"Fitzsimons","given":"John","non-dropping-particle":"","parse-names":false,"suffix":""},{"dropping-particle":"","family":"Geretti","given":"Anna Maria","non-dropping-particle":"","parse-names":false,"suffix":""}],"container-title":"Journal of Infection","id":"ITEM-1","issued":{"date-parts":[["2011"]]},"page":"52-58","title":"Performance of a nurse-led paediatric point of care service for respiratory syncytial virus testing in secondary care","type":"article-journal","volume":"62"},"uris":["http://www.mendeley.com/documents/?uuid=089412ce-306a-3f1a-8d5c-534ee5f20452"]}],"mendeley":{"formattedCitation":"[11]","plainTextFormattedCitation":"[11]","previouslyFormattedCitation":"[11]"},"properties":{"noteIndex":0},"schema":"https://github.com/citation-style-language/schema/raw/master/csl-citation.json"}</w:instrText>
            </w:r>
            <w:r w:rsidRPr="00983604">
              <w:rPr>
                <w:sz w:val="16"/>
                <w:szCs w:val="16"/>
                <w:lang w:val="en-GB"/>
              </w:rPr>
              <w:fldChar w:fldCharType="separate"/>
            </w:r>
            <w:r w:rsidRPr="008768B9">
              <w:rPr>
                <w:noProof/>
                <w:sz w:val="16"/>
                <w:szCs w:val="16"/>
                <w:lang w:val="en-GB"/>
              </w:rPr>
              <w:t>[11]</w:t>
            </w:r>
            <w:r w:rsidRPr="00983604">
              <w:rPr>
                <w:sz w:val="16"/>
                <w:szCs w:val="16"/>
                <w:lang w:val="en-GB"/>
              </w:rPr>
              <w:fldChar w:fldCharType="end"/>
            </w:r>
          </w:p>
        </w:tc>
        <w:tc>
          <w:tcPr>
            <w:tcW w:w="1134" w:type="dxa"/>
          </w:tcPr>
          <w:p w14:paraId="12BF1E08" w14:textId="77777777" w:rsidR="00E23CA5" w:rsidRPr="00983604" w:rsidRDefault="00E23CA5" w:rsidP="00810691">
            <w:pPr>
              <w:rPr>
                <w:sz w:val="16"/>
                <w:szCs w:val="16"/>
                <w:lang w:val="en-GB"/>
              </w:rPr>
            </w:pPr>
            <w:r w:rsidRPr="00983604">
              <w:rPr>
                <w:sz w:val="16"/>
                <w:szCs w:val="16"/>
                <w:lang w:val="en-GB"/>
              </w:rPr>
              <w:t>&lt;5 years</w:t>
            </w:r>
          </w:p>
        </w:tc>
        <w:tc>
          <w:tcPr>
            <w:tcW w:w="1417" w:type="dxa"/>
          </w:tcPr>
          <w:p w14:paraId="48EFC9FC" w14:textId="77777777" w:rsidR="00E23CA5" w:rsidRPr="00983604" w:rsidRDefault="00E23CA5" w:rsidP="00810691">
            <w:pPr>
              <w:rPr>
                <w:sz w:val="16"/>
                <w:szCs w:val="16"/>
                <w:lang w:val="en-GB"/>
              </w:rPr>
            </w:pPr>
            <w:r w:rsidRPr="00983604">
              <w:rPr>
                <w:sz w:val="16"/>
                <w:szCs w:val="16"/>
                <w:lang w:val="en-GB"/>
              </w:rPr>
              <w:t>Hospital</w:t>
            </w:r>
            <w:r>
              <w:rPr>
                <w:sz w:val="16"/>
                <w:szCs w:val="16"/>
                <w:lang w:val="en-GB"/>
              </w:rPr>
              <w:t>ise</w:t>
            </w:r>
            <w:r w:rsidRPr="00983604">
              <w:rPr>
                <w:sz w:val="16"/>
                <w:szCs w:val="16"/>
                <w:lang w:val="en-GB"/>
              </w:rPr>
              <w:t>d, ARTI</w:t>
            </w:r>
          </w:p>
        </w:tc>
        <w:tc>
          <w:tcPr>
            <w:tcW w:w="1276" w:type="dxa"/>
          </w:tcPr>
          <w:p w14:paraId="3224A16A" w14:textId="77777777" w:rsidR="00E23CA5" w:rsidRPr="00983604" w:rsidRDefault="00E23CA5" w:rsidP="00810691">
            <w:pPr>
              <w:rPr>
                <w:sz w:val="16"/>
                <w:szCs w:val="16"/>
                <w:lang w:val="en-GB"/>
              </w:rPr>
            </w:pPr>
            <w:r w:rsidRPr="00983604">
              <w:rPr>
                <w:sz w:val="16"/>
                <w:szCs w:val="16"/>
                <w:lang w:val="en-GB"/>
              </w:rPr>
              <w:t>RT-PCR</w:t>
            </w:r>
          </w:p>
        </w:tc>
        <w:tc>
          <w:tcPr>
            <w:tcW w:w="850" w:type="dxa"/>
          </w:tcPr>
          <w:p w14:paraId="42512351" w14:textId="77777777" w:rsidR="00E23CA5" w:rsidRPr="00983604" w:rsidRDefault="00E23CA5" w:rsidP="00810691">
            <w:pPr>
              <w:rPr>
                <w:sz w:val="16"/>
                <w:szCs w:val="16"/>
                <w:lang w:val="en-GB"/>
              </w:rPr>
            </w:pPr>
            <w:r w:rsidRPr="00983604">
              <w:rPr>
                <w:sz w:val="16"/>
                <w:szCs w:val="16"/>
                <w:lang w:val="en-GB"/>
              </w:rPr>
              <w:t>NPS in 1 ml VTM (in-house)</w:t>
            </w:r>
          </w:p>
        </w:tc>
        <w:tc>
          <w:tcPr>
            <w:tcW w:w="849" w:type="dxa"/>
          </w:tcPr>
          <w:p w14:paraId="3DC4C307" w14:textId="77777777" w:rsidR="00E23CA5" w:rsidRPr="00983604" w:rsidRDefault="00E23CA5" w:rsidP="00810691">
            <w:pPr>
              <w:rPr>
                <w:sz w:val="16"/>
                <w:szCs w:val="16"/>
                <w:lang w:val="en-GB"/>
              </w:rPr>
            </w:pPr>
            <w:r w:rsidRPr="00983604">
              <w:rPr>
                <w:sz w:val="16"/>
                <w:szCs w:val="16"/>
                <w:lang w:val="en-GB"/>
              </w:rPr>
              <w:t>Yes</w:t>
            </w:r>
          </w:p>
        </w:tc>
        <w:tc>
          <w:tcPr>
            <w:tcW w:w="550" w:type="dxa"/>
          </w:tcPr>
          <w:p w14:paraId="407AACE6" w14:textId="77777777" w:rsidR="00E23CA5" w:rsidRPr="00983604" w:rsidRDefault="00E23CA5" w:rsidP="00810691">
            <w:pPr>
              <w:rPr>
                <w:sz w:val="16"/>
                <w:szCs w:val="16"/>
                <w:lang w:val="en-GB"/>
              </w:rPr>
            </w:pPr>
            <w:r w:rsidRPr="00983604">
              <w:rPr>
                <w:sz w:val="16"/>
                <w:szCs w:val="16"/>
                <w:lang w:val="en-GB"/>
              </w:rPr>
              <w:t>159</w:t>
            </w:r>
          </w:p>
        </w:tc>
        <w:tc>
          <w:tcPr>
            <w:tcW w:w="1117" w:type="dxa"/>
          </w:tcPr>
          <w:p w14:paraId="3D47C6BA" w14:textId="77777777" w:rsidR="00E23CA5" w:rsidRPr="00983604" w:rsidRDefault="00E23CA5" w:rsidP="00810691">
            <w:pPr>
              <w:rPr>
                <w:sz w:val="16"/>
                <w:szCs w:val="16"/>
                <w:lang w:val="en-GB"/>
              </w:rPr>
            </w:pPr>
            <w:r w:rsidRPr="00983604">
              <w:rPr>
                <w:sz w:val="16"/>
                <w:szCs w:val="16"/>
                <w:lang w:val="en-GB"/>
              </w:rPr>
              <w:t>41.2% (27.9-55.8)</w:t>
            </w:r>
          </w:p>
        </w:tc>
        <w:tc>
          <w:tcPr>
            <w:tcW w:w="1117" w:type="dxa"/>
          </w:tcPr>
          <w:p w14:paraId="059F98E1" w14:textId="77777777" w:rsidR="00E23CA5" w:rsidRDefault="00E23CA5" w:rsidP="00810691">
            <w:pPr>
              <w:rPr>
                <w:sz w:val="16"/>
                <w:szCs w:val="16"/>
                <w:lang w:val="en-GB"/>
              </w:rPr>
            </w:pPr>
            <w:r w:rsidRPr="00983604">
              <w:rPr>
                <w:sz w:val="16"/>
                <w:szCs w:val="16"/>
                <w:lang w:val="en-GB"/>
              </w:rPr>
              <w:t xml:space="preserve">100% </w:t>
            </w:r>
          </w:p>
          <w:p w14:paraId="56B891E8" w14:textId="77777777" w:rsidR="00E23CA5" w:rsidRPr="00983604" w:rsidRDefault="00E23CA5" w:rsidP="00810691">
            <w:pPr>
              <w:rPr>
                <w:sz w:val="16"/>
                <w:szCs w:val="16"/>
                <w:lang w:val="en-GB"/>
              </w:rPr>
            </w:pPr>
            <w:r w:rsidRPr="00983604">
              <w:rPr>
                <w:sz w:val="16"/>
                <w:szCs w:val="16"/>
                <w:lang w:val="en-GB"/>
              </w:rPr>
              <w:t>(95.7-100)</w:t>
            </w:r>
          </w:p>
        </w:tc>
      </w:tr>
      <w:tr w:rsidR="00E23CA5" w:rsidRPr="00E23CA5" w14:paraId="7A9962EB" w14:textId="77777777" w:rsidTr="00810691">
        <w:trPr>
          <w:trHeight w:val="1017"/>
        </w:trPr>
        <w:tc>
          <w:tcPr>
            <w:tcW w:w="1560" w:type="dxa"/>
          </w:tcPr>
          <w:p w14:paraId="14CBC151" w14:textId="77777777" w:rsidR="00E23CA5" w:rsidRPr="00983604" w:rsidRDefault="00E23CA5" w:rsidP="00810691">
            <w:pPr>
              <w:rPr>
                <w:sz w:val="16"/>
                <w:szCs w:val="16"/>
                <w:lang w:val="en-GB"/>
              </w:rPr>
            </w:pPr>
            <w:proofErr w:type="spellStart"/>
            <w:r w:rsidRPr="00983604">
              <w:rPr>
                <w:sz w:val="16"/>
                <w:szCs w:val="16"/>
                <w:lang w:val="en-GB"/>
              </w:rPr>
              <w:t>Miernyk</w:t>
            </w:r>
            <w:proofErr w:type="spellEnd"/>
            <w:r w:rsidRPr="00983604">
              <w:rPr>
                <w:sz w:val="16"/>
                <w:szCs w:val="16"/>
                <w:lang w:val="en-GB"/>
              </w:rPr>
              <w:t xml:space="preserve"> et al., 2010</w:t>
            </w:r>
            <w:r w:rsidRPr="00983604">
              <w:rPr>
                <w:sz w:val="16"/>
                <w:szCs w:val="16"/>
                <w:lang w:val="en-GB"/>
              </w:rPr>
              <w:fldChar w:fldCharType="begin" w:fldLock="1"/>
            </w:r>
            <w:r>
              <w:rPr>
                <w:sz w:val="16"/>
                <w:szCs w:val="16"/>
                <w:lang w:val="en-GB"/>
              </w:rPr>
              <w:instrText>ADDIN CSL_CITATION {"citationItems":[{"id":"ITEM-1","itemData":{"DOI":"10.1016/j.jcv.2010.11.011","abstract":"Background: Infants from Alaska's Yukon-Kuskokwim Delta (YKD) have a high respiratory syncytial virus (RSV) hospitalization rate (104/1000/yr). Appropriate patient management requires rapid and accurate RSV diagnosis. Antigen-based methods are often used in clinical settings, but these tests can lack sensitivity. Objective: We compared Binax NOW ® RSV (BN) used for RSV diagnosis in the YKD hospital with a real-time polymerase chain reaction assay (RT-qPCR) used for viral surveillance. Study design: Between October 2005 and September 2007 we obtained nasopharyngeal washes (NPW) from children &lt;3 years hospitalized with a lower respiratory tract infection. The NPW were tested using BN and RT-qPCR. Results: 79/311 (25%) children had RSV infection as determined by RT-qPCR. As compared with RT-qPCR, sensitivity and specificity of BN were 72% and 97%, respectively. The sensitivity of BN was higher in children &lt;1 year compared with children ≥1 year (79% vs. 52%; p = 0.025), children with bronchiolitis compared with children without bronchiolitis (89% vs. 38%; p &lt; 0.001), and children with a shorter duration of symptoms before testing (0-1 (92%) vs. 2-4 (78%) vs. 5+ (65%) days; p = 0.04). The median RSV viral load in NPW positive by BN and RT-qPCR was 1.01 × 10 9 copies/mL vs. a median of 5.25 × 10 7 copies/mL for NPW positive by RT-qPCR only (p &lt; 0.001). Conclusion: RT-qPCR is more sensitive than BN in detecting RSV infection. BN sensitivity is high in children with bronchiolitis, but the sensitivity is low when children present with a non-bronchiolitis illness, especially after a longer duration of symptoms before testing. Published by Elsevier B.V.","author":[{"dropping-particle":"","family":"Miernyk","given":"Karen","non-dropping-particle":"","parse-names":false,"suffix":""},{"dropping-particle":"","family":"Bulkow","given":"Lisa","non-dropping-particle":"","parse-names":false,"suffix":""},{"dropping-particle":"","family":"Debyle","given":"Carolynn","non-dropping-particle":"","parse-names":false,"suffix":""},{"dropping-particle":"","family":"Chikoyak","given":"Lori","non-dropping-particle":"","parse-names":false,"suffix":""},{"dropping-particle":"","family":"Hummel","given":"Kimberlee Boyd","non-dropping-particle":"","parse-names":false,"suffix":""},{"dropping-particle":"","family":"Hennessy","given":"Thomas","non-dropping-particle":"","parse-names":false,"suffix":""},{"dropping-particle":"","family":"Singleton","given":"Rosalyn","non-dropping-particle":"","parse-names":false,"suffix":""}],"container-title":"Journal of Clinical Virology","id":"ITEM-1","issued":{"date-parts":[["2010"]]},"page":"240-243","title":"Performance of a rapid antigen test (Binax NOW ® RSV) for diagnosis of respiratory syncytial virus compared with real-time polymerase chain reaction in a pediatric population","type":"article-journal","volume":"50"},"uris":["http://www.mendeley.com/documents/?uuid=97c3b3ab-b427-3fb7-ba1e-7d292971ee29"]}],"mendeley":{"formattedCitation":"[7]","plainTextFormattedCitation":"[7]","previouslyFormattedCitation":"[7]"},"properties":{"noteIndex":0},"schema":"https://github.com/citation-style-language/schema/raw/master/csl-citation.json"}</w:instrText>
            </w:r>
            <w:r w:rsidRPr="00983604">
              <w:rPr>
                <w:sz w:val="16"/>
                <w:szCs w:val="16"/>
                <w:lang w:val="en-GB"/>
              </w:rPr>
              <w:fldChar w:fldCharType="separate"/>
            </w:r>
            <w:r w:rsidRPr="008768B9">
              <w:rPr>
                <w:noProof/>
                <w:sz w:val="16"/>
                <w:szCs w:val="16"/>
                <w:lang w:val="en-GB"/>
              </w:rPr>
              <w:t>[7]</w:t>
            </w:r>
            <w:r w:rsidRPr="00983604">
              <w:rPr>
                <w:sz w:val="16"/>
                <w:szCs w:val="16"/>
                <w:lang w:val="en-GB"/>
              </w:rPr>
              <w:fldChar w:fldCharType="end"/>
            </w:r>
          </w:p>
        </w:tc>
        <w:tc>
          <w:tcPr>
            <w:tcW w:w="1134" w:type="dxa"/>
          </w:tcPr>
          <w:p w14:paraId="67C404D6" w14:textId="77777777" w:rsidR="00E23CA5" w:rsidRPr="00983604" w:rsidRDefault="00E23CA5" w:rsidP="00810691">
            <w:pPr>
              <w:rPr>
                <w:sz w:val="16"/>
                <w:szCs w:val="16"/>
                <w:lang w:val="en-GB"/>
              </w:rPr>
            </w:pPr>
            <w:r w:rsidRPr="00983604">
              <w:rPr>
                <w:sz w:val="16"/>
                <w:szCs w:val="16"/>
                <w:lang w:val="en-GB"/>
              </w:rPr>
              <w:t>&lt;3 years (mean 9.3 months)</w:t>
            </w:r>
          </w:p>
        </w:tc>
        <w:tc>
          <w:tcPr>
            <w:tcW w:w="1417" w:type="dxa"/>
          </w:tcPr>
          <w:p w14:paraId="65FA705D" w14:textId="77777777" w:rsidR="00E23CA5" w:rsidRPr="00983604" w:rsidRDefault="00E23CA5" w:rsidP="00810691">
            <w:pPr>
              <w:rPr>
                <w:sz w:val="16"/>
                <w:szCs w:val="16"/>
                <w:lang w:val="en-GB"/>
              </w:rPr>
            </w:pPr>
            <w:r w:rsidRPr="00983604">
              <w:rPr>
                <w:sz w:val="16"/>
                <w:szCs w:val="16"/>
                <w:lang w:val="en-GB"/>
              </w:rPr>
              <w:t>Hospital</w:t>
            </w:r>
            <w:r>
              <w:rPr>
                <w:sz w:val="16"/>
                <w:szCs w:val="16"/>
                <w:lang w:val="en-GB"/>
              </w:rPr>
              <w:t>ise</w:t>
            </w:r>
            <w:r w:rsidRPr="00983604">
              <w:rPr>
                <w:sz w:val="16"/>
                <w:szCs w:val="16"/>
                <w:lang w:val="en-GB"/>
              </w:rPr>
              <w:t>d, LRTI</w:t>
            </w:r>
          </w:p>
        </w:tc>
        <w:tc>
          <w:tcPr>
            <w:tcW w:w="1276" w:type="dxa"/>
          </w:tcPr>
          <w:p w14:paraId="53B58BD5" w14:textId="77777777" w:rsidR="00E23CA5" w:rsidRPr="00983604" w:rsidRDefault="00E23CA5" w:rsidP="00810691">
            <w:pPr>
              <w:rPr>
                <w:sz w:val="16"/>
                <w:szCs w:val="16"/>
                <w:lang w:val="en-GB"/>
              </w:rPr>
            </w:pPr>
            <w:r w:rsidRPr="00983604">
              <w:rPr>
                <w:sz w:val="16"/>
                <w:szCs w:val="16"/>
                <w:lang w:val="en-GB"/>
              </w:rPr>
              <w:t>RT-PCR</w:t>
            </w:r>
          </w:p>
        </w:tc>
        <w:tc>
          <w:tcPr>
            <w:tcW w:w="850" w:type="dxa"/>
          </w:tcPr>
          <w:p w14:paraId="76C2415E" w14:textId="77777777" w:rsidR="00E23CA5" w:rsidRPr="00983604" w:rsidRDefault="00E23CA5" w:rsidP="00810691">
            <w:pPr>
              <w:rPr>
                <w:sz w:val="16"/>
                <w:szCs w:val="16"/>
                <w:lang w:val="en-GB"/>
              </w:rPr>
            </w:pPr>
            <w:r w:rsidRPr="00983604">
              <w:rPr>
                <w:sz w:val="16"/>
                <w:szCs w:val="16"/>
                <w:lang w:val="en-GB"/>
              </w:rPr>
              <w:t>NPW</w:t>
            </w:r>
          </w:p>
        </w:tc>
        <w:tc>
          <w:tcPr>
            <w:tcW w:w="849" w:type="dxa"/>
          </w:tcPr>
          <w:p w14:paraId="1552AEEF" w14:textId="77777777" w:rsidR="00E23CA5" w:rsidRPr="00983604" w:rsidRDefault="00E23CA5" w:rsidP="00810691">
            <w:pPr>
              <w:rPr>
                <w:sz w:val="16"/>
                <w:szCs w:val="16"/>
                <w:lang w:val="en-GB"/>
              </w:rPr>
            </w:pPr>
            <w:r w:rsidRPr="00983604">
              <w:rPr>
                <w:sz w:val="16"/>
                <w:szCs w:val="16"/>
                <w:lang w:val="en-GB"/>
              </w:rPr>
              <w:t>No</w:t>
            </w:r>
          </w:p>
        </w:tc>
        <w:tc>
          <w:tcPr>
            <w:tcW w:w="550" w:type="dxa"/>
          </w:tcPr>
          <w:p w14:paraId="200DBD00" w14:textId="77777777" w:rsidR="00E23CA5" w:rsidRPr="00983604" w:rsidRDefault="00E23CA5" w:rsidP="00810691">
            <w:pPr>
              <w:rPr>
                <w:sz w:val="16"/>
                <w:szCs w:val="16"/>
                <w:lang w:val="en-GB"/>
              </w:rPr>
            </w:pPr>
            <w:r w:rsidRPr="00983604">
              <w:rPr>
                <w:sz w:val="16"/>
                <w:szCs w:val="16"/>
                <w:lang w:val="en-GB"/>
              </w:rPr>
              <w:t>311</w:t>
            </w:r>
          </w:p>
        </w:tc>
        <w:tc>
          <w:tcPr>
            <w:tcW w:w="1117" w:type="dxa"/>
          </w:tcPr>
          <w:p w14:paraId="4A1868FD" w14:textId="77777777" w:rsidR="00E23CA5" w:rsidRDefault="00E23CA5" w:rsidP="00810691">
            <w:pPr>
              <w:rPr>
                <w:sz w:val="16"/>
                <w:szCs w:val="16"/>
                <w:lang w:val="en-GB"/>
              </w:rPr>
            </w:pPr>
            <w:r w:rsidRPr="00983604">
              <w:rPr>
                <w:sz w:val="16"/>
                <w:szCs w:val="16"/>
                <w:lang w:val="en-GB"/>
              </w:rPr>
              <w:t>72%</w:t>
            </w:r>
          </w:p>
          <w:p w14:paraId="25809066" w14:textId="77777777" w:rsidR="00E23CA5" w:rsidRPr="00983604" w:rsidRDefault="00E23CA5" w:rsidP="00810691">
            <w:pPr>
              <w:rPr>
                <w:sz w:val="16"/>
                <w:szCs w:val="16"/>
                <w:lang w:val="en-GB"/>
              </w:rPr>
            </w:pPr>
            <w:r w:rsidRPr="00983604">
              <w:rPr>
                <w:sz w:val="16"/>
                <w:szCs w:val="16"/>
                <w:lang w:val="en-GB"/>
              </w:rPr>
              <w:t>(61-74)</w:t>
            </w:r>
          </w:p>
        </w:tc>
        <w:tc>
          <w:tcPr>
            <w:tcW w:w="1117" w:type="dxa"/>
          </w:tcPr>
          <w:p w14:paraId="50304E67" w14:textId="77777777" w:rsidR="00E23CA5" w:rsidRDefault="00E23CA5" w:rsidP="00810691">
            <w:pPr>
              <w:rPr>
                <w:sz w:val="16"/>
                <w:szCs w:val="16"/>
                <w:lang w:val="en-GB"/>
              </w:rPr>
            </w:pPr>
            <w:r w:rsidRPr="00983604">
              <w:rPr>
                <w:sz w:val="16"/>
                <w:szCs w:val="16"/>
                <w:lang w:val="en-GB"/>
              </w:rPr>
              <w:t xml:space="preserve">97% </w:t>
            </w:r>
          </w:p>
          <w:p w14:paraId="683CABD8" w14:textId="77777777" w:rsidR="00E23CA5" w:rsidRPr="00983604" w:rsidRDefault="00E23CA5" w:rsidP="00810691">
            <w:pPr>
              <w:rPr>
                <w:sz w:val="16"/>
                <w:szCs w:val="16"/>
                <w:lang w:val="en-GB"/>
              </w:rPr>
            </w:pPr>
            <w:r w:rsidRPr="00983604">
              <w:rPr>
                <w:sz w:val="16"/>
                <w:szCs w:val="16"/>
                <w:lang w:val="en-GB"/>
              </w:rPr>
              <w:t>(94-99)</w:t>
            </w:r>
          </w:p>
        </w:tc>
      </w:tr>
      <w:tr w:rsidR="00E23CA5" w:rsidRPr="00983604" w14:paraId="2B442816" w14:textId="77777777" w:rsidTr="00810691">
        <w:trPr>
          <w:trHeight w:val="660"/>
        </w:trPr>
        <w:tc>
          <w:tcPr>
            <w:tcW w:w="1560" w:type="dxa"/>
          </w:tcPr>
          <w:p w14:paraId="6974CF53" w14:textId="77777777" w:rsidR="00E23CA5" w:rsidRPr="00983604" w:rsidRDefault="00E23CA5" w:rsidP="00810691">
            <w:pPr>
              <w:rPr>
                <w:sz w:val="16"/>
                <w:szCs w:val="16"/>
                <w:lang w:val="en-GB"/>
              </w:rPr>
            </w:pPr>
            <w:r w:rsidRPr="00983604">
              <w:rPr>
                <w:sz w:val="16"/>
                <w:szCs w:val="16"/>
                <w:lang w:val="en-GB"/>
              </w:rPr>
              <w:t>Mills et al., 2011</w:t>
            </w:r>
            <w:r w:rsidRPr="00983604">
              <w:rPr>
                <w:sz w:val="16"/>
                <w:szCs w:val="16"/>
                <w:lang w:val="en-GB"/>
              </w:rPr>
              <w:fldChar w:fldCharType="begin" w:fldLock="1"/>
            </w:r>
            <w:r>
              <w:rPr>
                <w:sz w:val="16"/>
                <w:szCs w:val="16"/>
                <w:lang w:val="en-GB"/>
              </w:rPr>
              <w:instrText>ADDIN CSL_CITATION {"citationItems":[{"id":"ITEM-1","itemData":{"DOI":"10.1016/j.jhin.2010.11.019","abstract":"s u m m a r y Respiratory syncytial virus (RSV) is responsible for annual winter outbreaks of respiratory tract infection among children in temperate climates, placing severe pressure on hospital beds. Cohorting of affected infants has been demonstrated to be an effective strategy in reducing nosocomial transmission of RSV, and may keep cubicles free for other patients who require them. Testing of symptomatic children for RSV is standard practice, but unfortunately traditional laboratory testing is not rapid enough to aid decision-making processes. Rapid point-of-care testing (POCT) in the emergency department has been suggested as an alternative. We performed a prospective study to quantify the amount of cubicle time saved by using POCT results to allow a targeted cohorting strategy. Over the four-month study period, the POCT allowed 183 children to be admitted directly to a designated cohort area, thus saving 568.5 cubicle-days for other patients. This is equivalent to five cubicles being left free for each day of the study period. This is the first time the benefits of using POCT have been quantified in this way. POCT for RSV is a safe, cost-effective and efficient way to improve bed management.","author":[{"dropping-particle":"","family":"Mills","given":"J M","non-dropping-particle":"","parse-names":false,"suffix":""},{"dropping-particle":"","family":"Harper","given":"J","non-dropping-particle":"","parse-names":false,"suffix":""},{"dropping-particle":"","family":"Broomfield","given":"D","non-dropping-particle":"","parse-names":false,"suffix":""},{"dropping-particle":"","family":"Templeton","given":"K E","non-dropping-particle":"","parse-names":false,"suffix":""}],"container-title":"Journal of Hospital Infection","id":"ITEM-1","issued":{"date-parts":[["2011"]]},"page":"248-251","title":"Rapid testing for respiratory syncytial virus in a paediatric emergency department: benefits for infection control and bed management","type":"article-journal","volume":"77"},"uris":["http://www.mendeley.com/documents/?uuid=f7fb544b-bcab-3ac0-b893-771c083a5978"]}],"mendeley":{"formattedCitation":"[12]","plainTextFormattedCitation":"[12]","previouslyFormattedCitation":"[12]"},"properties":{"noteIndex":0},"schema":"https://github.com/citation-style-language/schema/raw/master/csl-citation.json"}</w:instrText>
            </w:r>
            <w:r w:rsidRPr="00983604">
              <w:rPr>
                <w:sz w:val="16"/>
                <w:szCs w:val="16"/>
                <w:lang w:val="en-GB"/>
              </w:rPr>
              <w:fldChar w:fldCharType="separate"/>
            </w:r>
            <w:r w:rsidRPr="008768B9">
              <w:rPr>
                <w:noProof/>
                <w:sz w:val="16"/>
                <w:szCs w:val="16"/>
                <w:lang w:val="en-GB"/>
              </w:rPr>
              <w:t>[12]</w:t>
            </w:r>
            <w:r w:rsidRPr="00983604">
              <w:rPr>
                <w:sz w:val="16"/>
                <w:szCs w:val="16"/>
                <w:lang w:val="en-GB"/>
              </w:rPr>
              <w:fldChar w:fldCharType="end"/>
            </w:r>
          </w:p>
        </w:tc>
        <w:tc>
          <w:tcPr>
            <w:tcW w:w="1134" w:type="dxa"/>
          </w:tcPr>
          <w:p w14:paraId="41428A07" w14:textId="77777777" w:rsidR="00E23CA5" w:rsidRPr="00983604" w:rsidRDefault="00E23CA5" w:rsidP="00810691">
            <w:pPr>
              <w:rPr>
                <w:sz w:val="16"/>
                <w:szCs w:val="16"/>
                <w:lang w:val="en-GB"/>
              </w:rPr>
            </w:pPr>
            <w:r w:rsidRPr="00983604">
              <w:rPr>
                <w:sz w:val="16"/>
                <w:szCs w:val="16"/>
                <w:lang w:val="en-GB"/>
              </w:rPr>
              <w:t>&lt;2 years (mean 7 months)</w:t>
            </w:r>
          </w:p>
        </w:tc>
        <w:tc>
          <w:tcPr>
            <w:tcW w:w="1417" w:type="dxa"/>
          </w:tcPr>
          <w:p w14:paraId="30B61772" w14:textId="77777777" w:rsidR="00E23CA5" w:rsidRPr="00983604" w:rsidRDefault="00E23CA5" w:rsidP="00810691">
            <w:pPr>
              <w:rPr>
                <w:sz w:val="16"/>
                <w:szCs w:val="16"/>
                <w:lang w:val="en-GB"/>
              </w:rPr>
            </w:pPr>
            <w:r w:rsidRPr="00983604">
              <w:rPr>
                <w:sz w:val="16"/>
                <w:szCs w:val="16"/>
                <w:lang w:val="en-GB"/>
              </w:rPr>
              <w:t>ED, respiratory symptoms</w:t>
            </w:r>
          </w:p>
        </w:tc>
        <w:tc>
          <w:tcPr>
            <w:tcW w:w="1276" w:type="dxa"/>
          </w:tcPr>
          <w:p w14:paraId="54AE2F47" w14:textId="77777777" w:rsidR="00E23CA5" w:rsidRPr="00983604" w:rsidRDefault="00E23CA5" w:rsidP="00810691">
            <w:pPr>
              <w:rPr>
                <w:sz w:val="16"/>
                <w:szCs w:val="16"/>
                <w:lang w:val="en-GB"/>
              </w:rPr>
            </w:pPr>
            <w:r w:rsidRPr="00983604">
              <w:rPr>
                <w:sz w:val="16"/>
                <w:szCs w:val="16"/>
                <w:lang w:val="en-GB"/>
              </w:rPr>
              <w:t>RT-PCR</w:t>
            </w:r>
          </w:p>
        </w:tc>
        <w:tc>
          <w:tcPr>
            <w:tcW w:w="850" w:type="dxa"/>
          </w:tcPr>
          <w:p w14:paraId="39589FD8" w14:textId="77777777" w:rsidR="00E23CA5" w:rsidRPr="00983604" w:rsidRDefault="00E23CA5" w:rsidP="00810691">
            <w:pPr>
              <w:rPr>
                <w:sz w:val="16"/>
                <w:szCs w:val="16"/>
                <w:lang w:val="en-GB"/>
              </w:rPr>
            </w:pPr>
            <w:r w:rsidRPr="00983604">
              <w:rPr>
                <w:sz w:val="16"/>
                <w:szCs w:val="16"/>
                <w:lang w:val="en-GB"/>
              </w:rPr>
              <w:t>NPA, NPW</w:t>
            </w:r>
          </w:p>
        </w:tc>
        <w:tc>
          <w:tcPr>
            <w:tcW w:w="849" w:type="dxa"/>
          </w:tcPr>
          <w:p w14:paraId="17F8EE46" w14:textId="77777777" w:rsidR="00E23CA5" w:rsidRPr="00983604" w:rsidRDefault="00E23CA5" w:rsidP="00810691">
            <w:pPr>
              <w:rPr>
                <w:sz w:val="16"/>
                <w:szCs w:val="16"/>
                <w:lang w:val="en-GB"/>
              </w:rPr>
            </w:pPr>
            <w:r w:rsidRPr="00983604">
              <w:rPr>
                <w:sz w:val="16"/>
                <w:szCs w:val="16"/>
                <w:lang w:val="en-GB"/>
              </w:rPr>
              <w:t>Yes</w:t>
            </w:r>
          </w:p>
        </w:tc>
        <w:tc>
          <w:tcPr>
            <w:tcW w:w="550" w:type="dxa"/>
          </w:tcPr>
          <w:p w14:paraId="43D9ADE0" w14:textId="77777777" w:rsidR="00E23CA5" w:rsidRPr="00983604" w:rsidRDefault="00E23CA5" w:rsidP="00810691">
            <w:pPr>
              <w:rPr>
                <w:sz w:val="16"/>
                <w:szCs w:val="16"/>
                <w:lang w:val="en-GB"/>
              </w:rPr>
            </w:pPr>
            <w:r w:rsidRPr="00983604">
              <w:rPr>
                <w:sz w:val="16"/>
                <w:szCs w:val="16"/>
                <w:lang w:val="en-GB"/>
              </w:rPr>
              <w:t>579</w:t>
            </w:r>
          </w:p>
        </w:tc>
        <w:tc>
          <w:tcPr>
            <w:tcW w:w="1117" w:type="dxa"/>
          </w:tcPr>
          <w:p w14:paraId="10F037EE" w14:textId="77777777" w:rsidR="00E23CA5" w:rsidRDefault="00E23CA5" w:rsidP="00810691">
            <w:pPr>
              <w:rPr>
                <w:sz w:val="16"/>
                <w:szCs w:val="16"/>
                <w:lang w:val="en-GB"/>
              </w:rPr>
            </w:pPr>
            <w:r w:rsidRPr="00983604">
              <w:rPr>
                <w:sz w:val="16"/>
                <w:szCs w:val="16"/>
                <w:lang w:val="en-GB"/>
              </w:rPr>
              <w:t xml:space="preserve">83% </w:t>
            </w:r>
          </w:p>
          <w:p w14:paraId="6A9E58DC" w14:textId="77777777" w:rsidR="00E23CA5" w:rsidRPr="00983604" w:rsidRDefault="00E23CA5" w:rsidP="00810691">
            <w:pPr>
              <w:rPr>
                <w:sz w:val="16"/>
                <w:szCs w:val="16"/>
                <w:lang w:val="en-GB"/>
              </w:rPr>
            </w:pPr>
            <w:r w:rsidRPr="00983604">
              <w:rPr>
                <w:sz w:val="16"/>
                <w:szCs w:val="16"/>
                <w:lang w:val="en-GB"/>
              </w:rPr>
              <w:t>(79-87)</w:t>
            </w:r>
          </w:p>
        </w:tc>
        <w:tc>
          <w:tcPr>
            <w:tcW w:w="1117" w:type="dxa"/>
          </w:tcPr>
          <w:p w14:paraId="57C3E0FD" w14:textId="77777777" w:rsidR="00E23CA5" w:rsidRDefault="00E23CA5" w:rsidP="00810691">
            <w:pPr>
              <w:rPr>
                <w:sz w:val="16"/>
                <w:szCs w:val="16"/>
                <w:lang w:val="en-GB"/>
              </w:rPr>
            </w:pPr>
            <w:r w:rsidRPr="00983604">
              <w:rPr>
                <w:sz w:val="16"/>
                <w:szCs w:val="16"/>
                <w:lang w:val="en-GB"/>
              </w:rPr>
              <w:t xml:space="preserve">83% </w:t>
            </w:r>
          </w:p>
          <w:p w14:paraId="109B276D" w14:textId="77777777" w:rsidR="00E23CA5" w:rsidRPr="00983604" w:rsidRDefault="00E23CA5" w:rsidP="00810691">
            <w:pPr>
              <w:rPr>
                <w:sz w:val="16"/>
                <w:szCs w:val="16"/>
                <w:lang w:val="en-GB"/>
              </w:rPr>
            </w:pPr>
            <w:r w:rsidRPr="00983604">
              <w:rPr>
                <w:sz w:val="16"/>
                <w:szCs w:val="16"/>
                <w:lang w:val="en-GB"/>
              </w:rPr>
              <w:t>(78-87)</w:t>
            </w:r>
          </w:p>
        </w:tc>
      </w:tr>
      <w:tr w:rsidR="00E23CA5" w:rsidRPr="00983604" w14:paraId="65F11AAC" w14:textId="77777777" w:rsidTr="00810691">
        <w:trPr>
          <w:trHeight w:val="999"/>
        </w:trPr>
        <w:tc>
          <w:tcPr>
            <w:tcW w:w="1560" w:type="dxa"/>
          </w:tcPr>
          <w:p w14:paraId="70C2A343" w14:textId="77777777" w:rsidR="00E23CA5" w:rsidRPr="00983604" w:rsidRDefault="00E23CA5" w:rsidP="00810691">
            <w:pPr>
              <w:rPr>
                <w:sz w:val="16"/>
                <w:szCs w:val="16"/>
                <w:lang w:val="en-GB"/>
              </w:rPr>
            </w:pPr>
            <w:proofErr w:type="spellStart"/>
            <w:r w:rsidRPr="00983604">
              <w:rPr>
                <w:sz w:val="16"/>
                <w:szCs w:val="16"/>
                <w:lang w:val="en-GB"/>
              </w:rPr>
              <w:t>Papenburg</w:t>
            </w:r>
            <w:proofErr w:type="spellEnd"/>
            <w:r w:rsidRPr="00983604">
              <w:rPr>
                <w:sz w:val="16"/>
                <w:szCs w:val="16"/>
                <w:lang w:val="en-GB"/>
              </w:rPr>
              <w:t xml:space="preserve"> et al., 2013</w:t>
            </w:r>
            <w:r w:rsidRPr="00983604">
              <w:rPr>
                <w:sz w:val="16"/>
                <w:szCs w:val="16"/>
                <w:lang w:val="en-GB"/>
              </w:rPr>
              <w:fldChar w:fldCharType="begin" w:fldLock="1"/>
            </w:r>
            <w:r>
              <w:rPr>
                <w:sz w:val="16"/>
                <w:szCs w:val="16"/>
                <w:lang w:val="en-GB"/>
              </w:rPr>
              <w:instrText>ADDIN CSL_CITATION {"citationItems":[{"id":"ITEM-1","itemData":{"DOI":"10.1016/j.jpeds.2013.03.067","ISBN":"2011;50:2403","abstract":"Respiratory syncytial virus rapid antigen detection tests (RADT) are used widely. RADT exhibited high specificity (97%) and moderate sensitivity (80%) compared with reverse-transcriptase polymerase chain reaction in 720 hospitalized children &lt;3 years old. Older age, prolonged symptoms, and respiratory syncytial virus genotype-B infection were significantly associated with false-negative results of RADT. (J Pediatr 2013;163:911-3). R everse-transcriptase polymerase chain reaction (RT-PCR) testing of nasopharyngeal secretions is the diagnostic reference standard for respiratory syn-cytial virus (RSV) respiratory tract infection (RTI), a leading cause of pediatric hospitalizations. 1,2 However, many clini-cians and laboratories do not have access to RT-PCR 3,4 and rely on RSV rapid antigen detection tests (RADT), which are simple and produce results in 10-30 minutes. 2 Rapid diagnosis of RSV in hospitalized children can guide patient care by permitting prompt infection control measures (ie, cohort-ing), and decreasing unnecessary antibiotic use and ancillary testing. 5-7 Unfortunately, RADTs have only 50%-85% sensitivity compared with RT-PCR. 2 Factors such as patient age, clinical manifestations, and delay to testing may influence RADT ability to detect RSV infection. 8 The independent effect of these factors on RADT diagnostic accuracy, however, has not been evaluated. We aimed to assess host and viral factors affecting the clinical performance of a RSV RADT (Binax-NOW RSV, Alere, Ottawa, Ontario, Canada) compared with a RT-PCR-based reference standard in hospitalized children &lt;3 years old in Quebec City. Methods Children aged 0-35 months hospitalized for acute RTI at the pediatric reference center in Quebec City (population: 747 000), Canada, were enrolled prospectively during 4 consecutive winters (November to April, 2006-2010) following Research Ethics Board approval. 9 Clinical data were collected by interview at study entry and after 1-month follow-up; medical records were also reviewed. A nasopha-ryngeal aspirate was collected at presentation. The specimen was stored at 4 C and tested within 18 hours in the clinical vi-rology laboratory by the index test, the BinaxNOW RSV RADT immunochromatographic assay. 10 An aliquot of the specimen was frozen (À80 C) until testing in the research laboratory by the reference standard, a RT-PCR/DNA hybridiza-tion assay that detects RSV genotype-A (RSV-A), RSV-B, and 22 other respiratory viruses (InfinitiRVP assay,…","author":[{"dropping-particle":"","family":"Papenburg","given":"Jesse","non-dropping-particle":"","parse-names":false,"suffix":""},{"dropping-particle":"","family":"Buckeridge","given":"David L","non-dropping-particle":"","parse-names":false,"suffix":""},{"dropping-particle":"","family":"Serres","given":"Gaston","non-dropping-particle":"De","parse-names":false,"suffix":""},{"dropping-particle":"","family":"Boivin","given":"Guy","non-dropping-particle":"","parse-names":false,"suffix":""}],"container-title":"The Journal of Pediatrics","id":"ITEM-1","issued":{"date-parts":[["2013"]]},"page":"911-913","title":"Host and Viral Factors Affecting Clinical Performance of a Rapid Diagnostic Test for Respiratory Syncytial Virus in Hospitalized Children RADT Rapid antigen detection test RSV Respiratory syncytial virus RT-PCR Reverse-transcriptase polymerase chain react","type":"article-journal","volume":"163"},"uris":["http://www.mendeley.com/documents/?uuid=5650fd7c-f642-3b9e-9361-c7c2c02e0be7"]}],"mendeley":{"formattedCitation":"[20]","plainTextFormattedCitation":"[20]","previouslyFormattedCitation":"[20]"},"properties":{"noteIndex":0},"schema":"https://github.com/citation-style-language/schema/raw/master/csl-citation.json"}</w:instrText>
            </w:r>
            <w:r w:rsidRPr="00983604">
              <w:rPr>
                <w:sz w:val="16"/>
                <w:szCs w:val="16"/>
                <w:lang w:val="en-GB"/>
              </w:rPr>
              <w:fldChar w:fldCharType="separate"/>
            </w:r>
            <w:r w:rsidRPr="008768B9">
              <w:rPr>
                <w:noProof/>
                <w:sz w:val="16"/>
                <w:szCs w:val="16"/>
                <w:lang w:val="en-GB"/>
              </w:rPr>
              <w:t>[20]</w:t>
            </w:r>
            <w:r w:rsidRPr="00983604">
              <w:rPr>
                <w:sz w:val="16"/>
                <w:szCs w:val="16"/>
                <w:lang w:val="en-GB"/>
              </w:rPr>
              <w:fldChar w:fldCharType="end"/>
            </w:r>
          </w:p>
        </w:tc>
        <w:tc>
          <w:tcPr>
            <w:tcW w:w="1134" w:type="dxa"/>
          </w:tcPr>
          <w:p w14:paraId="75FE4848" w14:textId="77777777" w:rsidR="00E23CA5" w:rsidRPr="00983604" w:rsidRDefault="00E23CA5" w:rsidP="00810691">
            <w:pPr>
              <w:rPr>
                <w:sz w:val="16"/>
                <w:szCs w:val="16"/>
                <w:lang w:val="en-GB"/>
              </w:rPr>
            </w:pPr>
            <w:r w:rsidRPr="00983604">
              <w:rPr>
                <w:sz w:val="16"/>
                <w:szCs w:val="16"/>
                <w:lang w:val="en-GB"/>
              </w:rPr>
              <w:t>&lt;3 years (median 5.7 months)</w:t>
            </w:r>
          </w:p>
        </w:tc>
        <w:tc>
          <w:tcPr>
            <w:tcW w:w="1417" w:type="dxa"/>
          </w:tcPr>
          <w:p w14:paraId="3727F79B" w14:textId="77777777" w:rsidR="00E23CA5" w:rsidRPr="00983604" w:rsidRDefault="00E23CA5" w:rsidP="00810691">
            <w:pPr>
              <w:rPr>
                <w:sz w:val="16"/>
                <w:szCs w:val="16"/>
                <w:lang w:val="en-GB"/>
              </w:rPr>
            </w:pPr>
            <w:r w:rsidRPr="00983604">
              <w:rPr>
                <w:sz w:val="16"/>
                <w:szCs w:val="16"/>
                <w:lang w:val="en-GB"/>
              </w:rPr>
              <w:t>Hospital</w:t>
            </w:r>
            <w:r>
              <w:rPr>
                <w:sz w:val="16"/>
                <w:szCs w:val="16"/>
                <w:lang w:val="en-GB"/>
              </w:rPr>
              <w:t>ise</w:t>
            </w:r>
            <w:r w:rsidRPr="00983604">
              <w:rPr>
                <w:sz w:val="16"/>
                <w:szCs w:val="16"/>
                <w:lang w:val="en-GB"/>
              </w:rPr>
              <w:t>d, ARTI</w:t>
            </w:r>
          </w:p>
        </w:tc>
        <w:tc>
          <w:tcPr>
            <w:tcW w:w="1276" w:type="dxa"/>
          </w:tcPr>
          <w:p w14:paraId="1352BC1E" w14:textId="77777777" w:rsidR="00E23CA5" w:rsidRPr="00983604" w:rsidRDefault="00E23CA5" w:rsidP="00810691">
            <w:pPr>
              <w:rPr>
                <w:sz w:val="16"/>
                <w:szCs w:val="16"/>
                <w:lang w:val="en-GB"/>
              </w:rPr>
            </w:pPr>
            <w:r w:rsidRPr="00983604">
              <w:rPr>
                <w:sz w:val="16"/>
                <w:szCs w:val="16"/>
                <w:lang w:val="en-GB"/>
              </w:rPr>
              <w:t>RT-PCR</w:t>
            </w:r>
          </w:p>
        </w:tc>
        <w:tc>
          <w:tcPr>
            <w:tcW w:w="850" w:type="dxa"/>
          </w:tcPr>
          <w:p w14:paraId="68079753" w14:textId="77777777" w:rsidR="00E23CA5" w:rsidRPr="00983604" w:rsidRDefault="00E23CA5" w:rsidP="00810691">
            <w:pPr>
              <w:rPr>
                <w:sz w:val="16"/>
                <w:szCs w:val="16"/>
                <w:lang w:val="en-GB"/>
              </w:rPr>
            </w:pPr>
            <w:r w:rsidRPr="00983604">
              <w:rPr>
                <w:sz w:val="16"/>
                <w:szCs w:val="16"/>
                <w:lang w:val="en-GB"/>
              </w:rPr>
              <w:t>NPA</w:t>
            </w:r>
          </w:p>
        </w:tc>
        <w:tc>
          <w:tcPr>
            <w:tcW w:w="849" w:type="dxa"/>
          </w:tcPr>
          <w:p w14:paraId="06452F7C" w14:textId="77777777" w:rsidR="00E23CA5" w:rsidRPr="00983604" w:rsidRDefault="00E23CA5" w:rsidP="00810691">
            <w:pPr>
              <w:rPr>
                <w:sz w:val="16"/>
                <w:szCs w:val="16"/>
                <w:lang w:val="en-GB"/>
              </w:rPr>
            </w:pPr>
            <w:r w:rsidRPr="00983604">
              <w:rPr>
                <w:sz w:val="16"/>
                <w:szCs w:val="16"/>
                <w:lang w:val="en-GB"/>
              </w:rPr>
              <w:t>No</w:t>
            </w:r>
          </w:p>
        </w:tc>
        <w:tc>
          <w:tcPr>
            <w:tcW w:w="550" w:type="dxa"/>
          </w:tcPr>
          <w:p w14:paraId="273B63D7" w14:textId="77777777" w:rsidR="00E23CA5" w:rsidRPr="00983604" w:rsidRDefault="00E23CA5" w:rsidP="00810691">
            <w:pPr>
              <w:rPr>
                <w:sz w:val="16"/>
                <w:szCs w:val="16"/>
                <w:lang w:val="en-GB"/>
              </w:rPr>
            </w:pPr>
            <w:r w:rsidRPr="00983604">
              <w:rPr>
                <w:sz w:val="16"/>
                <w:szCs w:val="16"/>
                <w:lang w:val="en-GB"/>
              </w:rPr>
              <w:t>720</w:t>
            </w:r>
          </w:p>
        </w:tc>
        <w:tc>
          <w:tcPr>
            <w:tcW w:w="1117" w:type="dxa"/>
          </w:tcPr>
          <w:p w14:paraId="2C7206FF" w14:textId="77777777" w:rsidR="00E23CA5" w:rsidRDefault="00E23CA5" w:rsidP="00810691">
            <w:pPr>
              <w:rPr>
                <w:sz w:val="16"/>
                <w:szCs w:val="16"/>
                <w:lang w:val="en-GB"/>
              </w:rPr>
            </w:pPr>
            <w:r w:rsidRPr="00983604">
              <w:rPr>
                <w:sz w:val="16"/>
                <w:szCs w:val="16"/>
                <w:lang w:val="en-GB"/>
              </w:rPr>
              <w:t xml:space="preserve">80% </w:t>
            </w:r>
          </w:p>
          <w:p w14:paraId="2D8340F3" w14:textId="77777777" w:rsidR="00E23CA5" w:rsidRPr="00983604" w:rsidRDefault="00E23CA5" w:rsidP="00810691">
            <w:pPr>
              <w:rPr>
                <w:sz w:val="16"/>
                <w:szCs w:val="16"/>
                <w:lang w:val="en-GB"/>
              </w:rPr>
            </w:pPr>
            <w:r w:rsidRPr="00983604">
              <w:rPr>
                <w:sz w:val="16"/>
                <w:szCs w:val="16"/>
                <w:lang w:val="en-GB"/>
              </w:rPr>
              <w:t>(76-83.5)</w:t>
            </w:r>
          </w:p>
        </w:tc>
        <w:tc>
          <w:tcPr>
            <w:tcW w:w="1117" w:type="dxa"/>
          </w:tcPr>
          <w:p w14:paraId="1F5F7BBA" w14:textId="77777777" w:rsidR="00E23CA5" w:rsidRDefault="00E23CA5" w:rsidP="00810691">
            <w:pPr>
              <w:rPr>
                <w:sz w:val="16"/>
                <w:szCs w:val="16"/>
                <w:lang w:val="en-GB"/>
              </w:rPr>
            </w:pPr>
            <w:r w:rsidRPr="00983604">
              <w:rPr>
                <w:sz w:val="16"/>
                <w:szCs w:val="16"/>
                <w:lang w:val="en-GB"/>
              </w:rPr>
              <w:t xml:space="preserve">96.9% </w:t>
            </w:r>
          </w:p>
          <w:p w14:paraId="2D1A530E" w14:textId="77777777" w:rsidR="00E23CA5" w:rsidRPr="00983604" w:rsidRDefault="00E23CA5" w:rsidP="00810691">
            <w:pPr>
              <w:rPr>
                <w:sz w:val="16"/>
                <w:szCs w:val="16"/>
                <w:lang w:val="en-GB"/>
              </w:rPr>
            </w:pPr>
            <w:r w:rsidRPr="00983604">
              <w:rPr>
                <w:sz w:val="16"/>
                <w:szCs w:val="16"/>
                <w:lang w:val="en-GB"/>
              </w:rPr>
              <w:t>(94-98.6)</w:t>
            </w:r>
          </w:p>
        </w:tc>
      </w:tr>
      <w:tr w:rsidR="00E23CA5" w:rsidRPr="008D482A" w14:paraId="21B2B028" w14:textId="77777777" w:rsidTr="00810691">
        <w:trPr>
          <w:trHeight w:val="339"/>
        </w:trPr>
        <w:tc>
          <w:tcPr>
            <w:tcW w:w="1560" w:type="dxa"/>
          </w:tcPr>
          <w:p w14:paraId="6D992979" w14:textId="77777777" w:rsidR="00E23CA5" w:rsidRPr="00983604" w:rsidRDefault="00E23CA5" w:rsidP="00810691">
            <w:pPr>
              <w:rPr>
                <w:sz w:val="16"/>
                <w:szCs w:val="16"/>
                <w:lang w:val="en-GB"/>
              </w:rPr>
            </w:pPr>
            <w:proofErr w:type="spellStart"/>
            <w:r w:rsidRPr="00983604">
              <w:rPr>
                <w:sz w:val="16"/>
                <w:szCs w:val="16"/>
                <w:lang w:val="en-GB"/>
              </w:rPr>
              <w:t>Pfeil</w:t>
            </w:r>
            <w:proofErr w:type="spellEnd"/>
            <w:r w:rsidRPr="00983604">
              <w:rPr>
                <w:sz w:val="16"/>
                <w:szCs w:val="16"/>
                <w:lang w:val="en-GB"/>
              </w:rPr>
              <w:t xml:space="preserve"> et al., 2014</w:t>
            </w:r>
            <w:r w:rsidRPr="00983604">
              <w:rPr>
                <w:sz w:val="16"/>
                <w:szCs w:val="16"/>
                <w:lang w:val="en-GB"/>
              </w:rPr>
              <w:fldChar w:fldCharType="begin" w:fldLock="1"/>
            </w:r>
            <w:r>
              <w:rPr>
                <w:sz w:val="16"/>
                <w:szCs w:val="16"/>
                <w:lang w:val="en-GB"/>
              </w:rPr>
              <w:instrText>ADDIN CSL_CITATION {"citationItems":[{"id":"ITEM-1","itemData":{"DOI":"10.1097/MD.0000000000000144","ISBN":"0000000000000","ISSN":"15365964","PMID":"25437026","abstract":"Nosocomial infection with respiratory syncytial virus (RSV) is an important health risk in pediatric care but is largely preventable by efficient infection control measures. Commonly applied rapid antigen detection tests (RADTs) miss a considerable number of RSV-infected patients. The objective of our analysis was to evaluate whether readily available host parameters are associated with false-negative RADT, and to assess how these parameters could be applied in an optimized RSV isolation strategy.We retrospectively analyzed a cohort of 242 children under the age of 2 years hospitalized with acute respiratory tract infection to identify host parameters associated with false-negative RADT test result. We subsequently simulated the outcome of different isolation strategies based on RADT result and host parameters in view of the overall isolation efficacy.Out of 242 hospitalized patients, 134 (55%) patients were found RSV-positive by RT-PCR, whereas 108 (45%) patients were tested negative. The performance of the RADT was compared with the result obtained by reverse transcription polymerase chain reaction on the identical nasopharyngeal wash. Overall, we found that 85 patients (35%) were tested true positive, 108 (45%) were tested true negative, whereas a false-negative test result was obtained in 49 patients (20%). Duration of respiratory symptoms for &gt;3 days and a respiratory admission diagnosis are associated with false-negative RADT result. In comparison with RADT alone, consideration of these clinical parameters and RADT result can decrease the rate of nonisolated RSV-infected patients from approximately 24% to 8% (65% RSV pretest probability).Consideration of both RADT and clinical parameters associated with false-negative RADT can result in an optimized RSV infection control policy.","author":[{"dropping-particle":"","family":"Pfeil","given":"Johannes","non-dropping-particle":"","parse-names":false,"suffix":""},{"dropping-particle":"","family":"Tabatabai","given":"Julia","non-dropping-particle":"","parse-names":false,"suffix":""},{"dropping-particle":"","family":"Sander","given":"Anja","non-dropping-particle":"","parse-names":false,"suffix":""},{"dropping-particle":"","family":"Ries","given":"Markus","non-dropping-particle":"","parse-names":false,"suffix":""},{"dropping-particle":"","family":"Grulich-Henn","given":"Jürgen","non-dropping-particle":"","parse-names":false,"suffix":""},{"dropping-particle":"","family":"Schnitzler","given":"Paul","non-dropping-particle":"","parse-names":false,"suffix":""}],"container-title":"Medicine (United States)","id":"ITEM-1","issue":"25","issued":{"date-parts":[["2014"]]},"title":"Screening for respiratory syncytial virus and isolation strategies in children hospitalized with acute respiratory tract infection","type":"article-journal","volume":"93"},"uris":["http://www.mendeley.com/documents/?uuid=23b9dd12-bfd4-3d9c-b84a-a514c6a93052"]}],"mendeley":{"formattedCitation":"[21]","plainTextFormattedCitation":"[21]","previouslyFormattedCitation":"[21]"},"properties":{"noteIndex":0},"schema":"https://github.com/citation-style-language/schema/raw/master/csl-citation.json"}</w:instrText>
            </w:r>
            <w:r w:rsidRPr="00983604">
              <w:rPr>
                <w:sz w:val="16"/>
                <w:szCs w:val="16"/>
                <w:lang w:val="en-GB"/>
              </w:rPr>
              <w:fldChar w:fldCharType="separate"/>
            </w:r>
            <w:r w:rsidRPr="008768B9">
              <w:rPr>
                <w:noProof/>
                <w:sz w:val="16"/>
                <w:szCs w:val="16"/>
                <w:lang w:val="en-GB"/>
              </w:rPr>
              <w:t>[21]</w:t>
            </w:r>
            <w:r w:rsidRPr="00983604">
              <w:rPr>
                <w:sz w:val="16"/>
                <w:szCs w:val="16"/>
                <w:lang w:val="en-GB"/>
              </w:rPr>
              <w:fldChar w:fldCharType="end"/>
            </w:r>
          </w:p>
        </w:tc>
        <w:tc>
          <w:tcPr>
            <w:tcW w:w="1134" w:type="dxa"/>
          </w:tcPr>
          <w:p w14:paraId="27D903DD" w14:textId="77777777" w:rsidR="00E23CA5" w:rsidRPr="00983604" w:rsidRDefault="00E23CA5" w:rsidP="00810691">
            <w:pPr>
              <w:rPr>
                <w:sz w:val="16"/>
                <w:szCs w:val="16"/>
                <w:lang w:val="en-GB"/>
              </w:rPr>
            </w:pPr>
            <w:r w:rsidRPr="00983604">
              <w:rPr>
                <w:sz w:val="16"/>
                <w:szCs w:val="16"/>
                <w:lang w:val="en-GB"/>
              </w:rPr>
              <w:t>&lt;3 years (mean 7.9 months)</w:t>
            </w:r>
          </w:p>
        </w:tc>
        <w:tc>
          <w:tcPr>
            <w:tcW w:w="1417" w:type="dxa"/>
          </w:tcPr>
          <w:p w14:paraId="4B760755" w14:textId="77777777" w:rsidR="00E23CA5" w:rsidRPr="00983604" w:rsidRDefault="00E23CA5" w:rsidP="00810691">
            <w:pPr>
              <w:rPr>
                <w:sz w:val="16"/>
                <w:szCs w:val="16"/>
                <w:lang w:val="en-GB"/>
              </w:rPr>
            </w:pPr>
            <w:r w:rsidRPr="00983604">
              <w:rPr>
                <w:sz w:val="16"/>
                <w:szCs w:val="16"/>
                <w:lang w:val="en-GB"/>
              </w:rPr>
              <w:t>Hospital</w:t>
            </w:r>
            <w:r>
              <w:rPr>
                <w:sz w:val="16"/>
                <w:szCs w:val="16"/>
                <w:lang w:val="en-GB"/>
              </w:rPr>
              <w:t>ise</w:t>
            </w:r>
            <w:r w:rsidRPr="00983604">
              <w:rPr>
                <w:sz w:val="16"/>
                <w:szCs w:val="16"/>
                <w:lang w:val="en-GB"/>
              </w:rPr>
              <w:t>d, ARTI</w:t>
            </w:r>
          </w:p>
        </w:tc>
        <w:tc>
          <w:tcPr>
            <w:tcW w:w="1276" w:type="dxa"/>
          </w:tcPr>
          <w:p w14:paraId="0A041DC0" w14:textId="77777777" w:rsidR="00E23CA5" w:rsidRPr="00983604" w:rsidRDefault="00E23CA5" w:rsidP="00810691">
            <w:pPr>
              <w:rPr>
                <w:sz w:val="16"/>
                <w:szCs w:val="16"/>
                <w:lang w:val="en-GB"/>
              </w:rPr>
            </w:pPr>
            <w:r w:rsidRPr="00983604">
              <w:rPr>
                <w:sz w:val="16"/>
                <w:szCs w:val="16"/>
                <w:lang w:val="en-GB"/>
              </w:rPr>
              <w:t>RT-PCR</w:t>
            </w:r>
          </w:p>
        </w:tc>
        <w:tc>
          <w:tcPr>
            <w:tcW w:w="850" w:type="dxa"/>
          </w:tcPr>
          <w:p w14:paraId="5AF6085E" w14:textId="77777777" w:rsidR="00E23CA5" w:rsidRPr="00983604" w:rsidRDefault="00E23CA5" w:rsidP="00810691">
            <w:pPr>
              <w:rPr>
                <w:sz w:val="16"/>
                <w:szCs w:val="16"/>
                <w:lang w:val="en-GB"/>
              </w:rPr>
            </w:pPr>
            <w:r w:rsidRPr="00983604">
              <w:rPr>
                <w:sz w:val="16"/>
                <w:szCs w:val="16"/>
                <w:lang w:val="en-GB"/>
              </w:rPr>
              <w:t>NW</w:t>
            </w:r>
          </w:p>
        </w:tc>
        <w:tc>
          <w:tcPr>
            <w:tcW w:w="849" w:type="dxa"/>
          </w:tcPr>
          <w:p w14:paraId="2BABF224" w14:textId="77777777" w:rsidR="00E23CA5" w:rsidRPr="00983604" w:rsidRDefault="00E23CA5" w:rsidP="00810691">
            <w:pPr>
              <w:rPr>
                <w:sz w:val="16"/>
                <w:szCs w:val="16"/>
                <w:lang w:val="en-GB"/>
              </w:rPr>
            </w:pPr>
            <w:r w:rsidRPr="00983604">
              <w:rPr>
                <w:sz w:val="16"/>
                <w:szCs w:val="16"/>
                <w:lang w:val="en-GB"/>
              </w:rPr>
              <w:t>Yes</w:t>
            </w:r>
          </w:p>
        </w:tc>
        <w:tc>
          <w:tcPr>
            <w:tcW w:w="550" w:type="dxa"/>
          </w:tcPr>
          <w:p w14:paraId="7E750972" w14:textId="77777777" w:rsidR="00E23CA5" w:rsidRPr="00983604" w:rsidRDefault="00E23CA5" w:rsidP="00810691">
            <w:pPr>
              <w:rPr>
                <w:sz w:val="16"/>
                <w:szCs w:val="16"/>
                <w:lang w:val="en-GB"/>
              </w:rPr>
            </w:pPr>
            <w:r w:rsidRPr="00983604">
              <w:rPr>
                <w:sz w:val="16"/>
                <w:szCs w:val="16"/>
                <w:lang w:val="en-GB"/>
              </w:rPr>
              <w:t>242</w:t>
            </w:r>
          </w:p>
        </w:tc>
        <w:tc>
          <w:tcPr>
            <w:tcW w:w="1117" w:type="dxa"/>
          </w:tcPr>
          <w:p w14:paraId="6AF8475C" w14:textId="77777777" w:rsidR="00E23CA5" w:rsidRDefault="00E23CA5" w:rsidP="00810691">
            <w:pPr>
              <w:rPr>
                <w:sz w:val="16"/>
                <w:szCs w:val="16"/>
                <w:lang w:val="en-GB"/>
              </w:rPr>
            </w:pPr>
            <w:r w:rsidRPr="00983604">
              <w:rPr>
                <w:sz w:val="16"/>
                <w:szCs w:val="16"/>
                <w:lang w:val="en-GB"/>
              </w:rPr>
              <w:t xml:space="preserve">63% </w:t>
            </w:r>
          </w:p>
          <w:p w14:paraId="51D67275" w14:textId="77777777" w:rsidR="00E23CA5" w:rsidRPr="00983604" w:rsidRDefault="00E23CA5" w:rsidP="00810691">
            <w:pPr>
              <w:rPr>
                <w:sz w:val="16"/>
                <w:szCs w:val="16"/>
                <w:lang w:val="en-GB"/>
              </w:rPr>
            </w:pPr>
            <w:r w:rsidRPr="00983604">
              <w:rPr>
                <w:sz w:val="16"/>
                <w:szCs w:val="16"/>
                <w:lang w:val="en-GB"/>
              </w:rPr>
              <w:t>(61-76)</w:t>
            </w:r>
          </w:p>
        </w:tc>
        <w:tc>
          <w:tcPr>
            <w:tcW w:w="1117" w:type="dxa"/>
          </w:tcPr>
          <w:p w14:paraId="2AF1CAD9" w14:textId="77777777" w:rsidR="00E23CA5" w:rsidRDefault="00E23CA5" w:rsidP="00810691">
            <w:pPr>
              <w:keepNext/>
              <w:rPr>
                <w:sz w:val="16"/>
                <w:szCs w:val="16"/>
                <w:lang w:val="en-GB"/>
              </w:rPr>
            </w:pPr>
            <w:r w:rsidRPr="00983604">
              <w:rPr>
                <w:sz w:val="16"/>
                <w:szCs w:val="16"/>
                <w:lang w:val="en-GB"/>
              </w:rPr>
              <w:t xml:space="preserve">100% </w:t>
            </w:r>
          </w:p>
          <w:p w14:paraId="18FFA03B" w14:textId="77777777" w:rsidR="00E23CA5" w:rsidRPr="00983604" w:rsidRDefault="00E23CA5" w:rsidP="00810691">
            <w:pPr>
              <w:keepNext/>
              <w:rPr>
                <w:sz w:val="16"/>
                <w:szCs w:val="16"/>
                <w:lang w:val="en-GB"/>
              </w:rPr>
            </w:pPr>
            <w:r w:rsidRPr="00983604">
              <w:rPr>
                <w:sz w:val="16"/>
                <w:szCs w:val="16"/>
                <w:lang w:val="en-GB"/>
              </w:rPr>
              <w:t>(NA)</w:t>
            </w:r>
          </w:p>
        </w:tc>
      </w:tr>
    </w:tbl>
    <w:p w14:paraId="7764AC3D" w14:textId="5F1CB543" w:rsidR="00E23CA5" w:rsidRPr="00E23CA5" w:rsidRDefault="00E23CA5">
      <w:pPr>
        <w:spacing w:after="160" w:line="259" w:lineRule="auto"/>
        <w:contextualSpacing w:val="0"/>
        <w:jc w:val="left"/>
        <w:rPr>
          <w:i/>
          <w:iCs/>
          <w:color w:val="44546A"/>
          <w:sz w:val="18"/>
          <w:szCs w:val="18"/>
          <w:lang w:val="en-US"/>
        </w:rPr>
      </w:pPr>
      <w:bookmarkStart w:id="4" w:name="_Hlk20491398"/>
      <w:r w:rsidRPr="00E23CA5">
        <w:rPr>
          <w:i/>
          <w:iCs/>
          <w:color w:val="44546A"/>
          <w:sz w:val="18"/>
          <w:szCs w:val="18"/>
          <w:lang w:val="en-GB"/>
        </w:rPr>
        <w:t>Abbreviations: ARTI, acute respiratory tract infection; ED, emergency department; LRTI, lower respiratory tract infection; MA-ARTI medically attended acute respiratory tract infection; NS, nasal swab; NPA, nasopharyngeal aspirate; NPS, nasopharyngeal swab; NPW, nasopharyngeal wash; NW, nasal wash; NPV, negative predictive value; PICU, paediatric intensive care unit; POC, point-of-care; RT-PCR; reverse transcription polymerase chain reaction.</w:t>
      </w:r>
      <w:bookmarkEnd w:id="3"/>
      <w:bookmarkEnd w:id="4"/>
      <w:r w:rsidRPr="00E23CA5">
        <w:rPr>
          <w:i/>
          <w:iCs/>
          <w:color w:val="44546A"/>
          <w:sz w:val="18"/>
          <w:szCs w:val="18"/>
          <w:lang w:val="en-US"/>
        </w:rPr>
        <w:br w:type="page"/>
      </w:r>
    </w:p>
    <w:p w14:paraId="39A34AA1" w14:textId="77777777" w:rsidR="00AD4742" w:rsidRPr="00E23CA5" w:rsidRDefault="00AD4742" w:rsidP="00AD4742">
      <w:pPr>
        <w:pStyle w:val="Caption"/>
        <w:jc w:val="left"/>
        <w:rPr>
          <w:lang w:val="en-US"/>
        </w:rPr>
      </w:pPr>
    </w:p>
    <w:p w14:paraId="6A6C1452" w14:textId="77777777" w:rsidR="00E23CA5" w:rsidRDefault="00E23CA5" w:rsidP="00E23CA5">
      <w:pPr>
        <w:pStyle w:val="Caption"/>
        <w:rPr>
          <w:lang w:val="en-US"/>
        </w:rPr>
      </w:pPr>
      <w:bookmarkStart w:id="5" w:name="_Hlk11674970"/>
      <w:r>
        <w:rPr>
          <w:rFonts w:cs="Arial"/>
          <w:noProof/>
          <w:szCs w:val="20"/>
          <w:lang w:eastAsia="nl-NL"/>
        </w:rPr>
        <w:drawing>
          <wp:inline distT="0" distB="0" distL="0" distR="0" wp14:anchorId="369C2718" wp14:editId="1F948DC0">
            <wp:extent cx="6744970" cy="3371850"/>
            <wp:effectExtent l="0" t="0" r="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Start w:id="6" w:name="_Hlk3835499"/>
    </w:p>
    <w:p w14:paraId="4F548A18" w14:textId="77777777" w:rsidR="00E23CA5" w:rsidRDefault="00E23CA5" w:rsidP="00E23CA5">
      <w:pPr>
        <w:pStyle w:val="Caption"/>
        <w:rPr>
          <w:lang w:val="en-US"/>
        </w:rPr>
      </w:pPr>
    </w:p>
    <w:p w14:paraId="7942A1AB" w14:textId="77777777" w:rsidR="00E23CA5" w:rsidRDefault="00E23CA5" w:rsidP="00E23CA5">
      <w:pPr>
        <w:pStyle w:val="Caption"/>
        <w:rPr>
          <w:lang w:val="en-US"/>
        </w:rPr>
      </w:pPr>
      <w:r w:rsidRPr="006D2CC8">
        <w:rPr>
          <w:lang w:val="en-US"/>
        </w:rPr>
        <w:t>Figur</w:t>
      </w:r>
      <w:r>
        <w:rPr>
          <w:lang w:val="en-US"/>
        </w:rPr>
        <w:t>e</w:t>
      </w:r>
      <w:r w:rsidRPr="006D2CC8">
        <w:rPr>
          <w:lang w:val="en-US"/>
        </w:rPr>
        <w:t xml:space="preserve"> 1: Study flow chart</w:t>
      </w:r>
      <w:r>
        <w:rPr>
          <w:lang w:val="en-US"/>
        </w:rPr>
        <w:t xml:space="preserve"> showing eligible ARTI episodes and test results of samples which were tested by BinaxNOW</w:t>
      </w:r>
      <w:r>
        <w:rPr>
          <w:rFonts w:cs="Arial"/>
          <w:lang w:val="en-US"/>
        </w:rPr>
        <w:t>®</w:t>
      </w:r>
      <w:r>
        <w:rPr>
          <w:lang w:val="en-US"/>
        </w:rPr>
        <w:t xml:space="preserve">  RSV and the reference test. </w:t>
      </w:r>
      <w:bookmarkEnd w:id="6"/>
    </w:p>
    <w:p w14:paraId="0C410CFE" w14:textId="77777777" w:rsidR="00E23CA5" w:rsidRPr="00555372" w:rsidRDefault="00E23CA5" w:rsidP="00E23CA5">
      <w:pPr>
        <w:pStyle w:val="Caption"/>
        <w:rPr>
          <w:lang w:val="en-US"/>
        </w:rPr>
      </w:pPr>
      <w:r w:rsidRPr="002043C9">
        <w:rPr>
          <w:lang w:val="en-US"/>
        </w:rPr>
        <w:t>Abbreviations: ARTI, acute respiratory tract infection</w:t>
      </w:r>
      <w:r>
        <w:rPr>
          <w:lang w:val="en-US"/>
        </w:rPr>
        <w:t>; n, number of ARTI episodes; BN, BinaxNOW</w:t>
      </w:r>
      <w:r>
        <w:rPr>
          <w:rFonts w:cs="Arial"/>
          <w:lang w:val="en-US"/>
        </w:rPr>
        <w:t>®</w:t>
      </w:r>
      <w:r>
        <w:rPr>
          <w:lang w:val="en-US"/>
        </w:rPr>
        <w:t xml:space="preserve"> RSV; RSV, respiratory syncytial virus</w:t>
      </w:r>
      <w:r>
        <w:rPr>
          <w:lang w:val="en-US"/>
        </w:rPr>
        <w:br w:type="page"/>
      </w:r>
    </w:p>
    <w:bookmarkEnd w:id="5"/>
    <w:p w14:paraId="547934AC" w14:textId="77777777" w:rsidR="00E23CA5" w:rsidRPr="00E23CA5" w:rsidRDefault="00E23CA5" w:rsidP="00E23CA5">
      <w:pPr>
        <w:keepNext/>
        <w:rPr>
          <w:lang w:val="en-US"/>
        </w:rPr>
      </w:pPr>
      <w:r>
        <w:rPr>
          <w:noProof/>
          <w:lang w:eastAsia="nl-NL"/>
        </w:rPr>
        <w:drawing>
          <wp:inline distT="0" distB="0" distL="0" distR="0" wp14:anchorId="4DF0BB84" wp14:editId="294EC05B">
            <wp:extent cx="6551384" cy="6196084"/>
            <wp:effectExtent l="0" t="0" r="1905" b="0"/>
            <wp:docPr id="1" name="Afbeelding 1" descr="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82835" cy="6225829"/>
                    </a:xfrm>
                    <a:prstGeom prst="rect">
                      <a:avLst/>
                    </a:prstGeom>
                    <a:noFill/>
                    <a:ln>
                      <a:noFill/>
                    </a:ln>
                  </pic:spPr>
                </pic:pic>
              </a:graphicData>
            </a:graphic>
          </wp:inline>
        </w:drawing>
      </w:r>
    </w:p>
    <w:p w14:paraId="48E68107" w14:textId="35C7E9F6" w:rsidR="00E23CA5" w:rsidRDefault="00E23CA5" w:rsidP="00E23CA5">
      <w:pPr>
        <w:pStyle w:val="Caption"/>
        <w:rPr>
          <w:lang w:val="en-US"/>
        </w:rPr>
      </w:pPr>
      <w:r>
        <w:rPr>
          <w:lang w:val="en-US"/>
        </w:rPr>
        <w:t xml:space="preserve">Supplementary Table 1: </w:t>
      </w:r>
      <w:proofErr w:type="spellStart"/>
      <w:r>
        <w:rPr>
          <w:lang w:val="en-US"/>
        </w:rPr>
        <w:t>ReSViNET</w:t>
      </w:r>
      <w:proofErr w:type="spellEnd"/>
      <w:r>
        <w:rPr>
          <w:lang w:val="en-US"/>
        </w:rPr>
        <w:t xml:space="preserve"> score: Each clinical symptom is scored according to the description provided. The total score forms the </w:t>
      </w:r>
      <w:proofErr w:type="spellStart"/>
      <w:r>
        <w:rPr>
          <w:lang w:val="en-US"/>
        </w:rPr>
        <w:t>ReSViNET</w:t>
      </w:r>
      <w:proofErr w:type="spellEnd"/>
      <w:r>
        <w:rPr>
          <w:lang w:val="en-US"/>
        </w:rPr>
        <w:t xml:space="preserve"> score (0-20)</w:t>
      </w:r>
      <w:r w:rsidRPr="006D2CC8">
        <w:rPr>
          <w:lang w:val="en-US"/>
        </w:rPr>
        <w:t>.</w:t>
      </w:r>
      <w:r>
        <w:rPr>
          <w:lang w:val="en-US"/>
        </w:rPr>
        <w:fldChar w:fldCharType="begin" w:fldLock="1"/>
      </w:r>
      <w:r>
        <w:rPr>
          <w:lang w:val="en-US"/>
        </w:rPr>
        <w:instrText>ADDIN CSL_CITATION {"citationItems":[{"id":"ITEM-1","itemData":{"DOI":"10.1371/journal.pone.0157665","ISSN":"19326203","PMID":"27327497","abstract":"BACKGROUND AND AIMS A properly validated scoring system allowing objective categorization of infants with acute respiratory infections (ARIs), avoiding the need for in-person assessment and that could also be used by non-health professionals is currently not available. We aimed to develop a new clinical assessment scale meeting these specifications. METHODS We designed a clinical scale (ReSVinet scale) based on seven parameters (feeding intolerance, medical intervention, respiratory difficulty, respiratory frequency, apnoea, general condition, fever) that were assigned different values (from 0 to 3) for a total of 20 points.170 children under two years of age with ARI were assessed independently by three pediatricians using this scale. Parents also evaluated their offspring with an adapted version of the scale in a subset of 61 cases. The scale was tested for internal consistency (Cronbach's alpha), Pearson correlation coefficient for the items in the scale, inter-observer reliability (kappa index) and floor-ceiling effect. RESULTS Internal consistency was good for all the observers, with the lowest Cronbach's alpha being 0.72. There was a strong correlation between the investigators (r-value ranged 0.76-0.83) and also between the results obtained by the parents and the investigators(r = 0.73). Light's kappa for the observations of the three investigators was 0.74. Weighted kappa in the group evaluated by the parents was 0.73. The final score was correlated with length of hospital stay, PICU admission and Wood-Downes Score. CONCLUSIONS The ReSVinet scale may be useful and reliable in the evaluation of infants with ARI, particularly acute bronchiolitis, even with data obtained from medical records and when employed by parents. Although further studies are necessary, ReSVinet scale already complies with more score validation criteria than the vast majority of the alternatives currently available and used in the clinical practice.","author":[{"dropping-particle":"","family":"Justicia-Grande","given":"Antonio José","non-dropping-particle":"","parse-names":false,"suffix":""},{"dropping-particle":"","family":"Pardo-Seco","given":"Jacobo","non-dropping-particle":"","parse-names":false,"suffix":""},{"dropping-particle":"","family":"Cebey-López","given":"Miriam","non-dropping-particle":"","parse-names":false,"suffix":""},{"dropping-particle":"","family":"Vilanova-Trillo","given":"Lucía","non-dropping-particle":"","parse-names":false,"suffix":""},{"dropping-particle":"","family":"Gómez-Carballa","given":"Alberto","non-dropping-particle":"","parse-names":false,"suffix":""},{"dropping-particle":"","family":"Rivero-Calle","given":"Irene","non-dropping-particle":"","parse-names":false,"suffix":""},{"dropping-particle":"","family":"Puente-Puig","given":"María","non-dropping-particle":"","parse-names":false,"suffix":""},{"dropping-particle":"","family":"Curros-Novo","given":"Carmen","non-dropping-particle":"","parse-names":false,"suffix":""},{"dropping-particle":"","family":"Gómez-Rial","given":"José","non-dropping-particle":"","parse-names":false,"suffix":""},{"dropping-particle":"","family":"Salas","given":"Antonio","non-dropping-particle":"","parse-names":false,"suffix":""},{"dropping-particle":"","family":"Martinón-Sánchez","given":"José María","non-dropping-particle":"","parse-names":false,"suffix":""},{"dropping-particle":"","family":"Redondo-Collazo","given":"Lorenzo","non-dropping-particle":"","parse-names":false,"suffix":""},{"dropping-particle":"","family":"Rodríguez-Tenreiro","given":"Carmen","non-dropping-particle":"","parse-names":false,"suffix":""},{"dropping-particle":"","family":"Martinón-Torres","given":"Federico","non-dropping-particle":"","parse-names":false,"suffix":""}],"container-title":"PLoS ONE","id":"ITEM-1","issue":"6","issued":{"date-parts":[["2016"]]},"page":"1-15","title":"Development and validation of a new clinical scale for infants with acute respiratory infection: The resvinet scale","type":"article-journal","volume":"11"},"uris":["http://www.mendeley.com/documents/?uuid=c8753aee-1896-479c-9587-73e516f3a9d9"]}],"mendeley":{"formattedCitation":"[15]","plainTextFormattedCitation":"[15]","previouslyFormattedCitation":"[15]"},"properties":{"noteIndex":0},"schema":"https://github.com/citation-style-language/schema/raw/master/csl-citation.json"}</w:instrText>
      </w:r>
      <w:r>
        <w:rPr>
          <w:lang w:val="en-US"/>
        </w:rPr>
        <w:fldChar w:fldCharType="separate"/>
      </w:r>
      <w:r w:rsidRPr="00691AD2">
        <w:rPr>
          <w:i w:val="0"/>
          <w:noProof/>
          <w:lang w:val="en-US"/>
        </w:rPr>
        <w:t>[15]</w:t>
      </w:r>
      <w:r>
        <w:rPr>
          <w:lang w:val="en-US"/>
        </w:rPr>
        <w:fldChar w:fldCharType="end"/>
      </w:r>
    </w:p>
    <w:p w14:paraId="0D820D26" w14:textId="77777777" w:rsidR="002D2342" w:rsidRPr="00AD4742" w:rsidRDefault="002D2342">
      <w:pPr>
        <w:rPr>
          <w:lang w:val="en-US"/>
        </w:rPr>
      </w:pPr>
    </w:p>
    <w:sectPr w:rsidR="002D2342" w:rsidRPr="00AD4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B5"/>
    <w:rsid w:val="002941EC"/>
    <w:rsid w:val="002D2342"/>
    <w:rsid w:val="003E00B5"/>
    <w:rsid w:val="00A35797"/>
    <w:rsid w:val="00AD4742"/>
    <w:rsid w:val="00C92C93"/>
    <w:rsid w:val="00E23CA5"/>
    <w:rsid w:val="00F74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FB7B"/>
  <w15:chartTrackingRefBased/>
  <w15:docId w15:val="{5EFEE895-AE7D-4D9D-BAD5-EC7D3291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742"/>
    <w:pPr>
      <w:spacing w:after="360" w:line="420" w:lineRule="auto"/>
      <w:contextualSpacing/>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D4742"/>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AD4742"/>
    <w:rPr>
      <w:sz w:val="16"/>
      <w:szCs w:val="16"/>
    </w:rPr>
  </w:style>
  <w:style w:type="table" w:styleId="TableGrid">
    <w:name w:val="Table Grid"/>
    <w:basedOn w:val="TableNormal"/>
    <w:uiPriority w:val="39"/>
    <w:rsid w:val="00AD47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19902">
      <w:bodyDiv w:val="1"/>
      <w:marLeft w:val="0"/>
      <w:marRight w:val="0"/>
      <w:marTop w:val="0"/>
      <w:marBottom w:val="0"/>
      <w:divBdr>
        <w:top w:val="none" w:sz="0" w:space="0" w:color="auto"/>
        <w:left w:val="none" w:sz="0" w:space="0" w:color="auto"/>
        <w:bottom w:val="none" w:sz="0" w:space="0" w:color="auto"/>
        <w:right w:val="none" w:sz="0" w:space="0" w:color="auto"/>
      </w:divBdr>
    </w:div>
    <w:div w:id="603418312">
      <w:bodyDiv w:val="1"/>
      <w:marLeft w:val="0"/>
      <w:marRight w:val="0"/>
      <w:marTop w:val="0"/>
      <w:marBottom w:val="0"/>
      <w:divBdr>
        <w:top w:val="none" w:sz="0" w:space="0" w:color="auto"/>
        <w:left w:val="none" w:sz="0" w:space="0" w:color="auto"/>
        <w:bottom w:val="none" w:sz="0" w:space="0" w:color="auto"/>
        <w:right w:val="none" w:sz="0" w:space="0" w:color="auto"/>
      </w:divBdr>
    </w:div>
    <w:div w:id="1022781710">
      <w:bodyDiv w:val="1"/>
      <w:marLeft w:val="0"/>
      <w:marRight w:val="0"/>
      <w:marTop w:val="0"/>
      <w:marBottom w:val="0"/>
      <w:divBdr>
        <w:top w:val="none" w:sz="0" w:space="0" w:color="auto"/>
        <w:left w:val="none" w:sz="0" w:space="0" w:color="auto"/>
        <w:bottom w:val="none" w:sz="0" w:space="0" w:color="auto"/>
        <w:right w:val="none" w:sz="0" w:space="0" w:color="auto"/>
      </w:divBdr>
    </w:div>
    <w:div w:id="1099181362">
      <w:bodyDiv w:val="1"/>
      <w:marLeft w:val="0"/>
      <w:marRight w:val="0"/>
      <w:marTop w:val="0"/>
      <w:marBottom w:val="0"/>
      <w:divBdr>
        <w:top w:val="none" w:sz="0" w:space="0" w:color="auto"/>
        <w:left w:val="none" w:sz="0" w:space="0" w:color="auto"/>
        <w:bottom w:val="none" w:sz="0" w:space="0" w:color="auto"/>
        <w:right w:val="none" w:sz="0" w:space="0" w:color="auto"/>
      </w:divBdr>
    </w:div>
    <w:div w:id="21407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513AAD-58CB-40FB-A519-8EBD0D2F9364}" type="doc">
      <dgm:prSet loTypeId="urn:microsoft.com/office/officeart/2005/8/layout/hierarchy6" loCatId="hierarchy" qsTypeId="urn:microsoft.com/office/officeart/2005/8/quickstyle/simple2" qsCatId="simple" csTypeId="urn:microsoft.com/office/officeart/2005/8/colors/accent0_1" csCatId="mainScheme" phldr="1"/>
      <dgm:spPr/>
      <dgm:t>
        <a:bodyPr/>
        <a:lstStyle/>
        <a:p>
          <a:endParaRPr lang="nl-NL"/>
        </a:p>
      </dgm:t>
    </dgm:pt>
    <dgm:pt modelId="{845ADF92-ACA5-4C27-B7DB-81213A2F2ED2}">
      <dgm:prSet phldrT="[Tekst]" custT="1"/>
      <dgm:spPr/>
      <dgm:t>
        <a:bodyPr/>
        <a:lstStyle/>
        <a:p>
          <a:pPr>
            <a:spcAft>
              <a:spcPts val="0"/>
            </a:spcAft>
          </a:pPr>
          <a:r>
            <a:rPr lang="nl-NL" sz="900">
              <a:latin typeface="Arial" panose="020B0604020202020204" pitchFamily="34" charset="0"/>
              <a:cs typeface="Arial" panose="020B0604020202020204" pitchFamily="34" charset="0"/>
            </a:rPr>
            <a:t>Samples </a:t>
          </a:r>
        </a:p>
        <a:p>
          <a:pPr>
            <a:spcAft>
              <a:spcPts val="378"/>
            </a:spcAft>
          </a:pPr>
          <a:r>
            <a:rPr lang="nl-NL" sz="900">
              <a:latin typeface="Arial" panose="020B0604020202020204" pitchFamily="34" charset="0"/>
              <a:cs typeface="Arial" panose="020B0604020202020204" pitchFamily="34" charset="0"/>
            </a:rPr>
            <a:t>tested with both BN and reference test</a:t>
          </a:r>
        </a:p>
        <a:p>
          <a:pPr>
            <a:spcAft>
              <a:spcPts val="378"/>
            </a:spcAft>
          </a:pPr>
          <a:r>
            <a:rPr lang="nl-NL" sz="900">
              <a:latin typeface="Arial" panose="020B0604020202020204" pitchFamily="34" charset="0"/>
              <a:cs typeface="Arial" panose="020B0604020202020204" pitchFamily="34" charset="0"/>
            </a:rPr>
            <a:t>n=162</a:t>
          </a:r>
        </a:p>
      </dgm:t>
    </dgm:pt>
    <dgm:pt modelId="{CA3DE755-7208-48A7-8ACA-0F92771762E8}" type="parTrans" cxnId="{6E9F3D8A-4FE6-402E-91DE-88651381E7D0}">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8015DBD7-6A5F-44E4-8C8B-661C6BF56D55}" type="sibTrans" cxnId="{6E9F3D8A-4FE6-402E-91DE-88651381E7D0}">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0A99719D-1076-4C66-8F7F-775543EFABCF}">
      <dgm:prSet phldrT="[Tekst]" custT="1"/>
      <dgm:spPr/>
      <dgm:t>
        <a:bodyPr/>
        <a:lstStyle/>
        <a:p>
          <a:r>
            <a:rPr lang="nl-NL" sz="900">
              <a:latin typeface="Arial" panose="020B0604020202020204" pitchFamily="34" charset="0"/>
              <a:cs typeface="Arial" panose="020B0604020202020204" pitchFamily="34" charset="0"/>
            </a:rPr>
            <a:t>Reference test</a:t>
          </a:r>
        </a:p>
        <a:p>
          <a:r>
            <a:rPr lang="nl-NL" sz="900">
              <a:latin typeface="Arial" panose="020B0604020202020204" pitchFamily="34" charset="0"/>
              <a:cs typeface="Arial" panose="020B0604020202020204" pitchFamily="34" charset="0"/>
            </a:rPr>
            <a:t>positive</a:t>
          </a:r>
        </a:p>
        <a:p>
          <a:r>
            <a:rPr lang="nl-NL" sz="900">
              <a:latin typeface="Arial" panose="020B0604020202020204" pitchFamily="34" charset="0"/>
              <a:cs typeface="Arial" panose="020B0604020202020204" pitchFamily="34" charset="0"/>
            </a:rPr>
            <a:t>n=5</a:t>
          </a:r>
        </a:p>
        <a:p>
          <a:r>
            <a:rPr lang="nl-NL" sz="900">
              <a:latin typeface="Arial" panose="020B0604020202020204" pitchFamily="34" charset="0"/>
              <a:cs typeface="Arial" panose="020B0604020202020204" pitchFamily="34" charset="0"/>
            </a:rPr>
            <a:t>"true positive"</a:t>
          </a:r>
        </a:p>
      </dgm:t>
    </dgm:pt>
    <dgm:pt modelId="{D653204B-46D9-4D61-90EB-923A4DC2D9A9}" type="parTrans" cxnId="{89A17D39-9DA3-419C-84D4-591F8DDEB5D6}">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1FD5719F-F900-4507-84A6-0A0C5523DB01}" type="sibTrans" cxnId="{89A17D39-9DA3-419C-84D4-591F8DDEB5D6}">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BC37AAEE-E2C3-44FB-9643-2F3D81F9CCCA}">
      <dgm:prSet phldrT="[Tekst]" custT="1"/>
      <dgm:spPr/>
      <dgm:t>
        <a:bodyPr/>
        <a:lstStyle/>
        <a:p>
          <a:r>
            <a:rPr lang="nl-NL" sz="900">
              <a:latin typeface="Arial" panose="020B0604020202020204" pitchFamily="34" charset="0"/>
              <a:cs typeface="Arial" panose="020B0604020202020204" pitchFamily="34" charset="0"/>
            </a:rPr>
            <a:t>Reference test</a:t>
          </a:r>
        </a:p>
        <a:p>
          <a:r>
            <a:rPr lang="nl-NL" sz="900">
              <a:latin typeface="Arial" panose="020B0604020202020204" pitchFamily="34" charset="0"/>
              <a:cs typeface="Arial" panose="020B0604020202020204" pitchFamily="34" charset="0"/>
            </a:rPr>
            <a:t>negative</a:t>
          </a:r>
        </a:p>
        <a:p>
          <a:r>
            <a:rPr lang="nl-NL" sz="900">
              <a:latin typeface="Arial" panose="020B0604020202020204" pitchFamily="34" charset="0"/>
              <a:cs typeface="Arial" panose="020B0604020202020204" pitchFamily="34" charset="0"/>
            </a:rPr>
            <a:t>n=0</a:t>
          </a:r>
        </a:p>
        <a:p>
          <a:r>
            <a:rPr lang="nl-NL" sz="900">
              <a:latin typeface="Arial" panose="020B0604020202020204" pitchFamily="34" charset="0"/>
              <a:cs typeface="Arial" panose="020B0604020202020204" pitchFamily="34" charset="0"/>
            </a:rPr>
            <a:t>"false positive"</a:t>
          </a:r>
        </a:p>
      </dgm:t>
    </dgm:pt>
    <dgm:pt modelId="{2A7AB468-59C9-4D9E-BF6C-89886F11FA28}" type="parTrans" cxnId="{D66B2BDE-B261-41BA-B099-275B7D7BAAAA}">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2E13F38F-B9B4-42B1-B271-F4EBA87F7973}" type="sibTrans" cxnId="{D66B2BDE-B261-41BA-B099-275B7D7BAAAA}">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5A6C0E92-0008-4D7B-895D-BA2F5D2C878B}">
      <dgm:prSet phldrT="[Tekst]" custT="1"/>
      <dgm:spPr/>
      <dgm:t>
        <a:bodyPr/>
        <a:lstStyle/>
        <a:p>
          <a:r>
            <a:rPr lang="nl-NL" sz="900">
              <a:latin typeface="Arial" panose="020B0604020202020204" pitchFamily="34" charset="0"/>
              <a:cs typeface="Arial" panose="020B0604020202020204" pitchFamily="34" charset="0"/>
            </a:rPr>
            <a:t>Reference test</a:t>
          </a:r>
        </a:p>
        <a:p>
          <a:r>
            <a:rPr lang="nl-NL" sz="900">
              <a:latin typeface="Arial" panose="020B0604020202020204" pitchFamily="34" charset="0"/>
              <a:cs typeface="Arial" panose="020B0604020202020204" pitchFamily="34" charset="0"/>
            </a:rPr>
            <a:t>positive</a:t>
          </a:r>
        </a:p>
        <a:p>
          <a:r>
            <a:rPr lang="nl-NL" sz="900">
              <a:latin typeface="Arial" panose="020B0604020202020204" pitchFamily="34" charset="0"/>
              <a:cs typeface="Arial" panose="020B0604020202020204" pitchFamily="34" charset="0"/>
            </a:rPr>
            <a:t>n=61</a:t>
          </a:r>
        </a:p>
        <a:p>
          <a:r>
            <a:rPr lang="nl-NL" sz="900">
              <a:latin typeface="Arial" panose="020B0604020202020204" pitchFamily="34" charset="0"/>
              <a:cs typeface="Arial" panose="020B0604020202020204" pitchFamily="34" charset="0"/>
            </a:rPr>
            <a:t>"false negative"</a:t>
          </a:r>
        </a:p>
      </dgm:t>
    </dgm:pt>
    <dgm:pt modelId="{B12CB02F-AA70-4486-B49F-C71675B44E00}" type="parTrans" cxnId="{7E491E44-ABE9-4243-A667-4A7CC1867ECA}">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D4D584DF-BE72-425A-BCDC-3D52EA1F5DEC}" type="sibTrans" cxnId="{7E491E44-ABE9-4243-A667-4A7CC1867ECA}">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6A6B852F-2DDC-4204-963F-CA62640006C5}">
      <dgm:prSet custT="1"/>
      <dgm:spPr/>
      <dgm:t>
        <a:bodyPr/>
        <a:lstStyle/>
        <a:p>
          <a:r>
            <a:rPr lang="nl-NL" sz="900">
              <a:latin typeface="Arial" panose="020B0604020202020204" pitchFamily="34" charset="0"/>
              <a:cs typeface="Arial" panose="020B0604020202020204" pitchFamily="34" charset="0"/>
            </a:rPr>
            <a:t>Reference test</a:t>
          </a:r>
        </a:p>
        <a:p>
          <a:r>
            <a:rPr lang="nl-NL" sz="900">
              <a:latin typeface="Arial" panose="020B0604020202020204" pitchFamily="34" charset="0"/>
              <a:cs typeface="Arial" panose="020B0604020202020204" pitchFamily="34" charset="0"/>
            </a:rPr>
            <a:t>negative</a:t>
          </a:r>
        </a:p>
        <a:p>
          <a:r>
            <a:rPr lang="nl-NL" sz="900">
              <a:latin typeface="Arial" panose="020B0604020202020204" pitchFamily="34" charset="0"/>
              <a:cs typeface="Arial" panose="020B0604020202020204" pitchFamily="34" charset="0"/>
            </a:rPr>
            <a:t>n=96</a:t>
          </a:r>
        </a:p>
        <a:p>
          <a:r>
            <a:rPr lang="nl-NL" sz="900">
              <a:latin typeface="Arial" panose="020B0604020202020204" pitchFamily="34" charset="0"/>
              <a:cs typeface="Arial" panose="020B0604020202020204" pitchFamily="34" charset="0"/>
            </a:rPr>
            <a:t>"true negative"</a:t>
          </a:r>
        </a:p>
      </dgm:t>
    </dgm:pt>
    <dgm:pt modelId="{96DE4AE5-49C0-4680-B647-AB2E053DFFED}" type="parTrans" cxnId="{C0E8A055-5E3D-4D6F-AA8D-1F791ABE98B6}">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AEF9D09D-7382-4EAD-A18D-85943D0EC7F1}" type="sibTrans" cxnId="{C0E8A055-5E3D-4D6F-AA8D-1F791ABE98B6}">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7904D810-AFBA-4446-8C23-DE74264749C1}">
      <dgm:prSet phldrT="[Tekst]" custT="1"/>
      <dgm:spPr/>
      <dgm:t>
        <a:bodyPr/>
        <a:lstStyle/>
        <a:p>
          <a:r>
            <a:rPr lang="nl-NL" sz="900">
              <a:latin typeface="Arial" panose="020B0604020202020204" pitchFamily="34" charset="0"/>
              <a:cs typeface="Arial" panose="020B0604020202020204" pitchFamily="34" charset="0"/>
            </a:rPr>
            <a:t>BN</a:t>
          </a:r>
        </a:p>
        <a:p>
          <a:r>
            <a:rPr lang="nl-NL" sz="900">
              <a:latin typeface="Arial" panose="020B0604020202020204" pitchFamily="34" charset="0"/>
              <a:cs typeface="Arial" panose="020B0604020202020204" pitchFamily="34" charset="0"/>
            </a:rPr>
            <a:t>negative</a:t>
          </a:r>
        </a:p>
        <a:p>
          <a:r>
            <a:rPr lang="nl-NL" sz="900">
              <a:latin typeface="Arial" panose="020B0604020202020204" pitchFamily="34" charset="0"/>
              <a:cs typeface="Arial" panose="020B0604020202020204" pitchFamily="34" charset="0"/>
            </a:rPr>
            <a:t>n=157</a:t>
          </a:r>
        </a:p>
      </dgm:t>
    </dgm:pt>
    <dgm:pt modelId="{9D90E545-F688-44A9-B40A-7EDD39817428}" type="sibTrans" cxnId="{E96FD93D-AA2D-4F9D-BB07-3BCA3C74E9D7}">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A350B444-065E-42D1-9BCD-FEF42C655EB8}" type="parTrans" cxnId="{E96FD93D-AA2D-4F9D-BB07-3BCA3C74E9D7}">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805BF10F-65B5-4424-9F7D-87D92914F134}">
      <dgm:prSet phldrT="[Tekst]" custT="1"/>
      <dgm:spPr/>
      <dgm:t>
        <a:bodyPr/>
        <a:lstStyle/>
        <a:p>
          <a:r>
            <a:rPr lang="nl-NL" sz="900">
              <a:latin typeface="Arial" panose="020B0604020202020204" pitchFamily="34" charset="0"/>
              <a:cs typeface="Arial" panose="020B0604020202020204" pitchFamily="34" charset="0"/>
            </a:rPr>
            <a:t>BN</a:t>
          </a:r>
        </a:p>
        <a:p>
          <a:r>
            <a:rPr lang="nl-NL" sz="900">
              <a:latin typeface="Arial" panose="020B0604020202020204" pitchFamily="34" charset="0"/>
              <a:cs typeface="Arial" panose="020B0604020202020204" pitchFamily="34" charset="0"/>
            </a:rPr>
            <a:t>positive</a:t>
          </a:r>
        </a:p>
        <a:p>
          <a:r>
            <a:rPr lang="nl-NL" sz="900">
              <a:latin typeface="Arial" panose="020B0604020202020204" pitchFamily="34" charset="0"/>
              <a:cs typeface="Arial" panose="020B0604020202020204" pitchFamily="34" charset="0"/>
            </a:rPr>
            <a:t>n=5</a:t>
          </a:r>
        </a:p>
      </dgm:t>
    </dgm:pt>
    <dgm:pt modelId="{FE92D7D9-E057-4B64-9B0D-8A42C7AB5295}" type="sibTrans" cxnId="{29053C93-281A-4ACF-BF67-4DA1928D885D}">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6492AB10-49F1-4007-80F5-93CDCE22B779}" type="parTrans" cxnId="{29053C93-281A-4ACF-BF67-4DA1928D885D}">
      <dgm:prSet/>
      <dgm:spPr/>
      <dgm:t>
        <a:bodyPr/>
        <a:lstStyle/>
        <a:p>
          <a:endParaRPr lang="nl-NL" sz="900">
            <a:solidFill>
              <a:schemeClr val="dk1">
                <a:hueOff val="0"/>
                <a:satOff val="0"/>
                <a:lumOff val="0"/>
              </a:schemeClr>
            </a:solidFill>
            <a:latin typeface="Arial" panose="020B0604020202020204" pitchFamily="34" charset="0"/>
            <a:cs typeface="Arial" panose="020B0604020202020204" pitchFamily="34" charset="0"/>
          </a:endParaRPr>
        </a:p>
      </dgm:t>
    </dgm:pt>
    <dgm:pt modelId="{4EDEB005-E531-4F8C-8150-7DE23D18AAC7}">
      <dgm:prSet custT="1"/>
      <dgm:spPr/>
      <dgm:t>
        <a:bodyPr/>
        <a:lstStyle/>
        <a:p>
          <a:r>
            <a:rPr lang="nl-NL" sz="900">
              <a:latin typeface="Arial" panose="020B0604020202020204" pitchFamily="34" charset="0"/>
              <a:cs typeface="Arial" panose="020B0604020202020204" pitchFamily="34" charset="0"/>
            </a:rPr>
            <a:t>ARTI episodes</a:t>
          </a:r>
        </a:p>
        <a:p>
          <a:r>
            <a:rPr lang="nl-NL" sz="900">
              <a:latin typeface="Arial" panose="020B0604020202020204" pitchFamily="34" charset="0"/>
              <a:cs typeface="Arial" panose="020B0604020202020204" pitchFamily="34" charset="0"/>
            </a:rPr>
            <a:t>n=269</a:t>
          </a:r>
        </a:p>
      </dgm:t>
    </dgm:pt>
    <dgm:pt modelId="{F64BA09F-ED98-47F1-8736-498114DC759A}" type="parTrans" cxnId="{81397FE0-FB26-4D6F-ACCD-871D7B0959F4}">
      <dgm:prSet/>
      <dgm:spPr/>
      <dgm:t>
        <a:bodyPr/>
        <a:lstStyle/>
        <a:p>
          <a:endParaRPr lang="nl-NL"/>
        </a:p>
      </dgm:t>
    </dgm:pt>
    <dgm:pt modelId="{E33544FA-44A5-4135-96DA-EC599B2359B2}" type="sibTrans" cxnId="{81397FE0-FB26-4D6F-ACCD-871D7B0959F4}">
      <dgm:prSet/>
      <dgm:spPr/>
      <dgm:t>
        <a:bodyPr/>
        <a:lstStyle/>
        <a:p>
          <a:endParaRPr lang="nl-NL"/>
        </a:p>
      </dgm:t>
    </dgm:pt>
    <dgm:pt modelId="{5ACA14AA-F320-4222-806D-8B1245DD3A9C}" type="pres">
      <dgm:prSet presAssocID="{12513AAD-58CB-40FB-A519-8EBD0D2F9364}" presName="mainComposite" presStyleCnt="0">
        <dgm:presLayoutVars>
          <dgm:chPref val="1"/>
          <dgm:dir/>
          <dgm:animOne val="branch"/>
          <dgm:animLvl val="lvl"/>
          <dgm:resizeHandles val="exact"/>
        </dgm:presLayoutVars>
      </dgm:prSet>
      <dgm:spPr/>
    </dgm:pt>
    <dgm:pt modelId="{EE690FFA-786D-4C21-968D-22F7716568F6}" type="pres">
      <dgm:prSet presAssocID="{12513AAD-58CB-40FB-A519-8EBD0D2F9364}" presName="hierFlow" presStyleCnt="0"/>
      <dgm:spPr/>
    </dgm:pt>
    <dgm:pt modelId="{8251B3CF-18EE-478A-9AA9-3FFCAF3266D6}" type="pres">
      <dgm:prSet presAssocID="{12513AAD-58CB-40FB-A519-8EBD0D2F9364}" presName="hierChild1" presStyleCnt="0">
        <dgm:presLayoutVars>
          <dgm:chPref val="1"/>
          <dgm:animOne val="branch"/>
          <dgm:animLvl val="lvl"/>
        </dgm:presLayoutVars>
      </dgm:prSet>
      <dgm:spPr/>
    </dgm:pt>
    <dgm:pt modelId="{B078A8E0-16E9-440C-BA39-FF82ED245567}" type="pres">
      <dgm:prSet presAssocID="{4EDEB005-E531-4F8C-8150-7DE23D18AAC7}" presName="Name14" presStyleCnt="0"/>
      <dgm:spPr/>
    </dgm:pt>
    <dgm:pt modelId="{FF6D4704-E505-483E-A8C8-34E0C9B6604E}" type="pres">
      <dgm:prSet presAssocID="{4EDEB005-E531-4F8C-8150-7DE23D18AAC7}" presName="level1Shape" presStyleLbl="node0" presStyleIdx="0" presStyleCnt="1">
        <dgm:presLayoutVars>
          <dgm:chPref val="3"/>
        </dgm:presLayoutVars>
      </dgm:prSet>
      <dgm:spPr/>
    </dgm:pt>
    <dgm:pt modelId="{A3D83D3A-1FD2-4750-BD5D-7B912C062C09}" type="pres">
      <dgm:prSet presAssocID="{4EDEB005-E531-4F8C-8150-7DE23D18AAC7}" presName="hierChild2" presStyleCnt="0"/>
      <dgm:spPr/>
    </dgm:pt>
    <dgm:pt modelId="{E0E4A18C-4FDC-4EDD-93DA-A8EA52FF860B}" type="pres">
      <dgm:prSet presAssocID="{CA3DE755-7208-48A7-8ACA-0F92771762E8}" presName="Name19" presStyleLbl="parChTrans1D2" presStyleIdx="0" presStyleCnt="1"/>
      <dgm:spPr/>
    </dgm:pt>
    <dgm:pt modelId="{A741945F-21F0-4763-A9DF-469FB7D777B9}" type="pres">
      <dgm:prSet presAssocID="{845ADF92-ACA5-4C27-B7DB-81213A2F2ED2}" presName="Name21" presStyleCnt="0"/>
      <dgm:spPr/>
    </dgm:pt>
    <dgm:pt modelId="{6784BF76-806A-42D2-8BD7-8D621902793B}" type="pres">
      <dgm:prSet presAssocID="{845ADF92-ACA5-4C27-B7DB-81213A2F2ED2}" presName="level2Shape" presStyleLbl="node2" presStyleIdx="0" presStyleCnt="1" custScaleX="181827"/>
      <dgm:spPr/>
    </dgm:pt>
    <dgm:pt modelId="{41C631A3-C4CD-4557-B5AD-475B08459405}" type="pres">
      <dgm:prSet presAssocID="{845ADF92-ACA5-4C27-B7DB-81213A2F2ED2}" presName="hierChild3" presStyleCnt="0"/>
      <dgm:spPr/>
    </dgm:pt>
    <dgm:pt modelId="{DF2AA951-4032-457F-83D6-60A37BDA22C3}" type="pres">
      <dgm:prSet presAssocID="{6492AB10-49F1-4007-80F5-93CDCE22B779}" presName="Name19" presStyleLbl="parChTrans1D3" presStyleIdx="0" presStyleCnt="2"/>
      <dgm:spPr/>
    </dgm:pt>
    <dgm:pt modelId="{ABECF0D8-DC14-4DBB-84E1-784083C3B970}" type="pres">
      <dgm:prSet presAssocID="{805BF10F-65B5-4424-9F7D-87D92914F134}" presName="Name21" presStyleCnt="0"/>
      <dgm:spPr/>
    </dgm:pt>
    <dgm:pt modelId="{0CFBEEBE-7B45-427B-8C03-BCBE99A51BBA}" type="pres">
      <dgm:prSet presAssocID="{805BF10F-65B5-4424-9F7D-87D92914F134}" presName="level2Shape" presStyleLbl="node3" presStyleIdx="0" presStyleCnt="2"/>
      <dgm:spPr/>
    </dgm:pt>
    <dgm:pt modelId="{010B2D7E-07F4-4C25-8564-1DBB2F2D03AE}" type="pres">
      <dgm:prSet presAssocID="{805BF10F-65B5-4424-9F7D-87D92914F134}" presName="hierChild3" presStyleCnt="0"/>
      <dgm:spPr/>
    </dgm:pt>
    <dgm:pt modelId="{4F4837BA-2250-4681-9078-424242D80290}" type="pres">
      <dgm:prSet presAssocID="{D653204B-46D9-4D61-90EB-923A4DC2D9A9}" presName="Name19" presStyleLbl="parChTrans1D4" presStyleIdx="0" presStyleCnt="4"/>
      <dgm:spPr/>
    </dgm:pt>
    <dgm:pt modelId="{F53F18A5-95A9-4897-B25D-2D271A8933E9}" type="pres">
      <dgm:prSet presAssocID="{0A99719D-1076-4C66-8F7F-775543EFABCF}" presName="Name21" presStyleCnt="0"/>
      <dgm:spPr/>
    </dgm:pt>
    <dgm:pt modelId="{ADDD5C96-7E2E-405C-B114-16700F028615}" type="pres">
      <dgm:prSet presAssocID="{0A99719D-1076-4C66-8F7F-775543EFABCF}" presName="level2Shape" presStyleLbl="node4" presStyleIdx="0" presStyleCnt="4"/>
      <dgm:spPr/>
    </dgm:pt>
    <dgm:pt modelId="{F9DB509F-5615-4C80-B323-1201361B5239}" type="pres">
      <dgm:prSet presAssocID="{0A99719D-1076-4C66-8F7F-775543EFABCF}" presName="hierChild3" presStyleCnt="0"/>
      <dgm:spPr/>
    </dgm:pt>
    <dgm:pt modelId="{5CD5E1B6-1DC3-4182-B687-BA0AB0F5ECE4}" type="pres">
      <dgm:prSet presAssocID="{2A7AB468-59C9-4D9E-BF6C-89886F11FA28}" presName="Name19" presStyleLbl="parChTrans1D4" presStyleIdx="1" presStyleCnt="4"/>
      <dgm:spPr/>
    </dgm:pt>
    <dgm:pt modelId="{DE895EAB-3483-417C-B956-7F9D7E714970}" type="pres">
      <dgm:prSet presAssocID="{BC37AAEE-E2C3-44FB-9643-2F3D81F9CCCA}" presName="Name21" presStyleCnt="0"/>
      <dgm:spPr/>
    </dgm:pt>
    <dgm:pt modelId="{C90F8623-B85E-41F9-A5B4-28CD784CBDAC}" type="pres">
      <dgm:prSet presAssocID="{BC37AAEE-E2C3-44FB-9643-2F3D81F9CCCA}" presName="level2Shape" presStyleLbl="node4" presStyleIdx="1" presStyleCnt="4"/>
      <dgm:spPr/>
    </dgm:pt>
    <dgm:pt modelId="{DD780A78-8657-4A03-845A-A016A48C00C0}" type="pres">
      <dgm:prSet presAssocID="{BC37AAEE-E2C3-44FB-9643-2F3D81F9CCCA}" presName="hierChild3" presStyleCnt="0"/>
      <dgm:spPr/>
    </dgm:pt>
    <dgm:pt modelId="{F2735383-7D88-45F4-B647-4C2D8080EEB2}" type="pres">
      <dgm:prSet presAssocID="{A350B444-065E-42D1-9BCD-FEF42C655EB8}" presName="Name19" presStyleLbl="parChTrans1D3" presStyleIdx="1" presStyleCnt="2"/>
      <dgm:spPr/>
    </dgm:pt>
    <dgm:pt modelId="{683AF2AD-C9B7-4B33-ADD9-C929DAEA3411}" type="pres">
      <dgm:prSet presAssocID="{7904D810-AFBA-4446-8C23-DE74264749C1}" presName="Name21" presStyleCnt="0"/>
      <dgm:spPr/>
    </dgm:pt>
    <dgm:pt modelId="{6A538BF4-951A-4224-A59C-A7929F05A7BA}" type="pres">
      <dgm:prSet presAssocID="{7904D810-AFBA-4446-8C23-DE74264749C1}" presName="level2Shape" presStyleLbl="node3" presStyleIdx="1" presStyleCnt="2"/>
      <dgm:spPr/>
    </dgm:pt>
    <dgm:pt modelId="{F8077945-9121-447B-8E7E-6DEAEC8A6634}" type="pres">
      <dgm:prSet presAssocID="{7904D810-AFBA-4446-8C23-DE74264749C1}" presName="hierChild3" presStyleCnt="0"/>
      <dgm:spPr/>
    </dgm:pt>
    <dgm:pt modelId="{34A8BB18-D40D-4A57-B741-B3E19A6818B3}" type="pres">
      <dgm:prSet presAssocID="{B12CB02F-AA70-4486-B49F-C71675B44E00}" presName="Name19" presStyleLbl="parChTrans1D4" presStyleIdx="2" presStyleCnt="4"/>
      <dgm:spPr/>
    </dgm:pt>
    <dgm:pt modelId="{0C4CB188-C3F7-4E39-A277-D74ACF02308E}" type="pres">
      <dgm:prSet presAssocID="{5A6C0E92-0008-4D7B-895D-BA2F5D2C878B}" presName="Name21" presStyleCnt="0"/>
      <dgm:spPr/>
    </dgm:pt>
    <dgm:pt modelId="{C240F3C5-953D-4933-8850-F9294D4454E3}" type="pres">
      <dgm:prSet presAssocID="{5A6C0E92-0008-4D7B-895D-BA2F5D2C878B}" presName="level2Shape" presStyleLbl="node4" presStyleIdx="2" presStyleCnt="4"/>
      <dgm:spPr/>
    </dgm:pt>
    <dgm:pt modelId="{A1326A41-A18F-446D-A29E-B473EF887C42}" type="pres">
      <dgm:prSet presAssocID="{5A6C0E92-0008-4D7B-895D-BA2F5D2C878B}" presName="hierChild3" presStyleCnt="0"/>
      <dgm:spPr/>
    </dgm:pt>
    <dgm:pt modelId="{2C9F25F3-A290-4561-AEDC-6FD95D448EF0}" type="pres">
      <dgm:prSet presAssocID="{96DE4AE5-49C0-4680-B647-AB2E053DFFED}" presName="Name19" presStyleLbl="parChTrans1D4" presStyleIdx="3" presStyleCnt="4"/>
      <dgm:spPr/>
    </dgm:pt>
    <dgm:pt modelId="{F3EC6E94-9EA0-4662-A56F-6A74A43B79B5}" type="pres">
      <dgm:prSet presAssocID="{6A6B852F-2DDC-4204-963F-CA62640006C5}" presName="Name21" presStyleCnt="0"/>
      <dgm:spPr/>
    </dgm:pt>
    <dgm:pt modelId="{2A42F254-AC98-4390-AE4D-666CED6F1394}" type="pres">
      <dgm:prSet presAssocID="{6A6B852F-2DDC-4204-963F-CA62640006C5}" presName="level2Shape" presStyleLbl="node4" presStyleIdx="3" presStyleCnt="4"/>
      <dgm:spPr/>
    </dgm:pt>
    <dgm:pt modelId="{FEDF8370-079F-4E49-A386-BD17D48F89FE}" type="pres">
      <dgm:prSet presAssocID="{6A6B852F-2DDC-4204-963F-CA62640006C5}" presName="hierChild3" presStyleCnt="0"/>
      <dgm:spPr/>
    </dgm:pt>
    <dgm:pt modelId="{4E52B33B-A0C8-48D0-82D0-8C444F314C70}" type="pres">
      <dgm:prSet presAssocID="{12513AAD-58CB-40FB-A519-8EBD0D2F9364}" presName="bgShapesFlow" presStyleCnt="0"/>
      <dgm:spPr/>
    </dgm:pt>
  </dgm:ptLst>
  <dgm:cxnLst>
    <dgm:cxn modelId="{D336F606-2FE2-9547-A1D7-3532990498C7}" type="presOf" srcId="{BC37AAEE-E2C3-44FB-9643-2F3D81F9CCCA}" destId="{C90F8623-B85E-41F9-A5B4-28CD784CBDAC}" srcOrd="0" destOrd="0" presId="urn:microsoft.com/office/officeart/2005/8/layout/hierarchy6"/>
    <dgm:cxn modelId="{3C531509-D872-FB41-9A56-D863F11C1F1C}" type="presOf" srcId="{2A7AB468-59C9-4D9E-BF6C-89886F11FA28}" destId="{5CD5E1B6-1DC3-4182-B687-BA0AB0F5ECE4}" srcOrd="0" destOrd="0" presId="urn:microsoft.com/office/officeart/2005/8/layout/hierarchy6"/>
    <dgm:cxn modelId="{7AD8950C-BCB7-7F4A-9B6C-AA347889A829}" type="presOf" srcId="{6A6B852F-2DDC-4204-963F-CA62640006C5}" destId="{2A42F254-AC98-4390-AE4D-666CED6F1394}" srcOrd="0" destOrd="0" presId="urn:microsoft.com/office/officeart/2005/8/layout/hierarchy6"/>
    <dgm:cxn modelId="{D4E3342C-6F40-D94A-B03F-73A6BE014248}" type="presOf" srcId="{845ADF92-ACA5-4C27-B7DB-81213A2F2ED2}" destId="{6784BF76-806A-42D2-8BD7-8D621902793B}" srcOrd="0" destOrd="0" presId="urn:microsoft.com/office/officeart/2005/8/layout/hierarchy6"/>
    <dgm:cxn modelId="{89A17D39-9DA3-419C-84D4-591F8DDEB5D6}" srcId="{805BF10F-65B5-4424-9F7D-87D92914F134}" destId="{0A99719D-1076-4C66-8F7F-775543EFABCF}" srcOrd="0" destOrd="0" parTransId="{D653204B-46D9-4D61-90EB-923A4DC2D9A9}" sibTransId="{1FD5719F-F900-4507-84A6-0A0C5523DB01}"/>
    <dgm:cxn modelId="{E96FD93D-AA2D-4F9D-BB07-3BCA3C74E9D7}" srcId="{845ADF92-ACA5-4C27-B7DB-81213A2F2ED2}" destId="{7904D810-AFBA-4446-8C23-DE74264749C1}" srcOrd="1" destOrd="0" parTransId="{A350B444-065E-42D1-9BCD-FEF42C655EB8}" sibTransId="{9D90E545-F688-44A9-B40A-7EDD39817428}"/>
    <dgm:cxn modelId="{5A2A4941-7A87-8F48-9FBC-2F9AD892C8E3}" type="presOf" srcId="{96DE4AE5-49C0-4680-B647-AB2E053DFFED}" destId="{2C9F25F3-A290-4561-AEDC-6FD95D448EF0}" srcOrd="0" destOrd="0" presId="urn:microsoft.com/office/officeart/2005/8/layout/hierarchy6"/>
    <dgm:cxn modelId="{7E491E44-ABE9-4243-A667-4A7CC1867ECA}" srcId="{7904D810-AFBA-4446-8C23-DE74264749C1}" destId="{5A6C0E92-0008-4D7B-895D-BA2F5D2C878B}" srcOrd="0" destOrd="0" parTransId="{B12CB02F-AA70-4486-B49F-C71675B44E00}" sibTransId="{D4D584DF-BE72-425A-BCDC-3D52EA1F5DEC}"/>
    <dgm:cxn modelId="{C15D0965-0FA8-D14C-A736-A986B0F00B86}" type="presOf" srcId="{5A6C0E92-0008-4D7B-895D-BA2F5D2C878B}" destId="{C240F3C5-953D-4933-8850-F9294D4454E3}" srcOrd="0" destOrd="0" presId="urn:microsoft.com/office/officeart/2005/8/layout/hierarchy6"/>
    <dgm:cxn modelId="{B67D396B-C258-F649-858F-02DD148FB9B7}" type="presOf" srcId="{6492AB10-49F1-4007-80F5-93CDCE22B779}" destId="{DF2AA951-4032-457F-83D6-60A37BDA22C3}" srcOrd="0" destOrd="0" presId="urn:microsoft.com/office/officeart/2005/8/layout/hierarchy6"/>
    <dgm:cxn modelId="{1184EA4D-8722-2D47-909C-C343BDE1E21A}" type="presOf" srcId="{D653204B-46D9-4D61-90EB-923A4DC2D9A9}" destId="{4F4837BA-2250-4681-9078-424242D80290}" srcOrd="0" destOrd="0" presId="urn:microsoft.com/office/officeart/2005/8/layout/hierarchy6"/>
    <dgm:cxn modelId="{D9F9916F-EFD2-9A43-B039-D37B44E70996}" type="presOf" srcId="{A350B444-065E-42D1-9BCD-FEF42C655EB8}" destId="{F2735383-7D88-45F4-B647-4C2D8080EEB2}" srcOrd="0" destOrd="0" presId="urn:microsoft.com/office/officeart/2005/8/layout/hierarchy6"/>
    <dgm:cxn modelId="{9AB92E72-E6D6-9D46-9FBC-1B64BAE69657}" type="presOf" srcId="{4EDEB005-E531-4F8C-8150-7DE23D18AAC7}" destId="{FF6D4704-E505-483E-A8C8-34E0C9B6604E}" srcOrd="0" destOrd="0" presId="urn:microsoft.com/office/officeart/2005/8/layout/hierarchy6"/>
    <dgm:cxn modelId="{C0E8A055-5E3D-4D6F-AA8D-1F791ABE98B6}" srcId="{7904D810-AFBA-4446-8C23-DE74264749C1}" destId="{6A6B852F-2DDC-4204-963F-CA62640006C5}" srcOrd="1" destOrd="0" parTransId="{96DE4AE5-49C0-4680-B647-AB2E053DFFED}" sibTransId="{AEF9D09D-7382-4EAD-A18D-85943D0EC7F1}"/>
    <dgm:cxn modelId="{6ACA7976-F783-AC4D-BEBE-5479C9C5B2D1}" type="presOf" srcId="{CA3DE755-7208-48A7-8ACA-0F92771762E8}" destId="{E0E4A18C-4FDC-4EDD-93DA-A8EA52FF860B}" srcOrd="0" destOrd="0" presId="urn:microsoft.com/office/officeart/2005/8/layout/hierarchy6"/>
    <dgm:cxn modelId="{6E9F3D8A-4FE6-402E-91DE-88651381E7D0}" srcId="{4EDEB005-E531-4F8C-8150-7DE23D18AAC7}" destId="{845ADF92-ACA5-4C27-B7DB-81213A2F2ED2}" srcOrd="0" destOrd="0" parTransId="{CA3DE755-7208-48A7-8ACA-0F92771762E8}" sibTransId="{8015DBD7-6A5F-44E4-8C8B-661C6BF56D55}"/>
    <dgm:cxn modelId="{29053C93-281A-4ACF-BF67-4DA1928D885D}" srcId="{845ADF92-ACA5-4C27-B7DB-81213A2F2ED2}" destId="{805BF10F-65B5-4424-9F7D-87D92914F134}" srcOrd="0" destOrd="0" parTransId="{6492AB10-49F1-4007-80F5-93CDCE22B779}" sibTransId="{FE92D7D9-E057-4B64-9B0D-8A42C7AB5295}"/>
    <dgm:cxn modelId="{9121949C-08B7-0E4B-B04C-BDA6B9558CE5}" type="presOf" srcId="{0A99719D-1076-4C66-8F7F-775543EFABCF}" destId="{ADDD5C96-7E2E-405C-B114-16700F028615}" srcOrd="0" destOrd="0" presId="urn:microsoft.com/office/officeart/2005/8/layout/hierarchy6"/>
    <dgm:cxn modelId="{91CB09A7-5765-D645-BAEF-674AD5631D61}" type="presOf" srcId="{B12CB02F-AA70-4486-B49F-C71675B44E00}" destId="{34A8BB18-D40D-4A57-B741-B3E19A6818B3}" srcOrd="0" destOrd="0" presId="urn:microsoft.com/office/officeart/2005/8/layout/hierarchy6"/>
    <dgm:cxn modelId="{F6AD8BBB-3D7B-6945-8142-B3E58EDCB667}" type="presOf" srcId="{7904D810-AFBA-4446-8C23-DE74264749C1}" destId="{6A538BF4-951A-4224-A59C-A7929F05A7BA}" srcOrd="0" destOrd="0" presId="urn:microsoft.com/office/officeart/2005/8/layout/hierarchy6"/>
    <dgm:cxn modelId="{381DA4C1-7EF7-1546-8902-5342FAB743C0}" type="presOf" srcId="{12513AAD-58CB-40FB-A519-8EBD0D2F9364}" destId="{5ACA14AA-F320-4222-806D-8B1245DD3A9C}" srcOrd="0" destOrd="0" presId="urn:microsoft.com/office/officeart/2005/8/layout/hierarchy6"/>
    <dgm:cxn modelId="{E55206C9-FDB8-C841-BE3C-7E60CAD52A1F}" type="presOf" srcId="{805BF10F-65B5-4424-9F7D-87D92914F134}" destId="{0CFBEEBE-7B45-427B-8C03-BCBE99A51BBA}" srcOrd="0" destOrd="0" presId="urn:microsoft.com/office/officeart/2005/8/layout/hierarchy6"/>
    <dgm:cxn modelId="{D66B2BDE-B261-41BA-B099-275B7D7BAAAA}" srcId="{805BF10F-65B5-4424-9F7D-87D92914F134}" destId="{BC37AAEE-E2C3-44FB-9643-2F3D81F9CCCA}" srcOrd="1" destOrd="0" parTransId="{2A7AB468-59C9-4D9E-BF6C-89886F11FA28}" sibTransId="{2E13F38F-B9B4-42B1-B271-F4EBA87F7973}"/>
    <dgm:cxn modelId="{81397FE0-FB26-4D6F-ACCD-871D7B0959F4}" srcId="{12513AAD-58CB-40FB-A519-8EBD0D2F9364}" destId="{4EDEB005-E531-4F8C-8150-7DE23D18AAC7}" srcOrd="0" destOrd="0" parTransId="{F64BA09F-ED98-47F1-8736-498114DC759A}" sibTransId="{E33544FA-44A5-4135-96DA-EC599B2359B2}"/>
    <dgm:cxn modelId="{4599EBE2-4203-4646-934A-A3119637DC23}" type="presParOf" srcId="{5ACA14AA-F320-4222-806D-8B1245DD3A9C}" destId="{EE690FFA-786D-4C21-968D-22F7716568F6}" srcOrd="0" destOrd="0" presId="urn:microsoft.com/office/officeart/2005/8/layout/hierarchy6"/>
    <dgm:cxn modelId="{32ADEFD8-BB81-6F43-8CA1-145C6D227C5A}" type="presParOf" srcId="{EE690FFA-786D-4C21-968D-22F7716568F6}" destId="{8251B3CF-18EE-478A-9AA9-3FFCAF3266D6}" srcOrd="0" destOrd="0" presId="urn:microsoft.com/office/officeart/2005/8/layout/hierarchy6"/>
    <dgm:cxn modelId="{063B502E-0952-BF46-9AD8-2E09BDA318F6}" type="presParOf" srcId="{8251B3CF-18EE-478A-9AA9-3FFCAF3266D6}" destId="{B078A8E0-16E9-440C-BA39-FF82ED245567}" srcOrd="0" destOrd="0" presId="urn:microsoft.com/office/officeart/2005/8/layout/hierarchy6"/>
    <dgm:cxn modelId="{ECB5FE10-83DF-5941-BCC5-1128C0130A19}" type="presParOf" srcId="{B078A8E0-16E9-440C-BA39-FF82ED245567}" destId="{FF6D4704-E505-483E-A8C8-34E0C9B6604E}" srcOrd="0" destOrd="0" presId="urn:microsoft.com/office/officeart/2005/8/layout/hierarchy6"/>
    <dgm:cxn modelId="{5C68D6A3-B462-3747-8E81-F3F891D26E30}" type="presParOf" srcId="{B078A8E0-16E9-440C-BA39-FF82ED245567}" destId="{A3D83D3A-1FD2-4750-BD5D-7B912C062C09}" srcOrd="1" destOrd="0" presId="urn:microsoft.com/office/officeart/2005/8/layout/hierarchy6"/>
    <dgm:cxn modelId="{F98DF051-E266-D442-8691-2C06B619E794}" type="presParOf" srcId="{A3D83D3A-1FD2-4750-BD5D-7B912C062C09}" destId="{E0E4A18C-4FDC-4EDD-93DA-A8EA52FF860B}" srcOrd="0" destOrd="0" presId="urn:microsoft.com/office/officeart/2005/8/layout/hierarchy6"/>
    <dgm:cxn modelId="{3BE35926-5495-7247-BC7A-A78F2C943AD4}" type="presParOf" srcId="{A3D83D3A-1FD2-4750-BD5D-7B912C062C09}" destId="{A741945F-21F0-4763-A9DF-469FB7D777B9}" srcOrd="1" destOrd="0" presId="urn:microsoft.com/office/officeart/2005/8/layout/hierarchy6"/>
    <dgm:cxn modelId="{1C9BEF8F-B228-CC4C-9C90-8C99D17FCA5B}" type="presParOf" srcId="{A741945F-21F0-4763-A9DF-469FB7D777B9}" destId="{6784BF76-806A-42D2-8BD7-8D621902793B}" srcOrd="0" destOrd="0" presId="urn:microsoft.com/office/officeart/2005/8/layout/hierarchy6"/>
    <dgm:cxn modelId="{09CA68F9-EAC9-194E-A54B-3470BB97F2DA}" type="presParOf" srcId="{A741945F-21F0-4763-A9DF-469FB7D777B9}" destId="{41C631A3-C4CD-4557-B5AD-475B08459405}" srcOrd="1" destOrd="0" presId="urn:microsoft.com/office/officeart/2005/8/layout/hierarchy6"/>
    <dgm:cxn modelId="{7BD2DE8B-7AB0-394E-B305-E4CB9EF85123}" type="presParOf" srcId="{41C631A3-C4CD-4557-B5AD-475B08459405}" destId="{DF2AA951-4032-457F-83D6-60A37BDA22C3}" srcOrd="0" destOrd="0" presId="urn:microsoft.com/office/officeart/2005/8/layout/hierarchy6"/>
    <dgm:cxn modelId="{BD06054D-17ED-C841-8511-F817B78C0D2A}" type="presParOf" srcId="{41C631A3-C4CD-4557-B5AD-475B08459405}" destId="{ABECF0D8-DC14-4DBB-84E1-784083C3B970}" srcOrd="1" destOrd="0" presId="urn:microsoft.com/office/officeart/2005/8/layout/hierarchy6"/>
    <dgm:cxn modelId="{EDC6B126-9C1A-0A46-9CD4-5C163BE5A086}" type="presParOf" srcId="{ABECF0D8-DC14-4DBB-84E1-784083C3B970}" destId="{0CFBEEBE-7B45-427B-8C03-BCBE99A51BBA}" srcOrd="0" destOrd="0" presId="urn:microsoft.com/office/officeart/2005/8/layout/hierarchy6"/>
    <dgm:cxn modelId="{0F98DF6E-1721-664E-BD90-ADCB2EE0FBC7}" type="presParOf" srcId="{ABECF0D8-DC14-4DBB-84E1-784083C3B970}" destId="{010B2D7E-07F4-4C25-8564-1DBB2F2D03AE}" srcOrd="1" destOrd="0" presId="urn:microsoft.com/office/officeart/2005/8/layout/hierarchy6"/>
    <dgm:cxn modelId="{52A2621D-4ADC-AB4D-95F5-0CF9293A5D2D}" type="presParOf" srcId="{010B2D7E-07F4-4C25-8564-1DBB2F2D03AE}" destId="{4F4837BA-2250-4681-9078-424242D80290}" srcOrd="0" destOrd="0" presId="urn:microsoft.com/office/officeart/2005/8/layout/hierarchy6"/>
    <dgm:cxn modelId="{A94F21D3-EE1D-8C46-BC78-FC64AA451C6F}" type="presParOf" srcId="{010B2D7E-07F4-4C25-8564-1DBB2F2D03AE}" destId="{F53F18A5-95A9-4897-B25D-2D271A8933E9}" srcOrd="1" destOrd="0" presId="urn:microsoft.com/office/officeart/2005/8/layout/hierarchy6"/>
    <dgm:cxn modelId="{71E2AF08-15CA-694C-A9B6-E5079CEA76F0}" type="presParOf" srcId="{F53F18A5-95A9-4897-B25D-2D271A8933E9}" destId="{ADDD5C96-7E2E-405C-B114-16700F028615}" srcOrd="0" destOrd="0" presId="urn:microsoft.com/office/officeart/2005/8/layout/hierarchy6"/>
    <dgm:cxn modelId="{21A51B6E-FCBB-C04D-B508-47BAE9877EFD}" type="presParOf" srcId="{F53F18A5-95A9-4897-B25D-2D271A8933E9}" destId="{F9DB509F-5615-4C80-B323-1201361B5239}" srcOrd="1" destOrd="0" presId="urn:microsoft.com/office/officeart/2005/8/layout/hierarchy6"/>
    <dgm:cxn modelId="{A3F9A02C-3B73-DA43-B254-DB09FA5DAA88}" type="presParOf" srcId="{010B2D7E-07F4-4C25-8564-1DBB2F2D03AE}" destId="{5CD5E1B6-1DC3-4182-B687-BA0AB0F5ECE4}" srcOrd="2" destOrd="0" presId="urn:microsoft.com/office/officeart/2005/8/layout/hierarchy6"/>
    <dgm:cxn modelId="{F341DA44-95FD-814C-B32E-159EC427875C}" type="presParOf" srcId="{010B2D7E-07F4-4C25-8564-1DBB2F2D03AE}" destId="{DE895EAB-3483-417C-B956-7F9D7E714970}" srcOrd="3" destOrd="0" presId="urn:microsoft.com/office/officeart/2005/8/layout/hierarchy6"/>
    <dgm:cxn modelId="{0C675791-4005-3148-AE1D-52F1C1D2E8B0}" type="presParOf" srcId="{DE895EAB-3483-417C-B956-7F9D7E714970}" destId="{C90F8623-B85E-41F9-A5B4-28CD784CBDAC}" srcOrd="0" destOrd="0" presId="urn:microsoft.com/office/officeart/2005/8/layout/hierarchy6"/>
    <dgm:cxn modelId="{EEF315A9-8397-6D4A-9EC7-817871BBCC2D}" type="presParOf" srcId="{DE895EAB-3483-417C-B956-7F9D7E714970}" destId="{DD780A78-8657-4A03-845A-A016A48C00C0}" srcOrd="1" destOrd="0" presId="urn:microsoft.com/office/officeart/2005/8/layout/hierarchy6"/>
    <dgm:cxn modelId="{D0054F84-F24A-D041-8979-9E40504047F3}" type="presParOf" srcId="{41C631A3-C4CD-4557-B5AD-475B08459405}" destId="{F2735383-7D88-45F4-B647-4C2D8080EEB2}" srcOrd="2" destOrd="0" presId="urn:microsoft.com/office/officeart/2005/8/layout/hierarchy6"/>
    <dgm:cxn modelId="{695B507A-ECE8-DE4C-9B1A-E9DD68359D96}" type="presParOf" srcId="{41C631A3-C4CD-4557-B5AD-475B08459405}" destId="{683AF2AD-C9B7-4B33-ADD9-C929DAEA3411}" srcOrd="3" destOrd="0" presId="urn:microsoft.com/office/officeart/2005/8/layout/hierarchy6"/>
    <dgm:cxn modelId="{59C56465-3F86-424A-B80C-9263075DF7A3}" type="presParOf" srcId="{683AF2AD-C9B7-4B33-ADD9-C929DAEA3411}" destId="{6A538BF4-951A-4224-A59C-A7929F05A7BA}" srcOrd="0" destOrd="0" presId="urn:microsoft.com/office/officeart/2005/8/layout/hierarchy6"/>
    <dgm:cxn modelId="{1D9198B6-09F4-264B-A350-708F41042708}" type="presParOf" srcId="{683AF2AD-C9B7-4B33-ADD9-C929DAEA3411}" destId="{F8077945-9121-447B-8E7E-6DEAEC8A6634}" srcOrd="1" destOrd="0" presId="urn:microsoft.com/office/officeart/2005/8/layout/hierarchy6"/>
    <dgm:cxn modelId="{2F4DADD2-2B25-2947-B02F-816BE003C641}" type="presParOf" srcId="{F8077945-9121-447B-8E7E-6DEAEC8A6634}" destId="{34A8BB18-D40D-4A57-B741-B3E19A6818B3}" srcOrd="0" destOrd="0" presId="urn:microsoft.com/office/officeart/2005/8/layout/hierarchy6"/>
    <dgm:cxn modelId="{1E00D740-D12E-4142-8D30-4BA8CEFC3050}" type="presParOf" srcId="{F8077945-9121-447B-8E7E-6DEAEC8A6634}" destId="{0C4CB188-C3F7-4E39-A277-D74ACF02308E}" srcOrd="1" destOrd="0" presId="urn:microsoft.com/office/officeart/2005/8/layout/hierarchy6"/>
    <dgm:cxn modelId="{8987EA0D-B6BB-B646-BA50-C913E7555655}" type="presParOf" srcId="{0C4CB188-C3F7-4E39-A277-D74ACF02308E}" destId="{C240F3C5-953D-4933-8850-F9294D4454E3}" srcOrd="0" destOrd="0" presId="urn:microsoft.com/office/officeart/2005/8/layout/hierarchy6"/>
    <dgm:cxn modelId="{B385EFE2-44A1-0344-9053-C67C1B27DE58}" type="presParOf" srcId="{0C4CB188-C3F7-4E39-A277-D74ACF02308E}" destId="{A1326A41-A18F-446D-A29E-B473EF887C42}" srcOrd="1" destOrd="0" presId="urn:microsoft.com/office/officeart/2005/8/layout/hierarchy6"/>
    <dgm:cxn modelId="{6008B9C1-0DFE-D440-B926-252E29603DB9}" type="presParOf" srcId="{F8077945-9121-447B-8E7E-6DEAEC8A6634}" destId="{2C9F25F3-A290-4561-AEDC-6FD95D448EF0}" srcOrd="2" destOrd="0" presId="urn:microsoft.com/office/officeart/2005/8/layout/hierarchy6"/>
    <dgm:cxn modelId="{AA47DAA8-36FF-2C4B-B967-7E488C323ECA}" type="presParOf" srcId="{F8077945-9121-447B-8E7E-6DEAEC8A6634}" destId="{F3EC6E94-9EA0-4662-A56F-6A74A43B79B5}" srcOrd="3" destOrd="0" presId="urn:microsoft.com/office/officeart/2005/8/layout/hierarchy6"/>
    <dgm:cxn modelId="{EC5C8D9F-B335-484B-9496-C0A2EA560492}" type="presParOf" srcId="{F3EC6E94-9EA0-4662-A56F-6A74A43B79B5}" destId="{2A42F254-AC98-4390-AE4D-666CED6F1394}" srcOrd="0" destOrd="0" presId="urn:microsoft.com/office/officeart/2005/8/layout/hierarchy6"/>
    <dgm:cxn modelId="{42980030-0F17-1B46-A551-57BFE1FB660B}" type="presParOf" srcId="{F3EC6E94-9EA0-4662-A56F-6A74A43B79B5}" destId="{FEDF8370-079F-4E49-A386-BD17D48F89FE}" srcOrd="1" destOrd="0" presId="urn:microsoft.com/office/officeart/2005/8/layout/hierarchy6"/>
    <dgm:cxn modelId="{569D83E6-E5C1-774A-94D3-4DAEFEA2BC64}" type="presParOf" srcId="{5ACA14AA-F320-4222-806D-8B1245DD3A9C}" destId="{4E52B33B-A0C8-48D0-82D0-8C444F314C70}" srcOrd="1" destOrd="0" presId="urn:microsoft.com/office/officeart/2005/8/layout/hierarchy6"/>
  </dgm:cxnLst>
  <dgm:bg>
    <a:noFill/>
  </dgm:bg>
  <dgm:whole/>
  <dgm:extLst>
    <a:ext uri="http://schemas.microsoft.com/office/drawing/2008/diagram">
      <dsp:dataModelExt xmlns:dsp="http://schemas.microsoft.com/office/drawing/2008/diagram" relId="rId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6D4704-E505-483E-A8C8-34E0C9B6604E}">
      <dsp:nvSpPr>
        <dsp:cNvPr id="0" name=""/>
        <dsp:cNvSpPr/>
      </dsp:nvSpPr>
      <dsp:spPr>
        <a:xfrm>
          <a:off x="2886702" y="1878"/>
          <a:ext cx="971565" cy="64771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ARTI episodes</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n=269</a:t>
          </a:r>
        </a:p>
      </dsp:txBody>
      <dsp:txXfrm>
        <a:off x="2905673" y="20849"/>
        <a:ext cx="933623" cy="609768"/>
      </dsp:txXfrm>
    </dsp:sp>
    <dsp:sp modelId="{E0E4A18C-4FDC-4EDD-93DA-A8EA52FF860B}">
      <dsp:nvSpPr>
        <dsp:cNvPr id="0" name=""/>
        <dsp:cNvSpPr/>
      </dsp:nvSpPr>
      <dsp:spPr>
        <a:xfrm>
          <a:off x="3326765" y="649588"/>
          <a:ext cx="91440" cy="259084"/>
        </a:xfrm>
        <a:custGeom>
          <a:avLst/>
          <a:gdLst/>
          <a:ahLst/>
          <a:cxnLst/>
          <a:rect l="0" t="0" r="0" b="0"/>
          <a:pathLst>
            <a:path>
              <a:moveTo>
                <a:pt x="45720" y="0"/>
              </a:moveTo>
              <a:lnTo>
                <a:pt x="45720" y="25908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84BF76-806A-42D2-8BD7-8D621902793B}">
      <dsp:nvSpPr>
        <dsp:cNvPr id="0" name=""/>
        <dsp:cNvSpPr/>
      </dsp:nvSpPr>
      <dsp:spPr>
        <a:xfrm>
          <a:off x="2489200" y="908672"/>
          <a:ext cx="1766568" cy="64771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ts val="0"/>
            </a:spcAft>
            <a:buNone/>
          </a:pPr>
          <a:r>
            <a:rPr lang="nl-NL" sz="900" kern="1200">
              <a:latin typeface="Arial" panose="020B0604020202020204" pitchFamily="34" charset="0"/>
              <a:cs typeface="Arial" panose="020B0604020202020204" pitchFamily="34" charset="0"/>
            </a:rPr>
            <a:t>Samples </a:t>
          </a:r>
        </a:p>
        <a:p>
          <a:pPr marL="0" lvl="0" indent="0" algn="ctr" defTabSz="400050">
            <a:lnSpc>
              <a:spcPct val="90000"/>
            </a:lnSpc>
            <a:spcBef>
              <a:spcPct val="0"/>
            </a:spcBef>
            <a:spcAft>
              <a:spcPts val="378"/>
            </a:spcAft>
            <a:buNone/>
          </a:pPr>
          <a:r>
            <a:rPr lang="nl-NL" sz="900" kern="1200">
              <a:latin typeface="Arial" panose="020B0604020202020204" pitchFamily="34" charset="0"/>
              <a:cs typeface="Arial" panose="020B0604020202020204" pitchFamily="34" charset="0"/>
            </a:rPr>
            <a:t>tested with both BN and reference test</a:t>
          </a:r>
        </a:p>
        <a:p>
          <a:pPr marL="0" lvl="0" indent="0" algn="ctr" defTabSz="400050">
            <a:lnSpc>
              <a:spcPct val="90000"/>
            </a:lnSpc>
            <a:spcBef>
              <a:spcPct val="0"/>
            </a:spcBef>
            <a:spcAft>
              <a:spcPts val="378"/>
            </a:spcAft>
            <a:buNone/>
          </a:pPr>
          <a:r>
            <a:rPr lang="nl-NL" sz="900" kern="1200">
              <a:latin typeface="Arial" panose="020B0604020202020204" pitchFamily="34" charset="0"/>
              <a:cs typeface="Arial" panose="020B0604020202020204" pitchFamily="34" charset="0"/>
            </a:rPr>
            <a:t>n=162</a:t>
          </a:r>
        </a:p>
      </dsp:txBody>
      <dsp:txXfrm>
        <a:off x="2508171" y="927643"/>
        <a:ext cx="1728626" cy="609768"/>
      </dsp:txXfrm>
    </dsp:sp>
    <dsp:sp modelId="{DF2AA951-4032-457F-83D6-60A37BDA22C3}">
      <dsp:nvSpPr>
        <dsp:cNvPr id="0" name=""/>
        <dsp:cNvSpPr/>
      </dsp:nvSpPr>
      <dsp:spPr>
        <a:xfrm>
          <a:off x="2109449" y="1556382"/>
          <a:ext cx="1263035" cy="259084"/>
        </a:xfrm>
        <a:custGeom>
          <a:avLst/>
          <a:gdLst/>
          <a:ahLst/>
          <a:cxnLst/>
          <a:rect l="0" t="0" r="0" b="0"/>
          <a:pathLst>
            <a:path>
              <a:moveTo>
                <a:pt x="1263035" y="0"/>
              </a:moveTo>
              <a:lnTo>
                <a:pt x="1263035" y="129542"/>
              </a:lnTo>
              <a:lnTo>
                <a:pt x="0" y="129542"/>
              </a:lnTo>
              <a:lnTo>
                <a:pt x="0" y="2590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FBEEBE-7B45-427B-8C03-BCBE99A51BBA}">
      <dsp:nvSpPr>
        <dsp:cNvPr id="0" name=""/>
        <dsp:cNvSpPr/>
      </dsp:nvSpPr>
      <dsp:spPr>
        <a:xfrm>
          <a:off x="1623667" y="1815467"/>
          <a:ext cx="971565" cy="64771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BN</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positive</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n=5</a:t>
          </a:r>
        </a:p>
      </dsp:txBody>
      <dsp:txXfrm>
        <a:off x="1642638" y="1834438"/>
        <a:ext cx="933623" cy="609768"/>
      </dsp:txXfrm>
    </dsp:sp>
    <dsp:sp modelId="{4F4837BA-2250-4681-9078-424242D80290}">
      <dsp:nvSpPr>
        <dsp:cNvPr id="0" name=""/>
        <dsp:cNvSpPr/>
      </dsp:nvSpPr>
      <dsp:spPr>
        <a:xfrm>
          <a:off x="1477932" y="2463177"/>
          <a:ext cx="631517" cy="259084"/>
        </a:xfrm>
        <a:custGeom>
          <a:avLst/>
          <a:gdLst/>
          <a:ahLst/>
          <a:cxnLst/>
          <a:rect l="0" t="0" r="0" b="0"/>
          <a:pathLst>
            <a:path>
              <a:moveTo>
                <a:pt x="631517" y="0"/>
              </a:moveTo>
              <a:lnTo>
                <a:pt x="631517" y="129542"/>
              </a:lnTo>
              <a:lnTo>
                <a:pt x="0" y="129542"/>
              </a:lnTo>
              <a:lnTo>
                <a:pt x="0" y="2590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DD5C96-7E2E-405C-B114-16700F028615}">
      <dsp:nvSpPr>
        <dsp:cNvPr id="0" name=""/>
        <dsp:cNvSpPr/>
      </dsp:nvSpPr>
      <dsp:spPr>
        <a:xfrm>
          <a:off x="992149" y="2722261"/>
          <a:ext cx="971565" cy="64771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Reference test</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positive</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n=5</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"true positive"</a:t>
          </a:r>
        </a:p>
      </dsp:txBody>
      <dsp:txXfrm>
        <a:off x="1011120" y="2741232"/>
        <a:ext cx="933623" cy="609768"/>
      </dsp:txXfrm>
    </dsp:sp>
    <dsp:sp modelId="{5CD5E1B6-1DC3-4182-B687-BA0AB0F5ECE4}">
      <dsp:nvSpPr>
        <dsp:cNvPr id="0" name=""/>
        <dsp:cNvSpPr/>
      </dsp:nvSpPr>
      <dsp:spPr>
        <a:xfrm>
          <a:off x="2109449" y="2463177"/>
          <a:ext cx="631517" cy="259084"/>
        </a:xfrm>
        <a:custGeom>
          <a:avLst/>
          <a:gdLst/>
          <a:ahLst/>
          <a:cxnLst/>
          <a:rect l="0" t="0" r="0" b="0"/>
          <a:pathLst>
            <a:path>
              <a:moveTo>
                <a:pt x="0" y="0"/>
              </a:moveTo>
              <a:lnTo>
                <a:pt x="0" y="129542"/>
              </a:lnTo>
              <a:lnTo>
                <a:pt x="631517" y="129542"/>
              </a:lnTo>
              <a:lnTo>
                <a:pt x="631517" y="2590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0F8623-B85E-41F9-A5B4-28CD784CBDAC}">
      <dsp:nvSpPr>
        <dsp:cNvPr id="0" name=""/>
        <dsp:cNvSpPr/>
      </dsp:nvSpPr>
      <dsp:spPr>
        <a:xfrm>
          <a:off x="2255184" y="2722261"/>
          <a:ext cx="971565" cy="64771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Reference test</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negative</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n=0</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"false positive"</a:t>
          </a:r>
        </a:p>
      </dsp:txBody>
      <dsp:txXfrm>
        <a:off x="2274155" y="2741232"/>
        <a:ext cx="933623" cy="609768"/>
      </dsp:txXfrm>
    </dsp:sp>
    <dsp:sp modelId="{F2735383-7D88-45F4-B647-4C2D8080EEB2}">
      <dsp:nvSpPr>
        <dsp:cNvPr id="0" name=""/>
        <dsp:cNvSpPr/>
      </dsp:nvSpPr>
      <dsp:spPr>
        <a:xfrm>
          <a:off x="3372485" y="1556382"/>
          <a:ext cx="1263035" cy="259084"/>
        </a:xfrm>
        <a:custGeom>
          <a:avLst/>
          <a:gdLst/>
          <a:ahLst/>
          <a:cxnLst/>
          <a:rect l="0" t="0" r="0" b="0"/>
          <a:pathLst>
            <a:path>
              <a:moveTo>
                <a:pt x="0" y="0"/>
              </a:moveTo>
              <a:lnTo>
                <a:pt x="0" y="129542"/>
              </a:lnTo>
              <a:lnTo>
                <a:pt x="1263035" y="129542"/>
              </a:lnTo>
              <a:lnTo>
                <a:pt x="1263035" y="2590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538BF4-951A-4224-A59C-A7929F05A7BA}">
      <dsp:nvSpPr>
        <dsp:cNvPr id="0" name=""/>
        <dsp:cNvSpPr/>
      </dsp:nvSpPr>
      <dsp:spPr>
        <a:xfrm>
          <a:off x="4149737" y="1815467"/>
          <a:ext cx="971565" cy="64771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BN</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negative</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n=157</a:t>
          </a:r>
        </a:p>
      </dsp:txBody>
      <dsp:txXfrm>
        <a:off x="4168708" y="1834438"/>
        <a:ext cx="933623" cy="609768"/>
      </dsp:txXfrm>
    </dsp:sp>
    <dsp:sp modelId="{34A8BB18-D40D-4A57-B741-B3E19A6818B3}">
      <dsp:nvSpPr>
        <dsp:cNvPr id="0" name=""/>
        <dsp:cNvSpPr/>
      </dsp:nvSpPr>
      <dsp:spPr>
        <a:xfrm>
          <a:off x="4004002" y="2463177"/>
          <a:ext cx="631517" cy="259084"/>
        </a:xfrm>
        <a:custGeom>
          <a:avLst/>
          <a:gdLst/>
          <a:ahLst/>
          <a:cxnLst/>
          <a:rect l="0" t="0" r="0" b="0"/>
          <a:pathLst>
            <a:path>
              <a:moveTo>
                <a:pt x="631517" y="0"/>
              </a:moveTo>
              <a:lnTo>
                <a:pt x="631517" y="129542"/>
              </a:lnTo>
              <a:lnTo>
                <a:pt x="0" y="129542"/>
              </a:lnTo>
              <a:lnTo>
                <a:pt x="0" y="2590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40F3C5-953D-4933-8850-F9294D4454E3}">
      <dsp:nvSpPr>
        <dsp:cNvPr id="0" name=""/>
        <dsp:cNvSpPr/>
      </dsp:nvSpPr>
      <dsp:spPr>
        <a:xfrm>
          <a:off x="3518219" y="2722261"/>
          <a:ext cx="971565" cy="64771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Reference test</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positive</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n=61</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"false negative"</a:t>
          </a:r>
        </a:p>
      </dsp:txBody>
      <dsp:txXfrm>
        <a:off x="3537190" y="2741232"/>
        <a:ext cx="933623" cy="609768"/>
      </dsp:txXfrm>
    </dsp:sp>
    <dsp:sp modelId="{2C9F25F3-A290-4561-AEDC-6FD95D448EF0}">
      <dsp:nvSpPr>
        <dsp:cNvPr id="0" name=""/>
        <dsp:cNvSpPr/>
      </dsp:nvSpPr>
      <dsp:spPr>
        <a:xfrm>
          <a:off x="4635520" y="2463177"/>
          <a:ext cx="631517" cy="259084"/>
        </a:xfrm>
        <a:custGeom>
          <a:avLst/>
          <a:gdLst/>
          <a:ahLst/>
          <a:cxnLst/>
          <a:rect l="0" t="0" r="0" b="0"/>
          <a:pathLst>
            <a:path>
              <a:moveTo>
                <a:pt x="0" y="0"/>
              </a:moveTo>
              <a:lnTo>
                <a:pt x="0" y="129542"/>
              </a:lnTo>
              <a:lnTo>
                <a:pt x="631517" y="129542"/>
              </a:lnTo>
              <a:lnTo>
                <a:pt x="631517" y="2590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42F254-AC98-4390-AE4D-666CED6F1394}">
      <dsp:nvSpPr>
        <dsp:cNvPr id="0" name=""/>
        <dsp:cNvSpPr/>
      </dsp:nvSpPr>
      <dsp:spPr>
        <a:xfrm>
          <a:off x="4781254" y="2722261"/>
          <a:ext cx="971565" cy="64771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Reference test</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negative</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n=96</a:t>
          </a:r>
        </a:p>
        <a:p>
          <a:pPr marL="0" lvl="0" indent="0" algn="ctr" defTabSz="400050">
            <a:lnSpc>
              <a:spcPct val="90000"/>
            </a:lnSpc>
            <a:spcBef>
              <a:spcPct val="0"/>
            </a:spcBef>
            <a:spcAft>
              <a:spcPct val="35000"/>
            </a:spcAft>
            <a:buNone/>
          </a:pPr>
          <a:r>
            <a:rPr lang="nl-NL" sz="900" kern="1200">
              <a:latin typeface="Arial" panose="020B0604020202020204" pitchFamily="34" charset="0"/>
              <a:cs typeface="Arial" panose="020B0604020202020204" pitchFamily="34" charset="0"/>
            </a:rPr>
            <a:t>"true negative"</a:t>
          </a:r>
        </a:p>
      </dsp:txBody>
      <dsp:txXfrm>
        <a:off x="4800225" y="2741232"/>
        <a:ext cx="933623" cy="6097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ABC96-3E49-4621-AABA-7EDE6ECC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4735</Words>
  <Characters>26990</Characters>
  <Application>Microsoft Office Word</Application>
  <DocSecurity>0</DocSecurity>
  <Lines>224</Lines>
  <Paragraphs>63</Paragraphs>
  <ScaleCrop>false</ScaleCrop>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Zuurbier</dc:creator>
  <cp:keywords/>
  <dc:description/>
  <cp:lastModifiedBy>Simon Drysdale</cp:lastModifiedBy>
  <cp:revision>2</cp:revision>
  <dcterms:created xsi:type="dcterms:W3CDTF">2020-04-23T10:07:00Z</dcterms:created>
  <dcterms:modified xsi:type="dcterms:W3CDTF">2020-04-23T10:07:00Z</dcterms:modified>
</cp:coreProperties>
</file>