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38" w:type="dxa"/>
        <w:tblBorders>
          <w:top w:val="single" w:sz="6" w:space="0" w:color="008000"/>
          <w:left w:val="single" w:sz="6" w:space="0" w:color="008000"/>
          <w:bottom w:val="single" w:sz="6" w:space="0" w:color="008000"/>
          <w:right w:val="single" w:sz="6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544"/>
      </w:tblGrid>
      <w:tr w:rsidR="00FF1ACE" w:rsidRPr="00734E74" w:rsidTr="000B3612">
        <w:trPr>
          <w:cantSplit/>
        </w:trPr>
        <w:tc>
          <w:tcPr>
            <w:tcW w:w="733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734E74">
              <w:rPr>
                <w:rFonts w:ascii="Times New Roman" w:eastAsia="Calibri" w:hAnsi="Times New Roman" w:cs="Times New Roman"/>
                <w:szCs w:val="24"/>
              </w:rPr>
              <w:t xml:space="preserve">Table 1. </w:t>
            </w:r>
          </w:p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Cs w:val="24"/>
              </w:rPr>
              <w:t>Sociodemographic, employment and smoking data for survey respondents according to job role (</w:t>
            </w:r>
            <w:r w:rsidRPr="00734E74">
              <w:rPr>
                <w:rFonts w:ascii="Times New Roman" w:eastAsia="Calibri" w:hAnsi="Times New Roman" w:cs="Times New Roman"/>
                <w:i/>
                <w:szCs w:val="24"/>
              </w:rPr>
              <w:t>n</w:t>
            </w:r>
            <w:r w:rsidRPr="00734E74">
              <w:rPr>
                <w:rFonts w:ascii="Times New Roman" w:eastAsia="Calibri" w:hAnsi="Times New Roman" w:cs="Times New Roman"/>
                <w:szCs w:val="24"/>
              </w:rPr>
              <w:t xml:space="preserve"> = 631).</w:t>
            </w:r>
          </w:p>
        </w:tc>
      </w:tr>
      <w:tr w:rsidR="00FF1ACE" w:rsidRPr="00734E74" w:rsidTr="000B3612">
        <w:trPr>
          <w:cantSplit/>
        </w:trPr>
        <w:tc>
          <w:tcPr>
            <w:tcW w:w="37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/>
              </w:rPr>
              <w:t>Socio-demographic Variables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val="en-US"/>
              </w:rPr>
              <w:t>n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/>
              </w:rPr>
              <w:t xml:space="preserve"> (%)</w:t>
            </w:r>
          </w:p>
        </w:tc>
      </w:tr>
      <w:tr w:rsidR="00FF1ACE" w:rsidRPr="00734E74" w:rsidTr="000B3612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Female gender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413 (65.5)</w:t>
            </w:r>
          </w:p>
        </w:tc>
      </w:tr>
      <w:tr w:rsidR="00FF1ACE" w:rsidRPr="00734E74" w:rsidTr="000B3612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Age (years)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18-29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103 (16.3)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135 (21.4)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40-49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187 (29.6)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50+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206 (32.6)</w:t>
            </w:r>
          </w:p>
        </w:tc>
      </w:tr>
      <w:tr w:rsidR="00FF1ACE" w:rsidRPr="00734E74" w:rsidTr="000B3612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Staff role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Clinical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417 (66.1)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Non-clinical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214 (33.9)</w:t>
            </w:r>
          </w:p>
        </w:tc>
      </w:tr>
      <w:tr w:rsidR="00FF1ACE" w:rsidRPr="00734E74" w:rsidTr="000B3612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Clinical role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Nurse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192 (31.2)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Medical Doctor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 (4.1)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Psychiatrist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 (6.3)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Psychologist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47 (7.6)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Occupational therapist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 (3.4)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Other allied health professional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42 (10.4)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Social Worker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 (2.3)</w:t>
            </w:r>
          </w:p>
        </w:tc>
      </w:tr>
      <w:tr w:rsidR="00FF1ACE" w:rsidRPr="00734E74" w:rsidTr="000B3612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Weekly patient contact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 (31.9)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1-19 hours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213 (33.8)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20-34 hours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203 (32.2)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Other/Unsure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 (2.2)</w:t>
            </w:r>
          </w:p>
        </w:tc>
      </w:tr>
      <w:tr w:rsidR="00FF1ACE" w:rsidRPr="00734E74" w:rsidTr="000B3612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Training on smoking cessation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251 (39.8)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No/Unsure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225 (35.7)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Not applicable to role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155 (24.6)</w:t>
            </w:r>
          </w:p>
        </w:tc>
      </w:tr>
      <w:tr w:rsidR="00FF1ACE" w:rsidRPr="00734E74" w:rsidTr="000B3612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Smoking status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Non-smoker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363 (57.5)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Ex-smoker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178 (28.2)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Current Smoker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90 (14.3)</w:t>
            </w:r>
          </w:p>
        </w:tc>
      </w:tr>
      <w:tr w:rsidR="00FF1ACE" w:rsidRPr="00734E74" w:rsidTr="000B3612">
        <w:trPr>
          <w:cantSplit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Cigarettes smoked per day (n = 90)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≤ 10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65 (72.2)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11 or more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25 (27.8)</w:t>
            </w:r>
          </w:p>
        </w:tc>
      </w:tr>
      <w:tr w:rsidR="00FF1ACE" w:rsidRPr="00734E74" w:rsidTr="000B3612">
        <w:trPr>
          <w:cantSplit/>
          <w:trHeight w:hRule="exact" w:val="28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Want to quit in near future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62 (69.7)</w:t>
            </w:r>
          </w:p>
        </w:tc>
      </w:tr>
      <w:tr w:rsidR="00FF1ACE" w:rsidRPr="00734E74" w:rsidTr="000B3612">
        <w:trPr>
          <w:cantSplit/>
          <w:trHeight w:val="1008"/>
        </w:trPr>
        <w:tc>
          <w:tcPr>
            <w:tcW w:w="7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ACE" w:rsidRPr="00734E74" w:rsidRDefault="00FF1ACE" w:rsidP="000B3612">
            <w:pPr>
              <w:spacing w:before="6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Notes: Fifteen 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respondents indicating a clinical role (13 inpatient, 2 community) did not provide sufficient information to allow specific job role classification</w:t>
            </w:r>
            <w:r w:rsidR="00752101"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while one (non-clinical) participant did not respond to item concerning intention to quit smoking in the near future – stated percentages reflect proportions of participants with data available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  <w:sz w:val="22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  <w:sz w:val="22"/>
        </w:rPr>
      </w:pPr>
    </w:p>
    <w:p w:rsidR="00587FA9" w:rsidRPr="00734E74" w:rsidRDefault="00587FA9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  <w:sz w:val="22"/>
        </w:rPr>
      </w:pPr>
    </w:p>
    <w:p w:rsidR="00587FA9" w:rsidRPr="00734E74" w:rsidRDefault="00587FA9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  <w:sz w:val="22"/>
        </w:rPr>
      </w:pPr>
    </w:p>
    <w:p w:rsidR="00587FA9" w:rsidRPr="00734E74" w:rsidRDefault="00587FA9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  <w:sz w:val="22"/>
        </w:rPr>
      </w:pPr>
    </w:p>
    <w:p w:rsidR="00587FA9" w:rsidRPr="00734E74" w:rsidRDefault="00587FA9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  <w:sz w:val="22"/>
        </w:rPr>
      </w:pPr>
    </w:p>
    <w:p w:rsidR="00587FA9" w:rsidRPr="00734E74" w:rsidRDefault="00587FA9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  <w:sz w:val="22"/>
        </w:rPr>
      </w:pPr>
    </w:p>
    <w:p w:rsidR="00587FA9" w:rsidRPr="00734E74" w:rsidRDefault="00587FA9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  <w:sz w:val="22"/>
        </w:rPr>
      </w:pPr>
    </w:p>
    <w:tbl>
      <w:tblPr>
        <w:tblW w:w="10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283"/>
        <w:gridCol w:w="1134"/>
        <w:gridCol w:w="1418"/>
        <w:gridCol w:w="1299"/>
        <w:gridCol w:w="40"/>
      </w:tblGrid>
      <w:tr w:rsidR="00FF1ACE" w:rsidRPr="00734E74" w:rsidTr="000B3612">
        <w:trPr>
          <w:cantSplit/>
          <w:trHeight w:val="497"/>
        </w:trPr>
        <w:tc>
          <w:tcPr>
            <w:tcW w:w="10128" w:type="dxa"/>
            <w:gridSpan w:val="6"/>
            <w:tcBorders>
              <w:bottom w:val="single" w:sz="12" w:space="0" w:color="000000"/>
            </w:tcBorders>
          </w:tcPr>
          <w:p w:rsidR="00FF1ACE" w:rsidRPr="00734E74" w:rsidRDefault="00FF1ACE" w:rsidP="000B361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Table 2.  </w:t>
            </w:r>
          </w:p>
          <w:p w:rsidR="00FF1ACE" w:rsidRPr="00734E74" w:rsidRDefault="00FF1ACE" w:rsidP="000B3612">
            <w:pPr>
              <w:spacing w:line="24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Cs w:val="24"/>
                <w:lang w:val="en-US"/>
              </w:rPr>
              <w:t>Completely Smokefree Policy questionnaire items; rotated component matrix (</w:t>
            </w:r>
            <w:r w:rsidRPr="00734E74">
              <w:rPr>
                <w:rFonts w:ascii="Times New Roman" w:eastAsia="Calibri" w:hAnsi="Times New Roman" w:cs="Times New Roman"/>
                <w:i/>
                <w:szCs w:val="24"/>
                <w:lang w:val="en-US"/>
              </w:rPr>
              <w:t>n</w:t>
            </w:r>
            <w:r w:rsidRPr="00734E74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= 631).</w:t>
            </w:r>
          </w:p>
          <w:p w:rsidR="00FF1ACE" w:rsidRPr="00734E74" w:rsidRDefault="00FF1ACE" w:rsidP="000B361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F1ACE" w:rsidRPr="00734E74" w:rsidTr="00515F41">
        <w:trPr>
          <w:cantSplit/>
          <w:trHeight w:val="313"/>
        </w:trPr>
        <w:tc>
          <w:tcPr>
            <w:tcW w:w="595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Agreement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  <w:t>Factor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</w:p>
        </w:tc>
      </w:tr>
      <w:tr w:rsidR="00FF1ACE" w:rsidRPr="00734E74" w:rsidTr="00515F41">
        <w:trPr>
          <w:cantSplit/>
          <w:trHeight w:val="313"/>
        </w:trPr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  <w:lang w:bidi="en-US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proofErr w:type="gramStart"/>
            <w:r w:rsidRPr="00734E74">
              <w:rPr>
                <w:rFonts w:ascii="Times New Roman" w:eastAsia="Calibri" w:hAnsi="Times New Roman" w:cs="Times New Roman"/>
                <w:i/>
                <w:sz w:val="20"/>
                <w:szCs w:val="18"/>
                <w:lang w:val="en-US"/>
              </w:rPr>
              <w:t>n</w:t>
            </w:r>
            <w:r w:rsidRPr="00734E74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 xml:space="preserve">  (</w:t>
            </w:r>
            <w:proofErr w:type="gramEnd"/>
            <w:r w:rsidRPr="00734E74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%)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  <w:t>Organisational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Staff </w:t>
            </w:r>
            <w:r w:rsidR="0036421F"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ractice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</w:p>
        </w:tc>
      </w:tr>
      <w:tr w:rsidR="00FF1ACE" w:rsidRPr="00734E74" w:rsidTr="00515F41">
        <w:trPr>
          <w:cantSplit/>
          <w:trHeight w:hRule="exact" w:val="319"/>
        </w:trPr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Smoking should be totally banned in all areas of our inpatient wards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255 (40.4)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0.902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-0.015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F1ACE" w:rsidRPr="00734E74" w:rsidTr="00515F41">
        <w:trPr>
          <w:cantSplit/>
          <w:trHeight w:hRule="exact" w:val="319"/>
        </w:trPr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Smoking should be totally banned throughout areas of mental health services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269 (42.6)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0.897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0.031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F1ACE" w:rsidRPr="00734E74" w:rsidTr="00515F41">
        <w:trPr>
          <w:cantSplit/>
          <w:trHeight w:hRule="exact" w:val="319"/>
        </w:trPr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Hospitalisation is a good opportunity for smoking cessation intervention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423 (67.0)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0.707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0.264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F1ACE" w:rsidRPr="00734E74" w:rsidTr="00515F41">
        <w:trPr>
          <w:cantSplit/>
          <w:trHeight w:hRule="exact" w:val="319"/>
        </w:trPr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Patients who smoke should be encouraged to quit smoking while hospitalised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422 (66.9)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0.687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0.479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F1ACE" w:rsidRPr="00734E74" w:rsidTr="00515F41">
        <w:trPr>
          <w:cantSplit/>
          <w:trHeight w:hRule="exact" w:val="319"/>
        </w:trPr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Ward staff should be trained to offer advice and support on smoking cessation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565 (89.5)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0.335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0.751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F1ACE" w:rsidRPr="00734E74" w:rsidTr="00515F41">
        <w:trPr>
          <w:cantSplit/>
          <w:trHeight w:hRule="exact" w:val="319"/>
        </w:trPr>
        <w:tc>
          <w:tcPr>
            <w:tcW w:w="6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All clinical staff should offer smoking cessation advice routinely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502 (79.6)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0.312</w:t>
            </w:r>
          </w:p>
        </w:tc>
        <w:tc>
          <w:tcPr>
            <w:tcW w:w="12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0.747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F1ACE" w:rsidRPr="00734E74" w:rsidTr="00515F41">
        <w:trPr>
          <w:cantSplit/>
          <w:trHeight w:hRule="exact" w:val="319"/>
        </w:trPr>
        <w:tc>
          <w:tcPr>
            <w:tcW w:w="623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I am aware of existing policies that deal with smoking in my workplace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562 (89.1)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-0.186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>0.604</w:t>
            </w:r>
          </w:p>
        </w:tc>
        <w:tc>
          <w:tcPr>
            <w:tcW w:w="4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FF1ACE" w:rsidRPr="00734E74" w:rsidTr="000B3612">
        <w:trPr>
          <w:cantSplit/>
          <w:trHeight w:hRule="exact" w:val="746"/>
        </w:trPr>
        <w:tc>
          <w:tcPr>
            <w:tcW w:w="10128" w:type="dxa"/>
            <w:gridSpan w:val="6"/>
            <w:tcBorders>
              <w:top w:val="single" w:sz="12" w:space="0" w:color="auto"/>
            </w:tcBorders>
          </w:tcPr>
          <w:tbl>
            <w:tblPr>
              <w:tblW w:w="1007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79"/>
            </w:tblGrid>
            <w:tr w:rsidR="00FF1ACE" w:rsidRPr="00734E74" w:rsidTr="000B3612">
              <w:trPr>
                <w:cantSplit/>
                <w:trHeight w:val="521"/>
              </w:trPr>
              <w:tc>
                <w:tcPr>
                  <w:tcW w:w="1007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1ACE" w:rsidRPr="00734E74" w:rsidRDefault="00FF1ACE" w:rsidP="000B3612">
                  <w:pPr>
                    <w:suppressAutoHyphens/>
                    <w:autoSpaceDN w:val="0"/>
                    <w:spacing w:before="6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0"/>
                      <w:szCs w:val="18"/>
                    </w:rPr>
                  </w:pPr>
                  <w:r w:rsidRPr="00734E74">
                    <w:rPr>
                      <w:rFonts w:ascii="Times New Roman" w:eastAsia="Calibri" w:hAnsi="Times New Roman" w:cs="Times New Roman"/>
                      <w:sz w:val="20"/>
                      <w:szCs w:val="18"/>
                      <w:lang w:val="en-US"/>
                    </w:rPr>
                    <w:t>Notes: Agreement frequencies included participants who responded ‘</w:t>
                  </w:r>
                  <w:r w:rsidR="00B70640" w:rsidRPr="00734E74">
                    <w:rPr>
                      <w:rFonts w:ascii="Times New Roman" w:eastAsia="Calibri" w:hAnsi="Times New Roman" w:cs="Times New Roman"/>
                      <w:sz w:val="20"/>
                      <w:szCs w:val="18"/>
                      <w:lang w:val="en-US"/>
                    </w:rPr>
                    <w:t>A</w:t>
                  </w:r>
                  <w:r w:rsidRPr="00734E74">
                    <w:rPr>
                      <w:rFonts w:ascii="Times New Roman" w:eastAsia="Calibri" w:hAnsi="Times New Roman" w:cs="Times New Roman"/>
                      <w:sz w:val="20"/>
                      <w:szCs w:val="18"/>
                      <w:lang w:val="en-US"/>
                    </w:rPr>
                    <w:t xml:space="preserve">gree’ or </w:t>
                  </w:r>
                  <w:r w:rsidR="00B70640" w:rsidRPr="00734E74">
                    <w:rPr>
                      <w:rFonts w:ascii="Times New Roman" w:eastAsia="Calibri" w:hAnsi="Times New Roman" w:cs="Times New Roman"/>
                      <w:sz w:val="20"/>
                      <w:szCs w:val="18"/>
                      <w:lang w:val="en-US"/>
                    </w:rPr>
                    <w:t>‘S</w:t>
                  </w:r>
                  <w:r w:rsidRPr="00734E74">
                    <w:rPr>
                      <w:rFonts w:ascii="Times New Roman" w:eastAsia="Calibri" w:hAnsi="Times New Roman" w:cs="Times New Roman"/>
                      <w:sz w:val="20"/>
                      <w:szCs w:val="18"/>
                      <w:lang w:val="en-US"/>
                    </w:rPr>
                    <w:t>trongly agree’ to each item</w:t>
                  </w:r>
                  <w:r w:rsidR="00772416" w:rsidRPr="00734E74">
                    <w:rPr>
                      <w:rFonts w:ascii="Times New Roman" w:eastAsia="Calibri" w:hAnsi="Times New Roman" w:cs="Times New Roman"/>
                      <w:sz w:val="20"/>
                      <w:szCs w:val="18"/>
                      <w:lang w:val="en-US"/>
                    </w:rPr>
                    <w:t xml:space="preserve">; </w:t>
                  </w:r>
                  <w:r w:rsidRPr="00734E74">
                    <w:rPr>
                      <w:rFonts w:ascii="Times New Roman" w:eastAsia="Calibri" w:hAnsi="Times New Roman" w:cs="Times New Roman"/>
                      <w:sz w:val="20"/>
                      <w:szCs w:val="18"/>
                    </w:rPr>
                    <w:t>Extraction Method: Principal Component Analysis</w:t>
                  </w:r>
                  <w:r w:rsidR="00772416" w:rsidRPr="00734E74">
                    <w:rPr>
                      <w:rFonts w:ascii="Times New Roman" w:eastAsia="Calibri" w:hAnsi="Times New Roman" w:cs="Times New Roman"/>
                      <w:sz w:val="20"/>
                      <w:szCs w:val="18"/>
                    </w:rPr>
                    <w:t>;</w:t>
                  </w:r>
                  <w:r w:rsidRPr="00734E74">
                    <w:rPr>
                      <w:rFonts w:ascii="Times New Roman" w:eastAsia="Calibri" w:hAnsi="Times New Roman" w:cs="Times New Roman"/>
                      <w:sz w:val="20"/>
                      <w:szCs w:val="18"/>
                    </w:rPr>
                    <w:t xml:space="preserve"> Rotation Method: Varimax with Kaiser Normalization.</w:t>
                  </w:r>
                </w:p>
              </w:tc>
            </w:tr>
          </w:tbl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</w:p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</w:p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</w:p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</w:p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</w:p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</w:p>
          <w:p w:rsidR="00FF1ACE" w:rsidRPr="00734E74" w:rsidRDefault="00FF1ACE" w:rsidP="000B361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</w:p>
        </w:tc>
      </w:tr>
    </w:tbl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587FA9" w:rsidRPr="00734E74" w:rsidRDefault="00587FA9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587FA9" w:rsidRPr="00734E74" w:rsidRDefault="00587FA9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587FA9" w:rsidRPr="00734E74" w:rsidRDefault="00587FA9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</w:pPr>
    </w:p>
    <w:p w:rsidR="000B3612" w:rsidRPr="00734E74" w:rsidRDefault="000B3612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</w:rPr>
        <w:sectPr w:rsidR="000B3612" w:rsidRPr="00734E74" w:rsidSect="00FF1AC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082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918"/>
        <w:gridCol w:w="1514"/>
        <w:gridCol w:w="709"/>
        <w:gridCol w:w="850"/>
        <w:gridCol w:w="1131"/>
        <w:gridCol w:w="566"/>
        <w:gridCol w:w="946"/>
        <w:gridCol w:w="1751"/>
        <w:gridCol w:w="851"/>
        <w:gridCol w:w="850"/>
        <w:gridCol w:w="1276"/>
        <w:gridCol w:w="709"/>
        <w:gridCol w:w="850"/>
      </w:tblGrid>
      <w:tr w:rsidR="000B3612" w:rsidRPr="00734E74" w:rsidTr="0092129E">
        <w:trPr>
          <w:trHeight w:val="390"/>
        </w:trPr>
        <w:tc>
          <w:tcPr>
            <w:tcW w:w="14082" w:type="dxa"/>
            <w:gridSpan w:val="14"/>
          </w:tcPr>
          <w:p w:rsidR="000B3612" w:rsidRPr="00734E74" w:rsidRDefault="000B3612" w:rsidP="000B361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734E74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Table 3. </w:t>
            </w:r>
          </w:p>
          <w:p w:rsidR="000B3612" w:rsidRPr="00734E74" w:rsidRDefault="000A61FB" w:rsidP="000B361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734E74">
              <w:rPr>
                <w:rFonts w:ascii="Times New Roman" w:eastAsia="Calibri" w:hAnsi="Times New Roman" w:cs="Times New Roman"/>
                <w:szCs w:val="24"/>
              </w:rPr>
              <w:t xml:space="preserve">Mean scores and </w:t>
            </w:r>
            <w:r w:rsidR="000B3612" w:rsidRPr="00734E74">
              <w:rPr>
                <w:rFonts w:ascii="Times New Roman" w:eastAsia="Calibri" w:hAnsi="Times New Roman" w:cs="Times New Roman"/>
                <w:szCs w:val="24"/>
              </w:rPr>
              <w:t xml:space="preserve">Generalized Linear Modelling </w:t>
            </w:r>
            <w:r w:rsidRPr="00734E74">
              <w:rPr>
                <w:rFonts w:ascii="Times New Roman" w:eastAsia="Calibri" w:hAnsi="Times New Roman" w:cs="Times New Roman"/>
                <w:iCs/>
                <w:szCs w:val="24"/>
              </w:rPr>
              <w:t xml:space="preserve">for the Organisational </w:t>
            </w:r>
            <w:r w:rsidR="00985EE2" w:rsidRPr="00734E74">
              <w:rPr>
                <w:rFonts w:ascii="Times New Roman" w:eastAsia="Calibri" w:hAnsi="Times New Roman" w:cs="Times New Roman"/>
                <w:iCs/>
                <w:szCs w:val="24"/>
              </w:rPr>
              <w:t xml:space="preserve">and </w:t>
            </w:r>
            <w:r w:rsidR="000B3612" w:rsidRPr="00734E74">
              <w:rPr>
                <w:rFonts w:ascii="Times New Roman" w:eastAsia="Calibri" w:hAnsi="Times New Roman" w:cs="Times New Roman"/>
                <w:iCs/>
                <w:szCs w:val="24"/>
              </w:rPr>
              <w:t>Staff Practice factor</w:t>
            </w:r>
            <w:r w:rsidRPr="00734E74">
              <w:rPr>
                <w:rFonts w:ascii="Times New Roman" w:eastAsia="Calibri" w:hAnsi="Times New Roman" w:cs="Times New Roman"/>
                <w:iCs/>
                <w:szCs w:val="24"/>
              </w:rPr>
              <w:t>s</w:t>
            </w:r>
            <w:r w:rsidR="000B3612" w:rsidRPr="00734E74">
              <w:rPr>
                <w:rFonts w:ascii="Times New Roman" w:eastAsia="Calibri" w:hAnsi="Times New Roman" w:cs="Times New Roman"/>
                <w:iCs/>
                <w:szCs w:val="24"/>
              </w:rPr>
              <w:t xml:space="preserve"> (</w:t>
            </w:r>
            <w:r w:rsidR="000B3612" w:rsidRPr="00734E74">
              <w:rPr>
                <w:rFonts w:ascii="Times New Roman" w:eastAsia="Calibri" w:hAnsi="Times New Roman" w:cs="Times New Roman"/>
                <w:i/>
                <w:iCs/>
                <w:szCs w:val="24"/>
              </w:rPr>
              <w:t>n</w:t>
            </w:r>
            <w:r w:rsidR="000B3612" w:rsidRPr="00734E74">
              <w:rPr>
                <w:rFonts w:ascii="Times New Roman" w:eastAsia="Calibri" w:hAnsi="Times New Roman" w:cs="Times New Roman"/>
                <w:iCs/>
                <w:szCs w:val="24"/>
              </w:rPr>
              <w:t xml:space="preserve"> = 617).</w:t>
            </w:r>
          </w:p>
          <w:p w:rsidR="000B3612" w:rsidRPr="00734E74" w:rsidRDefault="000B3612" w:rsidP="000B3612">
            <w:pPr>
              <w:suppressAutoHyphens/>
              <w:autoSpaceDN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B3612" w:rsidRPr="00734E74" w:rsidTr="0092129E">
        <w:trPr>
          <w:trHeight w:val="390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5716" w:type="dxa"/>
            <w:gridSpan w:val="6"/>
            <w:tcBorders>
              <w:right w:val="single" w:sz="4" w:space="0" w:color="000000"/>
            </w:tcBorders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  <w:t>Organisational</w:t>
            </w:r>
          </w:p>
        </w:tc>
        <w:tc>
          <w:tcPr>
            <w:tcW w:w="6287" w:type="dxa"/>
            <w:gridSpan w:val="6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  <w:t xml:space="preserve">Staff </w:t>
            </w:r>
            <w:r w:rsidR="0036421F"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  <w:t>P</w:t>
            </w: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  <w:t>ractice</w:t>
            </w:r>
          </w:p>
        </w:tc>
      </w:tr>
      <w:tr w:rsidR="0092129E" w:rsidRPr="00734E74" w:rsidTr="0092129E">
        <w:trPr>
          <w:trHeight w:val="390"/>
        </w:trPr>
        <w:tc>
          <w:tcPr>
            <w:tcW w:w="207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9E" w:rsidRPr="00734E74" w:rsidRDefault="0092129E" w:rsidP="0092129E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Variables</w:t>
            </w:r>
          </w:p>
        </w:tc>
        <w:tc>
          <w:tcPr>
            <w:tcW w:w="1514" w:type="dxa"/>
            <w:tcBorders>
              <w:bottom w:val="single" w:sz="12" w:space="0" w:color="auto"/>
            </w:tcBorders>
          </w:tcPr>
          <w:p w:rsidR="0092129E" w:rsidRPr="00734E74" w:rsidRDefault="0092129E" w:rsidP="0092129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Mean (95% CI)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2129E" w:rsidRPr="00734E74" w:rsidRDefault="00A847B7" w:rsidP="0092129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8"/>
              </w:rPr>
              <w:t>P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9E" w:rsidRPr="00734E74" w:rsidRDefault="0092129E" w:rsidP="0092129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9E" w:rsidRPr="00734E74" w:rsidRDefault="0092129E" w:rsidP="0092129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CI B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9E" w:rsidRPr="00734E74" w:rsidRDefault="0092129E" w:rsidP="0092129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8"/>
              </w:rPr>
              <w:t>β</w:t>
            </w:r>
          </w:p>
        </w:tc>
        <w:tc>
          <w:tcPr>
            <w:tcW w:w="946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9E" w:rsidRPr="00734E74" w:rsidRDefault="0092129E" w:rsidP="0092129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18"/>
              </w:rPr>
              <w:t>p</w:t>
            </w: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:rsidR="0092129E" w:rsidRPr="00734E74" w:rsidRDefault="0092129E" w:rsidP="0092129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Mean (95% CI)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2129E" w:rsidRPr="00734E74" w:rsidRDefault="00A847B7" w:rsidP="0092129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8"/>
              </w:rPr>
              <w:t>P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9E" w:rsidRPr="00734E74" w:rsidRDefault="0092129E" w:rsidP="0092129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9E" w:rsidRPr="00734E74" w:rsidRDefault="0092129E" w:rsidP="0092129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CI B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9E" w:rsidRPr="00734E74" w:rsidRDefault="0092129E" w:rsidP="0092129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8"/>
              </w:rPr>
              <w:t>β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9E" w:rsidRPr="00734E74" w:rsidRDefault="0092129E" w:rsidP="0092129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18"/>
              </w:rPr>
              <w:t>p</w:t>
            </w:r>
          </w:p>
        </w:tc>
      </w:tr>
      <w:tr w:rsidR="0092129E" w:rsidRPr="00734E74" w:rsidTr="0092129E">
        <w:trPr>
          <w:trHeight w:hRule="exact" w:val="50"/>
        </w:trPr>
        <w:tc>
          <w:tcPr>
            <w:tcW w:w="116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918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514" w:type="dxa"/>
            <w:tcBorders>
              <w:top w:val="single" w:sz="12" w:space="0" w:color="auto"/>
            </w:tcBorders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946" w:type="dxa"/>
            <w:tcBorders>
              <w:top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751" w:type="dxa"/>
            <w:tcBorders>
              <w:top w:val="single" w:sz="12" w:space="0" w:color="auto"/>
            </w:tcBorders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</w:tcBorders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92129E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  <w:t>Age</w:t>
            </w:r>
          </w:p>
        </w:tc>
        <w:tc>
          <w:tcPr>
            <w:tcW w:w="1514" w:type="dxa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751" w:type="dxa"/>
          </w:tcPr>
          <w:p w:rsidR="000B3612" w:rsidRPr="00734E74" w:rsidRDefault="000B3612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B3612" w:rsidRPr="00734E74" w:rsidRDefault="000B3612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92129E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18-29</w:t>
            </w:r>
          </w:p>
        </w:tc>
        <w:tc>
          <w:tcPr>
            <w:tcW w:w="1514" w:type="dxa"/>
          </w:tcPr>
          <w:p w:rsidR="000B3612" w:rsidRPr="00734E74" w:rsidRDefault="00C62E2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3.13</w:t>
            </w:r>
            <w:r w:rsidR="00B137F3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 xml:space="preserve"> (2.90,3.35)</w:t>
            </w:r>
          </w:p>
        </w:tc>
        <w:tc>
          <w:tcPr>
            <w:tcW w:w="709" w:type="dxa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-0.2</w:t>
            </w:r>
            <w:r w:rsidR="00C0192B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-0.4</w:t>
            </w:r>
            <w:r w:rsidR="00C0192B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9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,</w:t>
            </w:r>
            <w:r w:rsidR="00C0192B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-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0.0</w:t>
            </w:r>
            <w:r w:rsidR="00C0192B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0.</w:t>
            </w:r>
            <w:r w:rsidR="00C0192B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78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1</w:t>
            </w: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0.0</w:t>
            </w:r>
            <w:r w:rsidR="00C0192B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49</w:t>
            </w:r>
          </w:p>
        </w:tc>
        <w:tc>
          <w:tcPr>
            <w:tcW w:w="1751" w:type="dxa"/>
          </w:tcPr>
          <w:p w:rsidR="000B3612" w:rsidRPr="00734E74" w:rsidRDefault="00CF743E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4.05 (</w:t>
            </w:r>
            <w:r w:rsidR="00564856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3.93,4.17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851" w:type="dxa"/>
            <w:tcBorders>
              <w:left w:val="nil"/>
            </w:tcBorders>
          </w:tcPr>
          <w:p w:rsidR="000B3612" w:rsidRPr="00734E74" w:rsidRDefault="000B3612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2129E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30-39</w:t>
            </w:r>
          </w:p>
        </w:tc>
        <w:tc>
          <w:tcPr>
            <w:tcW w:w="1514" w:type="dxa"/>
          </w:tcPr>
          <w:p w:rsidR="000B3612" w:rsidRPr="00734E74" w:rsidRDefault="00C62E2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3.21</w:t>
            </w:r>
            <w:r w:rsidR="00B137F3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 xml:space="preserve"> (3.03,3.40)</w:t>
            </w:r>
          </w:p>
        </w:tc>
        <w:tc>
          <w:tcPr>
            <w:tcW w:w="709" w:type="dxa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-0.2</w:t>
            </w:r>
            <w:r w:rsidR="00B6543E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-0.4</w:t>
            </w:r>
            <w:r w:rsidR="00B6543E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7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,-0.0</w:t>
            </w:r>
            <w:r w:rsidR="00B6543E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3</w:t>
            </w: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0.7</w:t>
            </w:r>
            <w:r w:rsidR="00C0192B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8</w:t>
            </w: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0.0</w:t>
            </w:r>
            <w:r w:rsidR="00C0192B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27</w:t>
            </w:r>
          </w:p>
        </w:tc>
        <w:tc>
          <w:tcPr>
            <w:tcW w:w="1751" w:type="dxa"/>
          </w:tcPr>
          <w:p w:rsidR="000B3612" w:rsidRPr="00734E74" w:rsidRDefault="00CF743E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4.05 (</w:t>
            </w:r>
            <w:r w:rsidR="00564856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3.96,4.16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851" w:type="dxa"/>
            <w:tcBorders>
              <w:left w:val="nil"/>
            </w:tcBorders>
          </w:tcPr>
          <w:p w:rsidR="000B3612" w:rsidRPr="00734E74" w:rsidRDefault="000B3612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2129E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40-49</w:t>
            </w:r>
          </w:p>
        </w:tc>
        <w:tc>
          <w:tcPr>
            <w:tcW w:w="1514" w:type="dxa"/>
          </w:tcPr>
          <w:p w:rsidR="000B3612" w:rsidRPr="00734E74" w:rsidRDefault="00C62E2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3.41</w:t>
            </w:r>
            <w:r w:rsidR="00B137F3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 xml:space="preserve"> (3.26,3.56)</w:t>
            </w:r>
          </w:p>
        </w:tc>
        <w:tc>
          <w:tcPr>
            <w:tcW w:w="709" w:type="dxa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-0.0</w:t>
            </w:r>
            <w:r w:rsidR="00B6543E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-0.2</w:t>
            </w:r>
            <w:r w:rsidR="00B6543E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6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,-0.1</w:t>
            </w:r>
            <w:r w:rsidR="00B6543E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0.9</w:t>
            </w:r>
            <w:r w:rsidR="00C0192B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0.</w:t>
            </w:r>
            <w:r w:rsidR="00C0192B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552</w:t>
            </w:r>
          </w:p>
        </w:tc>
        <w:tc>
          <w:tcPr>
            <w:tcW w:w="1751" w:type="dxa"/>
          </w:tcPr>
          <w:p w:rsidR="000B3612" w:rsidRPr="00734E74" w:rsidRDefault="00CF743E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4.06 (</w:t>
            </w:r>
            <w:r w:rsidR="00564856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3.97,4.15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851" w:type="dxa"/>
            <w:tcBorders>
              <w:left w:val="nil"/>
            </w:tcBorders>
          </w:tcPr>
          <w:p w:rsidR="000B3612" w:rsidRPr="00734E74" w:rsidRDefault="000B3612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2129E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50+</w:t>
            </w:r>
          </w:p>
        </w:tc>
        <w:tc>
          <w:tcPr>
            <w:tcW w:w="1514" w:type="dxa"/>
          </w:tcPr>
          <w:p w:rsidR="000B3612" w:rsidRPr="00734E74" w:rsidRDefault="00C62E2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3.49</w:t>
            </w:r>
            <w:r w:rsidR="00B137F3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 xml:space="preserve"> (3.36,3.63)</w:t>
            </w:r>
          </w:p>
        </w:tc>
        <w:tc>
          <w:tcPr>
            <w:tcW w:w="709" w:type="dxa"/>
          </w:tcPr>
          <w:p w:rsidR="000B3612" w:rsidRPr="00734E74" w:rsidRDefault="00C62E2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0.010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751" w:type="dxa"/>
          </w:tcPr>
          <w:p w:rsidR="000B3612" w:rsidRPr="00734E74" w:rsidRDefault="00CF743E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4.06 (</w:t>
            </w:r>
            <w:r w:rsidR="00564856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3.98,4.15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851" w:type="dxa"/>
            <w:tcBorders>
              <w:left w:val="nil"/>
            </w:tcBorders>
          </w:tcPr>
          <w:p w:rsidR="000B3612" w:rsidRPr="00734E74" w:rsidRDefault="00D133AA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0.999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92129E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263D3" w:rsidRPr="00734E74" w:rsidRDefault="000263D3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  <w:t>Gender</w:t>
            </w:r>
          </w:p>
        </w:tc>
        <w:tc>
          <w:tcPr>
            <w:tcW w:w="1514" w:type="dxa"/>
          </w:tcPr>
          <w:p w:rsidR="000263D3" w:rsidRPr="00734E74" w:rsidRDefault="000263D3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</w:tcPr>
          <w:p w:rsidR="000263D3" w:rsidRPr="00734E74" w:rsidRDefault="000263D3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3D3" w:rsidRPr="00734E74" w:rsidRDefault="000263D3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3D3" w:rsidRPr="00734E74" w:rsidRDefault="000263D3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3D3" w:rsidRPr="00734E74" w:rsidRDefault="000263D3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3D3" w:rsidRPr="00734E74" w:rsidRDefault="000263D3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751" w:type="dxa"/>
          </w:tcPr>
          <w:p w:rsidR="000263D3" w:rsidRPr="00734E74" w:rsidRDefault="000263D3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263D3" w:rsidRPr="00734E74" w:rsidRDefault="000263D3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3D3" w:rsidRPr="00734E74" w:rsidRDefault="000263D3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3D3" w:rsidRPr="00734E74" w:rsidRDefault="000263D3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3D3" w:rsidRPr="00734E74" w:rsidRDefault="000263D3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3D3" w:rsidRPr="00734E74" w:rsidRDefault="000263D3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92129E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263D3" w:rsidP="000263D3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</w:t>
            </w:r>
            <w:r w:rsidR="000B3612"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Male </w:t>
            </w:r>
          </w:p>
        </w:tc>
        <w:tc>
          <w:tcPr>
            <w:tcW w:w="1514" w:type="dxa"/>
          </w:tcPr>
          <w:p w:rsidR="000B3612" w:rsidRPr="00734E74" w:rsidRDefault="00C62E22" w:rsidP="00E745B5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3.43 (</w:t>
            </w:r>
            <w:r w:rsidR="00E745B5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3.28,3.59)</w:t>
            </w:r>
          </w:p>
        </w:tc>
        <w:tc>
          <w:tcPr>
            <w:tcW w:w="709" w:type="dxa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751" w:type="dxa"/>
          </w:tcPr>
          <w:p w:rsidR="000B3612" w:rsidRPr="00734E74" w:rsidRDefault="00CF743E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4.02 (</w:t>
            </w:r>
            <w:r w:rsidR="00564856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3.93,4.12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851" w:type="dxa"/>
            <w:tcBorders>
              <w:left w:val="nil"/>
            </w:tcBorders>
          </w:tcPr>
          <w:p w:rsidR="000B3612" w:rsidRPr="00734E74" w:rsidRDefault="000B3612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2129E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263D3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Female</w:t>
            </w:r>
          </w:p>
        </w:tc>
        <w:tc>
          <w:tcPr>
            <w:tcW w:w="1514" w:type="dxa"/>
          </w:tcPr>
          <w:p w:rsidR="000B3612" w:rsidRPr="00734E74" w:rsidRDefault="00C62E2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3.31</w:t>
            </w:r>
            <w:r w:rsidR="00E745B5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(3.21,3.40)</w:t>
            </w:r>
          </w:p>
        </w:tc>
        <w:tc>
          <w:tcPr>
            <w:tcW w:w="709" w:type="dxa"/>
          </w:tcPr>
          <w:p w:rsidR="000B3612" w:rsidRPr="00734E74" w:rsidRDefault="00C62E2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0.143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751" w:type="dxa"/>
          </w:tcPr>
          <w:p w:rsidR="000B3612" w:rsidRPr="00734E74" w:rsidRDefault="00CF743E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4.08 (</w:t>
            </w:r>
            <w:r w:rsidR="00564856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4.02,4.13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851" w:type="dxa"/>
            <w:tcBorders>
              <w:left w:val="nil"/>
            </w:tcBorders>
          </w:tcPr>
          <w:p w:rsidR="000B3612" w:rsidRPr="00734E74" w:rsidRDefault="00564856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0.329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92129E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  <w:t>Job Role</w:t>
            </w:r>
          </w:p>
        </w:tc>
        <w:tc>
          <w:tcPr>
            <w:tcW w:w="1514" w:type="dxa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751" w:type="dxa"/>
          </w:tcPr>
          <w:p w:rsidR="000B3612" w:rsidRPr="00734E74" w:rsidRDefault="000B3612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B3612" w:rsidRPr="00734E74" w:rsidRDefault="000B3612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612" w:rsidRPr="00734E74" w:rsidRDefault="000B3612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2129E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Clinical</w:t>
            </w:r>
          </w:p>
        </w:tc>
        <w:tc>
          <w:tcPr>
            <w:tcW w:w="1514" w:type="dxa"/>
          </w:tcPr>
          <w:p w:rsidR="005A55D2" w:rsidRPr="00734E74" w:rsidRDefault="00B137F3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3.26 (3.16,3.36)</w:t>
            </w:r>
          </w:p>
        </w:tc>
        <w:tc>
          <w:tcPr>
            <w:tcW w:w="709" w:type="dxa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-0.2</w:t>
            </w:r>
            <w:r w:rsidR="008069B7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-0.4</w:t>
            </w:r>
            <w:r w:rsidR="008069B7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1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,-0.0</w:t>
            </w:r>
            <w:r w:rsidR="008069B7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0.7</w:t>
            </w:r>
            <w:r w:rsidR="008069B7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9</w:t>
            </w: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0.0</w:t>
            </w:r>
            <w:r w:rsidR="008069B7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11</w:t>
            </w:r>
          </w:p>
        </w:tc>
        <w:tc>
          <w:tcPr>
            <w:tcW w:w="1751" w:type="dxa"/>
          </w:tcPr>
          <w:p w:rsidR="005A55D2" w:rsidRPr="00734E74" w:rsidRDefault="00BF3B4F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4.06 (4.00,4.12)</w:t>
            </w:r>
          </w:p>
        </w:tc>
        <w:tc>
          <w:tcPr>
            <w:tcW w:w="851" w:type="dxa"/>
            <w:tcBorders>
              <w:left w:val="nil"/>
            </w:tcBorders>
          </w:tcPr>
          <w:p w:rsidR="005A55D2" w:rsidRPr="00734E74" w:rsidRDefault="005A55D2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2129E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Non-clinical</w:t>
            </w:r>
          </w:p>
        </w:tc>
        <w:tc>
          <w:tcPr>
            <w:tcW w:w="1514" w:type="dxa"/>
          </w:tcPr>
          <w:p w:rsidR="005A55D2" w:rsidRPr="00734E74" w:rsidRDefault="00B137F3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3.53 (3.39,3.67)</w:t>
            </w:r>
          </w:p>
        </w:tc>
        <w:tc>
          <w:tcPr>
            <w:tcW w:w="709" w:type="dxa"/>
          </w:tcPr>
          <w:p w:rsidR="005A55D2" w:rsidRPr="00734E74" w:rsidRDefault="00B137F3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0.002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751" w:type="dxa"/>
          </w:tcPr>
          <w:p w:rsidR="005A55D2" w:rsidRPr="00734E74" w:rsidRDefault="008F4BE1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4.05 (3.97,4.13)</w:t>
            </w:r>
          </w:p>
        </w:tc>
        <w:tc>
          <w:tcPr>
            <w:tcW w:w="851" w:type="dxa"/>
            <w:tcBorders>
              <w:left w:val="nil"/>
            </w:tcBorders>
          </w:tcPr>
          <w:p w:rsidR="005A55D2" w:rsidRPr="00734E74" w:rsidRDefault="008F4BE1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0.831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92129E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  <w:t xml:space="preserve">Weekly patient contact </w:t>
            </w:r>
          </w:p>
        </w:tc>
        <w:tc>
          <w:tcPr>
            <w:tcW w:w="1514" w:type="dxa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751" w:type="dxa"/>
          </w:tcPr>
          <w:p w:rsidR="005A55D2" w:rsidRPr="00734E74" w:rsidRDefault="005A55D2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A55D2" w:rsidRPr="00734E74" w:rsidRDefault="005A55D2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92129E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None</w:t>
            </w:r>
          </w:p>
        </w:tc>
        <w:tc>
          <w:tcPr>
            <w:tcW w:w="1514" w:type="dxa"/>
          </w:tcPr>
          <w:p w:rsidR="005A55D2" w:rsidRPr="00734E74" w:rsidRDefault="009B7E87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3.43</w:t>
            </w:r>
            <w:r w:rsidR="00B46C27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(3.29,3.57)</w:t>
            </w:r>
          </w:p>
        </w:tc>
        <w:tc>
          <w:tcPr>
            <w:tcW w:w="709" w:type="dxa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751" w:type="dxa"/>
          </w:tcPr>
          <w:p w:rsidR="005A55D2" w:rsidRPr="00734E74" w:rsidRDefault="008E2013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3.99 (</w:t>
            </w:r>
            <w:r w:rsidR="006148D5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3.92,4.07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851" w:type="dxa"/>
            <w:tcBorders>
              <w:left w:val="nil"/>
            </w:tcBorders>
          </w:tcPr>
          <w:p w:rsidR="005A55D2" w:rsidRPr="00734E74" w:rsidRDefault="005A55D2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</w:tr>
      <w:tr w:rsidR="0092129E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1-19 hours</w:t>
            </w:r>
          </w:p>
        </w:tc>
        <w:tc>
          <w:tcPr>
            <w:tcW w:w="1514" w:type="dxa"/>
          </w:tcPr>
          <w:p w:rsidR="005A55D2" w:rsidRPr="00734E74" w:rsidRDefault="009B7E87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3.41</w:t>
            </w:r>
            <w:r w:rsidR="00B46C27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(3.27,3.56)</w:t>
            </w:r>
          </w:p>
        </w:tc>
        <w:tc>
          <w:tcPr>
            <w:tcW w:w="709" w:type="dxa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0.</w:t>
            </w:r>
            <w:r w:rsidR="008069B7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-0.</w:t>
            </w:r>
            <w:r w:rsidR="008069B7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09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,0.</w:t>
            </w:r>
            <w:r w:rsidR="008069B7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1.1</w:t>
            </w:r>
            <w:r w:rsidR="008069B7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0.</w:t>
            </w:r>
            <w:r w:rsidR="008069B7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268</w:t>
            </w:r>
          </w:p>
        </w:tc>
        <w:tc>
          <w:tcPr>
            <w:tcW w:w="1751" w:type="dxa"/>
          </w:tcPr>
          <w:p w:rsidR="005A55D2" w:rsidRPr="00734E74" w:rsidRDefault="008E2013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4.11 (</w:t>
            </w:r>
            <w:r w:rsidR="006148D5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4.03,4.20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851" w:type="dxa"/>
            <w:tcBorders>
              <w:left w:val="nil"/>
            </w:tcBorders>
          </w:tcPr>
          <w:p w:rsidR="005A55D2" w:rsidRPr="00734E74" w:rsidRDefault="005A55D2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2129E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20-35 hours</w:t>
            </w:r>
          </w:p>
        </w:tc>
        <w:tc>
          <w:tcPr>
            <w:tcW w:w="1514" w:type="dxa"/>
          </w:tcPr>
          <w:p w:rsidR="005A55D2" w:rsidRPr="00734E74" w:rsidRDefault="009B7E87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3.23</w:t>
            </w:r>
            <w:r w:rsidR="00B46C27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 (3.08,3.38)</w:t>
            </w:r>
          </w:p>
        </w:tc>
        <w:tc>
          <w:tcPr>
            <w:tcW w:w="709" w:type="dxa"/>
          </w:tcPr>
          <w:p w:rsidR="005A55D2" w:rsidRPr="00734E74" w:rsidRDefault="0012254C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0.097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-0.0</w:t>
            </w:r>
            <w:r w:rsidR="008069B7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-0.2</w:t>
            </w:r>
            <w:r w:rsidR="008069B7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7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,0.1</w:t>
            </w:r>
            <w:r w:rsidR="008069B7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0.9</w:t>
            </w:r>
            <w:r w:rsidR="008069B7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0.</w:t>
            </w:r>
            <w:r w:rsidR="008069B7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572</w:t>
            </w:r>
          </w:p>
        </w:tc>
        <w:tc>
          <w:tcPr>
            <w:tcW w:w="1751" w:type="dxa"/>
          </w:tcPr>
          <w:p w:rsidR="005A55D2" w:rsidRPr="00734E74" w:rsidRDefault="008E2013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4.08 (</w:t>
            </w:r>
            <w:r w:rsidR="006148D5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3.97,4.16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)</w:t>
            </w:r>
          </w:p>
        </w:tc>
        <w:tc>
          <w:tcPr>
            <w:tcW w:w="851" w:type="dxa"/>
            <w:tcBorders>
              <w:left w:val="nil"/>
            </w:tcBorders>
          </w:tcPr>
          <w:p w:rsidR="005A55D2" w:rsidRPr="00734E74" w:rsidRDefault="00564856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0.109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2129E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  <w:t>Smoking status</w:t>
            </w:r>
          </w:p>
        </w:tc>
        <w:tc>
          <w:tcPr>
            <w:tcW w:w="1514" w:type="dxa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751" w:type="dxa"/>
          </w:tcPr>
          <w:p w:rsidR="005A55D2" w:rsidRPr="00734E74" w:rsidRDefault="005A55D2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5A55D2" w:rsidRPr="00734E74" w:rsidRDefault="005A55D2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</w:tr>
      <w:tr w:rsidR="0092129E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 Non-smoker</w:t>
            </w:r>
          </w:p>
        </w:tc>
        <w:tc>
          <w:tcPr>
            <w:tcW w:w="1514" w:type="dxa"/>
          </w:tcPr>
          <w:p w:rsidR="005A55D2" w:rsidRPr="00734E74" w:rsidRDefault="0012254C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3.60</w:t>
            </w:r>
            <w:r w:rsidR="00B46C27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 xml:space="preserve"> (3.50,3.70)</w:t>
            </w:r>
          </w:p>
        </w:tc>
        <w:tc>
          <w:tcPr>
            <w:tcW w:w="709" w:type="dxa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751" w:type="dxa"/>
          </w:tcPr>
          <w:p w:rsidR="005A55D2" w:rsidRPr="00734E74" w:rsidRDefault="008E2013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4.11 (</w:t>
            </w:r>
            <w:r w:rsidR="007949E6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4.05,4.17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)</w:t>
            </w:r>
          </w:p>
        </w:tc>
        <w:tc>
          <w:tcPr>
            <w:tcW w:w="851" w:type="dxa"/>
            <w:tcBorders>
              <w:left w:val="nil"/>
            </w:tcBorders>
          </w:tcPr>
          <w:p w:rsidR="005A55D2" w:rsidRPr="00734E74" w:rsidRDefault="005A55D2" w:rsidP="00CF743E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55D2" w:rsidRPr="00734E74" w:rsidRDefault="005A55D2" w:rsidP="005A55D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054E49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Ex-smoker</w:t>
            </w:r>
          </w:p>
        </w:tc>
        <w:tc>
          <w:tcPr>
            <w:tcW w:w="1514" w:type="dxa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3.15 (2.96,3.31)</w:t>
            </w:r>
          </w:p>
        </w:tc>
        <w:tc>
          <w:tcPr>
            <w:tcW w:w="709" w:type="dxa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-0.4</w:t>
            </w:r>
            <w:r w:rsidR="008069B7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-0.61,-0.2</w:t>
            </w:r>
            <w:r w:rsidR="008069B7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0.6</w:t>
            </w:r>
            <w:r w:rsidR="008069B7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5</w:t>
            </w: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&lt;0.001</w:t>
            </w:r>
          </w:p>
        </w:tc>
        <w:tc>
          <w:tcPr>
            <w:tcW w:w="1751" w:type="dxa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4.08 (4.01,4.17)</w:t>
            </w:r>
          </w:p>
        </w:tc>
        <w:tc>
          <w:tcPr>
            <w:tcW w:w="851" w:type="dxa"/>
            <w:tcBorders>
              <w:left w:val="nil"/>
            </w:tcBorders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-0.0</w:t>
            </w:r>
            <w:r w:rsidR="00910CB9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-0.13,0.0</w:t>
            </w:r>
            <w:r w:rsidR="00910CB9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0.9</w:t>
            </w:r>
            <w:r w:rsidR="00910CB9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0.</w:t>
            </w:r>
            <w:r w:rsidR="00910CB9"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405</w:t>
            </w:r>
          </w:p>
        </w:tc>
      </w:tr>
      <w:tr w:rsidR="00054E49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Current smoker</w:t>
            </w:r>
          </w:p>
        </w:tc>
        <w:tc>
          <w:tcPr>
            <w:tcW w:w="1514" w:type="dxa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2.72 (2.53,2.92)</w:t>
            </w:r>
          </w:p>
        </w:tc>
        <w:tc>
          <w:tcPr>
            <w:tcW w:w="709" w:type="dxa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&lt;0.001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-0.8</w:t>
            </w:r>
            <w:r w:rsidR="008069B7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4</w:t>
            </w: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-1.0</w:t>
            </w:r>
            <w:r w:rsidR="008069B7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8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,-0.61</w:t>
            </w: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0.43</w:t>
            </w: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&lt;0.001</w:t>
            </w:r>
          </w:p>
        </w:tc>
        <w:tc>
          <w:tcPr>
            <w:tcW w:w="1751" w:type="dxa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3.77 (3.63,3.90)</w:t>
            </w:r>
          </w:p>
        </w:tc>
        <w:tc>
          <w:tcPr>
            <w:tcW w:w="851" w:type="dxa"/>
            <w:tcBorders>
              <w:left w:val="nil"/>
            </w:tcBorders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&lt;0.001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-0.33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-0.4</w:t>
            </w:r>
            <w:r w:rsidR="00910CB9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8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,-0.1</w:t>
            </w:r>
            <w:r w:rsidR="00910CB9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0.72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&lt;0.001</w:t>
            </w:r>
          </w:p>
        </w:tc>
      </w:tr>
      <w:tr w:rsidR="00054E49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  <w:t>Smoking cessation</w:t>
            </w: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training</w:t>
            </w:r>
          </w:p>
        </w:tc>
        <w:tc>
          <w:tcPr>
            <w:tcW w:w="1514" w:type="dxa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751" w:type="dxa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</w:tr>
      <w:tr w:rsidR="00054E49" w:rsidRPr="00734E74" w:rsidTr="0092129E">
        <w:trPr>
          <w:trHeight w:hRule="exact" w:val="266"/>
        </w:trPr>
        <w:tc>
          <w:tcPr>
            <w:tcW w:w="207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 Yes</w:t>
            </w:r>
          </w:p>
        </w:tc>
        <w:tc>
          <w:tcPr>
            <w:tcW w:w="1514" w:type="dxa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3.36 (3.23,3.50)</w:t>
            </w:r>
          </w:p>
        </w:tc>
        <w:tc>
          <w:tcPr>
            <w:tcW w:w="709" w:type="dxa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13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946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751" w:type="dxa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4.18 (4.12,4.25)</w:t>
            </w:r>
          </w:p>
        </w:tc>
        <w:tc>
          <w:tcPr>
            <w:tcW w:w="851" w:type="dxa"/>
            <w:tcBorders>
              <w:left w:val="nil"/>
            </w:tcBorders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0.2</w:t>
            </w:r>
            <w:r w:rsidR="00910CB9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 xml:space="preserve"> 0.1</w:t>
            </w:r>
            <w:r w:rsidR="00910CB9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1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,0.</w:t>
            </w:r>
            <w:r w:rsidR="00910CB9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1.2</w:t>
            </w:r>
            <w:r w:rsidR="00910CB9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910CB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&lt;</w:t>
            </w:r>
            <w:r w:rsidR="00054E49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0.001</w:t>
            </w:r>
          </w:p>
        </w:tc>
      </w:tr>
      <w:tr w:rsidR="00054E49" w:rsidRPr="00734E74" w:rsidTr="00CB0F39">
        <w:trPr>
          <w:trHeight w:hRule="exact" w:val="266"/>
        </w:trPr>
        <w:tc>
          <w:tcPr>
            <w:tcW w:w="207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No/Unsure</w:t>
            </w:r>
          </w:p>
        </w:tc>
        <w:tc>
          <w:tcPr>
            <w:tcW w:w="1514" w:type="dxa"/>
            <w:tcBorders>
              <w:bottom w:val="single" w:sz="12" w:space="0" w:color="auto"/>
            </w:tcBorders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3.34 (3.24,3.44)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>0.777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946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1751" w:type="dxa"/>
            <w:tcBorders>
              <w:bottom w:val="single" w:sz="12" w:space="0" w:color="auto"/>
            </w:tcBorders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3.97 (3.90,4.04)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  <w:t>&lt;0.001</w:t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E49" w:rsidRPr="00734E74" w:rsidRDefault="00054E49" w:rsidP="00054E4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</w:rPr>
            </w:pPr>
          </w:p>
        </w:tc>
      </w:tr>
      <w:tr w:rsidR="00054E49" w:rsidRPr="00734E74" w:rsidTr="00CB0F39">
        <w:trPr>
          <w:trHeight w:val="510"/>
        </w:trPr>
        <w:tc>
          <w:tcPr>
            <w:tcW w:w="14082" w:type="dxa"/>
            <w:gridSpan w:val="14"/>
            <w:tcBorders>
              <w:top w:val="single" w:sz="12" w:space="0" w:color="auto"/>
            </w:tcBorders>
          </w:tcPr>
          <w:p w:rsidR="00054E49" w:rsidRPr="00734E74" w:rsidRDefault="00054E49" w:rsidP="00054E49">
            <w:pPr>
              <w:suppressAutoHyphens/>
              <w:autoSpaceDN w:val="0"/>
              <w:spacing w:before="6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Notes: Weekly contact hours were not recorded for 14 participants; hence the model includes 617 participants only; Reference categories for Age = 50+ years, Job Role = Non-clinical, Smoking status = Non-smoker, Smoking cessation training = No/Unsure; 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B = beta; CI = 95% confidence interval; </w:t>
            </w:r>
            <w:r w:rsidRPr="00734E7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β</w:t>
            </w:r>
            <w:r w:rsidRPr="00734E74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= standardised beta</w:t>
            </w:r>
            <w:r w:rsidR="00772416"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;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For ‘Organisational’ </w:t>
            </w:r>
            <w:r w:rsidR="00712F0B"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mnibus overall model likelihood ratio </w:t>
            </w:r>
            <w:r w:rsidRPr="00734E7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χ</w:t>
            </w:r>
            <w:r w:rsidRPr="00734E74">
              <w:rPr>
                <w:rFonts w:ascii="Times New Roman" w:eastAsia="Calibri" w:hAnsi="Times New Roman" w:cs="Times New Roman"/>
                <w:iCs/>
                <w:sz w:val="18"/>
                <w:szCs w:val="18"/>
                <w:vertAlign w:val="superscript"/>
              </w:rPr>
              <w:t>2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= </w:t>
            </w:r>
            <w:r w:rsidR="00D54781"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76.66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34E74">
              <w:rPr>
                <w:rFonts w:ascii="Times New Roman" w:eastAsia="Calibri" w:hAnsi="Times New Roman" w:cs="Times New Roman"/>
                <w:i/>
                <w:caps/>
                <w:sz w:val="18"/>
                <w:szCs w:val="18"/>
                <w:lang w:val="en-US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&lt; 0.001</w:t>
            </w:r>
            <w:r w:rsidR="00772416"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;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For ‘Staff Practice’ </w:t>
            </w:r>
            <w:r w:rsidR="00712F0B"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mnibus overall model likelihood ratio </w:t>
            </w:r>
            <w:r w:rsidRPr="00734E7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χ</w:t>
            </w:r>
            <w:r w:rsidRPr="00734E74">
              <w:rPr>
                <w:rFonts w:ascii="Times New Roman" w:eastAsia="Calibri" w:hAnsi="Times New Roman" w:cs="Times New Roman"/>
                <w:iCs/>
                <w:sz w:val="18"/>
                <w:szCs w:val="18"/>
                <w:vertAlign w:val="superscript"/>
              </w:rPr>
              <w:t>2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= 4</w:t>
            </w:r>
            <w:r w:rsidR="00C963B0"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0.97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734E74">
              <w:rPr>
                <w:rFonts w:ascii="Times New Roman" w:eastAsia="Calibri" w:hAnsi="Times New Roman" w:cs="Times New Roman"/>
                <w:i/>
                <w:caps/>
                <w:sz w:val="18"/>
                <w:szCs w:val="18"/>
                <w:lang w:val="en-US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&lt; 0.001.</w:t>
            </w:r>
            <w:r w:rsidRPr="00734E7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A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ssociations with significance </w:t>
            </w:r>
            <w:r w:rsidRPr="00734E7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&lt; 0.05 are indicated in bold.</w:t>
            </w:r>
          </w:p>
        </w:tc>
      </w:tr>
      <w:tr w:rsidR="00CB0F39" w:rsidRPr="00734E74" w:rsidTr="00CB0F39">
        <w:trPr>
          <w:trHeight w:val="510"/>
        </w:trPr>
        <w:tc>
          <w:tcPr>
            <w:tcW w:w="14082" w:type="dxa"/>
            <w:gridSpan w:val="14"/>
          </w:tcPr>
          <w:p w:rsidR="00CB0F39" w:rsidRPr="00734E74" w:rsidRDefault="00CB0F39" w:rsidP="00054E49">
            <w:pPr>
              <w:suppressAutoHyphens/>
              <w:autoSpaceDN w:val="0"/>
              <w:spacing w:before="6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B0F39" w:rsidRPr="00734E74" w:rsidRDefault="00CB0F39" w:rsidP="00054E49">
            <w:pPr>
              <w:suppressAutoHyphens/>
              <w:autoSpaceDN w:val="0"/>
              <w:spacing w:before="6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92A63" w:rsidRPr="00734E74" w:rsidRDefault="00D92A63" w:rsidP="00FF1ACE">
      <w:pPr>
        <w:spacing w:line="360" w:lineRule="auto"/>
        <w:rPr>
          <w:rFonts w:eastAsia="Calibri" w:cs="Arial"/>
          <w:b/>
          <w:sz w:val="22"/>
        </w:rPr>
      </w:pPr>
    </w:p>
    <w:p w:rsidR="00CB0F39" w:rsidRPr="00734E74" w:rsidRDefault="00CB0F39" w:rsidP="00FF1ACE">
      <w:pPr>
        <w:spacing w:line="360" w:lineRule="auto"/>
        <w:rPr>
          <w:rFonts w:eastAsia="Calibri" w:cs="Arial"/>
          <w:b/>
          <w:sz w:val="22"/>
        </w:rPr>
      </w:pPr>
    </w:p>
    <w:p w:rsidR="00CB0F39" w:rsidRPr="00734E74" w:rsidRDefault="00CB0F39" w:rsidP="00FF1ACE">
      <w:pPr>
        <w:spacing w:line="360" w:lineRule="auto"/>
        <w:rPr>
          <w:rFonts w:eastAsia="Calibri" w:cs="Arial"/>
          <w:b/>
          <w:sz w:val="22"/>
        </w:rPr>
      </w:pPr>
    </w:p>
    <w:p w:rsidR="00CB0F39" w:rsidRPr="00734E74" w:rsidRDefault="00CB0F39" w:rsidP="00FF1ACE">
      <w:pPr>
        <w:spacing w:line="360" w:lineRule="auto"/>
        <w:rPr>
          <w:rFonts w:eastAsia="Calibri" w:cs="Arial"/>
          <w:b/>
          <w:sz w:val="22"/>
        </w:rPr>
      </w:pPr>
    </w:p>
    <w:p w:rsidR="00CB0F39" w:rsidRPr="00734E74" w:rsidRDefault="00CB0F39" w:rsidP="00FF1ACE">
      <w:pPr>
        <w:spacing w:line="360" w:lineRule="auto"/>
        <w:rPr>
          <w:rFonts w:eastAsia="Calibri" w:cs="Arial"/>
          <w:b/>
          <w:sz w:val="22"/>
        </w:rPr>
      </w:pPr>
    </w:p>
    <w:p w:rsidR="00CB0F39" w:rsidRPr="00734E74" w:rsidRDefault="00CB0F39" w:rsidP="00FF1ACE">
      <w:pPr>
        <w:spacing w:line="360" w:lineRule="auto"/>
        <w:rPr>
          <w:rFonts w:eastAsia="Calibri" w:cs="Arial"/>
          <w:b/>
          <w:sz w:val="22"/>
        </w:rPr>
      </w:pPr>
    </w:p>
    <w:tbl>
      <w:tblPr>
        <w:tblW w:w="12381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3"/>
        <w:gridCol w:w="1418"/>
        <w:gridCol w:w="1701"/>
        <w:gridCol w:w="1559"/>
        <w:gridCol w:w="850"/>
      </w:tblGrid>
      <w:tr w:rsidR="00CB0F39" w:rsidRPr="00734E74" w:rsidTr="001B4D92">
        <w:trPr>
          <w:trHeight w:val="442"/>
        </w:trPr>
        <w:tc>
          <w:tcPr>
            <w:tcW w:w="12381" w:type="dxa"/>
            <w:gridSpan w:val="5"/>
            <w:tcBorders>
              <w:bottom w:val="single" w:sz="12" w:space="0" w:color="auto"/>
            </w:tcBorders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734E74">
              <w:rPr>
                <w:rFonts w:ascii="Times New Roman" w:eastAsia="Calibri" w:hAnsi="Times New Roman" w:cs="Times New Roman"/>
                <w:szCs w:val="24"/>
              </w:rPr>
              <w:t xml:space="preserve">Table 4. </w:t>
            </w:r>
          </w:p>
          <w:p w:rsidR="00CB0F39" w:rsidRPr="00734E74" w:rsidRDefault="00712F0B" w:rsidP="001B4D9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Cs w:val="24"/>
              </w:rPr>
              <w:t>Frequency (percentage) of a</w:t>
            </w:r>
            <w:r w:rsidR="00CB0F39" w:rsidRPr="00734E74">
              <w:rPr>
                <w:rFonts w:ascii="Times New Roman" w:eastAsia="Calibri" w:hAnsi="Times New Roman" w:cs="Times New Roman"/>
                <w:szCs w:val="24"/>
              </w:rPr>
              <w:t xml:space="preserve">greement (response of </w:t>
            </w:r>
            <w:r w:rsidR="00B70640" w:rsidRPr="00734E74">
              <w:rPr>
                <w:rFonts w:ascii="Times New Roman" w:eastAsia="Calibri" w:hAnsi="Times New Roman" w:cs="Times New Roman"/>
                <w:szCs w:val="24"/>
              </w:rPr>
              <w:t>‘</w:t>
            </w:r>
            <w:r w:rsidRPr="00734E74">
              <w:rPr>
                <w:rFonts w:ascii="Times New Roman" w:eastAsia="Calibri" w:hAnsi="Times New Roman" w:cs="Times New Roman"/>
                <w:szCs w:val="24"/>
              </w:rPr>
              <w:t>Agree</w:t>
            </w:r>
            <w:r w:rsidR="00B70640" w:rsidRPr="00734E74">
              <w:rPr>
                <w:rFonts w:ascii="Times New Roman" w:eastAsia="Calibri" w:hAnsi="Times New Roman" w:cs="Times New Roman"/>
                <w:szCs w:val="24"/>
              </w:rPr>
              <w:t>’</w:t>
            </w:r>
            <w:r w:rsidRPr="00734E74">
              <w:rPr>
                <w:rFonts w:ascii="Times New Roman" w:eastAsia="Calibri" w:hAnsi="Times New Roman" w:cs="Times New Roman"/>
                <w:szCs w:val="24"/>
              </w:rPr>
              <w:t xml:space="preserve"> or </w:t>
            </w:r>
            <w:r w:rsidR="00B70640" w:rsidRPr="00734E74">
              <w:rPr>
                <w:rFonts w:ascii="Times New Roman" w:eastAsia="Calibri" w:hAnsi="Times New Roman" w:cs="Times New Roman"/>
                <w:szCs w:val="24"/>
              </w:rPr>
              <w:t>‘</w:t>
            </w:r>
            <w:r w:rsidR="00CB0F39" w:rsidRPr="00734E74">
              <w:rPr>
                <w:rFonts w:ascii="Times New Roman" w:eastAsia="Calibri" w:hAnsi="Times New Roman" w:cs="Times New Roman"/>
                <w:szCs w:val="24"/>
              </w:rPr>
              <w:t>Strongly Agree</w:t>
            </w:r>
            <w:r w:rsidR="00B70640" w:rsidRPr="00734E74">
              <w:rPr>
                <w:rFonts w:ascii="Times New Roman" w:eastAsia="Calibri" w:hAnsi="Times New Roman" w:cs="Times New Roman"/>
                <w:szCs w:val="24"/>
              </w:rPr>
              <w:t>’</w:t>
            </w:r>
            <w:r w:rsidR="00CB0F39" w:rsidRPr="00734E74">
              <w:rPr>
                <w:rFonts w:ascii="Times New Roman" w:eastAsia="Calibri" w:hAnsi="Times New Roman" w:cs="Times New Roman"/>
                <w:szCs w:val="24"/>
              </w:rPr>
              <w:t>) with questionnaire items according to professional job role and whether individuals had received training to deliver smoking cessation advice.</w:t>
            </w:r>
          </w:p>
        </w:tc>
      </w:tr>
      <w:tr w:rsidR="00CB0F39" w:rsidRPr="00734E74" w:rsidTr="00B70640">
        <w:trPr>
          <w:trHeight w:hRule="exact" w:val="301"/>
        </w:trPr>
        <w:tc>
          <w:tcPr>
            <w:tcW w:w="6853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  <w:u w:val="single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  <w:u w:val="single"/>
              </w:rPr>
              <w:t>Professional role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CB0F39" w:rsidRPr="00734E74" w:rsidTr="00B70640">
        <w:trPr>
          <w:trHeight w:hRule="exact" w:val="587"/>
        </w:trPr>
        <w:tc>
          <w:tcPr>
            <w:tcW w:w="68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Organisation</w:t>
            </w:r>
            <w:r w:rsidR="00712F0B" w:rsidRPr="00734E74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al</w:t>
            </w: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 xml:space="preserve"> component items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F39" w:rsidRPr="00734E74" w:rsidRDefault="00CB0F39" w:rsidP="001B4D9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Clinical staff</w:t>
            </w:r>
          </w:p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(</w:t>
            </w:r>
            <w:r w:rsidRPr="00734E74">
              <w:rPr>
                <w:rFonts w:ascii="Times New Roman" w:eastAsia="Calibri" w:hAnsi="Times New Roman" w:cs="Times New Roman"/>
                <w:i/>
                <w:sz w:val="22"/>
              </w:rPr>
              <w:t>n</w:t>
            </w:r>
            <w:r w:rsidRPr="00734E74">
              <w:rPr>
                <w:rFonts w:ascii="Times New Roman" w:eastAsia="Calibri" w:hAnsi="Times New Roman" w:cs="Times New Roman"/>
                <w:sz w:val="22"/>
              </w:rPr>
              <w:t xml:space="preserve"> = 417)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F39" w:rsidRPr="00734E74" w:rsidRDefault="00CB0F39" w:rsidP="001B4D9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 xml:space="preserve">Non-clinical </w:t>
            </w:r>
          </w:p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(</w:t>
            </w:r>
            <w:r w:rsidRPr="00734E74">
              <w:rPr>
                <w:rFonts w:ascii="Times New Roman" w:eastAsia="Calibri" w:hAnsi="Times New Roman" w:cs="Times New Roman"/>
                <w:i/>
                <w:sz w:val="22"/>
              </w:rPr>
              <w:t>n</w:t>
            </w:r>
            <w:r w:rsidRPr="00734E74">
              <w:rPr>
                <w:rFonts w:ascii="Times New Roman" w:eastAsia="Calibri" w:hAnsi="Times New Roman" w:cs="Times New Roman"/>
                <w:sz w:val="22"/>
              </w:rPr>
              <w:t xml:space="preserve"> = 214)</w:t>
            </w:r>
          </w:p>
        </w:tc>
        <w:tc>
          <w:tcPr>
            <w:tcW w:w="1559" w:type="dxa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CB0F39" w:rsidRPr="00734E74" w:rsidTr="00B70640">
        <w:trPr>
          <w:trHeight w:hRule="exact" w:val="301"/>
        </w:trPr>
        <w:tc>
          <w:tcPr>
            <w:tcW w:w="68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  <w:t>n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  <w:t>n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1559" w:type="dxa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>OR</w:t>
            </w:r>
            <w:r w:rsidR="0036421F"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(CI)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  <w:t>P</w:t>
            </w:r>
          </w:p>
        </w:tc>
      </w:tr>
      <w:tr w:rsidR="00CB0F39" w:rsidRPr="00734E74" w:rsidTr="00B70640">
        <w:trPr>
          <w:trHeight w:hRule="exact" w:val="301"/>
        </w:trPr>
        <w:tc>
          <w:tcPr>
            <w:tcW w:w="68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Smoking should be totally banned in all areas of our inpatient wards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152 (36.5)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103 (48.1)</w:t>
            </w:r>
          </w:p>
        </w:tc>
        <w:tc>
          <w:tcPr>
            <w:tcW w:w="1559" w:type="dxa"/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0.67 (0.46,0.97)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0.033</w:t>
            </w:r>
          </w:p>
        </w:tc>
      </w:tr>
      <w:tr w:rsidR="00CB0F39" w:rsidRPr="00734E74" w:rsidTr="00B70640">
        <w:trPr>
          <w:trHeight w:hRule="exact" w:val="301"/>
        </w:trPr>
        <w:tc>
          <w:tcPr>
            <w:tcW w:w="68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pacing w:line="36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4E74">
              <w:rPr>
                <w:rFonts w:ascii="Times New Roman" w:eastAsia="Calibri" w:hAnsi="Times New Roman" w:cs="Times New Roman"/>
                <w:sz w:val="21"/>
                <w:szCs w:val="21"/>
              </w:rPr>
              <w:t>Smoking should be totally banned throughout areas of mental health services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162 (38.8)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107 (50.0)</w:t>
            </w:r>
          </w:p>
        </w:tc>
        <w:tc>
          <w:tcPr>
            <w:tcW w:w="1559" w:type="dxa"/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0.70 (0.48,1.02)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0.061</w:t>
            </w:r>
          </w:p>
        </w:tc>
      </w:tr>
      <w:tr w:rsidR="00CB0F39" w:rsidRPr="00734E74" w:rsidTr="00B70640">
        <w:trPr>
          <w:trHeight w:hRule="exact" w:val="301"/>
        </w:trPr>
        <w:tc>
          <w:tcPr>
            <w:tcW w:w="68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Hospitalisation is a good opportunity for smoking cessation intervention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268 (64.3)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155 (72.4)</w:t>
            </w:r>
          </w:p>
        </w:tc>
        <w:tc>
          <w:tcPr>
            <w:tcW w:w="1559" w:type="dxa"/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0.61 (0.41,0.91)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0.016</w:t>
            </w:r>
          </w:p>
        </w:tc>
      </w:tr>
      <w:tr w:rsidR="00CB0F39" w:rsidRPr="00734E74" w:rsidTr="00B70640">
        <w:trPr>
          <w:trHeight w:hRule="exact" w:val="301"/>
        </w:trPr>
        <w:tc>
          <w:tcPr>
            <w:tcW w:w="6853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Patients who smoke should be encouraged to quit smoking while hospitalised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264 (63.3)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158 (73.8)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0.55 (0.36,0.83)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0.004</w:t>
            </w:r>
          </w:p>
        </w:tc>
      </w:tr>
      <w:tr w:rsidR="00CB0F39" w:rsidRPr="00734E74" w:rsidTr="00B70640">
        <w:trPr>
          <w:trHeight w:hRule="exact" w:val="301"/>
        </w:trPr>
        <w:tc>
          <w:tcPr>
            <w:tcW w:w="6853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  <w:u w:val="single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  <w:u w:val="single"/>
              </w:rPr>
              <w:t>Smoking cessation training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</w:tr>
      <w:tr w:rsidR="00CB0F39" w:rsidRPr="00734E74" w:rsidTr="00B70640">
        <w:trPr>
          <w:trHeight w:hRule="exact" w:val="603"/>
        </w:trPr>
        <w:tc>
          <w:tcPr>
            <w:tcW w:w="68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u w:val="single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  <w:u w:val="single"/>
              </w:rPr>
              <w:t xml:space="preserve">Staff </w:t>
            </w:r>
            <w:r w:rsidR="00712F0B" w:rsidRPr="00734E74">
              <w:rPr>
                <w:rFonts w:ascii="Times New Roman" w:eastAsia="Calibri" w:hAnsi="Times New Roman" w:cs="Times New Roman"/>
                <w:sz w:val="22"/>
                <w:u w:val="single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22"/>
                <w:u w:val="single"/>
              </w:rPr>
              <w:t>ractice component items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Yes </w:t>
            </w:r>
          </w:p>
          <w:p w:rsidR="00CB0F39" w:rsidRPr="00734E74" w:rsidRDefault="00CB0F39" w:rsidP="001B4D9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(</w:t>
            </w:r>
            <w:r w:rsidRPr="00734E74"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  <w:t>n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=</w:t>
            </w:r>
            <w:r w:rsidR="00B70640"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251)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640" w:rsidRPr="00734E74" w:rsidRDefault="00CB0F39" w:rsidP="001B4D9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No/Unsure </w:t>
            </w:r>
          </w:p>
          <w:p w:rsidR="00CB0F39" w:rsidRPr="00734E74" w:rsidRDefault="00CB0F39" w:rsidP="001B4D9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(</w:t>
            </w:r>
            <w:r w:rsidRPr="00734E74"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  <w:t>n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= 380)</w:t>
            </w:r>
          </w:p>
        </w:tc>
        <w:tc>
          <w:tcPr>
            <w:tcW w:w="1559" w:type="dxa"/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</w:tr>
      <w:tr w:rsidR="00CB0F39" w:rsidRPr="00734E74" w:rsidTr="00B70640">
        <w:trPr>
          <w:trHeight w:hRule="exact" w:val="290"/>
        </w:trPr>
        <w:tc>
          <w:tcPr>
            <w:tcW w:w="68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  <w:t>n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  <w:t>n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1559" w:type="dxa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>OR</w:t>
            </w:r>
            <w:r w:rsidR="0036421F"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(CI)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  <w:t>P</w:t>
            </w:r>
          </w:p>
        </w:tc>
      </w:tr>
      <w:tr w:rsidR="00CB0F39" w:rsidRPr="00734E74" w:rsidTr="00B70640">
        <w:trPr>
          <w:trHeight w:hRule="exact" w:val="301"/>
        </w:trPr>
        <w:tc>
          <w:tcPr>
            <w:tcW w:w="68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Ward staff should be trained to offer advice and support on smoking cessation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238 (94.8)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327 (86.1)</w:t>
            </w:r>
          </w:p>
        </w:tc>
        <w:tc>
          <w:tcPr>
            <w:tcW w:w="1559" w:type="dxa"/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2.82 (1.49,5.32)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0.001</w:t>
            </w:r>
          </w:p>
        </w:tc>
      </w:tr>
      <w:tr w:rsidR="00CB0F39" w:rsidRPr="00734E74" w:rsidTr="00B70640">
        <w:trPr>
          <w:trHeight w:hRule="exact" w:val="301"/>
        </w:trPr>
        <w:tc>
          <w:tcPr>
            <w:tcW w:w="685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All clinical staff should offer smoking cessation advice routinely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218 (86.9)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284 (74.7)</w:t>
            </w:r>
          </w:p>
        </w:tc>
        <w:tc>
          <w:tcPr>
            <w:tcW w:w="1559" w:type="dxa"/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2.18 (1.41,3.36)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&lt;0.001</w:t>
            </w:r>
          </w:p>
        </w:tc>
      </w:tr>
      <w:tr w:rsidR="00CB0F39" w:rsidRPr="00734E74" w:rsidTr="00B70640">
        <w:trPr>
          <w:trHeight w:hRule="exact" w:val="301"/>
        </w:trPr>
        <w:tc>
          <w:tcPr>
            <w:tcW w:w="6853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I am aware of existing policies that deal with smoking in my workplace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232 (92.4)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330 (86.8)</w:t>
            </w:r>
          </w:p>
        </w:tc>
        <w:tc>
          <w:tcPr>
            <w:tcW w:w="1559" w:type="dxa"/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1.78 (1.02,3.12)</w:t>
            </w: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F39" w:rsidRPr="00734E74" w:rsidRDefault="00CB0F39" w:rsidP="001B4D9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0.042</w:t>
            </w:r>
          </w:p>
        </w:tc>
      </w:tr>
      <w:tr w:rsidR="00CB0F39" w:rsidRPr="00734E74" w:rsidTr="001B4D92">
        <w:trPr>
          <w:trHeight w:val="1428"/>
        </w:trPr>
        <w:tc>
          <w:tcPr>
            <w:tcW w:w="12381" w:type="dxa"/>
            <w:gridSpan w:val="5"/>
            <w:tcBorders>
              <w:top w:val="single" w:sz="12" w:space="0" w:color="auto"/>
            </w:tcBorders>
          </w:tcPr>
          <w:p w:rsidR="00CB0F39" w:rsidRPr="00734E74" w:rsidRDefault="00CB0F39" w:rsidP="001B4D92">
            <w:pPr>
              <w:suppressAutoHyphens/>
              <w:autoSpaceDN w:val="0"/>
              <w:spacing w:before="6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Notes: </w:t>
            </w:r>
            <w:r w:rsidRPr="00734E74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values were calculated using (binary) logistic regression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controlling for those variables included in corresponding GLM analyses of component scores in Table 3 (for Professional role in Organisation</w:t>
            </w:r>
            <w:r w:rsidR="00712F0B"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>al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component items: Age, Weekly patient contact, and Smoking status; for Smoking cessation training in Staff </w:t>
            </w:r>
            <w:r w:rsidR="00712F0B"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>ractice component items: Smoking status)</w:t>
            </w:r>
            <w:r w:rsidR="0036421F"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</w:t>
            </w:r>
            <w:r w:rsidR="0036421F"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>OR = odds ratio</w:t>
            </w:r>
            <w:r w:rsidR="0036421F"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; CI = 95% confidence interval;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Weekly contact hours were not recorded for 14 participants; hence the ORs and associated </w:t>
            </w:r>
            <w:r w:rsidR="00712F0B" w:rsidRPr="00734E7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values for Profession</w:t>
            </w:r>
            <w:r w:rsidR="00712F0B"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>al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role were calculated from models including 617 participants</w:t>
            </w:r>
            <w:r w:rsidR="00712F0B"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only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>; Reference categories for Profession</w:t>
            </w:r>
            <w:r w:rsidR="00712F0B"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>al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role </w:t>
            </w:r>
            <w:r w:rsidR="00D81B1B"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Non-clinical and for Smoking cessation training</w:t>
            </w:r>
            <w:r w:rsidR="00D81B1B"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430A4"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>No/Unsure/Not Applicable (NA)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Associations with significance </w:t>
            </w:r>
            <w:r w:rsidRPr="00734E7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&lt; 0.05 are indicated in bold.</w:t>
            </w:r>
          </w:p>
        </w:tc>
      </w:tr>
    </w:tbl>
    <w:p w:rsidR="00CB0F39" w:rsidRPr="00734E74" w:rsidRDefault="00CB0F39" w:rsidP="00FF1ACE">
      <w:pPr>
        <w:spacing w:line="360" w:lineRule="auto"/>
        <w:rPr>
          <w:rFonts w:eastAsia="Calibri" w:cs="Arial"/>
          <w:b/>
          <w:sz w:val="22"/>
        </w:rPr>
        <w:sectPr w:rsidR="00CB0F39" w:rsidRPr="00734E74" w:rsidSect="000B361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F1ACE" w:rsidRPr="00734E74" w:rsidRDefault="00FF1ACE" w:rsidP="00FF1ACE">
      <w:pPr>
        <w:spacing w:line="360" w:lineRule="auto"/>
        <w:rPr>
          <w:rFonts w:ascii="Times New Roman" w:eastAsia="Calibri" w:hAnsi="Times New Roman" w:cs="Times New Roman"/>
          <w:b/>
          <w:sz w:val="22"/>
        </w:rPr>
      </w:pPr>
    </w:p>
    <w:p w:rsidR="00FF1ACE" w:rsidRPr="00734E74" w:rsidRDefault="00FF1ACE" w:rsidP="00FF1ACE">
      <w:pPr>
        <w:spacing w:line="360" w:lineRule="auto"/>
        <w:rPr>
          <w:rFonts w:ascii="Times New Roman" w:eastAsia="Calibri" w:hAnsi="Times New Roman" w:cs="Times New Roman"/>
          <w:b/>
          <w:szCs w:val="24"/>
        </w:rPr>
      </w:pPr>
      <w:r w:rsidRPr="00734E74">
        <w:rPr>
          <w:rFonts w:ascii="Times New Roman" w:eastAsia="Calibri" w:hAnsi="Times New Roman" w:cs="Times New Roman"/>
          <w:b/>
          <w:szCs w:val="24"/>
        </w:rPr>
        <w:t>Figure Caption</w:t>
      </w:r>
      <w:bookmarkStart w:id="0" w:name="_GoBack"/>
      <w:bookmarkEnd w:id="0"/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Cs w:val="24"/>
        </w:rPr>
      </w:pPr>
      <w:r w:rsidRPr="00734E74">
        <w:rPr>
          <w:rFonts w:ascii="Times New Roman" w:eastAsia="Calibri" w:hAnsi="Times New Roman" w:cs="Times New Roman"/>
          <w:szCs w:val="24"/>
        </w:rPr>
        <w:t xml:space="preserve">Figure 1. </w:t>
      </w: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szCs w:val="24"/>
        </w:rPr>
      </w:pPr>
      <w:r w:rsidRPr="00734E74">
        <w:rPr>
          <w:rFonts w:ascii="Times New Roman" w:eastAsia="Calibri" w:hAnsi="Times New Roman" w:cs="Times New Roman"/>
          <w:szCs w:val="24"/>
        </w:rPr>
        <w:t xml:space="preserve">Agreement levels </w:t>
      </w:r>
      <w:r w:rsidR="006031D5" w:rsidRPr="00734E74">
        <w:rPr>
          <w:rFonts w:ascii="Times New Roman" w:eastAsia="Calibri" w:hAnsi="Times New Roman" w:cs="Times New Roman"/>
          <w:szCs w:val="24"/>
        </w:rPr>
        <w:t xml:space="preserve">(raw mean scores) </w:t>
      </w:r>
      <w:r w:rsidRPr="00734E74">
        <w:rPr>
          <w:rFonts w:ascii="Times New Roman" w:eastAsia="Calibri" w:hAnsi="Times New Roman" w:cs="Times New Roman"/>
          <w:szCs w:val="24"/>
        </w:rPr>
        <w:t xml:space="preserve">on </w:t>
      </w:r>
      <w:r w:rsidRPr="00734E74">
        <w:rPr>
          <w:rFonts w:ascii="Times New Roman" w:eastAsia="Calibri" w:hAnsi="Times New Roman" w:cs="Times New Roman"/>
          <w:iCs/>
          <w:szCs w:val="24"/>
        </w:rPr>
        <w:t>Organisational and Staff Practice factors among clinical staff according to professional role. Please note; Medical Doctor includes psychiatrists, while Allied Health Professional includes psychologists. Error bars represent 95% confidence intervals. For comparisons</w:t>
      </w:r>
      <w:r w:rsidR="00281847" w:rsidRPr="00734E74">
        <w:rPr>
          <w:rFonts w:ascii="Times New Roman" w:eastAsia="Calibri" w:hAnsi="Times New Roman" w:cs="Times New Roman"/>
          <w:iCs/>
          <w:szCs w:val="24"/>
        </w:rPr>
        <w:t>,</w:t>
      </w:r>
      <w:r w:rsidR="008226C0" w:rsidRPr="00734E74">
        <w:rPr>
          <w:rFonts w:ascii="Times New Roman" w:eastAsia="Calibri" w:hAnsi="Times New Roman" w:cs="Times New Roman"/>
          <w:iCs/>
          <w:szCs w:val="24"/>
        </w:rPr>
        <w:t xml:space="preserve"> adjusted for </w:t>
      </w:r>
      <w:bookmarkStart w:id="1" w:name="_Hlk25739912"/>
      <w:r w:rsidR="001B4D92" w:rsidRPr="00734E74">
        <w:rPr>
          <w:rFonts w:ascii="Times New Roman" w:eastAsia="Calibri" w:hAnsi="Times New Roman" w:cs="Times New Roman"/>
          <w:iCs/>
          <w:szCs w:val="24"/>
        </w:rPr>
        <w:t>those sociodemographic, job role and smoking-related variables</w:t>
      </w:r>
      <w:bookmarkEnd w:id="1"/>
      <w:r w:rsidR="001B4D92" w:rsidRPr="00734E74">
        <w:rPr>
          <w:rFonts w:ascii="Times New Roman" w:eastAsia="Calibri" w:hAnsi="Times New Roman" w:cs="Times New Roman"/>
          <w:iCs/>
          <w:szCs w:val="24"/>
        </w:rPr>
        <w:t xml:space="preserve"> </w:t>
      </w:r>
      <w:r w:rsidR="009809CF" w:rsidRPr="00734E74">
        <w:rPr>
          <w:rFonts w:ascii="Times New Roman" w:eastAsia="Calibri" w:hAnsi="Times New Roman" w:cs="Times New Roman"/>
          <w:iCs/>
          <w:szCs w:val="24"/>
        </w:rPr>
        <w:t xml:space="preserve">at least </w:t>
      </w:r>
      <w:r w:rsidR="00A430A4" w:rsidRPr="00734E74">
        <w:rPr>
          <w:rFonts w:ascii="Times New Roman" w:eastAsia="Calibri" w:hAnsi="Times New Roman" w:cs="Times New Roman"/>
          <w:iCs/>
          <w:szCs w:val="24"/>
        </w:rPr>
        <w:t>moderately associated with</w:t>
      </w:r>
      <w:r w:rsidR="001B4D92" w:rsidRPr="00734E74">
        <w:rPr>
          <w:rFonts w:ascii="Times New Roman" w:eastAsia="Calibri" w:hAnsi="Times New Roman" w:cs="Times New Roman"/>
          <w:iCs/>
          <w:szCs w:val="24"/>
        </w:rPr>
        <w:t xml:space="preserve"> corresponding factor scores in bivariate comparisons</w:t>
      </w:r>
      <w:r w:rsidRPr="00734E74">
        <w:rPr>
          <w:rFonts w:ascii="Times New Roman" w:eastAsia="Calibri" w:hAnsi="Times New Roman" w:cs="Times New Roman"/>
          <w:iCs/>
          <w:szCs w:val="24"/>
        </w:rPr>
        <w:t xml:space="preserve">, </w:t>
      </w:r>
      <w:r w:rsidR="007B6D0C" w:rsidRPr="00734E74">
        <w:rPr>
          <w:rFonts w:ascii="Times New Roman" w:eastAsia="Calibri" w:hAnsi="Times New Roman" w:cs="Times New Roman"/>
          <w:iCs/>
          <w:szCs w:val="24"/>
        </w:rPr>
        <w:t>*</w:t>
      </w:r>
      <w:r w:rsidR="007B6D0C" w:rsidRPr="00734E74">
        <w:rPr>
          <w:rFonts w:ascii="Times New Roman" w:eastAsia="Calibri" w:hAnsi="Times New Roman" w:cs="Times New Roman"/>
          <w:i/>
          <w:iCs/>
          <w:caps/>
          <w:szCs w:val="24"/>
        </w:rPr>
        <w:t xml:space="preserve"> </w:t>
      </w:r>
      <w:r w:rsidR="007B6D0C" w:rsidRPr="00734E74">
        <w:rPr>
          <w:rFonts w:ascii="Times New Roman" w:eastAsia="Calibri" w:hAnsi="Times New Roman" w:cs="Times New Roman"/>
          <w:i/>
          <w:iCs/>
          <w:szCs w:val="24"/>
        </w:rPr>
        <w:t>P</w:t>
      </w:r>
      <w:r w:rsidR="007B6D0C" w:rsidRPr="00734E74">
        <w:rPr>
          <w:rFonts w:ascii="Times New Roman" w:eastAsia="Calibri" w:hAnsi="Times New Roman" w:cs="Times New Roman"/>
          <w:iCs/>
          <w:szCs w:val="24"/>
        </w:rPr>
        <w:t xml:space="preserve"> &lt; 0.05, </w:t>
      </w:r>
      <w:r w:rsidRPr="00734E74">
        <w:rPr>
          <w:rFonts w:ascii="Times New Roman" w:eastAsia="Calibri" w:hAnsi="Times New Roman" w:cs="Times New Roman"/>
          <w:iCs/>
          <w:szCs w:val="24"/>
        </w:rPr>
        <w:t>**</w:t>
      </w:r>
      <w:r w:rsidRPr="00734E74">
        <w:rPr>
          <w:rFonts w:ascii="Times New Roman" w:eastAsia="Calibri" w:hAnsi="Times New Roman" w:cs="Times New Roman"/>
          <w:i/>
          <w:iCs/>
          <w:caps/>
          <w:szCs w:val="24"/>
        </w:rPr>
        <w:t>p</w:t>
      </w:r>
      <w:r w:rsidRPr="00734E74">
        <w:rPr>
          <w:rFonts w:ascii="Times New Roman" w:eastAsia="Calibri" w:hAnsi="Times New Roman" w:cs="Times New Roman"/>
          <w:iCs/>
          <w:szCs w:val="24"/>
        </w:rPr>
        <w:t xml:space="preserve"> &lt; 0.01.</w:t>
      </w: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587FA9" w:rsidRPr="00734E74" w:rsidRDefault="00587FA9" w:rsidP="00FF1ACE">
      <w:pPr>
        <w:spacing w:line="360" w:lineRule="auto"/>
        <w:rPr>
          <w:rFonts w:eastAsia="Calibri" w:cs="Arial"/>
          <w:sz w:val="22"/>
        </w:rPr>
      </w:pPr>
    </w:p>
    <w:p w:rsidR="00587FA9" w:rsidRPr="00734E74" w:rsidRDefault="00587FA9" w:rsidP="00FF1ACE">
      <w:pPr>
        <w:spacing w:line="360" w:lineRule="auto"/>
        <w:rPr>
          <w:rFonts w:eastAsia="Calibri" w:cs="Arial"/>
          <w:sz w:val="22"/>
        </w:rPr>
      </w:pPr>
    </w:p>
    <w:p w:rsidR="00587FA9" w:rsidRPr="00734E74" w:rsidRDefault="00587FA9" w:rsidP="00FF1ACE">
      <w:pPr>
        <w:spacing w:line="360" w:lineRule="auto"/>
        <w:rPr>
          <w:rFonts w:eastAsia="Calibri" w:cs="Arial"/>
          <w:sz w:val="22"/>
        </w:rPr>
      </w:pPr>
    </w:p>
    <w:p w:rsidR="00587FA9" w:rsidRPr="00734E74" w:rsidRDefault="00587FA9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ascii="Times New Roman" w:eastAsia="Calibri" w:hAnsi="Times New Roman" w:cs="Times New Roman"/>
          <w:bCs/>
          <w:szCs w:val="24"/>
        </w:rPr>
      </w:pPr>
      <w:r w:rsidRPr="00734E74">
        <w:rPr>
          <w:rFonts w:ascii="Times New Roman" w:eastAsia="Calibri" w:hAnsi="Times New Roman" w:cs="Times New Roman"/>
          <w:bCs/>
          <w:szCs w:val="24"/>
        </w:rPr>
        <w:t>Figure 1</w:t>
      </w:r>
    </w:p>
    <w:p w:rsidR="00FF1ACE" w:rsidRPr="00734E74" w:rsidRDefault="00FF1ACE" w:rsidP="00FF1ACE">
      <w:pPr>
        <w:spacing w:line="360" w:lineRule="auto"/>
        <w:rPr>
          <w:rFonts w:eastAsia="Times New Roman" w:cs="Arial"/>
          <w:color w:val="000000"/>
          <w:sz w:val="22"/>
          <w:lang w:eastAsia="en-GB"/>
        </w:rPr>
      </w:pPr>
    </w:p>
    <w:p w:rsidR="00FF1ACE" w:rsidRPr="00734E74" w:rsidRDefault="007B6D0C" w:rsidP="00FF1ACE">
      <w:pPr>
        <w:spacing w:line="360" w:lineRule="auto"/>
        <w:rPr>
          <w:rFonts w:eastAsia="Times New Roman" w:cs="Arial"/>
          <w:color w:val="000000"/>
          <w:sz w:val="22"/>
          <w:lang w:eastAsia="en-GB"/>
        </w:rPr>
      </w:pPr>
      <w:r w:rsidRPr="00734E74">
        <w:rPr>
          <w:rFonts w:eastAsia="Times New Roman" w:cs="Arial"/>
          <w:noProof/>
          <w:color w:val="000000"/>
          <w:sz w:val="22"/>
          <w:lang w:eastAsia="en-GB"/>
        </w:rPr>
        <w:drawing>
          <wp:inline distT="0" distB="0" distL="0" distR="0" wp14:anchorId="60C9A09B" wp14:editId="32234396">
            <wp:extent cx="5476875" cy="2676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5" r="3001" b="35570"/>
                    <a:stretch/>
                  </pic:blipFill>
                  <pic:spPr bwMode="auto">
                    <a:xfrm>
                      <a:off x="0" y="0"/>
                      <a:ext cx="5479419" cy="26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  <w:sz w:val="22"/>
        </w:rPr>
      </w:pPr>
    </w:p>
    <w:p w:rsidR="00FF1ACE" w:rsidRPr="00734E74" w:rsidRDefault="00FF1ACE" w:rsidP="00FF1ACE">
      <w:pPr>
        <w:suppressAutoHyphens/>
        <w:autoSpaceDN w:val="0"/>
        <w:spacing w:line="360" w:lineRule="auto"/>
        <w:textAlignment w:val="baseline"/>
        <w:rPr>
          <w:rFonts w:eastAsia="Calibri" w:cs="Arial"/>
          <w:sz w:val="22"/>
        </w:rPr>
      </w:pPr>
    </w:p>
    <w:p w:rsidR="00FF1ACE" w:rsidRPr="00734E74" w:rsidRDefault="00FF1ACE" w:rsidP="00FF1ACE">
      <w:pPr>
        <w:spacing w:line="360" w:lineRule="auto"/>
        <w:rPr>
          <w:rFonts w:eastAsia="Times New Roman" w:cs="Arial"/>
          <w:bCs/>
          <w:color w:val="000000"/>
          <w:sz w:val="22"/>
          <w:lang w:eastAsia="en-GB"/>
        </w:rPr>
      </w:pPr>
    </w:p>
    <w:p w:rsidR="00FF1ACE" w:rsidRPr="00734E74" w:rsidRDefault="00FF1ACE" w:rsidP="00FF1ACE">
      <w:pPr>
        <w:spacing w:line="360" w:lineRule="auto"/>
        <w:rPr>
          <w:rFonts w:eastAsia="Times New Roman" w:cs="Arial"/>
          <w:bCs/>
          <w:color w:val="000000"/>
          <w:sz w:val="22"/>
          <w:lang w:eastAsia="en-GB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587FA9" w:rsidRPr="00734E74" w:rsidRDefault="00587FA9" w:rsidP="00FF1ACE">
      <w:pPr>
        <w:pStyle w:val="EndnoteText"/>
        <w:spacing w:line="276" w:lineRule="auto"/>
        <w:rPr>
          <w:rFonts w:cs="Arial"/>
        </w:rPr>
      </w:pPr>
    </w:p>
    <w:p w:rsidR="00587FA9" w:rsidRPr="00734E74" w:rsidRDefault="00587FA9" w:rsidP="00FF1ACE">
      <w:pPr>
        <w:pStyle w:val="EndnoteText"/>
        <w:spacing w:line="276" w:lineRule="auto"/>
        <w:rPr>
          <w:rFonts w:cs="Arial"/>
        </w:rPr>
      </w:pPr>
    </w:p>
    <w:p w:rsidR="00587FA9" w:rsidRPr="00734E74" w:rsidRDefault="00587FA9" w:rsidP="00FF1ACE">
      <w:pPr>
        <w:pStyle w:val="EndnoteText"/>
        <w:spacing w:line="276" w:lineRule="auto"/>
        <w:rPr>
          <w:rFonts w:cs="Arial"/>
        </w:rPr>
      </w:pPr>
    </w:p>
    <w:p w:rsidR="00587FA9" w:rsidRPr="00734E74" w:rsidRDefault="00587FA9" w:rsidP="00FF1ACE">
      <w:pPr>
        <w:pStyle w:val="EndnoteText"/>
        <w:spacing w:line="276" w:lineRule="auto"/>
        <w:rPr>
          <w:rFonts w:cs="Arial"/>
        </w:rPr>
      </w:pPr>
    </w:p>
    <w:p w:rsidR="00587FA9" w:rsidRPr="00734E74" w:rsidRDefault="00587FA9" w:rsidP="00FF1ACE">
      <w:pPr>
        <w:pStyle w:val="EndnoteText"/>
        <w:spacing w:line="276" w:lineRule="auto"/>
        <w:rPr>
          <w:rFonts w:cs="Arial"/>
        </w:rPr>
      </w:pPr>
    </w:p>
    <w:p w:rsidR="00587FA9" w:rsidRPr="00734E74" w:rsidRDefault="00587FA9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p w:rsidR="002053BD" w:rsidRPr="00734E74" w:rsidRDefault="002053BD" w:rsidP="00FF1ACE">
      <w:pPr>
        <w:pStyle w:val="EndnoteText"/>
        <w:spacing w:line="276" w:lineRule="auto"/>
        <w:rPr>
          <w:rFonts w:cs="Arial"/>
        </w:rPr>
        <w:sectPr w:rsidR="002053BD" w:rsidRPr="00734E74" w:rsidSect="00D92A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1ACE" w:rsidRPr="00734E74" w:rsidRDefault="00FF1ACE" w:rsidP="00FF1ACE">
      <w:pPr>
        <w:pStyle w:val="Endnote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4E74">
        <w:rPr>
          <w:rFonts w:ascii="Times New Roman" w:hAnsi="Times New Roman" w:cs="Times New Roman"/>
          <w:b/>
          <w:sz w:val="24"/>
          <w:szCs w:val="24"/>
        </w:rPr>
        <w:lastRenderedPageBreak/>
        <w:t>Supplementary Tables</w:t>
      </w:r>
    </w:p>
    <w:p w:rsidR="00FF1ACE" w:rsidRPr="00734E74" w:rsidRDefault="00FF1ACE" w:rsidP="00FF1ACE">
      <w:pPr>
        <w:pStyle w:val="EndnoteText"/>
        <w:spacing w:line="276" w:lineRule="auto"/>
        <w:rPr>
          <w:rFonts w:cs="Arial"/>
        </w:rPr>
      </w:pPr>
    </w:p>
    <w:tbl>
      <w:tblPr>
        <w:tblW w:w="14933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1067"/>
        <w:gridCol w:w="1351"/>
        <w:gridCol w:w="1140"/>
        <w:gridCol w:w="723"/>
        <w:gridCol w:w="1439"/>
        <w:gridCol w:w="566"/>
        <w:gridCol w:w="993"/>
        <w:gridCol w:w="1665"/>
        <w:gridCol w:w="851"/>
        <w:gridCol w:w="918"/>
        <w:gridCol w:w="1418"/>
        <w:gridCol w:w="688"/>
        <w:gridCol w:w="945"/>
      </w:tblGrid>
      <w:tr w:rsidR="009A5756" w:rsidRPr="00734E74" w:rsidTr="00D02ABB">
        <w:trPr>
          <w:trHeight w:val="438"/>
        </w:trPr>
        <w:tc>
          <w:tcPr>
            <w:tcW w:w="14933" w:type="dxa"/>
            <w:gridSpan w:val="14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r w:rsidRPr="00734E74">
              <w:rPr>
                <w:rFonts w:ascii="Times New Roman" w:eastAsia="Calibri" w:hAnsi="Times New Roman" w:cs="Times New Roman"/>
                <w:szCs w:val="24"/>
              </w:rPr>
              <w:t xml:space="preserve">Table S1. Generalized Linear Modelling </w:t>
            </w:r>
            <w:r w:rsidRPr="00734E74">
              <w:rPr>
                <w:rFonts w:ascii="Times New Roman" w:eastAsia="Calibri" w:hAnsi="Times New Roman" w:cs="Times New Roman"/>
                <w:iCs/>
                <w:szCs w:val="24"/>
              </w:rPr>
              <w:t xml:space="preserve">for the Organisational and Staff Practice factor scores in </w:t>
            </w:r>
            <w:r w:rsidR="0036421F" w:rsidRPr="00734E74">
              <w:rPr>
                <w:rFonts w:ascii="Times New Roman" w:eastAsia="Calibri" w:hAnsi="Times New Roman" w:cs="Times New Roman"/>
                <w:iCs/>
                <w:szCs w:val="24"/>
              </w:rPr>
              <w:t>c</w:t>
            </w:r>
            <w:r w:rsidRPr="00734E74">
              <w:rPr>
                <w:rFonts w:ascii="Times New Roman" w:eastAsia="Calibri" w:hAnsi="Times New Roman" w:cs="Times New Roman"/>
                <w:iCs/>
                <w:szCs w:val="24"/>
              </w:rPr>
              <w:t xml:space="preserve">linical </w:t>
            </w:r>
            <w:r w:rsidR="0036421F" w:rsidRPr="00734E74">
              <w:rPr>
                <w:rFonts w:ascii="Times New Roman" w:eastAsia="Calibri" w:hAnsi="Times New Roman" w:cs="Times New Roman"/>
                <w:iCs/>
                <w:szCs w:val="24"/>
              </w:rPr>
              <w:t>s</w:t>
            </w:r>
            <w:r w:rsidRPr="00734E74">
              <w:rPr>
                <w:rFonts w:ascii="Times New Roman" w:eastAsia="Calibri" w:hAnsi="Times New Roman" w:cs="Times New Roman"/>
                <w:iCs/>
                <w:szCs w:val="24"/>
              </w:rPr>
              <w:t>taff (</w:t>
            </w:r>
            <w:r w:rsidRPr="00734E74">
              <w:rPr>
                <w:rFonts w:ascii="Times New Roman" w:eastAsia="Calibri" w:hAnsi="Times New Roman" w:cs="Times New Roman"/>
                <w:i/>
                <w:iCs/>
                <w:szCs w:val="24"/>
              </w:rPr>
              <w:t>n</w:t>
            </w:r>
            <w:r w:rsidRPr="00734E74">
              <w:rPr>
                <w:rFonts w:ascii="Times New Roman" w:eastAsia="Calibri" w:hAnsi="Times New Roman" w:cs="Times New Roman"/>
                <w:iCs/>
                <w:szCs w:val="24"/>
              </w:rPr>
              <w:t xml:space="preserve"> = 393).</w:t>
            </w:r>
          </w:p>
        </w:tc>
      </w:tr>
      <w:tr w:rsidR="00712F0B" w:rsidRPr="00734E74" w:rsidTr="0036421F">
        <w:trPr>
          <w:trHeight w:val="438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F0B" w:rsidRPr="00734E74" w:rsidRDefault="00712F0B" w:rsidP="0036421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212" w:type="dxa"/>
            <w:gridSpan w:val="6"/>
            <w:tcBorders>
              <w:right w:val="single" w:sz="4" w:space="0" w:color="000000"/>
            </w:tcBorders>
            <w:vAlign w:val="center"/>
          </w:tcPr>
          <w:p w:rsidR="00712F0B" w:rsidRPr="00734E74" w:rsidRDefault="00712F0B" w:rsidP="0036421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Organisational</w:t>
            </w:r>
          </w:p>
        </w:tc>
        <w:tc>
          <w:tcPr>
            <w:tcW w:w="6485" w:type="dxa"/>
            <w:gridSpan w:val="6"/>
            <w:vAlign w:val="center"/>
          </w:tcPr>
          <w:p w:rsidR="00712F0B" w:rsidRPr="00734E74" w:rsidRDefault="00712F0B" w:rsidP="0036421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Staff Practice</w:t>
            </w:r>
          </w:p>
        </w:tc>
      </w:tr>
      <w:tr w:rsidR="00EB68B5" w:rsidRPr="00734E74" w:rsidTr="00BE38F8">
        <w:trPr>
          <w:trHeight w:val="438"/>
        </w:trPr>
        <w:tc>
          <w:tcPr>
            <w:tcW w:w="2236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171" w:rsidRPr="00734E74" w:rsidRDefault="001F4171" w:rsidP="001F4171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351" w:type="dxa"/>
            <w:tcBorders>
              <w:bottom w:val="single" w:sz="12" w:space="0" w:color="auto"/>
            </w:tcBorders>
          </w:tcPr>
          <w:p w:rsidR="001F4171" w:rsidRPr="00734E74" w:rsidRDefault="001F4171" w:rsidP="001F417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Mean (95% CI)</w:t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1F4171" w:rsidRPr="00734E74" w:rsidRDefault="001F4171" w:rsidP="001F417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8"/>
              </w:rPr>
              <w:t>P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171" w:rsidRPr="00734E74" w:rsidRDefault="001F4171" w:rsidP="001F417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171" w:rsidRPr="00734E74" w:rsidRDefault="001F4171" w:rsidP="001F417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CI B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171" w:rsidRPr="00734E74" w:rsidRDefault="001F4171" w:rsidP="001F417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8"/>
              </w:rPr>
              <w:t>β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171" w:rsidRPr="00734E74" w:rsidRDefault="001F4171" w:rsidP="001F417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18"/>
              </w:rPr>
              <w:t>p</w:t>
            </w: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1F4171" w:rsidRPr="00734E74" w:rsidRDefault="001F4171" w:rsidP="001F417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Mean (95% CI)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F4171" w:rsidRPr="00734E74" w:rsidRDefault="001F4171" w:rsidP="001F417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8"/>
              </w:rPr>
              <w:t>P</w:t>
            </w:r>
          </w:p>
        </w:tc>
        <w:tc>
          <w:tcPr>
            <w:tcW w:w="918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171" w:rsidRPr="00734E74" w:rsidRDefault="001F4171" w:rsidP="001F417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B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171" w:rsidRPr="00734E74" w:rsidRDefault="001F4171" w:rsidP="001F417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CI B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171" w:rsidRPr="00734E74" w:rsidRDefault="001F4171" w:rsidP="001F417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18"/>
              </w:rPr>
              <w:t>β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171" w:rsidRPr="00734E74" w:rsidRDefault="001F4171" w:rsidP="001F417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i/>
                <w:caps/>
                <w:color w:val="000000"/>
                <w:sz w:val="20"/>
                <w:szCs w:val="18"/>
              </w:rPr>
              <w:t>p</w:t>
            </w:r>
          </w:p>
        </w:tc>
      </w:tr>
      <w:tr w:rsidR="00EB68B5" w:rsidRPr="00734E74" w:rsidTr="00BE38F8">
        <w:trPr>
          <w:trHeight w:hRule="exact" w:val="56"/>
        </w:trPr>
        <w:tc>
          <w:tcPr>
            <w:tcW w:w="1169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12" w:space="0" w:color="auto"/>
            </w:tcBorders>
          </w:tcPr>
          <w:p w:rsidR="009A5756" w:rsidRPr="00734E74" w:rsidRDefault="009A5756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9A5756" w:rsidRPr="00734E74" w:rsidRDefault="009A5756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</w:tcBorders>
          </w:tcPr>
          <w:p w:rsidR="009A5756" w:rsidRPr="00734E74" w:rsidRDefault="009A5756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A5756" w:rsidRPr="00734E74" w:rsidRDefault="009A5756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56" w:rsidRPr="00734E74" w:rsidRDefault="009A5756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56" w:rsidRPr="00734E74" w:rsidRDefault="009A5756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  <w:t>Age</w:t>
            </w:r>
          </w:p>
        </w:tc>
        <w:tc>
          <w:tcPr>
            <w:tcW w:w="1351" w:type="dxa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18-29</w:t>
            </w:r>
          </w:p>
        </w:tc>
        <w:tc>
          <w:tcPr>
            <w:tcW w:w="1351" w:type="dxa"/>
          </w:tcPr>
          <w:p w:rsidR="009A5756" w:rsidRPr="00734E74" w:rsidRDefault="00776613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2.97 (2.72,3.23)</w:t>
            </w:r>
          </w:p>
        </w:tc>
        <w:tc>
          <w:tcPr>
            <w:tcW w:w="1140" w:type="dxa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-0.</w:t>
            </w:r>
            <w:r w:rsidR="00801712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-0.7</w:t>
            </w:r>
            <w:r w:rsidR="00801712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801712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-0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801712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0.6</w:t>
            </w:r>
            <w:r w:rsidR="00801712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0.0</w:t>
            </w:r>
            <w:r w:rsidR="00801712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5" w:type="dxa"/>
          </w:tcPr>
          <w:p w:rsidR="009A5756" w:rsidRPr="00734E74" w:rsidRDefault="0052074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4.05 (3.88,4.21)</w:t>
            </w:r>
          </w:p>
        </w:tc>
        <w:tc>
          <w:tcPr>
            <w:tcW w:w="851" w:type="dxa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30-39</w:t>
            </w:r>
          </w:p>
        </w:tc>
        <w:tc>
          <w:tcPr>
            <w:tcW w:w="1351" w:type="dxa"/>
          </w:tcPr>
          <w:p w:rsidR="009A5756" w:rsidRPr="00734E74" w:rsidRDefault="00776613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3.15 (2.94,3.35)</w:t>
            </w:r>
          </w:p>
        </w:tc>
        <w:tc>
          <w:tcPr>
            <w:tcW w:w="1140" w:type="dxa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-0.3</w:t>
            </w:r>
            <w:r w:rsidR="00801712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-0.6</w:t>
            </w:r>
            <w:r w:rsidR="00801712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,-0.</w:t>
            </w:r>
            <w:r w:rsidR="00801712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0.0</w:t>
            </w:r>
            <w:r w:rsidR="00801712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5" w:type="dxa"/>
          </w:tcPr>
          <w:p w:rsidR="009A5756" w:rsidRPr="00734E74" w:rsidRDefault="0052074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4.07 (3.96,4.16)</w:t>
            </w:r>
          </w:p>
        </w:tc>
        <w:tc>
          <w:tcPr>
            <w:tcW w:w="851" w:type="dxa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40-49</w:t>
            </w:r>
          </w:p>
        </w:tc>
        <w:tc>
          <w:tcPr>
            <w:tcW w:w="1351" w:type="dxa"/>
          </w:tcPr>
          <w:p w:rsidR="009A5756" w:rsidRPr="00734E74" w:rsidRDefault="00776613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3.29 (3.09,3.48)</w:t>
            </w:r>
          </w:p>
        </w:tc>
        <w:tc>
          <w:tcPr>
            <w:tcW w:w="1140" w:type="dxa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-0.1</w:t>
            </w:r>
            <w:r w:rsidR="00801712"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-0.4</w:t>
            </w:r>
            <w:r w:rsidR="00801712"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,0.</w:t>
            </w:r>
            <w:r w:rsidR="00801712"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</w:t>
            </w:r>
            <w:r w:rsidR="00801712"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</w:t>
            </w:r>
            <w:r w:rsidR="00801712"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665" w:type="dxa"/>
          </w:tcPr>
          <w:p w:rsidR="009A5756" w:rsidRPr="00734E74" w:rsidRDefault="0052074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4.07 (3.97,4.17)</w:t>
            </w:r>
          </w:p>
        </w:tc>
        <w:tc>
          <w:tcPr>
            <w:tcW w:w="851" w:type="dxa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50+</w:t>
            </w:r>
          </w:p>
        </w:tc>
        <w:tc>
          <w:tcPr>
            <w:tcW w:w="1351" w:type="dxa"/>
          </w:tcPr>
          <w:p w:rsidR="009A5756" w:rsidRPr="00734E74" w:rsidRDefault="00776613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3.46 (3.28,3.64)</w:t>
            </w:r>
          </w:p>
        </w:tc>
        <w:tc>
          <w:tcPr>
            <w:tcW w:w="1140" w:type="dxa"/>
          </w:tcPr>
          <w:p w:rsidR="009A5756" w:rsidRPr="00734E74" w:rsidRDefault="00776613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9A5756" w:rsidRPr="00734E74" w:rsidRDefault="0052074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4.05 (3.94,4.16)</w:t>
            </w:r>
          </w:p>
        </w:tc>
        <w:tc>
          <w:tcPr>
            <w:tcW w:w="851" w:type="dxa"/>
          </w:tcPr>
          <w:p w:rsidR="009A5756" w:rsidRPr="00734E74" w:rsidRDefault="0052074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  <w:t>Gender</w:t>
            </w:r>
          </w:p>
        </w:tc>
        <w:tc>
          <w:tcPr>
            <w:tcW w:w="1351" w:type="dxa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756" w:rsidRPr="00734E74" w:rsidRDefault="009A5756" w:rsidP="009A5756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Male </w:t>
            </w:r>
          </w:p>
        </w:tc>
        <w:tc>
          <w:tcPr>
            <w:tcW w:w="1351" w:type="dxa"/>
          </w:tcPr>
          <w:p w:rsidR="00CA1879" w:rsidRPr="00734E74" w:rsidRDefault="00FD2221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3.31 (3.13,3.48)</w:t>
            </w:r>
          </w:p>
        </w:tc>
        <w:tc>
          <w:tcPr>
            <w:tcW w:w="1140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CA1879" w:rsidRPr="00734E74" w:rsidRDefault="00170FA7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4.03 (3.90,4.14)</w:t>
            </w:r>
          </w:p>
        </w:tc>
        <w:tc>
          <w:tcPr>
            <w:tcW w:w="851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Female</w:t>
            </w:r>
          </w:p>
        </w:tc>
        <w:tc>
          <w:tcPr>
            <w:tcW w:w="1351" w:type="dxa"/>
          </w:tcPr>
          <w:p w:rsidR="00CA1879" w:rsidRPr="00734E74" w:rsidRDefault="00693F03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3.23 (3.11,3.36)</w:t>
            </w:r>
          </w:p>
        </w:tc>
        <w:tc>
          <w:tcPr>
            <w:tcW w:w="1140" w:type="dxa"/>
          </w:tcPr>
          <w:p w:rsidR="00CA1879" w:rsidRPr="00734E74" w:rsidRDefault="00693F03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CA1879" w:rsidRPr="00734E74" w:rsidRDefault="00170FA7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4.08 (4.01,4.14)</w:t>
            </w:r>
          </w:p>
        </w:tc>
        <w:tc>
          <w:tcPr>
            <w:tcW w:w="851" w:type="dxa"/>
          </w:tcPr>
          <w:p w:rsidR="00CA1879" w:rsidRPr="00734E74" w:rsidRDefault="00170FA7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Work with </w:t>
            </w:r>
            <w:r w:rsidR="00003459"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i</w:t>
            </w: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npatients</w:t>
            </w:r>
          </w:p>
        </w:tc>
        <w:tc>
          <w:tcPr>
            <w:tcW w:w="1351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Inpatient</w:t>
            </w:r>
            <w:r w:rsidR="0061073A"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61073A"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ervices</w:t>
            </w:r>
          </w:p>
        </w:tc>
        <w:tc>
          <w:tcPr>
            <w:tcW w:w="1351" w:type="dxa"/>
          </w:tcPr>
          <w:p w:rsidR="00CA1879" w:rsidRPr="00734E74" w:rsidRDefault="00AE1338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3.25 </w:t>
            </w:r>
            <w:r w:rsidR="00776613"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(3.09,3.41)</w:t>
            </w:r>
          </w:p>
        </w:tc>
        <w:tc>
          <w:tcPr>
            <w:tcW w:w="1140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CA1879" w:rsidRPr="00734E74" w:rsidRDefault="0061073A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4.11 (4.02,4.20)</w:t>
            </w:r>
          </w:p>
        </w:tc>
        <w:tc>
          <w:tcPr>
            <w:tcW w:w="851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Outpatients only</w:t>
            </w:r>
          </w:p>
        </w:tc>
        <w:tc>
          <w:tcPr>
            <w:tcW w:w="1351" w:type="dxa"/>
          </w:tcPr>
          <w:p w:rsidR="00CA1879" w:rsidRPr="00734E74" w:rsidRDefault="00776613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3.26 (3.13,3.40)</w:t>
            </w:r>
          </w:p>
        </w:tc>
        <w:tc>
          <w:tcPr>
            <w:tcW w:w="1140" w:type="dxa"/>
          </w:tcPr>
          <w:p w:rsidR="00CA1879" w:rsidRPr="00734E74" w:rsidRDefault="00776613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CA1879" w:rsidRPr="00734E74" w:rsidRDefault="0061073A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4.02 (3.95,4.09)</w:t>
            </w:r>
          </w:p>
        </w:tc>
        <w:tc>
          <w:tcPr>
            <w:tcW w:w="851" w:type="dxa"/>
          </w:tcPr>
          <w:p w:rsidR="00CA1879" w:rsidRPr="00734E74" w:rsidRDefault="0061073A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Professional role (clinical)</w:t>
            </w:r>
          </w:p>
        </w:tc>
        <w:tc>
          <w:tcPr>
            <w:tcW w:w="1351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Allied health </w:t>
            </w:r>
            <w:proofErr w:type="spellStart"/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pofessional</w:t>
            </w:r>
            <w:proofErr w:type="spellEnd"/>
          </w:p>
        </w:tc>
        <w:tc>
          <w:tcPr>
            <w:tcW w:w="1351" w:type="dxa"/>
          </w:tcPr>
          <w:p w:rsidR="00CA1879" w:rsidRPr="00734E74" w:rsidRDefault="00DB44B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3.19 (3.02,3.36)</w:t>
            </w:r>
          </w:p>
        </w:tc>
        <w:tc>
          <w:tcPr>
            <w:tcW w:w="1140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-0.7</w:t>
            </w:r>
            <w:r w:rsidR="00801712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,-0.</w:t>
            </w:r>
            <w:r w:rsidR="00801712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0.00</w:t>
            </w:r>
            <w:r w:rsidR="00801712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CA1879" w:rsidRPr="00734E74" w:rsidRDefault="002546BF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3.97 (3.88,4.07)</w:t>
            </w:r>
          </w:p>
        </w:tc>
        <w:tc>
          <w:tcPr>
            <w:tcW w:w="851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-0.3</w:t>
            </w:r>
            <w:r w:rsidR="00D614F3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D614F3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0.0</w:t>
            </w:r>
            <w:r w:rsidR="00EB68B5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0.0</w:t>
            </w:r>
            <w:r w:rsidR="00D614F3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Nurse</w:t>
            </w:r>
          </w:p>
        </w:tc>
        <w:tc>
          <w:tcPr>
            <w:tcW w:w="1351" w:type="dxa"/>
          </w:tcPr>
          <w:p w:rsidR="00CA1879" w:rsidRPr="00734E74" w:rsidRDefault="00C71FEC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3.15 (3.01,3.30)</w:t>
            </w:r>
          </w:p>
        </w:tc>
        <w:tc>
          <w:tcPr>
            <w:tcW w:w="1140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-0.4</w:t>
            </w:r>
            <w:r w:rsidR="00801712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-0.7</w:t>
            </w:r>
            <w:r w:rsidR="00801712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,-0.1</w:t>
            </w:r>
            <w:r w:rsidR="00801712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0.00</w:t>
            </w:r>
            <w:r w:rsidR="00801712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CA1879" w:rsidRPr="00734E74" w:rsidRDefault="002546BF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4.07 (3.98,4.16)</w:t>
            </w:r>
          </w:p>
        </w:tc>
        <w:tc>
          <w:tcPr>
            <w:tcW w:w="851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</w:t>
            </w:r>
            <w:r w:rsidR="00EB68B5"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-0.2</w:t>
            </w:r>
            <w:r w:rsidR="00D614F3"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.0.0</w:t>
            </w:r>
            <w:r w:rsidR="00D614F3"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</w:t>
            </w:r>
            <w:r w:rsidR="00EB68B5"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</w:t>
            </w:r>
            <w:r w:rsidR="00EB68B5"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="00D614F3"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Medical doctor</w:t>
            </w:r>
          </w:p>
        </w:tc>
        <w:tc>
          <w:tcPr>
            <w:tcW w:w="1351" w:type="dxa"/>
          </w:tcPr>
          <w:p w:rsidR="00CA1879" w:rsidRPr="00734E74" w:rsidRDefault="00C71FEC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3.61 (3.35,3.87)</w:t>
            </w:r>
          </w:p>
        </w:tc>
        <w:tc>
          <w:tcPr>
            <w:tcW w:w="1140" w:type="dxa"/>
          </w:tcPr>
          <w:p w:rsidR="00CA1879" w:rsidRPr="00734E74" w:rsidRDefault="00DB44B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CA1879" w:rsidRPr="00734E74" w:rsidRDefault="002546BF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4.18 (4.05,4.30)</w:t>
            </w:r>
          </w:p>
        </w:tc>
        <w:tc>
          <w:tcPr>
            <w:tcW w:w="851" w:type="dxa"/>
          </w:tcPr>
          <w:p w:rsidR="00CA1879" w:rsidRPr="00734E74" w:rsidRDefault="002546BF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  <w:t xml:space="preserve">Weekly patient contact </w:t>
            </w:r>
          </w:p>
        </w:tc>
        <w:tc>
          <w:tcPr>
            <w:tcW w:w="1351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None</w:t>
            </w:r>
          </w:p>
        </w:tc>
        <w:tc>
          <w:tcPr>
            <w:tcW w:w="1351" w:type="dxa"/>
          </w:tcPr>
          <w:p w:rsidR="00CA1879" w:rsidRPr="00734E74" w:rsidRDefault="006C7AC3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3.17 (2.94,3.40)</w:t>
            </w:r>
          </w:p>
        </w:tc>
        <w:tc>
          <w:tcPr>
            <w:tcW w:w="1140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CA1879" w:rsidRPr="00734E74" w:rsidRDefault="002546BF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3.95 (3.85,4.05)</w:t>
            </w:r>
          </w:p>
        </w:tc>
        <w:tc>
          <w:tcPr>
            <w:tcW w:w="851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1-19 hours</w:t>
            </w:r>
          </w:p>
        </w:tc>
        <w:tc>
          <w:tcPr>
            <w:tcW w:w="1351" w:type="dxa"/>
          </w:tcPr>
          <w:p w:rsidR="00CA1879" w:rsidRPr="00734E74" w:rsidRDefault="006C7AC3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3.36 (3.19,3.53)</w:t>
            </w:r>
          </w:p>
        </w:tc>
        <w:tc>
          <w:tcPr>
            <w:tcW w:w="1140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CA1879" w:rsidRPr="00734E74" w:rsidRDefault="002546BF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4.10 (4.00,4.20)</w:t>
            </w:r>
          </w:p>
        </w:tc>
        <w:tc>
          <w:tcPr>
            <w:tcW w:w="851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20-35 hours</w:t>
            </w:r>
          </w:p>
        </w:tc>
        <w:tc>
          <w:tcPr>
            <w:tcW w:w="1351" w:type="dxa"/>
          </w:tcPr>
          <w:p w:rsidR="00CA1879" w:rsidRPr="00734E74" w:rsidRDefault="006C7AC3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3.17 (2.94,3.40)</w:t>
            </w:r>
          </w:p>
        </w:tc>
        <w:tc>
          <w:tcPr>
            <w:tcW w:w="1140" w:type="dxa"/>
          </w:tcPr>
          <w:p w:rsidR="00CA1879" w:rsidRPr="00734E74" w:rsidRDefault="006C7AC3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CA1879" w:rsidRPr="00734E74" w:rsidRDefault="0000345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4.10 (</w:t>
            </w:r>
            <w:r w:rsidR="002546BF"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4.00,4.19)</w:t>
            </w:r>
          </w:p>
        </w:tc>
        <w:tc>
          <w:tcPr>
            <w:tcW w:w="851" w:type="dxa"/>
          </w:tcPr>
          <w:p w:rsidR="00CA1879" w:rsidRPr="00734E74" w:rsidRDefault="002546BF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  <w:t>Smoking status</w:t>
            </w:r>
          </w:p>
        </w:tc>
        <w:tc>
          <w:tcPr>
            <w:tcW w:w="1351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 Non-smoker</w:t>
            </w:r>
          </w:p>
        </w:tc>
        <w:tc>
          <w:tcPr>
            <w:tcW w:w="1351" w:type="dxa"/>
          </w:tcPr>
          <w:p w:rsidR="00CA1879" w:rsidRPr="00734E74" w:rsidRDefault="00823CDF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3.44 (3.31,3.58)</w:t>
            </w:r>
          </w:p>
        </w:tc>
        <w:tc>
          <w:tcPr>
            <w:tcW w:w="1140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CA1879" w:rsidRPr="00734E74" w:rsidRDefault="00F85CA2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4.07 (3.99,4.16)</w:t>
            </w:r>
          </w:p>
        </w:tc>
        <w:tc>
          <w:tcPr>
            <w:tcW w:w="851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Ex-smoker</w:t>
            </w:r>
          </w:p>
        </w:tc>
        <w:tc>
          <w:tcPr>
            <w:tcW w:w="1351" w:type="dxa"/>
          </w:tcPr>
          <w:p w:rsidR="00CA1879" w:rsidRPr="00734E74" w:rsidRDefault="00823CDF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3.15 (2.97,3.33)</w:t>
            </w:r>
          </w:p>
        </w:tc>
        <w:tc>
          <w:tcPr>
            <w:tcW w:w="1140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-0.3</w:t>
            </w:r>
            <w:r w:rsidR="00FD7731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-0.5</w:t>
            </w:r>
            <w:r w:rsidR="00FD7731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,-0.1</w:t>
            </w:r>
            <w:r w:rsidR="00FD7731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0.7</w:t>
            </w:r>
            <w:r w:rsidR="00032179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0.00</w:t>
            </w:r>
            <w:r w:rsidR="00FD7731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CA1879" w:rsidRPr="00734E74" w:rsidRDefault="00F85CA2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4.18 (4.08,4.26)</w:t>
            </w:r>
          </w:p>
        </w:tc>
        <w:tc>
          <w:tcPr>
            <w:tcW w:w="851" w:type="dxa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0.0</w:t>
            </w:r>
            <w:r w:rsidR="00D614F3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,0.2</w:t>
            </w:r>
            <w:r w:rsidR="00D614F3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1.</w:t>
            </w:r>
            <w:r w:rsidR="00EB68B5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879" w:rsidRPr="00734E74" w:rsidRDefault="00CA1879" w:rsidP="00CA1879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0.0</w:t>
            </w:r>
            <w:r w:rsidR="00D614F3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Current smoker</w:t>
            </w:r>
          </w:p>
        </w:tc>
        <w:tc>
          <w:tcPr>
            <w:tcW w:w="1351" w:type="dxa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2.75 (2.48,3.02)</w:t>
            </w:r>
          </w:p>
        </w:tc>
        <w:tc>
          <w:tcPr>
            <w:tcW w:w="1140" w:type="dxa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-0.6</w:t>
            </w:r>
            <w:r w:rsidR="00FD7731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-0.9</w:t>
            </w:r>
            <w:r w:rsidR="00FD7731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,-0.3</w:t>
            </w:r>
            <w:r w:rsidR="00FD7731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0.5</w:t>
            </w:r>
            <w:r w:rsidR="00032179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FD7731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&lt;</w:t>
            </w:r>
            <w:r w:rsidR="00823CDF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665" w:type="dxa"/>
          </w:tcPr>
          <w:p w:rsidR="00823CDF" w:rsidRPr="00734E74" w:rsidRDefault="00F85CA2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3.74 (3.59,3.89)</w:t>
            </w:r>
          </w:p>
        </w:tc>
        <w:tc>
          <w:tcPr>
            <w:tcW w:w="851" w:type="dxa"/>
          </w:tcPr>
          <w:p w:rsidR="00823CDF" w:rsidRPr="00734E74" w:rsidRDefault="00F85CA2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-0.4</w:t>
            </w:r>
            <w:r w:rsidR="00D614F3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,-0.1</w:t>
            </w:r>
            <w:r w:rsidR="00D614F3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0.00</w:t>
            </w:r>
            <w:r w:rsidR="00EB68B5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u w:val="single"/>
              </w:rPr>
              <w:t>Smoking cessation</w:t>
            </w: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training</w:t>
            </w:r>
          </w:p>
        </w:tc>
        <w:tc>
          <w:tcPr>
            <w:tcW w:w="1351" w:type="dxa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 Yes</w:t>
            </w:r>
          </w:p>
        </w:tc>
        <w:tc>
          <w:tcPr>
            <w:tcW w:w="1351" w:type="dxa"/>
          </w:tcPr>
          <w:p w:rsidR="00823CDF" w:rsidRPr="00734E74" w:rsidRDefault="00705058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3.32 (3.18,3.46)</w:t>
            </w:r>
          </w:p>
        </w:tc>
        <w:tc>
          <w:tcPr>
            <w:tcW w:w="1140" w:type="dxa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823CDF" w:rsidRPr="00734E74" w:rsidRDefault="00BF1BBB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4.17 (4.10,4.23)</w:t>
            </w:r>
          </w:p>
        </w:tc>
        <w:tc>
          <w:tcPr>
            <w:tcW w:w="851" w:type="dxa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0.2</w:t>
            </w:r>
            <w:r w:rsidR="00EB68B5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0.09,0.3</w:t>
            </w:r>
            <w:r w:rsidR="00D614F3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1.2</w:t>
            </w:r>
            <w:r w:rsidR="00EB68B5"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0.001</w:t>
            </w:r>
          </w:p>
        </w:tc>
      </w:tr>
      <w:tr w:rsidR="00EB68B5" w:rsidRPr="00734E74" w:rsidTr="00BE38F8">
        <w:trPr>
          <w:trHeight w:hRule="exact" w:val="266"/>
        </w:trPr>
        <w:tc>
          <w:tcPr>
            <w:tcW w:w="223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 xml:space="preserve">   No/Unsure</w:t>
            </w:r>
          </w:p>
        </w:tc>
        <w:tc>
          <w:tcPr>
            <w:tcW w:w="1351" w:type="dxa"/>
            <w:tcBorders>
              <w:bottom w:val="single" w:sz="12" w:space="0" w:color="auto"/>
            </w:tcBorders>
          </w:tcPr>
          <w:p w:rsidR="00823CDF" w:rsidRPr="00734E74" w:rsidRDefault="00705058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3.19 (3.04,3.34)</w:t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823CDF" w:rsidRPr="00734E74" w:rsidRDefault="00705058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12" w:space="0" w:color="auto"/>
            </w:tcBorders>
          </w:tcPr>
          <w:p w:rsidR="00823CDF" w:rsidRPr="00734E74" w:rsidRDefault="00BF1BBB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3.94 (3.84,4.03)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23CDF" w:rsidRPr="00734E74" w:rsidRDefault="00BF1BBB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18" w:type="dxa"/>
            <w:tcBorders>
              <w:left w:val="nil"/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CDF" w:rsidRPr="00734E74" w:rsidRDefault="00823CDF" w:rsidP="00823CD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3CDF" w:rsidRPr="00734E74" w:rsidTr="00B6416D">
        <w:trPr>
          <w:trHeight w:val="567"/>
        </w:trPr>
        <w:tc>
          <w:tcPr>
            <w:tcW w:w="14933" w:type="dxa"/>
            <w:gridSpan w:val="14"/>
            <w:tcBorders>
              <w:top w:val="single" w:sz="12" w:space="0" w:color="auto"/>
            </w:tcBorders>
          </w:tcPr>
          <w:p w:rsidR="00823CDF" w:rsidRPr="00734E74" w:rsidRDefault="00823CDF" w:rsidP="00823CDF">
            <w:pPr>
              <w:suppressAutoHyphens/>
              <w:autoSpaceDN w:val="0"/>
              <w:spacing w:before="6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Notes: Professional role and </w:t>
            </w:r>
            <w:r w:rsidR="0036421F"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eekly contact hours were not recorded for 15 and 9 participants, respectively; hence the models include 393 participants only; Reference categories for Age = 50+ years, Professional role (clinical) = Medical doctor, Smoking status = Non-smoker, Smoking cessation training = </w:t>
            </w:r>
            <w:r w:rsidR="00A430A4"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>No/Unsure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 = beta; CI = 95% confidence interval; </w:t>
            </w:r>
            <w:r w:rsidRPr="00734E7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β</w:t>
            </w:r>
            <w:r w:rsidRPr="00734E7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= standardised beta</w:t>
            </w:r>
            <w:r w:rsidR="0036421F"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;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For ‘Organisational’ </w:t>
            </w:r>
            <w:r w:rsidR="0036421F"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mnibus overall model likelihood ratio </w:t>
            </w:r>
            <w:r w:rsidRPr="00734E7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χ</w:t>
            </w:r>
            <w:r w:rsidRPr="00734E74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= </w:t>
            </w:r>
            <w:r w:rsidR="00EB68B5"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EB68B5"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34E74"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  <w:lang w:val="en-US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&lt; 0.001</w:t>
            </w:r>
            <w:r w:rsidR="0036421F"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;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For ‘Staff Practice’ </w:t>
            </w:r>
            <w:r w:rsidR="0036421F"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mnibus overall model likelihood ratio </w:t>
            </w:r>
            <w:r w:rsidRPr="00734E7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χ</w:t>
            </w:r>
            <w:r w:rsidRPr="00734E74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= </w:t>
            </w:r>
            <w:r w:rsidR="00F611A3"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39.37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734E74"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  <w:lang w:val="en-US"/>
              </w:rPr>
              <w:t xml:space="preserve">p 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 0.001.</w:t>
            </w:r>
            <w:r w:rsidRPr="00734E74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Associations with significance </w:t>
            </w:r>
            <w:r w:rsidRPr="00734E7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 0.05 are indicated in bold.</w:t>
            </w:r>
          </w:p>
        </w:tc>
      </w:tr>
    </w:tbl>
    <w:p w:rsidR="00B6416D" w:rsidRPr="00734E74" w:rsidRDefault="00B6416D" w:rsidP="00FF1ACE">
      <w:pPr>
        <w:spacing w:line="360" w:lineRule="auto"/>
        <w:rPr>
          <w:rFonts w:eastAsia="Calibri" w:cs="Arial"/>
          <w:sz w:val="22"/>
        </w:rPr>
        <w:sectPr w:rsidR="00B6416D" w:rsidRPr="00734E74" w:rsidSect="002053B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9972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3"/>
        <w:gridCol w:w="1168"/>
        <w:gridCol w:w="1417"/>
        <w:gridCol w:w="1701"/>
        <w:gridCol w:w="1134"/>
        <w:gridCol w:w="851"/>
        <w:gridCol w:w="1134"/>
        <w:gridCol w:w="1134"/>
      </w:tblGrid>
      <w:tr w:rsidR="00FF1ACE" w:rsidRPr="00734E74" w:rsidTr="000B3612">
        <w:trPr>
          <w:trHeight w:val="442"/>
        </w:trPr>
        <w:tc>
          <w:tcPr>
            <w:tcW w:w="9972" w:type="dxa"/>
            <w:gridSpan w:val="8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Cs w:val="24"/>
              </w:rPr>
            </w:pPr>
            <w:bookmarkStart w:id="2" w:name="_Hlk25678466"/>
            <w:r w:rsidRPr="00734E74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Table S2. </w:t>
            </w:r>
          </w:p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734E74">
              <w:rPr>
                <w:rFonts w:ascii="Times New Roman" w:eastAsia="Calibri" w:hAnsi="Times New Roman" w:cs="Times New Roman"/>
                <w:szCs w:val="24"/>
              </w:rPr>
              <w:t xml:space="preserve">Logistic </w:t>
            </w:r>
            <w:r w:rsidR="0036421F" w:rsidRPr="00734E74">
              <w:rPr>
                <w:rFonts w:ascii="Times New Roman" w:eastAsia="Calibri" w:hAnsi="Times New Roman" w:cs="Times New Roman"/>
                <w:szCs w:val="24"/>
              </w:rPr>
              <w:t>r</w:t>
            </w:r>
            <w:r w:rsidRPr="00734E74">
              <w:rPr>
                <w:rFonts w:ascii="Times New Roman" w:eastAsia="Calibri" w:hAnsi="Times New Roman" w:cs="Times New Roman"/>
                <w:szCs w:val="24"/>
              </w:rPr>
              <w:t xml:space="preserve">egression </w:t>
            </w:r>
            <w:r w:rsidR="0036421F" w:rsidRPr="00734E74">
              <w:rPr>
                <w:rFonts w:ascii="Times New Roman" w:eastAsia="Calibri" w:hAnsi="Times New Roman" w:cs="Times New Roman"/>
                <w:szCs w:val="24"/>
              </w:rPr>
              <w:t>m</w:t>
            </w:r>
            <w:r w:rsidRPr="00734E74">
              <w:rPr>
                <w:rFonts w:ascii="Times New Roman" w:eastAsia="Calibri" w:hAnsi="Times New Roman" w:cs="Times New Roman"/>
                <w:szCs w:val="24"/>
              </w:rPr>
              <w:t xml:space="preserve">odelling of factors associated with interest in receiving training to deliver smoking cessation advice in clinical staff who had not received any training </w:t>
            </w:r>
            <w:r w:rsidRPr="00734E74">
              <w:rPr>
                <w:rFonts w:ascii="Times New Roman" w:eastAsia="Calibri" w:hAnsi="Times New Roman" w:cs="Times New Roman"/>
                <w:iCs/>
                <w:szCs w:val="24"/>
              </w:rPr>
              <w:t>(</w:t>
            </w:r>
            <w:r w:rsidRPr="00734E74">
              <w:rPr>
                <w:rFonts w:ascii="Times New Roman" w:eastAsia="Calibri" w:hAnsi="Times New Roman" w:cs="Times New Roman"/>
                <w:i/>
                <w:iCs/>
                <w:szCs w:val="24"/>
              </w:rPr>
              <w:t>n</w:t>
            </w:r>
            <w:r w:rsidRPr="00734E74">
              <w:rPr>
                <w:rFonts w:ascii="Times New Roman" w:eastAsia="Calibri" w:hAnsi="Times New Roman" w:cs="Times New Roman"/>
                <w:iCs/>
                <w:szCs w:val="24"/>
              </w:rPr>
              <w:t xml:space="preserve"> = </w:t>
            </w:r>
            <w:r w:rsidR="0036421F" w:rsidRPr="00734E74">
              <w:rPr>
                <w:rFonts w:ascii="Times New Roman" w:eastAsia="Calibri" w:hAnsi="Times New Roman" w:cs="Times New Roman"/>
                <w:iCs/>
                <w:szCs w:val="24"/>
              </w:rPr>
              <w:t>162</w:t>
            </w:r>
            <w:r w:rsidRPr="00734E74">
              <w:rPr>
                <w:rFonts w:ascii="Times New Roman" w:eastAsia="Calibri" w:hAnsi="Times New Roman" w:cs="Times New Roman"/>
                <w:iCs/>
                <w:szCs w:val="24"/>
              </w:rPr>
              <w:t>).</w:t>
            </w:r>
          </w:p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F1ACE" w:rsidRPr="00734E74" w:rsidTr="000B3612">
        <w:trPr>
          <w:trHeight w:val="442"/>
        </w:trPr>
        <w:tc>
          <w:tcPr>
            <w:tcW w:w="2601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>Variables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Interested</w:t>
            </w:r>
          </w:p>
          <w:p w:rsidR="00FF1ACE" w:rsidRPr="00734E74" w:rsidRDefault="00FF1ACE" w:rsidP="000B361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(</w:t>
            </w:r>
            <w:r w:rsidRPr="00734E74">
              <w:rPr>
                <w:rFonts w:ascii="Times New Roman" w:eastAsia="Calibri" w:hAnsi="Times New Roman" w:cs="Times New Roman"/>
                <w:i/>
                <w:sz w:val="22"/>
              </w:rPr>
              <w:t>n</w:t>
            </w:r>
            <w:r w:rsidRPr="00734E74">
              <w:rPr>
                <w:rFonts w:ascii="Times New Roman" w:eastAsia="Calibri" w:hAnsi="Times New Roman" w:cs="Times New Roman"/>
                <w:sz w:val="22"/>
              </w:rPr>
              <w:t xml:space="preserve"> = 72)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Not interested / unsure (</w:t>
            </w:r>
            <w:r w:rsidRPr="00734E74">
              <w:rPr>
                <w:rFonts w:ascii="Times New Roman" w:eastAsia="Calibri" w:hAnsi="Times New Roman" w:cs="Times New Roman"/>
                <w:i/>
                <w:sz w:val="22"/>
              </w:rPr>
              <w:t>n</w:t>
            </w:r>
            <w:r w:rsidRPr="00734E74">
              <w:rPr>
                <w:rFonts w:ascii="Times New Roman" w:eastAsia="Calibri" w:hAnsi="Times New Roman" w:cs="Times New Roman"/>
                <w:sz w:val="22"/>
              </w:rPr>
              <w:t xml:space="preserve"> = 90)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F1ACE" w:rsidRPr="00734E74" w:rsidRDefault="00FF1ACE" w:rsidP="000B361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>Univariate associations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Multivariate associations</w:t>
            </w:r>
          </w:p>
        </w:tc>
      </w:tr>
      <w:tr w:rsidR="00FF1ACE" w:rsidRPr="00734E74" w:rsidTr="000B3612">
        <w:trPr>
          <w:trHeight w:hRule="exact" w:val="57"/>
        </w:trPr>
        <w:tc>
          <w:tcPr>
            <w:tcW w:w="1433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68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  <w:t>n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  <w:t>n</w:t>
            </w: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(%)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  <w:t>P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>OR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aps/>
                <w:color w:val="000000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>CI OR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i/>
                <w:color w:val="000000"/>
                <w:sz w:val="22"/>
              </w:rPr>
              <w:t>P</w:t>
            </w: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Age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18-29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24 (55.8)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19 (44.2)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2.62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0.92,7.47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0.071</w:t>
            </w: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30-39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20 (48.8)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21 (51.2)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2.39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0.85,6.72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0.100</w:t>
            </w: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40-49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19 (43.2)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25 (56.8)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1.94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0.68,5.50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0.214</w:t>
            </w: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50-59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9 (26.5)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25 (73.5)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0.071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2"/>
                <w:u w:val="single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Gender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  Male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15 (27.8)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39 (72.2)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0.41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0.19,0.87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0.020</w:t>
            </w: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  Female 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57 (52.8)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51 (47.2)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0.003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Clinical work status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  Work with Inpatients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43 (56.6)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33 (43.4)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2.31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1.03,5.19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0.043</w:t>
            </w: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  Work in community only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29 (33.7)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sz w:val="22"/>
              </w:rPr>
              <w:t>57 (66.3)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  <w:t>0.003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Professional role (clinical)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Allied health professional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23 (39.0)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36 (61.0)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Nurse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34 (46.6)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39 (53.4)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Doctor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13 (50.0)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13 (50.0)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0.557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 xml:space="preserve">Weekly patient contact 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None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12 (38.7)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19 (61.3)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1-19 hours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20 (35.7)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36 (64.3)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1.13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0.39,3.30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0.827</w:t>
            </w: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20-35 hours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39 (55.7)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31 (44.3)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0.058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0.68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0.24,1.92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0.465</w:t>
            </w: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  <w:u w:val="single"/>
              </w:rPr>
              <w:t>Smoking status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Non-smoker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45 (49.5)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46 (50.5)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Ex-smoker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16 (36.4)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28 (63.6)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FF1ACE" w:rsidRPr="00734E74" w:rsidTr="000B3612">
        <w:trPr>
          <w:trHeight w:hRule="exact" w:val="301"/>
        </w:trPr>
        <w:tc>
          <w:tcPr>
            <w:tcW w:w="2601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  Current smoker</w:t>
            </w:r>
          </w:p>
        </w:tc>
        <w:tc>
          <w:tcPr>
            <w:tcW w:w="141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11 (40.7)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sz w:val="22"/>
              </w:rPr>
              <w:t>16 (59.3)</w:t>
            </w:r>
          </w:p>
        </w:tc>
        <w:tc>
          <w:tcPr>
            <w:tcW w:w="1134" w:type="dxa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2"/>
              </w:rPr>
            </w:pPr>
            <w:r w:rsidRPr="00734E74">
              <w:rPr>
                <w:rFonts w:ascii="Times New Roman" w:eastAsia="Calibri" w:hAnsi="Times New Roman" w:cs="Times New Roman"/>
                <w:color w:val="000000"/>
                <w:sz w:val="22"/>
              </w:rPr>
              <w:t>0.327</w:t>
            </w:r>
          </w:p>
        </w:tc>
        <w:tc>
          <w:tcPr>
            <w:tcW w:w="8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1ACE" w:rsidRPr="00734E74" w:rsidRDefault="00FF1ACE" w:rsidP="000B3612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FF1ACE" w:rsidRPr="00480410" w:rsidTr="000B3612">
        <w:trPr>
          <w:trHeight w:val="1428"/>
        </w:trPr>
        <w:tc>
          <w:tcPr>
            <w:tcW w:w="9972" w:type="dxa"/>
            <w:gridSpan w:val="8"/>
            <w:tcBorders>
              <w:top w:val="single" w:sz="12" w:space="0" w:color="auto"/>
            </w:tcBorders>
          </w:tcPr>
          <w:p w:rsidR="00FF1ACE" w:rsidRPr="00480410" w:rsidRDefault="00FF1ACE" w:rsidP="000B3612">
            <w:pPr>
              <w:suppressAutoHyphens/>
              <w:autoSpaceDN w:val="0"/>
              <w:spacing w:before="6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Notes: </w:t>
            </w:r>
            <w:r w:rsidRPr="00734E7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values for univariate associations were calculated using Chi-square tests; </w:t>
            </w:r>
            <w:r w:rsidRPr="00734E74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values were calculated using (binary) multivariate logistic regression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for multivariate associations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Only those variables where </w:t>
            </w:r>
            <w:r w:rsidRPr="00734E74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&lt; 0.10 in </w:t>
            </w:r>
            <w:r w:rsidR="00D76472"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ivariate associations were included in multivariate analyses. 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>Weekly contact hours were not recorded for 5 participants</w:t>
            </w:r>
            <w:r w:rsidR="00F90886"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 analyses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hence the (multivariate) model includes 157 participants only; Reference categories for model Age = 50+ years, Gender = Female, Clinical work status = Work in community, Weekly patient contact = </w:t>
            </w:r>
            <w:r w:rsidR="0036421F"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>N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>one; OR = odds ratio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; CI = 95% confidence interval. For model, Wald </w:t>
            </w:r>
            <w:r w:rsidRPr="00734E7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χ</w:t>
            </w:r>
            <w:r w:rsidRPr="00734E74">
              <w:rPr>
                <w:rFonts w:ascii="Times New Roman" w:eastAsia="Calibri" w:hAnsi="Times New Roman" w:cs="Times New Roman"/>
                <w:iCs/>
                <w:sz w:val="18"/>
                <w:szCs w:val="18"/>
                <w:vertAlign w:val="superscript"/>
              </w:rPr>
              <w:t>2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: Age = 3.78, </w:t>
            </w:r>
            <w:r w:rsidRPr="00734E74">
              <w:rPr>
                <w:rFonts w:ascii="Times New Roman" w:eastAsia="Calibri" w:hAnsi="Times New Roman" w:cs="Times New Roman"/>
                <w:i/>
                <w:caps/>
                <w:sz w:val="18"/>
                <w:szCs w:val="18"/>
                <w:lang w:val="en-US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= 0.287, Weekly patient contact = 1.62, </w:t>
            </w:r>
            <w:r w:rsidRPr="00734E74">
              <w:rPr>
                <w:rFonts w:ascii="Times New Roman" w:eastAsia="Calibri" w:hAnsi="Times New Roman" w:cs="Times New Roman"/>
                <w:i/>
                <w:caps/>
                <w:sz w:val="18"/>
                <w:szCs w:val="18"/>
                <w:lang w:val="en-US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= 0.445, Smoking status = 58.48, </w:t>
            </w:r>
            <w:r w:rsidRPr="00734E74">
              <w:rPr>
                <w:rFonts w:ascii="Times New Roman" w:eastAsia="Calibri" w:hAnsi="Times New Roman" w:cs="Times New Roman"/>
                <w:i/>
                <w:caps/>
                <w:sz w:val="18"/>
                <w:szCs w:val="18"/>
                <w:lang w:val="en-US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&lt; 0.001; Omnibus overall model likelihood ratio </w:t>
            </w:r>
            <w:r w:rsidRPr="00734E74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χ</w:t>
            </w:r>
            <w:r w:rsidRPr="00734E74">
              <w:rPr>
                <w:rFonts w:ascii="Times New Roman" w:eastAsia="Calibri" w:hAnsi="Times New Roman" w:cs="Times New Roman"/>
                <w:iCs/>
                <w:sz w:val="18"/>
                <w:szCs w:val="18"/>
                <w:vertAlign w:val="superscript"/>
              </w:rPr>
              <w:t>2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= 21.47, </w:t>
            </w:r>
            <w:r w:rsidRPr="00734E74">
              <w:rPr>
                <w:rFonts w:ascii="Times New Roman" w:eastAsia="Calibri" w:hAnsi="Times New Roman" w:cs="Times New Roman"/>
                <w:i/>
                <w:caps/>
                <w:sz w:val="18"/>
                <w:szCs w:val="18"/>
                <w:lang w:val="en-US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= 0.003.</w:t>
            </w:r>
            <w:r w:rsidRPr="00734E74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Associations with significance </w:t>
            </w:r>
            <w:r w:rsidRPr="00734E7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</w:t>
            </w:r>
            <w:r w:rsidRPr="00734E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&lt; 0.05 are indicated in bold.</w:t>
            </w:r>
          </w:p>
        </w:tc>
      </w:tr>
      <w:bookmarkEnd w:id="2"/>
    </w:tbl>
    <w:p w:rsidR="00FF1ACE" w:rsidRDefault="00FF1ACE" w:rsidP="00FF1ACE">
      <w:pPr>
        <w:spacing w:line="360" w:lineRule="auto"/>
        <w:rPr>
          <w:rFonts w:eastAsia="Calibri" w:cs="Arial"/>
          <w:sz w:val="22"/>
        </w:rPr>
      </w:pPr>
    </w:p>
    <w:p w:rsidR="00FF1ACE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Default="00FF1ACE" w:rsidP="00FF1ACE">
      <w:pPr>
        <w:pStyle w:val="EndnoteText"/>
        <w:spacing w:line="276" w:lineRule="auto"/>
        <w:rPr>
          <w:rFonts w:cs="Arial"/>
        </w:rPr>
      </w:pPr>
    </w:p>
    <w:p w:rsidR="00FF1ACE" w:rsidRPr="00624D12" w:rsidRDefault="00FF1ACE" w:rsidP="00FF1ACE">
      <w:pPr>
        <w:pStyle w:val="EndnoteText"/>
        <w:spacing w:line="276" w:lineRule="auto"/>
        <w:rPr>
          <w:rFonts w:cs="Arial"/>
        </w:rPr>
      </w:pPr>
    </w:p>
    <w:p w:rsidR="000B3612" w:rsidRDefault="000B3612"/>
    <w:p w:rsidR="00E75FFD" w:rsidRDefault="00E75FFD"/>
    <w:sectPr w:rsidR="00E75FFD" w:rsidSect="00CB6B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CE"/>
    <w:rsid w:val="00003459"/>
    <w:rsid w:val="000263D3"/>
    <w:rsid w:val="00032179"/>
    <w:rsid w:val="00054E49"/>
    <w:rsid w:val="00093943"/>
    <w:rsid w:val="000A61FB"/>
    <w:rsid w:val="000B3612"/>
    <w:rsid w:val="0012254C"/>
    <w:rsid w:val="00145B02"/>
    <w:rsid w:val="00170FA7"/>
    <w:rsid w:val="001B4D92"/>
    <w:rsid w:val="001F4171"/>
    <w:rsid w:val="002053BD"/>
    <w:rsid w:val="002546BF"/>
    <w:rsid w:val="00281847"/>
    <w:rsid w:val="002D6845"/>
    <w:rsid w:val="003515F2"/>
    <w:rsid w:val="0036421F"/>
    <w:rsid w:val="003B7715"/>
    <w:rsid w:val="00515F41"/>
    <w:rsid w:val="00516FCA"/>
    <w:rsid w:val="00520746"/>
    <w:rsid w:val="00564856"/>
    <w:rsid w:val="00587FA9"/>
    <w:rsid w:val="005A55D2"/>
    <w:rsid w:val="005E3371"/>
    <w:rsid w:val="006031D5"/>
    <w:rsid w:val="0061073A"/>
    <w:rsid w:val="006148D5"/>
    <w:rsid w:val="00642FE0"/>
    <w:rsid w:val="00643337"/>
    <w:rsid w:val="00693F03"/>
    <w:rsid w:val="006C7AC3"/>
    <w:rsid w:val="00705058"/>
    <w:rsid w:val="00712F0B"/>
    <w:rsid w:val="00715936"/>
    <w:rsid w:val="00730D3D"/>
    <w:rsid w:val="00734E74"/>
    <w:rsid w:val="007442BB"/>
    <w:rsid w:val="00752101"/>
    <w:rsid w:val="00772416"/>
    <w:rsid w:val="00776613"/>
    <w:rsid w:val="007949E6"/>
    <w:rsid w:val="007B6D0C"/>
    <w:rsid w:val="00801712"/>
    <w:rsid w:val="008069B7"/>
    <w:rsid w:val="008072F2"/>
    <w:rsid w:val="008226C0"/>
    <w:rsid w:val="00823CDF"/>
    <w:rsid w:val="008374E2"/>
    <w:rsid w:val="00884FA2"/>
    <w:rsid w:val="008E2013"/>
    <w:rsid w:val="008F4BE1"/>
    <w:rsid w:val="00910CB9"/>
    <w:rsid w:val="0092129E"/>
    <w:rsid w:val="009809CF"/>
    <w:rsid w:val="00985EE2"/>
    <w:rsid w:val="00987A3E"/>
    <w:rsid w:val="00994E1E"/>
    <w:rsid w:val="009A12B1"/>
    <w:rsid w:val="009A5756"/>
    <w:rsid w:val="009B7E87"/>
    <w:rsid w:val="009D47FE"/>
    <w:rsid w:val="00A35268"/>
    <w:rsid w:val="00A430A4"/>
    <w:rsid w:val="00A847B7"/>
    <w:rsid w:val="00AE1338"/>
    <w:rsid w:val="00B137F3"/>
    <w:rsid w:val="00B35256"/>
    <w:rsid w:val="00B46C27"/>
    <w:rsid w:val="00B6416D"/>
    <w:rsid w:val="00B6543E"/>
    <w:rsid w:val="00B70640"/>
    <w:rsid w:val="00BB1462"/>
    <w:rsid w:val="00BE38F8"/>
    <w:rsid w:val="00BF1BBB"/>
    <w:rsid w:val="00BF3B4F"/>
    <w:rsid w:val="00C0192B"/>
    <w:rsid w:val="00C62E22"/>
    <w:rsid w:val="00C63EC8"/>
    <w:rsid w:val="00C71FEC"/>
    <w:rsid w:val="00C95D18"/>
    <w:rsid w:val="00C963B0"/>
    <w:rsid w:val="00CA1879"/>
    <w:rsid w:val="00CB0F39"/>
    <w:rsid w:val="00CB6BF2"/>
    <w:rsid w:val="00CF743E"/>
    <w:rsid w:val="00D02ABB"/>
    <w:rsid w:val="00D133AA"/>
    <w:rsid w:val="00D54781"/>
    <w:rsid w:val="00D614F3"/>
    <w:rsid w:val="00D62BE5"/>
    <w:rsid w:val="00D63821"/>
    <w:rsid w:val="00D76472"/>
    <w:rsid w:val="00D81B1B"/>
    <w:rsid w:val="00D92A63"/>
    <w:rsid w:val="00DB44B9"/>
    <w:rsid w:val="00E02889"/>
    <w:rsid w:val="00E314B7"/>
    <w:rsid w:val="00E4653A"/>
    <w:rsid w:val="00E745B5"/>
    <w:rsid w:val="00E75FFD"/>
    <w:rsid w:val="00EB68B5"/>
    <w:rsid w:val="00F050D8"/>
    <w:rsid w:val="00F611A3"/>
    <w:rsid w:val="00F85CA2"/>
    <w:rsid w:val="00F90886"/>
    <w:rsid w:val="00FB1C3C"/>
    <w:rsid w:val="00FD2221"/>
    <w:rsid w:val="00FD7731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CE"/>
    <w:pPr>
      <w:spacing w:after="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F1AC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1ACE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B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CE"/>
    <w:pPr>
      <w:spacing w:after="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F1AC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1ACE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B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Smith</dc:creator>
  <cp:lastModifiedBy>Ratier-Cruz, Adriana</cp:lastModifiedBy>
  <cp:revision>2</cp:revision>
  <dcterms:created xsi:type="dcterms:W3CDTF">2020-02-13T15:37:00Z</dcterms:created>
  <dcterms:modified xsi:type="dcterms:W3CDTF">2020-02-13T15:37:00Z</dcterms:modified>
</cp:coreProperties>
</file>