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A8D1A7" w14:textId="4E849837" w:rsidR="008779B1" w:rsidRPr="00537593" w:rsidRDefault="001D2559" w:rsidP="00984581">
      <w:pPr>
        <w:spacing w:line="480" w:lineRule="auto"/>
        <w:rPr>
          <w:b/>
          <w:sz w:val="24"/>
          <w:szCs w:val="24"/>
        </w:rPr>
      </w:pPr>
      <w:r w:rsidRPr="000F27B6">
        <w:rPr>
          <w:b/>
          <w:sz w:val="24"/>
          <w:szCs w:val="24"/>
        </w:rPr>
        <w:t>Diagnostic</w:t>
      </w:r>
      <w:r w:rsidR="00D17FF9" w:rsidRPr="000F27B6">
        <w:rPr>
          <w:b/>
          <w:sz w:val="24"/>
          <w:szCs w:val="24"/>
        </w:rPr>
        <w:t xml:space="preserve"> </w:t>
      </w:r>
      <w:r w:rsidR="007A3C67" w:rsidRPr="000F27B6">
        <w:rPr>
          <w:b/>
          <w:sz w:val="24"/>
          <w:szCs w:val="24"/>
        </w:rPr>
        <w:t>Y</w:t>
      </w:r>
      <w:r w:rsidR="00D17FF9" w:rsidRPr="000F27B6">
        <w:rPr>
          <w:b/>
          <w:sz w:val="24"/>
          <w:szCs w:val="24"/>
        </w:rPr>
        <w:t xml:space="preserve">ield of </w:t>
      </w:r>
      <w:r w:rsidR="007A3C67" w:rsidRPr="000F27B6">
        <w:rPr>
          <w:b/>
          <w:sz w:val="24"/>
          <w:szCs w:val="24"/>
        </w:rPr>
        <w:t>H</w:t>
      </w:r>
      <w:r w:rsidR="00D17FF9" w:rsidRPr="000F27B6">
        <w:rPr>
          <w:b/>
          <w:sz w:val="24"/>
          <w:szCs w:val="24"/>
        </w:rPr>
        <w:t xml:space="preserve">ypertrophic </w:t>
      </w:r>
      <w:r w:rsidR="007A3C67" w:rsidRPr="000F27B6">
        <w:rPr>
          <w:b/>
          <w:sz w:val="24"/>
          <w:szCs w:val="24"/>
        </w:rPr>
        <w:t>C</w:t>
      </w:r>
      <w:r w:rsidR="00D17FF9" w:rsidRPr="000F27B6">
        <w:rPr>
          <w:b/>
          <w:sz w:val="24"/>
          <w:szCs w:val="24"/>
        </w:rPr>
        <w:t xml:space="preserve">ardiomyopathy in </w:t>
      </w:r>
      <w:r w:rsidR="007A3C67" w:rsidRPr="000F27B6">
        <w:rPr>
          <w:b/>
          <w:sz w:val="24"/>
          <w:szCs w:val="24"/>
        </w:rPr>
        <w:t>F</w:t>
      </w:r>
      <w:r w:rsidR="00D17FF9" w:rsidRPr="000F27B6">
        <w:rPr>
          <w:b/>
          <w:sz w:val="24"/>
          <w:szCs w:val="24"/>
        </w:rPr>
        <w:t>irst</w:t>
      </w:r>
      <w:r w:rsidR="007A3C67" w:rsidRPr="000F27B6">
        <w:rPr>
          <w:b/>
          <w:sz w:val="24"/>
          <w:szCs w:val="24"/>
        </w:rPr>
        <w:t>-</w:t>
      </w:r>
      <w:r w:rsidR="00D17FF9" w:rsidRPr="000F27B6">
        <w:rPr>
          <w:b/>
          <w:sz w:val="24"/>
          <w:szCs w:val="24"/>
        </w:rPr>
        <w:t xml:space="preserve">degree </w:t>
      </w:r>
      <w:r w:rsidR="007A3C67" w:rsidRPr="000F27B6">
        <w:rPr>
          <w:b/>
          <w:sz w:val="24"/>
          <w:szCs w:val="24"/>
        </w:rPr>
        <w:t>R</w:t>
      </w:r>
      <w:r w:rsidR="00D17FF9" w:rsidRPr="000F27B6">
        <w:rPr>
          <w:b/>
          <w:sz w:val="24"/>
          <w:szCs w:val="24"/>
        </w:rPr>
        <w:t xml:space="preserve">elatives of </w:t>
      </w:r>
      <w:r w:rsidR="007A3C67" w:rsidRPr="000F27B6">
        <w:rPr>
          <w:b/>
          <w:sz w:val="24"/>
          <w:szCs w:val="24"/>
        </w:rPr>
        <w:t>D</w:t>
      </w:r>
      <w:r w:rsidR="00D17FF9" w:rsidRPr="000F27B6">
        <w:rPr>
          <w:b/>
          <w:sz w:val="24"/>
          <w:szCs w:val="24"/>
        </w:rPr>
        <w:t xml:space="preserve">ecedents with </w:t>
      </w:r>
      <w:r w:rsidR="007A3C67" w:rsidRPr="000F27B6">
        <w:rPr>
          <w:b/>
          <w:sz w:val="24"/>
          <w:szCs w:val="24"/>
        </w:rPr>
        <w:t>I</w:t>
      </w:r>
      <w:r w:rsidR="00D17FF9" w:rsidRPr="000F27B6">
        <w:rPr>
          <w:b/>
          <w:sz w:val="24"/>
          <w:szCs w:val="24"/>
        </w:rPr>
        <w:t>diopathic</w:t>
      </w:r>
      <w:r w:rsidR="008779B1" w:rsidRPr="000F27B6">
        <w:rPr>
          <w:b/>
          <w:sz w:val="24"/>
          <w:szCs w:val="24"/>
        </w:rPr>
        <w:t xml:space="preserve"> </w:t>
      </w:r>
      <w:r w:rsidR="007A3C67" w:rsidRPr="000F27B6">
        <w:rPr>
          <w:b/>
          <w:sz w:val="24"/>
          <w:szCs w:val="24"/>
        </w:rPr>
        <w:t>L</w:t>
      </w:r>
      <w:r w:rsidR="008779B1" w:rsidRPr="000F27B6">
        <w:rPr>
          <w:b/>
          <w:sz w:val="24"/>
          <w:szCs w:val="24"/>
        </w:rPr>
        <w:t xml:space="preserve">eft </w:t>
      </w:r>
      <w:r w:rsidR="007A3C67" w:rsidRPr="000F27B6">
        <w:rPr>
          <w:b/>
          <w:sz w:val="24"/>
          <w:szCs w:val="24"/>
        </w:rPr>
        <w:t>V</w:t>
      </w:r>
      <w:r w:rsidR="008779B1" w:rsidRPr="000F27B6">
        <w:rPr>
          <w:b/>
          <w:sz w:val="24"/>
          <w:szCs w:val="24"/>
        </w:rPr>
        <w:t xml:space="preserve">entricular </w:t>
      </w:r>
      <w:r w:rsidR="007A3C67" w:rsidRPr="000F27B6">
        <w:rPr>
          <w:b/>
          <w:sz w:val="24"/>
          <w:szCs w:val="24"/>
        </w:rPr>
        <w:t>H</w:t>
      </w:r>
      <w:r w:rsidR="008779B1" w:rsidRPr="000F27B6">
        <w:rPr>
          <w:b/>
          <w:sz w:val="24"/>
          <w:szCs w:val="24"/>
        </w:rPr>
        <w:t>ypertrophy</w:t>
      </w:r>
    </w:p>
    <w:p w14:paraId="0E7FE1E4" w14:textId="7F1E0E5E" w:rsidR="005B4422" w:rsidRPr="000F27B6" w:rsidRDefault="008E4A8F" w:rsidP="00D72385">
      <w:pPr>
        <w:spacing w:line="360" w:lineRule="auto"/>
        <w:rPr>
          <w:sz w:val="24"/>
          <w:szCs w:val="24"/>
          <w:lang w:val="en-US"/>
        </w:rPr>
      </w:pPr>
      <w:r w:rsidRPr="000F27B6">
        <w:rPr>
          <w:sz w:val="24"/>
          <w:szCs w:val="24"/>
          <w:lang w:val="en-US"/>
        </w:rPr>
        <w:t xml:space="preserve">Gherardo </w:t>
      </w:r>
      <w:proofErr w:type="spellStart"/>
      <w:r w:rsidRPr="000F27B6">
        <w:rPr>
          <w:sz w:val="24"/>
          <w:szCs w:val="24"/>
          <w:lang w:val="en-US"/>
        </w:rPr>
        <w:t>Finocchiaro</w:t>
      </w:r>
      <w:r w:rsidRPr="000F27B6">
        <w:rPr>
          <w:sz w:val="24"/>
          <w:szCs w:val="24"/>
          <w:vertAlign w:val="superscript"/>
          <w:lang w:val="en-US"/>
        </w:rPr>
        <w:t>a</w:t>
      </w:r>
      <w:proofErr w:type="spellEnd"/>
      <w:r w:rsidRPr="000F27B6">
        <w:rPr>
          <w:sz w:val="24"/>
          <w:szCs w:val="24"/>
          <w:lang w:val="en-US"/>
        </w:rPr>
        <w:t xml:space="preserve"> MD,</w:t>
      </w:r>
      <w:r w:rsidR="00364A3A" w:rsidRPr="000F27B6">
        <w:rPr>
          <w:sz w:val="24"/>
          <w:szCs w:val="24"/>
          <w:lang w:val="en-US"/>
        </w:rPr>
        <w:t xml:space="preserve"> PhD,</w:t>
      </w:r>
      <w:r w:rsidRPr="000F27B6">
        <w:rPr>
          <w:sz w:val="24"/>
          <w:szCs w:val="24"/>
          <w:lang w:val="en-US"/>
        </w:rPr>
        <w:t xml:space="preserve"> </w:t>
      </w:r>
      <w:proofErr w:type="spellStart"/>
      <w:r w:rsidR="00827D66" w:rsidRPr="000F27B6">
        <w:rPr>
          <w:sz w:val="24"/>
          <w:szCs w:val="24"/>
        </w:rPr>
        <w:t>Harshil</w:t>
      </w:r>
      <w:proofErr w:type="spellEnd"/>
      <w:r w:rsidR="00827D66" w:rsidRPr="000F27B6">
        <w:rPr>
          <w:sz w:val="24"/>
          <w:szCs w:val="24"/>
        </w:rPr>
        <w:t xml:space="preserve"> </w:t>
      </w:r>
      <w:proofErr w:type="spellStart"/>
      <w:r w:rsidR="00827D66" w:rsidRPr="000F27B6">
        <w:rPr>
          <w:sz w:val="24"/>
          <w:szCs w:val="24"/>
        </w:rPr>
        <w:t>Dhutia</w:t>
      </w:r>
      <w:proofErr w:type="spellEnd"/>
      <w:r w:rsidR="00827D66" w:rsidRPr="000F27B6">
        <w:rPr>
          <w:sz w:val="24"/>
          <w:szCs w:val="24"/>
          <w:vertAlign w:val="superscript"/>
          <w:lang w:val="en-US"/>
        </w:rPr>
        <w:t>a</w:t>
      </w:r>
      <w:r w:rsidR="00827D66" w:rsidRPr="000F27B6">
        <w:rPr>
          <w:sz w:val="24"/>
          <w:szCs w:val="24"/>
        </w:rPr>
        <w:t xml:space="preserve"> BSc MRCP,</w:t>
      </w:r>
      <w:r w:rsidR="00827D66" w:rsidRPr="000F27B6">
        <w:rPr>
          <w:sz w:val="24"/>
          <w:szCs w:val="24"/>
          <w:lang w:val="en-US"/>
        </w:rPr>
        <w:t xml:space="preserve"> </w:t>
      </w:r>
      <w:r w:rsidR="00B1707C" w:rsidRPr="000F27B6">
        <w:rPr>
          <w:sz w:val="24"/>
          <w:szCs w:val="24"/>
          <w:lang w:val="en-US"/>
        </w:rPr>
        <w:t xml:space="preserve">Belinda </w:t>
      </w:r>
      <w:proofErr w:type="spellStart"/>
      <w:r w:rsidR="00AE1AB4" w:rsidRPr="000F27B6">
        <w:rPr>
          <w:sz w:val="24"/>
          <w:szCs w:val="24"/>
          <w:lang w:val="en-US"/>
        </w:rPr>
        <w:t>Gray</w:t>
      </w:r>
      <w:r w:rsidR="00AE1AB4" w:rsidRPr="000F27B6">
        <w:rPr>
          <w:sz w:val="24"/>
          <w:szCs w:val="24"/>
          <w:vertAlign w:val="superscript"/>
          <w:lang w:val="en-US"/>
        </w:rPr>
        <w:t>a</w:t>
      </w:r>
      <w:proofErr w:type="spellEnd"/>
      <w:r w:rsidR="00AE1AB4" w:rsidRPr="000F27B6">
        <w:rPr>
          <w:sz w:val="24"/>
          <w:szCs w:val="24"/>
          <w:lang w:val="en-US"/>
        </w:rPr>
        <w:t xml:space="preserve"> MD, PhD,</w:t>
      </w:r>
      <w:r w:rsidRPr="000F27B6">
        <w:rPr>
          <w:sz w:val="24"/>
          <w:szCs w:val="24"/>
          <w:lang w:val="en-US"/>
        </w:rPr>
        <w:t xml:space="preserve"> </w:t>
      </w:r>
      <w:r w:rsidR="00416F12" w:rsidRPr="000F27B6">
        <w:rPr>
          <w:sz w:val="24"/>
          <w:szCs w:val="24"/>
        </w:rPr>
        <w:t xml:space="preserve">Bode </w:t>
      </w:r>
      <w:proofErr w:type="spellStart"/>
      <w:r w:rsidR="00416F12" w:rsidRPr="000F27B6">
        <w:rPr>
          <w:sz w:val="24"/>
          <w:szCs w:val="24"/>
        </w:rPr>
        <w:t>Ensam</w:t>
      </w:r>
      <w:r w:rsidR="00416F12" w:rsidRPr="000F27B6">
        <w:rPr>
          <w:sz w:val="24"/>
          <w:szCs w:val="24"/>
          <w:vertAlign w:val="superscript"/>
        </w:rPr>
        <w:t>a</w:t>
      </w:r>
      <w:proofErr w:type="spellEnd"/>
      <w:r w:rsidR="00416F12" w:rsidRPr="000F27B6">
        <w:rPr>
          <w:sz w:val="24"/>
          <w:szCs w:val="24"/>
        </w:rPr>
        <w:t xml:space="preserve"> MRCP, </w:t>
      </w:r>
      <w:proofErr w:type="spellStart"/>
      <w:r w:rsidR="00416F12" w:rsidRPr="000F27B6">
        <w:rPr>
          <w:sz w:val="24"/>
          <w:szCs w:val="24"/>
        </w:rPr>
        <w:t>Stathis</w:t>
      </w:r>
      <w:proofErr w:type="spellEnd"/>
      <w:r w:rsidR="00416F12" w:rsidRPr="000F27B6">
        <w:rPr>
          <w:sz w:val="24"/>
          <w:szCs w:val="24"/>
        </w:rPr>
        <w:t xml:space="preserve"> </w:t>
      </w:r>
      <w:proofErr w:type="spellStart"/>
      <w:r w:rsidR="00416F12" w:rsidRPr="000F27B6">
        <w:rPr>
          <w:sz w:val="24"/>
          <w:szCs w:val="24"/>
        </w:rPr>
        <w:t>Papatheodorou</w:t>
      </w:r>
      <w:r w:rsidR="00416F12" w:rsidRPr="000F27B6">
        <w:rPr>
          <w:sz w:val="24"/>
          <w:szCs w:val="24"/>
          <w:vertAlign w:val="superscript"/>
        </w:rPr>
        <w:t>a</w:t>
      </w:r>
      <w:proofErr w:type="spellEnd"/>
      <w:r w:rsidR="00416F12" w:rsidRPr="000F27B6">
        <w:rPr>
          <w:sz w:val="24"/>
          <w:szCs w:val="24"/>
        </w:rPr>
        <w:t xml:space="preserve"> MD, Chris </w:t>
      </w:r>
      <w:proofErr w:type="spellStart"/>
      <w:r w:rsidR="00416F12" w:rsidRPr="000F27B6">
        <w:rPr>
          <w:sz w:val="24"/>
          <w:szCs w:val="24"/>
        </w:rPr>
        <w:t>Miles</w:t>
      </w:r>
      <w:r w:rsidR="00416F12" w:rsidRPr="000F27B6">
        <w:rPr>
          <w:sz w:val="24"/>
          <w:szCs w:val="24"/>
          <w:vertAlign w:val="superscript"/>
        </w:rPr>
        <w:t>a</w:t>
      </w:r>
      <w:proofErr w:type="spellEnd"/>
      <w:r w:rsidR="00416F12" w:rsidRPr="000F27B6">
        <w:rPr>
          <w:sz w:val="24"/>
          <w:szCs w:val="24"/>
        </w:rPr>
        <w:t xml:space="preserve"> MRCP,</w:t>
      </w:r>
      <w:r w:rsidR="008B0320" w:rsidRPr="000F27B6">
        <w:rPr>
          <w:sz w:val="24"/>
          <w:szCs w:val="24"/>
        </w:rPr>
        <w:t xml:space="preserve"> </w:t>
      </w:r>
      <w:proofErr w:type="spellStart"/>
      <w:r w:rsidR="008B0320" w:rsidRPr="000F27B6">
        <w:rPr>
          <w:sz w:val="24"/>
          <w:szCs w:val="24"/>
          <w:lang w:val="en-US"/>
        </w:rPr>
        <w:t>Aneil</w:t>
      </w:r>
      <w:proofErr w:type="spellEnd"/>
      <w:r w:rsidR="008B0320" w:rsidRPr="000F27B6">
        <w:rPr>
          <w:sz w:val="24"/>
          <w:szCs w:val="24"/>
          <w:lang w:val="en-US"/>
        </w:rPr>
        <w:t xml:space="preserve"> Malhotra</w:t>
      </w:r>
      <w:r w:rsidR="00EE32F7" w:rsidRPr="000F27B6">
        <w:rPr>
          <w:sz w:val="24"/>
          <w:szCs w:val="24"/>
          <w:vertAlign w:val="superscript"/>
        </w:rPr>
        <w:t>a</w:t>
      </w:r>
      <w:r w:rsidR="008B0320" w:rsidRPr="000F27B6">
        <w:rPr>
          <w:sz w:val="24"/>
          <w:szCs w:val="24"/>
          <w:lang w:val="en-US"/>
        </w:rPr>
        <w:t xml:space="preserve"> MSc, MRCP,</w:t>
      </w:r>
      <w:r w:rsidR="00364A3A" w:rsidRPr="000F27B6">
        <w:rPr>
          <w:sz w:val="24"/>
          <w:szCs w:val="24"/>
          <w:lang w:val="en-US"/>
        </w:rPr>
        <w:t xml:space="preserve"> PhD,</w:t>
      </w:r>
      <w:r w:rsidR="005B4422" w:rsidRPr="000F27B6">
        <w:rPr>
          <w:sz w:val="24"/>
          <w:szCs w:val="24"/>
        </w:rPr>
        <w:t xml:space="preserve"> </w:t>
      </w:r>
      <w:proofErr w:type="spellStart"/>
      <w:r w:rsidR="005B4422" w:rsidRPr="000F27B6">
        <w:rPr>
          <w:sz w:val="24"/>
          <w:szCs w:val="24"/>
        </w:rPr>
        <w:t>Zeph</w:t>
      </w:r>
      <w:proofErr w:type="spellEnd"/>
      <w:r w:rsidR="005B4422" w:rsidRPr="000F27B6">
        <w:rPr>
          <w:sz w:val="24"/>
          <w:szCs w:val="24"/>
        </w:rPr>
        <w:t xml:space="preserve"> </w:t>
      </w:r>
      <w:proofErr w:type="spellStart"/>
      <w:r w:rsidR="005B4422" w:rsidRPr="000F27B6">
        <w:rPr>
          <w:sz w:val="24"/>
          <w:szCs w:val="24"/>
        </w:rPr>
        <w:t>Fanton</w:t>
      </w:r>
      <w:r w:rsidR="005B4422" w:rsidRPr="000F27B6">
        <w:rPr>
          <w:sz w:val="24"/>
          <w:szCs w:val="24"/>
          <w:vertAlign w:val="superscript"/>
        </w:rPr>
        <w:t>a</w:t>
      </w:r>
      <w:proofErr w:type="spellEnd"/>
      <w:r w:rsidR="00D4005E" w:rsidRPr="000F27B6">
        <w:rPr>
          <w:sz w:val="24"/>
          <w:szCs w:val="24"/>
        </w:rPr>
        <w:t xml:space="preserve"> </w:t>
      </w:r>
      <w:r w:rsidR="005B4422" w:rsidRPr="000F27B6">
        <w:rPr>
          <w:sz w:val="24"/>
          <w:szCs w:val="24"/>
        </w:rPr>
        <w:t>B</w:t>
      </w:r>
      <w:r w:rsidR="00827D66" w:rsidRPr="000F27B6">
        <w:rPr>
          <w:sz w:val="24"/>
          <w:szCs w:val="24"/>
        </w:rPr>
        <w:t>Sc</w:t>
      </w:r>
      <w:r w:rsidR="005B4422" w:rsidRPr="000F27B6">
        <w:rPr>
          <w:sz w:val="24"/>
          <w:szCs w:val="24"/>
        </w:rPr>
        <w:t xml:space="preserve">, Paulo </w:t>
      </w:r>
      <w:proofErr w:type="spellStart"/>
      <w:r w:rsidR="005B4422" w:rsidRPr="000F27B6">
        <w:rPr>
          <w:sz w:val="24"/>
          <w:szCs w:val="24"/>
        </w:rPr>
        <w:t>Bulleros</w:t>
      </w:r>
      <w:r w:rsidR="005B4422" w:rsidRPr="000F27B6">
        <w:rPr>
          <w:sz w:val="24"/>
          <w:szCs w:val="24"/>
          <w:vertAlign w:val="superscript"/>
        </w:rPr>
        <w:t>a</w:t>
      </w:r>
      <w:proofErr w:type="spellEnd"/>
      <w:r w:rsidR="005B4422" w:rsidRPr="000F27B6">
        <w:rPr>
          <w:sz w:val="24"/>
          <w:szCs w:val="24"/>
        </w:rPr>
        <w:t xml:space="preserve"> B</w:t>
      </w:r>
      <w:r w:rsidR="00827D66" w:rsidRPr="000F27B6">
        <w:rPr>
          <w:sz w:val="24"/>
          <w:szCs w:val="24"/>
        </w:rPr>
        <w:t>Sc</w:t>
      </w:r>
      <w:r w:rsidR="005B4422" w:rsidRPr="000F27B6">
        <w:rPr>
          <w:sz w:val="24"/>
          <w:szCs w:val="24"/>
        </w:rPr>
        <w:t>,</w:t>
      </w:r>
      <w:r w:rsidR="00EE32F7" w:rsidRPr="000F27B6">
        <w:rPr>
          <w:sz w:val="24"/>
          <w:szCs w:val="24"/>
        </w:rPr>
        <w:t xml:space="preserve"> Tessa </w:t>
      </w:r>
      <w:proofErr w:type="spellStart"/>
      <w:r w:rsidR="00EE32F7" w:rsidRPr="000F27B6">
        <w:rPr>
          <w:sz w:val="24"/>
          <w:szCs w:val="24"/>
        </w:rPr>
        <w:t>Homfray</w:t>
      </w:r>
      <w:r w:rsidR="00EE32F7" w:rsidRPr="000F27B6">
        <w:rPr>
          <w:sz w:val="24"/>
          <w:szCs w:val="24"/>
          <w:vertAlign w:val="superscript"/>
        </w:rPr>
        <w:t>a</w:t>
      </w:r>
      <w:proofErr w:type="spellEnd"/>
      <w:r w:rsidR="00EE32F7" w:rsidRPr="000F27B6">
        <w:rPr>
          <w:sz w:val="24"/>
          <w:szCs w:val="24"/>
        </w:rPr>
        <w:t xml:space="preserve"> MD,</w:t>
      </w:r>
      <w:r w:rsidR="00A24AE4" w:rsidRPr="000F27B6">
        <w:rPr>
          <w:sz w:val="24"/>
          <w:szCs w:val="24"/>
        </w:rPr>
        <w:t xml:space="preserve"> Adam</w:t>
      </w:r>
      <w:r w:rsidR="005B7526">
        <w:rPr>
          <w:sz w:val="24"/>
          <w:szCs w:val="24"/>
        </w:rPr>
        <w:t xml:space="preserve"> A.</w:t>
      </w:r>
      <w:r w:rsidR="00A24AE4" w:rsidRPr="000F27B6">
        <w:rPr>
          <w:sz w:val="24"/>
          <w:szCs w:val="24"/>
        </w:rPr>
        <w:t xml:space="preserve"> </w:t>
      </w:r>
      <w:proofErr w:type="spellStart"/>
      <w:r w:rsidR="00A24AE4" w:rsidRPr="000F27B6">
        <w:rPr>
          <w:sz w:val="24"/>
          <w:szCs w:val="24"/>
        </w:rPr>
        <w:t>Witney</w:t>
      </w:r>
      <w:r w:rsidR="00A24AE4" w:rsidRPr="000F27B6">
        <w:rPr>
          <w:sz w:val="24"/>
          <w:szCs w:val="24"/>
          <w:vertAlign w:val="superscript"/>
        </w:rPr>
        <w:t>a</w:t>
      </w:r>
      <w:r w:rsidR="00F3152F">
        <w:rPr>
          <w:sz w:val="24"/>
          <w:szCs w:val="24"/>
          <w:vertAlign w:val="superscript"/>
        </w:rPr>
        <w:t>,d</w:t>
      </w:r>
      <w:proofErr w:type="spellEnd"/>
      <w:r w:rsidR="00A24AE4" w:rsidRPr="000F27B6">
        <w:rPr>
          <w:sz w:val="24"/>
          <w:szCs w:val="24"/>
        </w:rPr>
        <w:t xml:space="preserve"> PhD, </w:t>
      </w:r>
      <w:r w:rsidR="00EE32F7" w:rsidRPr="000F27B6">
        <w:rPr>
          <w:sz w:val="24"/>
          <w:szCs w:val="24"/>
        </w:rPr>
        <w:t xml:space="preserve"> Nicholas </w:t>
      </w:r>
      <w:proofErr w:type="spellStart"/>
      <w:r w:rsidR="00EE32F7" w:rsidRPr="000F27B6">
        <w:rPr>
          <w:sz w:val="24"/>
          <w:szCs w:val="24"/>
        </w:rPr>
        <w:t>Bunce</w:t>
      </w:r>
      <w:r w:rsidR="00EE32F7" w:rsidRPr="000F27B6">
        <w:rPr>
          <w:sz w:val="24"/>
          <w:szCs w:val="24"/>
          <w:vertAlign w:val="superscript"/>
        </w:rPr>
        <w:t>a</w:t>
      </w:r>
      <w:proofErr w:type="spellEnd"/>
      <w:r w:rsidR="00EE32F7" w:rsidRPr="000F27B6">
        <w:rPr>
          <w:sz w:val="24"/>
          <w:szCs w:val="24"/>
        </w:rPr>
        <w:t xml:space="preserve">  MRCP</w:t>
      </w:r>
      <w:r w:rsidR="00364A3A" w:rsidRPr="000F27B6">
        <w:rPr>
          <w:sz w:val="24"/>
          <w:szCs w:val="24"/>
        </w:rPr>
        <w:t>,</w:t>
      </w:r>
      <w:r w:rsidR="00EE32F7" w:rsidRPr="000F27B6">
        <w:rPr>
          <w:sz w:val="24"/>
          <w:szCs w:val="24"/>
        </w:rPr>
        <w:t xml:space="preserve"> MD, Lisa J</w:t>
      </w:r>
      <w:r w:rsidR="00177CD1" w:rsidRPr="000F27B6">
        <w:rPr>
          <w:sz w:val="24"/>
          <w:szCs w:val="24"/>
        </w:rPr>
        <w:t>.</w:t>
      </w:r>
      <w:r w:rsidR="00EE32F7" w:rsidRPr="000F27B6">
        <w:rPr>
          <w:sz w:val="24"/>
          <w:szCs w:val="24"/>
        </w:rPr>
        <w:t xml:space="preserve"> </w:t>
      </w:r>
      <w:proofErr w:type="spellStart"/>
      <w:r w:rsidR="00EE32F7" w:rsidRPr="000F27B6">
        <w:rPr>
          <w:sz w:val="24"/>
          <w:szCs w:val="24"/>
        </w:rPr>
        <w:t>Anderson</w:t>
      </w:r>
      <w:r w:rsidR="00EE32F7" w:rsidRPr="000F27B6">
        <w:rPr>
          <w:sz w:val="24"/>
          <w:szCs w:val="24"/>
          <w:vertAlign w:val="superscript"/>
        </w:rPr>
        <w:t>a</w:t>
      </w:r>
      <w:proofErr w:type="spellEnd"/>
      <w:r w:rsidR="00EE32F7" w:rsidRPr="000F27B6">
        <w:rPr>
          <w:sz w:val="24"/>
          <w:szCs w:val="24"/>
        </w:rPr>
        <w:t xml:space="preserve"> BSc, MD,</w:t>
      </w:r>
      <w:r w:rsidR="00C84222" w:rsidRPr="000F27B6">
        <w:rPr>
          <w:sz w:val="24"/>
          <w:szCs w:val="24"/>
        </w:rPr>
        <w:t xml:space="preserve"> James</w:t>
      </w:r>
      <w:r w:rsidR="00364A3A" w:rsidRPr="000F27B6">
        <w:rPr>
          <w:sz w:val="24"/>
          <w:szCs w:val="24"/>
        </w:rPr>
        <w:t xml:space="preserve"> S.</w:t>
      </w:r>
      <w:r w:rsidR="00C84222" w:rsidRPr="000F27B6">
        <w:rPr>
          <w:sz w:val="24"/>
          <w:szCs w:val="24"/>
        </w:rPr>
        <w:t xml:space="preserve"> </w:t>
      </w:r>
      <w:proofErr w:type="spellStart"/>
      <w:r w:rsidR="00C84222" w:rsidRPr="000F27B6">
        <w:rPr>
          <w:sz w:val="24"/>
          <w:szCs w:val="24"/>
        </w:rPr>
        <w:t>Ware</w:t>
      </w:r>
      <w:r w:rsidR="00C84222" w:rsidRPr="000F27B6">
        <w:rPr>
          <w:sz w:val="24"/>
          <w:szCs w:val="24"/>
          <w:vertAlign w:val="superscript"/>
        </w:rPr>
        <w:t>c</w:t>
      </w:r>
      <w:proofErr w:type="spellEnd"/>
      <w:r w:rsidR="00C84222" w:rsidRPr="000F27B6">
        <w:rPr>
          <w:sz w:val="24"/>
          <w:szCs w:val="24"/>
        </w:rPr>
        <w:t xml:space="preserve"> BA,</w:t>
      </w:r>
      <w:r w:rsidR="00F440AF" w:rsidRPr="000F27B6">
        <w:rPr>
          <w:sz w:val="24"/>
          <w:szCs w:val="24"/>
        </w:rPr>
        <w:t xml:space="preserve"> MBBS,</w:t>
      </w:r>
      <w:r w:rsidR="00C84222" w:rsidRPr="000F27B6">
        <w:rPr>
          <w:sz w:val="24"/>
          <w:szCs w:val="24"/>
        </w:rPr>
        <w:t xml:space="preserve"> PhD,</w:t>
      </w:r>
      <w:r w:rsidR="00F440AF" w:rsidRPr="000F27B6">
        <w:rPr>
          <w:sz w:val="24"/>
          <w:szCs w:val="24"/>
        </w:rPr>
        <w:t xml:space="preserve"> </w:t>
      </w:r>
      <w:proofErr w:type="spellStart"/>
      <w:r w:rsidR="00F440AF" w:rsidRPr="000F27B6">
        <w:rPr>
          <w:sz w:val="24"/>
          <w:szCs w:val="24"/>
        </w:rPr>
        <w:t>Rajan</w:t>
      </w:r>
      <w:proofErr w:type="spellEnd"/>
      <w:r w:rsidR="00F440AF" w:rsidRPr="000F27B6">
        <w:rPr>
          <w:sz w:val="24"/>
          <w:szCs w:val="24"/>
        </w:rPr>
        <w:t xml:space="preserve"> Sharma</w:t>
      </w:r>
      <w:r w:rsidR="00F440AF" w:rsidRPr="000F27B6">
        <w:rPr>
          <w:sz w:val="24"/>
          <w:szCs w:val="24"/>
          <w:vertAlign w:val="superscript"/>
          <w:lang w:val="en-US"/>
        </w:rPr>
        <w:t xml:space="preserve">a </w:t>
      </w:r>
      <w:r w:rsidR="00F440AF" w:rsidRPr="000F27B6">
        <w:rPr>
          <w:sz w:val="24"/>
          <w:szCs w:val="24"/>
        </w:rPr>
        <w:t>BSc, MBBS, MD,</w:t>
      </w:r>
      <w:r w:rsidR="00A24AE4" w:rsidRPr="000F27B6">
        <w:rPr>
          <w:sz w:val="24"/>
          <w:szCs w:val="24"/>
        </w:rPr>
        <w:t xml:space="preserve"> </w:t>
      </w:r>
      <w:proofErr w:type="spellStart"/>
      <w:r w:rsidR="00A24AE4" w:rsidRPr="000F27B6">
        <w:rPr>
          <w:sz w:val="24"/>
          <w:szCs w:val="24"/>
        </w:rPr>
        <w:t>Maite</w:t>
      </w:r>
      <w:proofErr w:type="spellEnd"/>
      <w:r w:rsidR="00A24AE4" w:rsidRPr="000F27B6">
        <w:rPr>
          <w:sz w:val="24"/>
          <w:szCs w:val="24"/>
        </w:rPr>
        <w:t xml:space="preserve"> </w:t>
      </w:r>
      <w:proofErr w:type="spellStart"/>
      <w:r w:rsidR="00A24AE4" w:rsidRPr="000F27B6">
        <w:rPr>
          <w:sz w:val="24"/>
          <w:szCs w:val="24"/>
        </w:rPr>
        <w:t>Tome</w:t>
      </w:r>
      <w:r w:rsidR="00A24AE4" w:rsidRPr="000F27B6">
        <w:rPr>
          <w:sz w:val="24"/>
          <w:szCs w:val="24"/>
          <w:vertAlign w:val="superscript"/>
        </w:rPr>
        <w:t>a</w:t>
      </w:r>
      <w:proofErr w:type="spellEnd"/>
      <w:r w:rsidR="00A24AE4" w:rsidRPr="000F27B6">
        <w:rPr>
          <w:sz w:val="24"/>
          <w:szCs w:val="24"/>
        </w:rPr>
        <w:t xml:space="preserve"> MD,</w:t>
      </w:r>
      <w:r w:rsidR="00A16F1C" w:rsidRPr="000F27B6">
        <w:rPr>
          <w:sz w:val="24"/>
          <w:szCs w:val="24"/>
        </w:rPr>
        <w:t xml:space="preserve"> </w:t>
      </w:r>
      <w:r w:rsidR="00A24AE4" w:rsidRPr="000F27B6">
        <w:rPr>
          <w:sz w:val="24"/>
          <w:szCs w:val="24"/>
        </w:rPr>
        <w:t>PhD,</w:t>
      </w:r>
      <w:r w:rsidR="005B4422" w:rsidRPr="000F27B6">
        <w:rPr>
          <w:sz w:val="24"/>
          <w:szCs w:val="24"/>
        </w:rPr>
        <w:t xml:space="preserve"> </w:t>
      </w:r>
      <w:r w:rsidR="00C604E5" w:rsidRPr="000F27B6">
        <w:rPr>
          <w:sz w:val="24"/>
          <w:szCs w:val="24"/>
          <w:lang w:val="en-US"/>
        </w:rPr>
        <w:t>Elijah</w:t>
      </w:r>
      <w:r w:rsidR="00364A3A" w:rsidRPr="000F27B6">
        <w:rPr>
          <w:sz w:val="24"/>
          <w:szCs w:val="24"/>
          <w:lang w:val="en-US"/>
        </w:rPr>
        <w:t xml:space="preserve"> R.</w:t>
      </w:r>
      <w:r w:rsidR="00C604E5" w:rsidRPr="000F27B6">
        <w:rPr>
          <w:sz w:val="24"/>
          <w:szCs w:val="24"/>
          <w:lang w:val="en-US"/>
        </w:rPr>
        <w:t xml:space="preserve"> </w:t>
      </w:r>
      <w:proofErr w:type="spellStart"/>
      <w:r w:rsidR="00C604E5" w:rsidRPr="000F27B6">
        <w:rPr>
          <w:sz w:val="24"/>
          <w:szCs w:val="24"/>
          <w:lang w:val="en-US"/>
        </w:rPr>
        <w:t>Behr</w:t>
      </w:r>
      <w:r w:rsidRPr="000F27B6">
        <w:rPr>
          <w:sz w:val="24"/>
          <w:szCs w:val="24"/>
          <w:vertAlign w:val="superscript"/>
          <w:lang w:val="en-US"/>
        </w:rPr>
        <w:t>a</w:t>
      </w:r>
      <w:proofErr w:type="spellEnd"/>
      <w:r w:rsidR="00976A97" w:rsidRPr="000F27B6">
        <w:rPr>
          <w:rFonts w:cs="Times-Roman"/>
          <w:sz w:val="24"/>
          <w:szCs w:val="24"/>
        </w:rPr>
        <w:t xml:space="preserve"> </w:t>
      </w:r>
      <w:r w:rsidR="00976A97" w:rsidRPr="000F27B6">
        <w:rPr>
          <w:sz w:val="24"/>
          <w:szCs w:val="24"/>
        </w:rPr>
        <w:t xml:space="preserve">MA, </w:t>
      </w:r>
      <w:r w:rsidR="00826B8C" w:rsidRPr="000F27B6">
        <w:rPr>
          <w:sz w:val="24"/>
          <w:szCs w:val="24"/>
        </w:rPr>
        <w:t xml:space="preserve">MD </w:t>
      </w:r>
      <w:r w:rsidRPr="000F27B6">
        <w:rPr>
          <w:sz w:val="24"/>
          <w:szCs w:val="24"/>
          <w:lang w:val="en-US"/>
        </w:rPr>
        <w:t xml:space="preserve">, </w:t>
      </w:r>
      <w:r w:rsidR="008779B1" w:rsidRPr="000F27B6">
        <w:rPr>
          <w:sz w:val="24"/>
          <w:szCs w:val="24"/>
          <w:lang w:val="en-US"/>
        </w:rPr>
        <w:t>Mary N</w:t>
      </w:r>
      <w:r w:rsidR="00177CD1" w:rsidRPr="000F27B6">
        <w:rPr>
          <w:sz w:val="24"/>
          <w:szCs w:val="24"/>
          <w:lang w:val="en-US"/>
        </w:rPr>
        <w:t xml:space="preserve">. </w:t>
      </w:r>
      <w:proofErr w:type="spellStart"/>
      <w:r w:rsidR="008779B1" w:rsidRPr="000F27B6">
        <w:rPr>
          <w:sz w:val="24"/>
          <w:szCs w:val="24"/>
          <w:lang w:val="en-US"/>
        </w:rPr>
        <w:t>Sheppard</w:t>
      </w:r>
      <w:r w:rsidR="008779B1" w:rsidRPr="000F27B6">
        <w:rPr>
          <w:sz w:val="24"/>
          <w:szCs w:val="24"/>
          <w:vertAlign w:val="superscript"/>
          <w:lang w:val="en-US"/>
        </w:rPr>
        <w:t>b</w:t>
      </w:r>
      <w:proofErr w:type="spellEnd"/>
      <w:r w:rsidR="008779B1" w:rsidRPr="000F27B6">
        <w:rPr>
          <w:sz w:val="24"/>
          <w:szCs w:val="24"/>
        </w:rPr>
        <w:t xml:space="preserve"> MBBCH, BAO, BSc, MD,</w:t>
      </w:r>
      <w:r w:rsidR="00827D66" w:rsidRPr="000F27B6">
        <w:rPr>
          <w:sz w:val="24"/>
          <w:szCs w:val="24"/>
        </w:rPr>
        <w:t xml:space="preserve"> </w:t>
      </w:r>
      <w:r w:rsidR="00827D66" w:rsidRPr="000F27B6">
        <w:rPr>
          <w:sz w:val="24"/>
          <w:szCs w:val="24"/>
          <w:lang w:val="en-US"/>
        </w:rPr>
        <w:t xml:space="preserve">Michael </w:t>
      </w:r>
      <w:proofErr w:type="spellStart"/>
      <w:r w:rsidR="00827D66" w:rsidRPr="000F27B6">
        <w:rPr>
          <w:sz w:val="24"/>
          <w:szCs w:val="24"/>
          <w:lang w:val="en-US"/>
        </w:rPr>
        <w:t>Papadakis</w:t>
      </w:r>
      <w:r w:rsidR="00827D66" w:rsidRPr="000F27B6">
        <w:rPr>
          <w:sz w:val="24"/>
          <w:szCs w:val="24"/>
          <w:vertAlign w:val="superscript"/>
          <w:lang w:val="en-US"/>
        </w:rPr>
        <w:t>a</w:t>
      </w:r>
      <w:proofErr w:type="spellEnd"/>
      <w:r w:rsidR="004234EA" w:rsidRPr="000F27B6">
        <w:rPr>
          <w:sz w:val="24"/>
          <w:szCs w:val="24"/>
          <w:vertAlign w:val="superscript"/>
          <w:lang w:val="en-US"/>
        </w:rPr>
        <w:t xml:space="preserve"> * </w:t>
      </w:r>
      <w:r w:rsidR="00827D66" w:rsidRPr="000F27B6">
        <w:rPr>
          <w:sz w:val="24"/>
          <w:szCs w:val="24"/>
        </w:rPr>
        <w:t xml:space="preserve"> MRCP, MD,</w:t>
      </w:r>
      <w:r w:rsidR="008779B1" w:rsidRPr="000F27B6">
        <w:rPr>
          <w:sz w:val="24"/>
          <w:szCs w:val="24"/>
        </w:rPr>
        <w:t xml:space="preserve"> </w:t>
      </w:r>
      <w:r w:rsidR="00A82F9F" w:rsidRPr="000F27B6">
        <w:rPr>
          <w:sz w:val="24"/>
          <w:szCs w:val="24"/>
          <w:lang w:val="en-US"/>
        </w:rPr>
        <w:t xml:space="preserve">Sanjay </w:t>
      </w:r>
      <w:proofErr w:type="spellStart"/>
      <w:r w:rsidR="00A82F9F" w:rsidRPr="000F27B6">
        <w:rPr>
          <w:sz w:val="24"/>
          <w:szCs w:val="24"/>
          <w:lang w:val="en-US"/>
        </w:rPr>
        <w:t>Sharma</w:t>
      </w:r>
      <w:r w:rsidR="00A82F9F" w:rsidRPr="000F27B6">
        <w:rPr>
          <w:sz w:val="24"/>
          <w:szCs w:val="24"/>
          <w:vertAlign w:val="superscript"/>
          <w:lang w:val="en-US"/>
        </w:rPr>
        <w:t>a</w:t>
      </w:r>
      <w:proofErr w:type="spellEnd"/>
      <w:r w:rsidR="00826B8C" w:rsidRPr="000F27B6">
        <w:rPr>
          <w:sz w:val="24"/>
          <w:szCs w:val="24"/>
          <w:vertAlign w:val="superscript"/>
          <w:lang w:val="en-US"/>
        </w:rPr>
        <w:t>*</w:t>
      </w:r>
      <w:r w:rsidR="00A82F9F" w:rsidRPr="000F27B6">
        <w:rPr>
          <w:sz w:val="24"/>
          <w:szCs w:val="24"/>
          <w:lang w:val="en-US"/>
        </w:rPr>
        <w:t xml:space="preserve"> </w:t>
      </w:r>
      <w:r w:rsidR="00A82F9F" w:rsidRPr="000F27B6">
        <w:rPr>
          <w:sz w:val="24"/>
          <w:szCs w:val="24"/>
        </w:rPr>
        <w:t xml:space="preserve">BSc, </w:t>
      </w:r>
      <w:r w:rsidR="00634978" w:rsidRPr="000F27B6">
        <w:rPr>
          <w:sz w:val="24"/>
          <w:szCs w:val="24"/>
        </w:rPr>
        <w:t>MRCP,</w:t>
      </w:r>
      <w:r w:rsidR="00A82F9F" w:rsidRPr="000F27B6">
        <w:rPr>
          <w:sz w:val="24"/>
          <w:szCs w:val="24"/>
        </w:rPr>
        <w:t xml:space="preserve"> MD</w:t>
      </w:r>
      <w:r w:rsidR="005D0A5B" w:rsidRPr="000F27B6">
        <w:rPr>
          <w:sz w:val="24"/>
          <w:szCs w:val="24"/>
          <w:lang w:val="en-US"/>
        </w:rPr>
        <w:t xml:space="preserve"> </w:t>
      </w:r>
    </w:p>
    <w:p w14:paraId="5B09A2B8" w14:textId="77777777" w:rsidR="00D72385" w:rsidRPr="000F27B6" w:rsidRDefault="00D72385" w:rsidP="005B4422">
      <w:pPr>
        <w:spacing w:line="360" w:lineRule="auto"/>
        <w:rPr>
          <w:sz w:val="24"/>
          <w:szCs w:val="24"/>
          <w:u w:val="single"/>
          <w:lang w:val="en-US"/>
        </w:rPr>
      </w:pPr>
    </w:p>
    <w:p w14:paraId="1BB46435" w14:textId="77777777" w:rsidR="008D3415" w:rsidRPr="000F27B6" w:rsidRDefault="00A07C15" w:rsidP="005B4422">
      <w:pPr>
        <w:spacing w:line="360" w:lineRule="auto"/>
        <w:rPr>
          <w:sz w:val="24"/>
          <w:szCs w:val="24"/>
          <w:u w:val="single"/>
        </w:rPr>
      </w:pPr>
      <w:r w:rsidRPr="000F27B6">
        <w:rPr>
          <w:sz w:val="24"/>
          <w:szCs w:val="24"/>
          <w:u w:val="single"/>
        </w:rPr>
        <w:t>Institutions:</w:t>
      </w:r>
    </w:p>
    <w:p w14:paraId="7275064A" w14:textId="552CC3BA" w:rsidR="002E494F" w:rsidRPr="000F27B6" w:rsidRDefault="002E494F" w:rsidP="005B4422">
      <w:pPr>
        <w:spacing w:line="360" w:lineRule="auto"/>
        <w:rPr>
          <w:sz w:val="24"/>
          <w:szCs w:val="24"/>
        </w:rPr>
      </w:pPr>
      <w:r w:rsidRPr="000F27B6">
        <w:rPr>
          <w:sz w:val="24"/>
          <w:szCs w:val="24"/>
          <w:vertAlign w:val="superscript"/>
        </w:rPr>
        <w:t>a</w:t>
      </w:r>
      <w:r w:rsidRPr="000F27B6">
        <w:rPr>
          <w:sz w:val="24"/>
          <w:szCs w:val="24"/>
        </w:rPr>
        <w:t xml:space="preserve"> </w:t>
      </w:r>
      <w:r w:rsidR="004234EA" w:rsidRPr="000F27B6">
        <w:rPr>
          <w:sz w:val="24"/>
          <w:szCs w:val="24"/>
        </w:rPr>
        <w:t>Cardiology Clinical Academic Group, Molecular and Clinical Sciences</w:t>
      </w:r>
      <w:r w:rsidR="004234EA" w:rsidRPr="000F27B6" w:rsidDel="003C4D5F">
        <w:rPr>
          <w:sz w:val="24"/>
          <w:szCs w:val="24"/>
        </w:rPr>
        <w:t xml:space="preserve"> </w:t>
      </w:r>
      <w:r w:rsidR="004234EA" w:rsidRPr="000F27B6">
        <w:rPr>
          <w:sz w:val="24"/>
          <w:szCs w:val="24"/>
        </w:rPr>
        <w:t>Research Institute, St George's, University of London, United Kingdom</w:t>
      </w:r>
    </w:p>
    <w:p w14:paraId="0E7F3833" w14:textId="63DA6C49" w:rsidR="002E494F" w:rsidRPr="000F27B6" w:rsidRDefault="002E494F" w:rsidP="005B4422">
      <w:pPr>
        <w:spacing w:line="360" w:lineRule="auto"/>
        <w:rPr>
          <w:sz w:val="24"/>
          <w:szCs w:val="24"/>
        </w:rPr>
      </w:pPr>
      <w:r w:rsidRPr="000F27B6">
        <w:rPr>
          <w:sz w:val="24"/>
          <w:szCs w:val="24"/>
          <w:vertAlign w:val="superscript"/>
        </w:rPr>
        <w:t>b</w:t>
      </w:r>
      <w:r w:rsidRPr="000F27B6">
        <w:rPr>
          <w:sz w:val="24"/>
          <w:szCs w:val="24"/>
        </w:rPr>
        <w:t xml:space="preserve"> Cardiovascular Pathology Department, St George's, University of London, United Kingdom</w:t>
      </w:r>
    </w:p>
    <w:p w14:paraId="419BC4FC" w14:textId="3389395A" w:rsidR="00205C6B" w:rsidRDefault="0047243C" w:rsidP="004234EA">
      <w:pPr>
        <w:spacing w:line="360" w:lineRule="auto"/>
        <w:rPr>
          <w:sz w:val="24"/>
          <w:szCs w:val="24"/>
        </w:rPr>
      </w:pPr>
      <w:r w:rsidRPr="000F27B6">
        <w:rPr>
          <w:sz w:val="24"/>
          <w:szCs w:val="24"/>
          <w:vertAlign w:val="superscript"/>
        </w:rPr>
        <w:t>C</w:t>
      </w:r>
      <w:r w:rsidRPr="000F27B6">
        <w:rPr>
          <w:sz w:val="24"/>
          <w:szCs w:val="24"/>
        </w:rPr>
        <w:t xml:space="preserve">  National Heart &amp; Lung Institute &amp; NIHR Royal Brompton Cardiovascular Biomedical Research Unit, Imperial College London, United Kingdom</w:t>
      </w:r>
    </w:p>
    <w:p w14:paraId="326A01A5" w14:textId="26322046" w:rsidR="005B7526" w:rsidRPr="000F27B6" w:rsidRDefault="005B7526" w:rsidP="004234EA">
      <w:pPr>
        <w:spacing w:line="360" w:lineRule="auto"/>
        <w:rPr>
          <w:sz w:val="24"/>
          <w:szCs w:val="24"/>
        </w:rPr>
      </w:pPr>
      <w:r>
        <w:rPr>
          <w:sz w:val="24"/>
          <w:szCs w:val="24"/>
          <w:vertAlign w:val="superscript"/>
        </w:rPr>
        <w:t>d</w:t>
      </w:r>
      <w:r>
        <w:rPr>
          <w:sz w:val="24"/>
          <w:szCs w:val="24"/>
        </w:rPr>
        <w:t xml:space="preserve"> Bioinformatics Unit, St George’s, University of London, United Kingdom.</w:t>
      </w:r>
    </w:p>
    <w:p w14:paraId="09F704B3" w14:textId="0441B51F" w:rsidR="004234EA" w:rsidRPr="000F27B6" w:rsidRDefault="004234EA" w:rsidP="00984581">
      <w:pPr>
        <w:spacing w:line="480" w:lineRule="auto"/>
        <w:rPr>
          <w:sz w:val="24"/>
          <w:szCs w:val="24"/>
        </w:rPr>
      </w:pPr>
      <w:r w:rsidRPr="000F27B6">
        <w:rPr>
          <w:sz w:val="24"/>
          <w:szCs w:val="24"/>
        </w:rPr>
        <w:t>* The last two authors contributed equally to the manuscript</w:t>
      </w:r>
    </w:p>
    <w:p w14:paraId="3CC54C0C" w14:textId="204FB11E" w:rsidR="005B4422" w:rsidRPr="000F27B6" w:rsidRDefault="002E3404" w:rsidP="004234EA">
      <w:pPr>
        <w:spacing w:line="480" w:lineRule="auto"/>
        <w:rPr>
          <w:bCs/>
          <w:sz w:val="24"/>
          <w:szCs w:val="24"/>
        </w:rPr>
      </w:pPr>
      <w:r w:rsidRPr="000F27B6">
        <w:rPr>
          <w:sz w:val="24"/>
          <w:szCs w:val="24"/>
        </w:rPr>
        <w:t xml:space="preserve">Word count: </w:t>
      </w:r>
      <w:r w:rsidR="00100A24" w:rsidRPr="000F27B6">
        <w:rPr>
          <w:sz w:val="24"/>
          <w:szCs w:val="24"/>
        </w:rPr>
        <w:t xml:space="preserve"> </w:t>
      </w:r>
      <w:r w:rsidR="00D62F90" w:rsidRPr="000F27B6">
        <w:rPr>
          <w:sz w:val="24"/>
          <w:szCs w:val="24"/>
        </w:rPr>
        <w:t>3</w:t>
      </w:r>
      <w:r w:rsidR="004124E6">
        <w:rPr>
          <w:sz w:val="24"/>
          <w:szCs w:val="24"/>
        </w:rPr>
        <w:t>522</w:t>
      </w:r>
    </w:p>
    <w:p w14:paraId="78032C64" w14:textId="77777777" w:rsidR="000563FF" w:rsidRPr="000F27B6" w:rsidRDefault="000563FF" w:rsidP="007A736D">
      <w:pPr>
        <w:spacing w:line="360" w:lineRule="auto"/>
        <w:rPr>
          <w:bCs/>
          <w:sz w:val="24"/>
          <w:szCs w:val="24"/>
          <w:u w:val="single"/>
        </w:rPr>
      </w:pPr>
      <w:r w:rsidRPr="000F27B6">
        <w:rPr>
          <w:bCs/>
          <w:sz w:val="24"/>
          <w:szCs w:val="24"/>
          <w:u w:val="single"/>
        </w:rPr>
        <w:t xml:space="preserve">Author </w:t>
      </w:r>
      <w:r w:rsidR="000179C9" w:rsidRPr="000F27B6">
        <w:rPr>
          <w:bCs/>
          <w:sz w:val="24"/>
          <w:szCs w:val="24"/>
          <w:u w:val="single"/>
        </w:rPr>
        <w:t>for</w:t>
      </w:r>
      <w:r w:rsidRPr="000F27B6">
        <w:rPr>
          <w:bCs/>
          <w:sz w:val="24"/>
          <w:szCs w:val="24"/>
          <w:u w:val="single"/>
        </w:rPr>
        <w:t xml:space="preserve"> correspondence: </w:t>
      </w:r>
    </w:p>
    <w:p w14:paraId="2CCAF5D6" w14:textId="77777777" w:rsidR="00100A24" w:rsidRPr="000F27B6" w:rsidRDefault="00100A24" w:rsidP="007A736D">
      <w:pPr>
        <w:autoSpaceDE w:val="0"/>
        <w:autoSpaceDN w:val="0"/>
        <w:adjustRightInd w:val="0"/>
        <w:spacing w:after="0" w:line="360" w:lineRule="auto"/>
        <w:rPr>
          <w:rFonts w:cs="Times-Roman"/>
          <w:sz w:val="24"/>
          <w:szCs w:val="24"/>
          <w:lang w:eastAsia="en-GB"/>
        </w:rPr>
      </w:pPr>
      <w:r w:rsidRPr="000F27B6">
        <w:rPr>
          <w:rFonts w:cs="Times-Roman"/>
          <w:sz w:val="24"/>
          <w:szCs w:val="24"/>
          <w:lang w:eastAsia="en-GB"/>
        </w:rPr>
        <w:t>Sanjay Sharma, MD</w:t>
      </w:r>
    </w:p>
    <w:p w14:paraId="0145CFD0" w14:textId="77777777" w:rsidR="000563FF" w:rsidRPr="000F27B6" w:rsidRDefault="000563FF" w:rsidP="007A736D">
      <w:pPr>
        <w:autoSpaceDE w:val="0"/>
        <w:autoSpaceDN w:val="0"/>
        <w:adjustRightInd w:val="0"/>
        <w:spacing w:after="0" w:line="360" w:lineRule="auto"/>
        <w:rPr>
          <w:rFonts w:cs="Times-Roman"/>
          <w:sz w:val="24"/>
          <w:szCs w:val="24"/>
          <w:lang w:eastAsia="en-GB"/>
        </w:rPr>
      </w:pPr>
      <w:r w:rsidRPr="000F27B6">
        <w:rPr>
          <w:rFonts w:cs="Times-Roman"/>
          <w:sz w:val="24"/>
          <w:szCs w:val="24"/>
          <w:lang w:eastAsia="en-GB"/>
        </w:rPr>
        <w:t>Professor of Clinical Cardiology,</w:t>
      </w:r>
    </w:p>
    <w:p w14:paraId="6E421376" w14:textId="27E4E2CE" w:rsidR="00100A24" w:rsidRPr="000F27B6" w:rsidRDefault="00100A24" w:rsidP="007A736D">
      <w:pPr>
        <w:autoSpaceDE w:val="0"/>
        <w:autoSpaceDN w:val="0"/>
        <w:adjustRightInd w:val="0"/>
        <w:spacing w:after="0" w:line="360" w:lineRule="auto"/>
        <w:rPr>
          <w:rFonts w:cs="Times-Roman"/>
          <w:sz w:val="24"/>
          <w:szCs w:val="24"/>
          <w:lang w:eastAsia="en-GB"/>
        </w:rPr>
      </w:pPr>
      <w:r w:rsidRPr="000F27B6">
        <w:rPr>
          <w:rFonts w:cs="Times-Roman"/>
          <w:sz w:val="24"/>
          <w:szCs w:val="24"/>
          <w:lang w:eastAsia="en-GB"/>
        </w:rPr>
        <w:t>Cardi</w:t>
      </w:r>
      <w:r w:rsidR="009D593A" w:rsidRPr="000F27B6">
        <w:rPr>
          <w:rFonts w:cs="Times-Roman"/>
          <w:sz w:val="24"/>
          <w:szCs w:val="24"/>
          <w:lang w:eastAsia="en-GB"/>
        </w:rPr>
        <w:t xml:space="preserve">ac clinical academic group </w:t>
      </w:r>
      <w:r w:rsidRPr="000F27B6">
        <w:rPr>
          <w:rFonts w:cs="Times-Roman"/>
          <w:sz w:val="24"/>
          <w:szCs w:val="24"/>
          <w:lang w:eastAsia="en-GB"/>
        </w:rPr>
        <w:t xml:space="preserve"> </w:t>
      </w:r>
    </w:p>
    <w:p w14:paraId="77F178D8" w14:textId="77777777" w:rsidR="000563FF" w:rsidRPr="000F27B6" w:rsidRDefault="000563FF" w:rsidP="007A736D">
      <w:pPr>
        <w:autoSpaceDE w:val="0"/>
        <w:autoSpaceDN w:val="0"/>
        <w:adjustRightInd w:val="0"/>
        <w:spacing w:after="0" w:line="360" w:lineRule="auto"/>
        <w:rPr>
          <w:rFonts w:cs="Times-Roman"/>
          <w:sz w:val="24"/>
          <w:szCs w:val="24"/>
          <w:lang w:eastAsia="en-GB"/>
        </w:rPr>
      </w:pPr>
      <w:r w:rsidRPr="000F27B6">
        <w:rPr>
          <w:rFonts w:cs="Times-Roman"/>
          <w:sz w:val="24"/>
          <w:szCs w:val="24"/>
          <w:lang w:eastAsia="en-GB"/>
        </w:rPr>
        <w:t>St. George’s</w:t>
      </w:r>
      <w:r w:rsidR="009D593A" w:rsidRPr="000F27B6">
        <w:rPr>
          <w:rFonts w:cs="Times-Roman"/>
          <w:sz w:val="24"/>
          <w:szCs w:val="24"/>
          <w:lang w:eastAsia="en-GB"/>
        </w:rPr>
        <w:t>,</w:t>
      </w:r>
      <w:r w:rsidRPr="000F27B6">
        <w:rPr>
          <w:rFonts w:cs="Times-Roman"/>
          <w:sz w:val="24"/>
          <w:szCs w:val="24"/>
          <w:lang w:eastAsia="en-GB"/>
        </w:rPr>
        <w:t xml:space="preserve"> University of London,</w:t>
      </w:r>
      <w:r w:rsidR="00D72385" w:rsidRPr="000F27B6">
        <w:rPr>
          <w:rFonts w:cs="Times-Roman"/>
          <w:sz w:val="24"/>
          <w:szCs w:val="24"/>
          <w:lang w:eastAsia="en-GB"/>
        </w:rPr>
        <w:t xml:space="preserve"> </w:t>
      </w:r>
      <w:r w:rsidRPr="000F27B6">
        <w:rPr>
          <w:rFonts w:cs="Times-Roman"/>
          <w:sz w:val="24"/>
          <w:szCs w:val="24"/>
          <w:lang w:eastAsia="en-GB"/>
        </w:rPr>
        <w:t>Cranmer Terrace,</w:t>
      </w:r>
      <w:r w:rsidR="007A736D" w:rsidRPr="000F27B6">
        <w:rPr>
          <w:rFonts w:cs="Times-Roman"/>
          <w:sz w:val="24"/>
          <w:szCs w:val="24"/>
          <w:lang w:eastAsia="en-GB"/>
        </w:rPr>
        <w:t xml:space="preserve"> </w:t>
      </w:r>
      <w:r w:rsidR="00100A24" w:rsidRPr="000F27B6">
        <w:rPr>
          <w:rFonts w:cs="Times-Roman"/>
          <w:sz w:val="24"/>
          <w:szCs w:val="24"/>
          <w:lang w:eastAsia="en-GB"/>
        </w:rPr>
        <w:t>London.  SW17 0RE.</w:t>
      </w:r>
      <w:r w:rsidRPr="000F27B6">
        <w:rPr>
          <w:rFonts w:cs="Times-Roman"/>
          <w:sz w:val="24"/>
          <w:szCs w:val="24"/>
          <w:lang w:eastAsia="en-GB"/>
        </w:rPr>
        <w:t xml:space="preserve"> UK</w:t>
      </w:r>
      <w:r w:rsidR="00806663" w:rsidRPr="000F27B6">
        <w:rPr>
          <w:rFonts w:cs="Times-Roman"/>
          <w:sz w:val="24"/>
          <w:szCs w:val="24"/>
          <w:lang w:eastAsia="en-GB"/>
        </w:rPr>
        <w:t>,</w:t>
      </w:r>
    </w:p>
    <w:p w14:paraId="41D1B94B" w14:textId="0F0B3A80" w:rsidR="00364A3A" w:rsidRPr="000F27B6" w:rsidRDefault="000563FF" w:rsidP="00364A3A">
      <w:pPr>
        <w:autoSpaceDE w:val="0"/>
        <w:autoSpaceDN w:val="0"/>
        <w:adjustRightInd w:val="0"/>
        <w:spacing w:after="0" w:line="360" w:lineRule="auto"/>
        <w:rPr>
          <w:bCs/>
          <w:sz w:val="24"/>
          <w:szCs w:val="24"/>
        </w:rPr>
      </w:pPr>
      <w:r w:rsidRPr="000F27B6">
        <w:rPr>
          <w:rFonts w:cs="Times-Roman"/>
          <w:sz w:val="24"/>
          <w:szCs w:val="24"/>
          <w:lang w:eastAsia="en-GB"/>
        </w:rPr>
        <w:t xml:space="preserve">E-mail: </w:t>
      </w:r>
      <w:hyperlink r:id="rId8" w:history="1">
        <w:r w:rsidR="00364A3A" w:rsidRPr="000F27B6">
          <w:rPr>
            <w:rStyle w:val="Hyperlink"/>
            <w:rFonts w:cs="Times-Roman"/>
            <w:color w:val="auto"/>
            <w:sz w:val="24"/>
            <w:szCs w:val="24"/>
            <w:lang w:eastAsia="en-GB"/>
          </w:rPr>
          <w:t>sasharma@sgul.ac.uk</w:t>
        </w:r>
      </w:hyperlink>
    </w:p>
    <w:p w14:paraId="3234E5AE" w14:textId="4DC78EB5" w:rsidR="00B27BA1" w:rsidRPr="000F27B6" w:rsidRDefault="00163048" w:rsidP="00364A3A">
      <w:pPr>
        <w:autoSpaceDE w:val="0"/>
        <w:autoSpaceDN w:val="0"/>
        <w:adjustRightInd w:val="0"/>
        <w:spacing w:after="0" w:line="360" w:lineRule="auto"/>
        <w:rPr>
          <w:bCs/>
          <w:sz w:val="24"/>
          <w:szCs w:val="24"/>
        </w:rPr>
      </w:pPr>
      <w:r w:rsidRPr="000F27B6">
        <w:rPr>
          <w:b/>
          <w:sz w:val="24"/>
          <w:szCs w:val="24"/>
          <w:lang w:val="en-US"/>
        </w:rPr>
        <w:lastRenderedPageBreak/>
        <w:t>ABSTRACT</w:t>
      </w:r>
      <w:r w:rsidR="00C13F61">
        <w:rPr>
          <w:b/>
          <w:sz w:val="24"/>
          <w:szCs w:val="24"/>
          <w:lang w:val="en-US"/>
        </w:rPr>
        <w:t xml:space="preserve"> (Word count </w:t>
      </w:r>
      <w:r w:rsidR="00001EEA">
        <w:rPr>
          <w:b/>
          <w:sz w:val="24"/>
          <w:szCs w:val="24"/>
          <w:lang w:val="en-US"/>
        </w:rPr>
        <w:t>270</w:t>
      </w:r>
      <w:r w:rsidR="00C13F61">
        <w:rPr>
          <w:b/>
          <w:sz w:val="24"/>
          <w:szCs w:val="24"/>
          <w:lang w:val="en-US"/>
        </w:rPr>
        <w:t>)</w:t>
      </w:r>
    </w:p>
    <w:p w14:paraId="325C07CC" w14:textId="77777777" w:rsidR="006A510E" w:rsidRPr="000F27B6" w:rsidRDefault="006A510E" w:rsidP="00527ADB">
      <w:pPr>
        <w:spacing w:after="0" w:line="480" w:lineRule="auto"/>
        <w:rPr>
          <w:b/>
          <w:sz w:val="24"/>
          <w:szCs w:val="24"/>
        </w:rPr>
      </w:pPr>
    </w:p>
    <w:p w14:paraId="0FA3F0CF" w14:textId="560DD346" w:rsidR="00FB4E53" w:rsidRPr="000F27B6" w:rsidRDefault="001606FA" w:rsidP="00527ADB">
      <w:pPr>
        <w:spacing w:after="0" w:line="480" w:lineRule="auto"/>
        <w:rPr>
          <w:sz w:val="24"/>
          <w:szCs w:val="24"/>
        </w:rPr>
      </w:pPr>
      <w:r w:rsidRPr="000F27B6">
        <w:rPr>
          <w:b/>
          <w:sz w:val="24"/>
          <w:szCs w:val="24"/>
        </w:rPr>
        <w:t>Background</w:t>
      </w:r>
      <w:r w:rsidR="00BC19C0" w:rsidRPr="000F27B6">
        <w:rPr>
          <w:b/>
          <w:sz w:val="24"/>
          <w:szCs w:val="24"/>
        </w:rPr>
        <w:t xml:space="preserve"> and aims</w:t>
      </w:r>
      <w:r w:rsidRPr="000F27B6">
        <w:rPr>
          <w:sz w:val="24"/>
          <w:szCs w:val="24"/>
        </w:rPr>
        <w:t xml:space="preserve">: </w:t>
      </w:r>
      <w:r w:rsidR="009D593A" w:rsidRPr="000F27B6">
        <w:rPr>
          <w:sz w:val="24"/>
          <w:szCs w:val="24"/>
        </w:rPr>
        <w:t>Idiopathic left ventricular hypertrophy (LVH) is defined as</w:t>
      </w:r>
      <w:bookmarkStart w:id="0" w:name="_Hlk530932363"/>
      <w:r w:rsidR="009D593A" w:rsidRPr="000F27B6">
        <w:rPr>
          <w:sz w:val="24"/>
          <w:szCs w:val="24"/>
        </w:rPr>
        <w:t xml:space="preserve"> LVH </w:t>
      </w:r>
      <w:r w:rsidR="000B44E9" w:rsidRPr="000F27B6">
        <w:rPr>
          <w:sz w:val="24"/>
          <w:szCs w:val="24"/>
        </w:rPr>
        <w:t>in</w:t>
      </w:r>
      <w:r w:rsidR="009D593A" w:rsidRPr="000F27B6">
        <w:rPr>
          <w:sz w:val="24"/>
          <w:szCs w:val="24"/>
        </w:rPr>
        <w:t xml:space="preserve"> the absence of myoc</w:t>
      </w:r>
      <w:r w:rsidR="00E02998">
        <w:rPr>
          <w:sz w:val="24"/>
          <w:szCs w:val="24"/>
        </w:rPr>
        <w:t xml:space="preserve">yte </w:t>
      </w:r>
      <w:r w:rsidR="009D593A" w:rsidRPr="000F27B6">
        <w:rPr>
          <w:sz w:val="24"/>
          <w:szCs w:val="24"/>
        </w:rPr>
        <w:t xml:space="preserve">disarray or secondary causes. </w:t>
      </w:r>
      <w:bookmarkEnd w:id="0"/>
      <w:r w:rsidR="00001EEA">
        <w:rPr>
          <w:sz w:val="24"/>
          <w:szCs w:val="24"/>
        </w:rPr>
        <w:t>I</w:t>
      </w:r>
      <w:r w:rsidRPr="000F27B6">
        <w:rPr>
          <w:sz w:val="24"/>
          <w:szCs w:val="24"/>
        </w:rPr>
        <w:t xml:space="preserve">t is unclear whether idiopathic LVH </w:t>
      </w:r>
      <w:r w:rsidR="00827D66" w:rsidRPr="000F27B6">
        <w:rPr>
          <w:sz w:val="24"/>
          <w:szCs w:val="24"/>
        </w:rPr>
        <w:t>represent</w:t>
      </w:r>
      <w:r w:rsidRPr="000F27B6">
        <w:rPr>
          <w:sz w:val="24"/>
          <w:szCs w:val="24"/>
        </w:rPr>
        <w:t xml:space="preserve">s the phenotypic spectrum of </w:t>
      </w:r>
      <w:r w:rsidRPr="00F92BB8">
        <w:rPr>
          <w:sz w:val="24"/>
          <w:szCs w:val="24"/>
        </w:rPr>
        <w:t>hypertrophic cardiomyopathy (HCM)</w:t>
      </w:r>
      <w:r w:rsidR="00827D66" w:rsidRPr="00F92BB8">
        <w:rPr>
          <w:sz w:val="24"/>
          <w:szCs w:val="24"/>
        </w:rPr>
        <w:t xml:space="preserve"> or whether it is a unique </w:t>
      </w:r>
      <w:r w:rsidR="00B613DC" w:rsidRPr="00F92BB8">
        <w:rPr>
          <w:sz w:val="24"/>
          <w:szCs w:val="24"/>
        </w:rPr>
        <w:t xml:space="preserve">disease </w:t>
      </w:r>
      <w:r w:rsidR="00827D66" w:rsidRPr="00F92BB8">
        <w:rPr>
          <w:sz w:val="24"/>
          <w:szCs w:val="24"/>
        </w:rPr>
        <w:t>entity</w:t>
      </w:r>
      <w:r w:rsidRPr="00F92BB8">
        <w:rPr>
          <w:sz w:val="24"/>
          <w:szCs w:val="24"/>
        </w:rPr>
        <w:t>.</w:t>
      </w:r>
      <w:r w:rsidR="00BC19C0" w:rsidRPr="00F92BB8">
        <w:rPr>
          <w:sz w:val="24"/>
          <w:szCs w:val="24"/>
        </w:rPr>
        <w:t xml:space="preserve"> </w:t>
      </w:r>
      <w:r w:rsidR="00216052" w:rsidRPr="00DC009D">
        <w:rPr>
          <w:sz w:val="24"/>
          <w:szCs w:val="24"/>
        </w:rPr>
        <w:t>We aimed to ascertain the</w:t>
      </w:r>
      <w:r w:rsidR="0064719F" w:rsidRPr="00DC009D">
        <w:rPr>
          <w:sz w:val="24"/>
          <w:szCs w:val="24"/>
        </w:rPr>
        <w:t xml:space="preserve"> prevalence of</w:t>
      </w:r>
      <w:r w:rsidR="00216052" w:rsidRPr="00DC009D">
        <w:rPr>
          <w:sz w:val="24"/>
          <w:szCs w:val="24"/>
        </w:rPr>
        <w:t xml:space="preserve"> HCM </w:t>
      </w:r>
      <w:r w:rsidR="0064719F" w:rsidRPr="00DC009D">
        <w:rPr>
          <w:sz w:val="24"/>
          <w:szCs w:val="24"/>
        </w:rPr>
        <w:t>in</w:t>
      </w:r>
      <w:r w:rsidR="00216052" w:rsidRPr="00DC009D">
        <w:rPr>
          <w:sz w:val="24"/>
          <w:szCs w:val="24"/>
        </w:rPr>
        <w:t xml:space="preserve"> first-degree relatives of decedents with idiopathic LVH at autopsy</w:t>
      </w:r>
      <w:r w:rsidR="00237600" w:rsidRPr="00DC009D">
        <w:rPr>
          <w:sz w:val="24"/>
          <w:szCs w:val="24"/>
        </w:rPr>
        <w:t>. Decedents also underwent molecular autopsy to identify</w:t>
      </w:r>
      <w:r w:rsidR="0064719F" w:rsidRPr="00DC009D">
        <w:rPr>
          <w:sz w:val="24"/>
          <w:szCs w:val="24"/>
        </w:rPr>
        <w:t xml:space="preserve"> the presence of pathogenic variants </w:t>
      </w:r>
      <w:r w:rsidR="00237600" w:rsidRPr="00DC009D">
        <w:rPr>
          <w:sz w:val="24"/>
          <w:szCs w:val="24"/>
        </w:rPr>
        <w:t>in</w:t>
      </w:r>
      <w:r w:rsidR="0064719F" w:rsidRPr="00DC009D">
        <w:rPr>
          <w:sz w:val="24"/>
          <w:szCs w:val="24"/>
        </w:rPr>
        <w:t xml:space="preserve"> genes implicated in HCM through</w:t>
      </w:r>
      <w:r w:rsidR="00216052" w:rsidRPr="00DC009D">
        <w:rPr>
          <w:sz w:val="24"/>
          <w:szCs w:val="24"/>
        </w:rPr>
        <w:t>.</w:t>
      </w:r>
      <w:r w:rsidR="00216052" w:rsidRPr="000F27B6">
        <w:rPr>
          <w:sz w:val="24"/>
          <w:szCs w:val="24"/>
        </w:rPr>
        <w:t xml:space="preserve"> </w:t>
      </w:r>
    </w:p>
    <w:p w14:paraId="1F59E48E" w14:textId="77777777" w:rsidR="006A510E" w:rsidRPr="000F27B6" w:rsidRDefault="006A510E" w:rsidP="00527ADB">
      <w:pPr>
        <w:spacing w:after="0" w:line="480" w:lineRule="auto"/>
        <w:rPr>
          <w:b/>
          <w:sz w:val="24"/>
          <w:szCs w:val="24"/>
        </w:rPr>
      </w:pPr>
    </w:p>
    <w:p w14:paraId="56A1EDA2" w14:textId="1CF5050B" w:rsidR="00BC19C0" w:rsidRPr="000F27B6" w:rsidRDefault="001606FA" w:rsidP="00527ADB">
      <w:pPr>
        <w:spacing w:after="0" w:line="480" w:lineRule="auto"/>
        <w:rPr>
          <w:sz w:val="24"/>
          <w:szCs w:val="24"/>
        </w:rPr>
      </w:pPr>
      <w:r w:rsidRPr="000F27B6">
        <w:rPr>
          <w:b/>
          <w:sz w:val="24"/>
          <w:szCs w:val="24"/>
        </w:rPr>
        <w:t>Methods:</w:t>
      </w:r>
      <w:r w:rsidRPr="000F27B6">
        <w:rPr>
          <w:sz w:val="24"/>
          <w:szCs w:val="24"/>
        </w:rPr>
        <w:t xml:space="preserve"> </w:t>
      </w:r>
      <w:r w:rsidR="008A5657" w:rsidRPr="000F27B6">
        <w:rPr>
          <w:sz w:val="24"/>
          <w:szCs w:val="24"/>
        </w:rPr>
        <w:t xml:space="preserve"> </w:t>
      </w:r>
      <w:r w:rsidRPr="000F27B6">
        <w:rPr>
          <w:sz w:val="24"/>
          <w:szCs w:val="24"/>
        </w:rPr>
        <w:t xml:space="preserve">Families of </w:t>
      </w:r>
      <w:r w:rsidR="00E67FC5" w:rsidRPr="000F27B6">
        <w:rPr>
          <w:sz w:val="24"/>
          <w:szCs w:val="24"/>
        </w:rPr>
        <w:t xml:space="preserve">46 </w:t>
      </w:r>
      <w:r w:rsidR="00634978" w:rsidRPr="000F27B6">
        <w:rPr>
          <w:sz w:val="24"/>
          <w:szCs w:val="24"/>
        </w:rPr>
        <w:t xml:space="preserve">decedents </w:t>
      </w:r>
      <w:r w:rsidRPr="000F27B6">
        <w:rPr>
          <w:sz w:val="24"/>
          <w:szCs w:val="24"/>
        </w:rPr>
        <w:t>with idiopathic LVH (</w:t>
      </w:r>
      <w:r w:rsidR="00FB4E53" w:rsidRPr="000F27B6">
        <w:rPr>
          <w:sz w:val="24"/>
          <w:szCs w:val="24"/>
        </w:rPr>
        <w:t>125 first</w:t>
      </w:r>
      <w:r w:rsidR="00EE32F7" w:rsidRPr="000F27B6">
        <w:rPr>
          <w:sz w:val="24"/>
          <w:szCs w:val="24"/>
        </w:rPr>
        <w:t>-</w:t>
      </w:r>
      <w:r w:rsidR="00FB4E53" w:rsidRPr="000F27B6">
        <w:rPr>
          <w:sz w:val="24"/>
          <w:szCs w:val="24"/>
        </w:rPr>
        <w:t>degree relatives</w:t>
      </w:r>
      <w:r w:rsidRPr="000F27B6">
        <w:rPr>
          <w:sz w:val="24"/>
          <w:szCs w:val="24"/>
        </w:rPr>
        <w:t xml:space="preserve">) were  investigated </w:t>
      </w:r>
      <w:r w:rsidR="00AB01CA" w:rsidRPr="000F27B6">
        <w:rPr>
          <w:sz w:val="24"/>
          <w:szCs w:val="24"/>
        </w:rPr>
        <w:t>with ECG, echocardiogra</w:t>
      </w:r>
      <w:r w:rsidR="003B38AB">
        <w:rPr>
          <w:sz w:val="24"/>
          <w:szCs w:val="24"/>
        </w:rPr>
        <w:t>phy</w:t>
      </w:r>
      <w:r w:rsidR="00827D66" w:rsidRPr="000F27B6">
        <w:rPr>
          <w:sz w:val="24"/>
          <w:szCs w:val="24"/>
        </w:rPr>
        <w:t>, exercise</w:t>
      </w:r>
      <w:r w:rsidR="00AB01CA" w:rsidRPr="000F27B6">
        <w:rPr>
          <w:sz w:val="24"/>
          <w:szCs w:val="24"/>
        </w:rPr>
        <w:t xml:space="preserve"> </w:t>
      </w:r>
      <w:r w:rsidR="00827D66" w:rsidRPr="000F27B6">
        <w:rPr>
          <w:sz w:val="24"/>
          <w:szCs w:val="24"/>
        </w:rPr>
        <w:t>tolerance test, cardi</w:t>
      </w:r>
      <w:r w:rsidR="005C4126">
        <w:rPr>
          <w:sz w:val="24"/>
          <w:szCs w:val="24"/>
        </w:rPr>
        <w:t xml:space="preserve">ovascular </w:t>
      </w:r>
      <w:r w:rsidR="00827D66" w:rsidRPr="000F27B6">
        <w:rPr>
          <w:sz w:val="24"/>
          <w:szCs w:val="24"/>
        </w:rPr>
        <w:t>magnetic resonance</w:t>
      </w:r>
      <w:r w:rsidR="00AB01CA" w:rsidRPr="000F27B6">
        <w:rPr>
          <w:sz w:val="24"/>
          <w:szCs w:val="24"/>
        </w:rPr>
        <w:t xml:space="preserve"> imaging</w:t>
      </w:r>
      <w:r w:rsidR="00827D66" w:rsidRPr="000F27B6">
        <w:rPr>
          <w:sz w:val="24"/>
          <w:szCs w:val="24"/>
        </w:rPr>
        <w:t>, 24h</w:t>
      </w:r>
      <w:r w:rsidR="00AB01CA" w:rsidRPr="000F27B6">
        <w:rPr>
          <w:sz w:val="24"/>
          <w:szCs w:val="24"/>
        </w:rPr>
        <w:t>-</w:t>
      </w:r>
      <w:r w:rsidR="00827D66" w:rsidRPr="000F27B6">
        <w:rPr>
          <w:sz w:val="24"/>
          <w:szCs w:val="24"/>
        </w:rPr>
        <w:t>Holter and ajmaline</w:t>
      </w:r>
      <w:r w:rsidR="00AB01CA" w:rsidRPr="000F27B6">
        <w:rPr>
          <w:sz w:val="24"/>
          <w:szCs w:val="24"/>
        </w:rPr>
        <w:t xml:space="preserve"> provocation</w:t>
      </w:r>
      <w:r w:rsidR="00827D66" w:rsidRPr="000F27B6">
        <w:rPr>
          <w:sz w:val="24"/>
          <w:szCs w:val="24"/>
        </w:rPr>
        <w:t xml:space="preserve"> test</w:t>
      </w:r>
      <w:r w:rsidRPr="000F27B6">
        <w:rPr>
          <w:sz w:val="24"/>
          <w:szCs w:val="24"/>
        </w:rPr>
        <w:t>.</w:t>
      </w:r>
      <w:r w:rsidR="00496EED" w:rsidRPr="000F27B6">
        <w:rPr>
          <w:sz w:val="24"/>
          <w:szCs w:val="24"/>
        </w:rPr>
        <w:t xml:space="preserve"> Next generation sequencing molecular autopsy was performed in 14</w:t>
      </w:r>
      <w:r w:rsidR="00E67FC5" w:rsidRPr="000F27B6">
        <w:rPr>
          <w:sz w:val="24"/>
          <w:szCs w:val="24"/>
        </w:rPr>
        <w:t xml:space="preserve"> (</w:t>
      </w:r>
      <w:r w:rsidR="00C44098" w:rsidRPr="000F27B6">
        <w:rPr>
          <w:sz w:val="24"/>
          <w:szCs w:val="24"/>
        </w:rPr>
        <w:t>30</w:t>
      </w:r>
      <w:r w:rsidR="00E67FC5" w:rsidRPr="000F27B6">
        <w:rPr>
          <w:sz w:val="24"/>
          <w:szCs w:val="24"/>
        </w:rPr>
        <w:t>%)</w:t>
      </w:r>
      <w:r w:rsidR="00FA23CB" w:rsidRPr="00FA23CB">
        <w:rPr>
          <w:sz w:val="24"/>
          <w:szCs w:val="24"/>
        </w:rPr>
        <w:t xml:space="preserve"> </w:t>
      </w:r>
      <w:r w:rsidR="00FA23CB">
        <w:rPr>
          <w:sz w:val="24"/>
          <w:szCs w:val="24"/>
        </w:rPr>
        <w:t>decedent</w:t>
      </w:r>
      <w:r w:rsidR="00FA23CB" w:rsidRPr="000F27B6">
        <w:rPr>
          <w:sz w:val="24"/>
          <w:szCs w:val="24"/>
        </w:rPr>
        <w:t>s</w:t>
      </w:r>
      <w:r w:rsidR="00001EEA">
        <w:rPr>
          <w:sz w:val="24"/>
          <w:szCs w:val="24"/>
        </w:rPr>
        <w:t>.</w:t>
      </w:r>
      <w:r w:rsidRPr="000F27B6">
        <w:rPr>
          <w:sz w:val="24"/>
          <w:szCs w:val="24"/>
        </w:rPr>
        <w:t xml:space="preserve"> </w:t>
      </w:r>
    </w:p>
    <w:p w14:paraId="1D2635B9" w14:textId="77777777" w:rsidR="006A510E" w:rsidRPr="000F27B6" w:rsidRDefault="006A510E" w:rsidP="00527ADB">
      <w:pPr>
        <w:spacing w:after="0" w:line="480" w:lineRule="auto"/>
        <w:rPr>
          <w:b/>
          <w:sz w:val="24"/>
          <w:szCs w:val="24"/>
        </w:rPr>
      </w:pPr>
    </w:p>
    <w:p w14:paraId="5DE7B3D3" w14:textId="037AA519" w:rsidR="008A5657" w:rsidRPr="000F27B6" w:rsidRDefault="001606FA" w:rsidP="00527ADB">
      <w:pPr>
        <w:spacing w:after="0" w:line="480" w:lineRule="auto"/>
        <w:rPr>
          <w:sz w:val="24"/>
          <w:szCs w:val="24"/>
        </w:rPr>
      </w:pPr>
      <w:r w:rsidRPr="000F27B6">
        <w:rPr>
          <w:b/>
          <w:sz w:val="24"/>
          <w:szCs w:val="24"/>
        </w:rPr>
        <w:t>Results:</w:t>
      </w:r>
      <w:r w:rsidRPr="000F27B6">
        <w:rPr>
          <w:sz w:val="24"/>
          <w:szCs w:val="24"/>
        </w:rPr>
        <w:t xml:space="preserve"> </w:t>
      </w:r>
      <w:r w:rsidR="00EE48D2" w:rsidRPr="000F27B6">
        <w:rPr>
          <w:sz w:val="24"/>
          <w:szCs w:val="24"/>
        </w:rPr>
        <w:t xml:space="preserve"> </w:t>
      </w:r>
      <w:r w:rsidR="003B38AB">
        <w:rPr>
          <w:sz w:val="24"/>
          <w:szCs w:val="24"/>
        </w:rPr>
        <w:t>D</w:t>
      </w:r>
      <w:r w:rsidR="00EE48D2" w:rsidRPr="000F27B6">
        <w:rPr>
          <w:sz w:val="24"/>
          <w:szCs w:val="24"/>
        </w:rPr>
        <w:t xml:space="preserve">ecedents with idiopathic LVH </w:t>
      </w:r>
      <w:r w:rsidR="003B38AB">
        <w:rPr>
          <w:sz w:val="24"/>
          <w:szCs w:val="24"/>
        </w:rPr>
        <w:t xml:space="preserve">were aged </w:t>
      </w:r>
      <w:r w:rsidR="005D0064" w:rsidRPr="000F27B6">
        <w:rPr>
          <w:sz w:val="24"/>
          <w:szCs w:val="24"/>
        </w:rPr>
        <w:t>33±14 years</w:t>
      </w:r>
      <w:r w:rsidR="00001EEA">
        <w:rPr>
          <w:sz w:val="24"/>
          <w:szCs w:val="24"/>
        </w:rPr>
        <w:t xml:space="preserve"> and 40 </w:t>
      </w:r>
      <w:r w:rsidR="00001EEA" w:rsidRPr="000F27B6">
        <w:rPr>
          <w:sz w:val="24"/>
          <w:szCs w:val="24"/>
        </w:rPr>
        <w:t>(87%)</w:t>
      </w:r>
      <w:r w:rsidR="007E5EE2" w:rsidRPr="000F27B6">
        <w:rPr>
          <w:sz w:val="24"/>
          <w:szCs w:val="24"/>
        </w:rPr>
        <w:t xml:space="preserve"> </w:t>
      </w:r>
      <w:r w:rsidR="005D0064" w:rsidRPr="000F27B6">
        <w:rPr>
          <w:sz w:val="24"/>
          <w:szCs w:val="24"/>
        </w:rPr>
        <w:t>were male</w:t>
      </w:r>
      <w:r w:rsidR="00001EEA">
        <w:rPr>
          <w:sz w:val="24"/>
          <w:szCs w:val="24"/>
        </w:rPr>
        <w:t>.</w:t>
      </w:r>
      <w:r w:rsidR="005D0064" w:rsidRPr="000F27B6">
        <w:rPr>
          <w:sz w:val="24"/>
          <w:szCs w:val="24"/>
        </w:rPr>
        <w:t xml:space="preserve"> </w:t>
      </w:r>
      <w:r w:rsidR="00004B09" w:rsidRPr="000F27B6">
        <w:rPr>
          <w:sz w:val="24"/>
          <w:szCs w:val="24"/>
        </w:rPr>
        <w:t>Fourteen</w:t>
      </w:r>
      <w:r w:rsidR="00970364" w:rsidRPr="000F27B6">
        <w:rPr>
          <w:sz w:val="24"/>
          <w:szCs w:val="24"/>
        </w:rPr>
        <w:t xml:space="preserve"> families (3</w:t>
      </w:r>
      <w:r w:rsidR="00004B09" w:rsidRPr="000F27B6">
        <w:rPr>
          <w:sz w:val="24"/>
          <w:szCs w:val="24"/>
        </w:rPr>
        <w:t>0</w:t>
      </w:r>
      <w:r w:rsidR="00970364" w:rsidRPr="000F27B6">
        <w:rPr>
          <w:sz w:val="24"/>
          <w:szCs w:val="24"/>
        </w:rPr>
        <w:t xml:space="preserve">%) </w:t>
      </w:r>
      <w:r w:rsidR="007E5EE2" w:rsidRPr="000F27B6">
        <w:rPr>
          <w:sz w:val="24"/>
          <w:szCs w:val="24"/>
        </w:rPr>
        <w:t xml:space="preserve">comprising </w:t>
      </w:r>
      <w:r w:rsidR="00970364" w:rsidRPr="000F27B6">
        <w:rPr>
          <w:sz w:val="24"/>
          <w:szCs w:val="24"/>
        </w:rPr>
        <w:t>1</w:t>
      </w:r>
      <w:r w:rsidR="00FD5C58" w:rsidRPr="000F27B6">
        <w:rPr>
          <w:sz w:val="24"/>
          <w:szCs w:val="24"/>
        </w:rPr>
        <w:t>6</w:t>
      </w:r>
      <w:r w:rsidR="00970364" w:rsidRPr="000F27B6">
        <w:rPr>
          <w:sz w:val="24"/>
          <w:szCs w:val="24"/>
        </w:rPr>
        <w:t xml:space="preserve"> individuals were diagnosed with cardiac disease, including Brugada syndrome (</w:t>
      </w:r>
      <w:r w:rsidR="00FA23CB">
        <w:rPr>
          <w:sz w:val="24"/>
          <w:szCs w:val="24"/>
        </w:rPr>
        <w:t>n=</w:t>
      </w:r>
      <w:r w:rsidR="00004B09" w:rsidRPr="000F27B6">
        <w:rPr>
          <w:sz w:val="24"/>
          <w:szCs w:val="24"/>
        </w:rPr>
        <w:t>8</w:t>
      </w:r>
      <w:r w:rsidR="00970364" w:rsidRPr="000F27B6">
        <w:rPr>
          <w:sz w:val="24"/>
          <w:szCs w:val="24"/>
        </w:rPr>
        <w:t>)</w:t>
      </w:r>
      <w:r w:rsidR="00001EEA">
        <w:rPr>
          <w:sz w:val="24"/>
          <w:szCs w:val="24"/>
        </w:rPr>
        <w:t>,</w:t>
      </w:r>
      <w:r w:rsidR="00970364" w:rsidRPr="000F27B6">
        <w:rPr>
          <w:sz w:val="24"/>
          <w:szCs w:val="24"/>
        </w:rPr>
        <w:t xml:space="preserve"> long QT syndrome (</w:t>
      </w:r>
      <w:r w:rsidR="00FA23CB">
        <w:rPr>
          <w:sz w:val="24"/>
          <w:szCs w:val="24"/>
        </w:rPr>
        <w:t>n=</w:t>
      </w:r>
      <w:r w:rsidR="007F3A42" w:rsidRPr="000F27B6">
        <w:rPr>
          <w:sz w:val="24"/>
          <w:szCs w:val="24"/>
        </w:rPr>
        <w:t>3</w:t>
      </w:r>
      <w:r w:rsidR="00970364" w:rsidRPr="000F27B6">
        <w:rPr>
          <w:sz w:val="24"/>
          <w:szCs w:val="24"/>
        </w:rPr>
        <w:t>), cardiomyopathy (</w:t>
      </w:r>
      <w:r w:rsidR="00FA23CB">
        <w:rPr>
          <w:sz w:val="24"/>
          <w:szCs w:val="24"/>
        </w:rPr>
        <w:t>n=</w:t>
      </w:r>
      <w:r w:rsidR="00970364" w:rsidRPr="000F27B6">
        <w:rPr>
          <w:sz w:val="24"/>
          <w:szCs w:val="24"/>
        </w:rPr>
        <w:t>2)</w:t>
      </w:r>
      <w:r w:rsidR="003B38AB">
        <w:rPr>
          <w:sz w:val="24"/>
          <w:szCs w:val="24"/>
        </w:rPr>
        <w:t xml:space="preserve"> and</w:t>
      </w:r>
      <w:r w:rsidR="00825A47" w:rsidRPr="000F27B6">
        <w:rPr>
          <w:sz w:val="24"/>
          <w:szCs w:val="24"/>
        </w:rPr>
        <w:t xml:space="preserve"> </w:t>
      </w:r>
      <w:r w:rsidR="00970364" w:rsidRPr="000F27B6">
        <w:rPr>
          <w:sz w:val="24"/>
          <w:szCs w:val="24"/>
        </w:rPr>
        <w:t>Wolff-Parkinson-White syndrome (</w:t>
      </w:r>
      <w:r w:rsidR="00FA23CB">
        <w:rPr>
          <w:sz w:val="24"/>
          <w:szCs w:val="24"/>
        </w:rPr>
        <w:t>n=1</w:t>
      </w:r>
      <w:r w:rsidR="00970364" w:rsidRPr="000F27B6">
        <w:rPr>
          <w:sz w:val="24"/>
          <w:szCs w:val="24"/>
        </w:rPr>
        <w:t xml:space="preserve">). </w:t>
      </w:r>
      <w:r w:rsidR="00827D66" w:rsidRPr="000F27B6">
        <w:rPr>
          <w:sz w:val="24"/>
          <w:szCs w:val="24"/>
        </w:rPr>
        <w:t>None of the famil</w:t>
      </w:r>
      <w:r w:rsidR="00E67FC5" w:rsidRPr="000F27B6">
        <w:rPr>
          <w:sz w:val="24"/>
          <w:szCs w:val="24"/>
        </w:rPr>
        <w:t xml:space="preserve">y members were </w:t>
      </w:r>
      <w:r w:rsidR="00827D66" w:rsidRPr="000F27B6">
        <w:rPr>
          <w:sz w:val="24"/>
          <w:szCs w:val="24"/>
        </w:rPr>
        <w:t>diagnosed with HCM.</w:t>
      </w:r>
      <w:r w:rsidRPr="000F27B6">
        <w:rPr>
          <w:sz w:val="24"/>
          <w:szCs w:val="24"/>
        </w:rPr>
        <w:t xml:space="preserve"> </w:t>
      </w:r>
      <w:r w:rsidR="00B0084A" w:rsidRPr="000F27B6">
        <w:rPr>
          <w:sz w:val="24"/>
          <w:szCs w:val="24"/>
        </w:rPr>
        <w:t>Molecular autopsy</w:t>
      </w:r>
      <w:r w:rsidRPr="000F27B6">
        <w:rPr>
          <w:sz w:val="24"/>
          <w:szCs w:val="24"/>
        </w:rPr>
        <w:t xml:space="preserve"> </w:t>
      </w:r>
      <w:r w:rsidR="00237600">
        <w:rPr>
          <w:sz w:val="24"/>
          <w:szCs w:val="24"/>
        </w:rPr>
        <w:t xml:space="preserve">in </w:t>
      </w:r>
      <w:r w:rsidR="00A91070" w:rsidRPr="009A569C">
        <w:rPr>
          <w:sz w:val="24"/>
          <w:szCs w:val="24"/>
        </w:rPr>
        <w:t>decedents did</w:t>
      </w:r>
      <w:r w:rsidR="00281686" w:rsidRPr="009A569C">
        <w:rPr>
          <w:sz w:val="24"/>
          <w:szCs w:val="24"/>
        </w:rPr>
        <w:t xml:space="preserve"> not identify any pathogenic or likely pathogenic variants in genes encoding </w:t>
      </w:r>
      <w:proofErr w:type="spellStart"/>
      <w:r w:rsidR="00281686" w:rsidRPr="009A569C">
        <w:rPr>
          <w:sz w:val="24"/>
          <w:szCs w:val="24"/>
        </w:rPr>
        <w:t>sarcomeric</w:t>
      </w:r>
      <w:proofErr w:type="spellEnd"/>
      <w:r w:rsidR="00281686" w:rsidRPr="009A569C">
        <w:rPr>
          <w:sz w:val="24"/>
          <w:szCs w:val="24"/>
        </w:rPr>
        <w:t xml:space="preserve"> proteins. Two</w:t>
      </w:r>
      <w:r w:rsidRPr="009A569C">
        <w:rPr>
          <w:sz w:val="24"/>
          <w:szCs w:val="24"/>
        </w:rPr>
        <w:t xml:space="preserve"> </w:t>
      </w:r>
      <w:r w:rsidR="00634978" w:rsidRPr="009A569C">
        <w:rPr>
          <w:sz w:val="24"/>
          <w:szCs w:val="24"/>
        </w:rPr>
        <w:t xml:space="preserve">decedents </w:t>
      </w:r>
      <w:r w:rsidR="00281686" w:rsidRPr="009A569C">
        <w:rPr>
          <w:sz w:val="24"/>
          <w:szCs w:val="24"/>
        </w:rPr>
        <w:t xml:space="preserve">had </w:t>
      </w:r>
      <w:r w:rsidRPr="009A569C">
        <w:rPr>
          <w:sz w:val="24"/>
          <w:szCs w:val="24"/>
        </w:rPr>
        <w:t>pathogenic variants</w:t>
      </w:r>
      <w:r w:rsidR="00281686" w:rsidRPr="009A569C">
        <w:rPr>
          <w:sz w:val="24"/>
          <w:szCs w:val="24"/>
        </w:rPr>
        <w:t xml:space="preserve"> </w:t>
      </w:r>
      <w:r w:rsidRPr="009A569C">
        <w:rPr>
          <w:sz w:val="24"/>
          <w:szCs w:val="24"/>
        </w:rPr>
        <w:t>associated with long QT synd</w:t>
      </w:r>
      <w:r w:rsidRPr="000F27B6">
        <w:rPr>
          <w:sz w:val="24"/>
          <w:szCs w:val="24"/>
        </w:rPr>
        <w:t xml:space="preserve">rome </w:t>
      </w:r>
      <w:r w:rsidR="00281686" w:rsidRPr="000F27B6">
        <w:rPr>
          <w:sz w:val="24"/>
          <w:szCs w:val="24"/>
        </w:rPr>
        <w:t>which were confirmed in relatives with the clinical phenotype. One</w:t>
      </w:r>
      <w:r w:rsidRPr="000F27B6">
        <w:rPr>
          <w:sz w:val="24"/>
          <w:szCs w:val="24"/>
        </w:rPr>
        <w:t xml:space="preserve"> </w:t>
      </w:r>
      <w:r w:rsidR="00F92BB8">
        <w:rPr>
          <w:sz w:val="24"/>
          <w:szCs w:val="24"/>
        </w:rPr>
        <w:t>decedent</w:t>
      </w:r>
      <w:r w:rsidR="00F92BB8" w:rsidRPr="000F27B6">
        <w:rPr>
          <w:sz w:val="24"/>
          <w:szCs w:val="24"/>
        </w:rPr>
        <w:t xml:space="preserve"> </w:t>
      </w:r>
      <w:r w:rsidR="00237600">
        <w:rPr>
          <w:sz w:val="24"/>
          <w:szCs w:val="24"/>
        </w:rPr>
        <w:t>had</w:t>
      </w:r>
      <w:r w:rsidR="00AB01CA" w:rsidRPr="000F27B6">
        <w:rPr>
          <w:sz w:val="24"/>
          <w:szCs w:val="24"/>
        </w:rPr>
        <w:t xml:space="preserve"> </w:t>
      </w:r>
      <w:r w:rsidR="00281686" w:rsidRPr="000F27B6">
        <w:rPr>
          <w:sz w:val="24"/>
          <w:szCs w:val="24"/>
        </w:rPr>
        <w:t xml:space="preserve">a </w:t>
      </w:r>
      <w:r w:rsidRPr="000F27B6">
        <w:rPr>
          <w:sz w:val="24"/>
          <w:szCs w:val="24"/>
        </w:rPr>
        <w:t>pathogenic variant associated with Danon disease</w:t>
      </w:r>
      <w:r w:rsidR="00281686" w:rsidRPr="000F27B6">
        <w:rPr>
          <w:sz w:val="24"/>
          <w:szCs w:val="24"/>
        </w:rPr>
        <w:t xml:space="preserve"> in the absence of any histopathological findings of the condition or clinical phenotype in the family</w:t>
      </w:r>
      <w:r w:rsidRPr="000F27B6">
        <w:rPr>
          <w:sz w:val="24"/>
          <w:szCs w:val="24"/>
        </w:rPr>
        <w:t xml:space="preserve">. </w:t>
      </w:r>
    </w:p>
    <w:p w14:paraId="1CEA99A5" w14:textId="77777777" w:rsidR="006A510E" w:rsidRPr="000F27B6" w:rsidRDefault="006A510E" w:rsidP="00527ADB">
      <w:pPr>
        <w:spacing w:after="0" w:line="480" w:lineRule="auto"/>
        <w:rPr>
          <w:b/>
          <w:sz w:val="24"/>
          <w:szCs w:val="24"/>
        </w:rPr>
      </w:pPr>
    </w:p>
    <w:p w14:paraId="151308A6" w14:textId="1BAAF60C" w:rsidR="007A736D" w:rsidRPr="000F27B6" w:rsidRDefault="001606FA" w:rsidP="00527ADB">
      <w:pPr>
        <w:spacing w:after="0" w:line="480" w:lineRule="auto"/>
        <w:rPr>
          <w:sz w:val="24"/>
          <w:szCs w:val="24"/>
        </w:rPr>
      </w:pPr>
      <w:r w:rsidRPr="000F27B6">
        <w:rPr>
          <w:b/>
          <w:sz w:val="24"/>
          <w:szCs w:val="24"/>
        </w:rPr>
        <w:t>Conclusions:</w:t>
      </w:r>
      <w:r w:rsidRPr="000F27B6">
        <w:rPr>
          <w:sz w:val="24"/>
          <w:szCs w:val="24"/>
        </w:rPr>
        <w:t xml:space="preserve"> </w:t>
      </w:r>
      <w:r w:rsidR="00B46E2E" w:rsidRPr="000F27B6">
        <w:rPr>
          <w:sz w:val="24"/>
          <w:szCs w:val="24"/>
        </w:rPr>
        <w:t xml:space="preserve">Idiopathic LVH </w:t>
      </w:r>
      <w:r w:rsidR="00B27BA1" w:rsidRPr="000F27B6">
        <w:rPr>
          <w:sz w:val="24"/>
          <w:szCs w:val="24"/>
        </w:rPr>
        <w:t>appears to be a</w:t>
      </w:r>
      <w:r w:rsidR="007E5EE2" w:rsidRPr="000F27B6">
        <w:rPr>
          <w:sz w:val="24"/>
          <w:szCs w:val="24"/>
        </w:rPr>
        <w:t xml:space="preserve"> distinct</w:t>
      </w:r>
      <w:r w:rsidR="000B6621" w:rsidRPr="000F27B6">
        <w:rPr>
          <w:sz w:val="24"/>
          <w:szCs w:val="24"/>
        </w:rPr>
        <w:t xml:space="preserve"> disease</w:t>
      </w:r>
      <w:r w:rsidR="00B46E2E" w:rsidRPr="000F27B6">
        <w:rPr>
          <w:sz w:val="24"/>
          <w:szCs w:val="24"/>
        </w:rPr>
        <w:t xml:space="preserve"> entity</w:t>
      </w:r>
      <w:r w:rsidR="000B6621" w:rsidRPr="000F27B6">
        <w:rPr>
          <w:sz w:val="24"/>
          <w:szCs w:val="24"/>
        </w:rPr>
        <w:t xml:space="preserve"> </w:t>
      </w:r>
      <w:r w:rsidR="00B46E2E" w:rsidRPr="000F27B6">
        <w:rPr>
          <w:sz w:val="24"/>
          <w:szCs w:val="24"/>
        </w:rPr>
        <w:t xml:space="preserve">from </w:t>
      </w:r>
      <w:r w:rsidR="008A5657" w:rsidRPr="000F27B6">
        <w:rPr>
          <w:sz w:val="24"/>
          <w:szCs w:val="24"/>
        </w:rPr>
        <w:t>HCM</w:t>
      </w:r>
      <w:r w:rsidR="00AB01CA" w:rsidRPr="000F27B6">
        <w:rPr>
          <w:sz w:val="24"/>
          <w:szCs w:val="24"/>
        </w:rPr>
        <w:t xml:space="preserve"> and </w:t>
      </w:r>
      <w:r w:rsidR="00FA23CB">
        <w:rPr>
          <w:sz w:val="24"/>
          <w:szCs w:val="24"/>
        </w:rPr>
        <w:t>is associated with</w:t>
      </w:r>
      <w:r w:rsidR="00AB01CA" w:rsidRPr="000F27B6">
        <w:rPr>
          <w:sz w:val="24"/>
          <w:szCs w:val="24"/>
        </w:rPr>
        <w:t xml:space="preserve"> fatal arrhythmias in individuals with primary arrhythmia syndromes</w:t>
      </w:r>
      <w:r w:rsidR="00B46E2E" w:rsidRPr="000F27B6">
        <w:rPr>
          <w:sz w:val="24"/>
          <w:szCs w:val="24"/>
        </w:rPr>
        <w:t xml:space="preserve">. </w:t>
      </w:r>
      <w:r w:rsidRPr="000F27B6">
        <w:rPr>
          <w:sz w:val="24"/>
          <w:szCs w:val="24"/>
        </w:rPr>
        <w:t>Family screening in</w:t>
      </w:r>
      <w:r w:rsidR="007E5EE2" w:rsidRPr="000F27B6">
        <w:rPr>
          <w:sz w:val="24"/>
          <w:szCs w:val="24"/>
        </w:rPr>
        <w:t xml:space="preserve"> relatives of decedents</w:t>
      </w:r>
      <w:r w:rsidRPr="000F27B6">
        <w:rPr>
          <w:sz w:val="24"/>
          <w:szCs w:val="24"/>
        </w:rPr>
        <w:t xml:space="preserve"> with idiopathic LVH should be comprehensive </w:t>
      </w:r>
      <w:r w:rsidR="00B0084A" w:rsidRPr="000F27B6">
        <w:rPr>
          <w:sz w:val="24"/>
          <w:szCs w:val="24"/>
        </w:rPr>
        <w:t>and</w:t>
      </w:r>
      <w:r w:rsidRPr="000F27B6">
        <w:rPr>
          <w:sz w:val="24"/>
          <w:szCs w:val="24"/>
        </w:rPr>
        <w:t xml:space="preserve"> encompass the broader spectrum of inherited cardiac conditions, including channelopathies.</w:t>
      </w:r>
    </w:p>
    <w:p w14:paraId="5AA14BD2" w14:textId="77777777" w:rsidR="004A36B0" w:rsidRPr="000F27B6" w:rsidRDefault="004A36B0" w:rsidP="00527ADB">
      <w:pPr>
        <w:spacing w:after="0" w:line="480" w:lineRule="auto"/>
        <w:rPr>
          <w:sz w:val="24"/>
          <w:szCs w:val="24"/>
        </w:rPr>
      </w:pPr>
    </w:p>
    <w:p w14:paraId="163F7FFB" w14:textId="77777777" w:rsidR="007A736D" w:rsidRPr="000F27B6" w:rsidRDefault="007A736D" w:rsidP="00527ADB">
      <w:pPr>
        <w:spacing w:line="480" w:lineRule="auto"/>
        <w:rPr>
          <w:sz w:val="24"/>
          <w:szCs w:val="24"/>
        </w:rPr>
      </w:pPr>
      <w:r w:rsidRPr="000F27B6">
        <w:rPr>
          <w:b/>
          <w:sz w:val="24"/>
          <w:szCs w:val="24"/>
        </w:rPr>
        <w:t>Keywords:</w:t>
      </w:r>
      <w:r w:rsidRPr="000F27B6">
        <w:rPr>
          <w:sz w:val="24"/>
          <w:szCs w:val="24"/>
        </w:rPr>
        <w:t xml:space="preserve"> sudden death, </w:t>
      </w:r>
      <w:r w:rsidR="0079791C" w:rsidRPr="000F27B6">
        <w:rPr>
          <w:sz w:val="24"/>
          <w:szCs w:val="24"/>
        </w:rPr>
        <w:t>left ventricular hypertrophy</w:t>
      </w:r>
      <w:r w:rsidRPr="000F27B6">
        <w:rPr>
          <w:sz w:val="24"/>
          <w:szCs w:val="24"/>
        </w:rPr>
        <w:t xml:space="preserve">, </w:t>
      </w:r>
      <w:r w:rsidR="0079791C" w:rsidRPr="000F27B6">
        <w:rPr>
          <w:sz w:val="24"/>
          <w:szCs w:val="24"/>
        </w:rPr>
        <w:t>channelopathy</w:t>
      </w:r>
    </w:p>
    <w:p w14:paraId="1D1D7217" w14:textId="77777777" w:rsidR="006A510E" w:rsidRPr="000F27B6" w:rsidRDefault="006A510E">
      <w:pPr>
        <w:spacing w:after="0" w:line="240" w:lineRule="auto"/>
        <w:rPr>
          <w:b/>
          <w:sz w:val="24"/>
          <w:szCs w:val="24"/>
        </w:rPr>
      </w:pPr>
      <w:r w:rsidRPr="000F27B6">
        <w:rPr>
          <w:b/>
          <w:sz w:val="24"/>
          <w:szCs w:val="24"/>
        </w:rPr>
        <w:br w:type="page"/>
      </w:r>
    </w:p>
    <w:p w14:paraId="4245D7F3" w14:textId="77777777" w:rsidR="00FC1253" w:rsidRPr="000F27B6" w:rsidRDefault="00547204" w:rsidP="00984581">
      <w:pPr>
        <w:spacing w:line="480" w:lineRule="auto"/>
        <w:rPr>
          <w:b/>
          <w:sz w:val="24"/>
          <w:szCs w:val="24"/>
        </w:rPr>
      </w:pPr>
      <w:r w:rsidRPr="000F27B6">
        <w:rPr>
          <w:b/>
          <w:sz w:val="24"/>
          <w:szCs w:val="24"/>
        </w:rPr>
        <w:lastRenderedPageBreak/>
        <w:t>INTRODUCTION</w:t>
      </w:r>
    </w:p>
    <w:p w14:paraId="6524F1A4" w14:textId="05BCEBB4" w:rsidR="00984581" w:rsidRPr="000F27B6" w:rsidRDefault="00547204" w:rsidP="00984581">
      <w:pPr>
        <w:spacing w:line="480" w:lineRule="auto"/>
        <w:rPr>
          <w:sz w:val="24"/>
          <w:szCs w:val="24"/>
        </w:rPr>
      </w:pPr>
      <w:r w:rsidRPr="000F27B6">
        <w:rPr>
          <w:sz w:val="24"/>
          <w:szCs w:val="24"/>
        </w:rPr>
        <w:t>Sudden cardiac death (SCD) i</w:t>
      </w:r>
      <w:r w:rsidR="000812A0" w:rsidRPr="000F27B6">
        <w:rPr>
          <w:sz w:val="24"/>
          <w:szCs w:val="24"/>
        </w:rPr>
        <w:t>n</w:t>
      </w:r>
      <w:r w:rsidRPr="000F27B6">
        <w:rPr>
          <w:sz w:val="24"/>
          <w:szCs w:val="24"/>
        </w:rPr>
        <w:t xml:space="preserve"> apparently healthy individuals</w:t>
      </w:r>
      <w:r w:rsidR="00640AAC" w:rsidRPr="000F27B6">
        <w:rPr>
          <w:sz w:val="24"/>
          <w:szCs w:val="24"/>
        </w:rPr>
        <w:t xml:space="preserve"> is commonly due to a diverse spectrum of inherited cardiac diseases including the cardiomyopathies and channelopathies </w:t>
      </w:r>
      <w:r w:rsidR="00640AAC" w:rsidRPr="000F27B6">
        <w:rPr>
          <w:sz w:val="24"/>
          <w:szCs w:val="24"/>
        </w:rPr>
        <w:fldChar w:fldCharType="begin" w:fldLock="1"/>
      </w:r>
      <w:r w:rsidR="000E75F4" w:rsidRPr="000F27B6">
        <w:rPr>
          <w:sz w:val="24"/>
          <w:szCs w:val="24"/>
        </w:rPr>
        <w:instrText>ADDIN CSL_CITATION {"citationItems":[{"id":"ITEM-1","itemData":{"DOI":"10.1056/NEJMoa1510687","ISBN":"1533-4406 (Electronic)\\r0028-4793 (Linking)","ISSN":"0028-4793","PMID":"27332903","abstract":"BackgroundSudden cardiac death among children and young adults is a devastating event. We performed a prospective, population-based, clinical and genetic study of sudden cardiac death among children and young adults. MethodsWe prospectively collected clinical, demographic, and autopsy information on all cases of sudden cardiac death among children and young adults 1 to 35 years of age in Australia and New Zealand from 2010 through 2012. In cases that had no cause identified after a comprehensive autopsy that included toxicologic and histologic studies (unexplained sudden cardiac death), at least 59 cardiac genes were analyzed for a clinically relevant cardiac gene mutation. ResultsA total of 490 cases of sudden cardiac death were identified. The annual incidence was 1.3 cases per 100,000 persons 1 to 35 years of age; 72% of the cases involved boys or young men. Persons 31 to 35 years of age had the highest incidence of sudden cardiac death (3.2 cases per 100,000 persons per year), and persons 16 to 20 yea...","author":[{"dropping-particle":"","family":"Bagnall","given":"Richard D.","non-dropping-particle":"","parse-names":false,"suffix":""},{"dropping-particle":"","family":"Weintraub","given":"Robert G.","non-dropping-particle":"","parse-names":false,"suffix":""},{"dropping-particle":"","family":"Ingles","given":"Jodie","non-dropping-particle":"","parse-names":false,"suffix":""},{"dropping-particle":"","family":"Duflou","given":"Johan","non-dropping-particle":"","parse-names":false,"suffix":""},{"dropping-particle":"","family":"Yeates","given":"Laura","non-dropping-particle":"","parse-names":false,"suffix":""},{"dropping-particle":"","family":"Lam","given":"Lien","non-dropping-particle":"","parse-names":false,"suffix":""},{"dropping-particle":"","family":"Davis","given":"Andrew M.","non-dropping-particle":"","parse-names":false,"suffix":""},{"dropping-particle":"","family":"Thompson","given":"Tina","non-dropping-particle":"","parse-names":false,"suffix":""},{"dropping-particle":"","family":"Connell","given":"Vanessa","non-dropping-particle":"","parse-names":false,"suffix":""},{"dropping-particle":"","family":"Wallace","given":"Jennie","non-dropping-particle":"","parse-names":false,"suffix":""},{"dropping-particle":"","family":"Naylor","given":"Charles","non-dropping-particle":"","parse-names":false,"suffix":""},{"dropping-particle":"","family":"Crawford","given":"Jackie","non-dropping-particle":"","parse-names":false,"suffix":""},{"dropping-particle":"","family":"Love","given":"Donald R.","non-dropping-particle":"","parse-names":false,"suffix":""},{"dropping-particle":"","family":"Hallam","given":"Lavinia","non-dropping-particle":"","parse-names":false,"suffix":""},{"dropping-particle":"","family":"White","given":"Jodi","non-dropping-particle":"","parse-names":false,"suffix":""},{"dropping-particle":"","family":"Lawrence","given":"Christopher","non-dropping-particle":"","parse-names":false,"suffix":""},{"dropping-particle":"","family":"Lynch","given":"Matthew","non-dropping-particle":"","parse-names":false,"suffix":""},{"dropping-particle":"","family":"Morgan","given":"Natalie","non-dropping-particle":"","parse-names":false,"suffix":""},{"dropping-particle":"","family":"James","given":"Paul","non-dropping-particle":"","parse-names":false,"suffix":""},{"dropping-particle":"","family":"Sart","given":"Desirée","non-dropping-particle":"du","parse-names":false,"suffix":""},{"dropping-particle":"","family":"Puranik","given":"Rajesh","non-dropping-particle":"","parse-names":false,"suffix":""},{"dropping-particle":"","family":"Langlois","given":"Neil","non-dropping-particle":"","parse-names":false,"suffix":""},{"dropping-particle":"","family":"Vohra","given":"Jitendra","non-dropping-particle":"","parse-names":false,"suffix":""},{"dropping-particle":"","family":"Winship","given":"Ingrid","non-dropping-particle":"","parse-names":false,"suffix":""},{"dropping-particle":"","family":"Atherton","given":"John","non-dropping-particle":"","parse-names":false,"suffix":""},{"dropping-particle":"","family":"McGaughran","given":"Julie","non-dropping-particle":"","parse-names":false,"suffix":""},{"dropping-particle":"","family":"Skinner","given":"Jonathan R.","non-dropping-particle":"","parse-names":false,"suffix":""},{"dropping-particle":"","family":"Semsarian","given":"Christopher","non-dropping-particle":"","parse-names":false,"suffix":""}],"container-title":"New England Journal of Medicine","id":"ITEM-1","issue":"25","issued":{"date-parts":[["2016","6"]]},"page":"2441-2452","title":"A Prospective Study of Sudden Cardiac Death among Children and Young Adults","type":"article-journal","volume":"374"},"uris":["http://www.mendeley.com/documents/?uuid=ece52c77-007a-46a4-96d7-f8c08c142989"]},{"id":"ITEM-2","itemData":{"DOI":"10.1016/j.jacc.2016.02.062","ISSN":"15583597 07351097","abstract":"© 2016 American College of Cardiology Foundation.Background Accurate knowledge of causes of sudden cardiac death (SCD) in athletes and its precipitating factors is necessary to establish preventative strategies. Objectives This study investigated causes of SCD and their association with intensive physical activity in a large cohort of athletes. Methods Between 1994 and 2014, 357 consecutive cases of athletes who died suddenly (mean 29 ± 11 years of age, 92% males, 76% Caucasian, 69% competitive) were referred to our cardiac pathology center. All subjects underwent detailed post-mortem evaluation, including histological analysis by an expert cardiac pathologist. Clinical information was obtained from referring coroners. Results Sudden arrhythmic death syndrome (SADS) was the most prevalent cause of death (n = 149 [42%]). Myocardial disease was detected in 40% of cases, including idiopathic left ventricular hypertrophy (LVH) and/or fibrosis (n = 59, 16%); arrhythmogenic right ventricular cardiomyopathy (ARVC) (13%); and hypertrophic cardiomyopathy (HCM) (6%). Coronary artery anomalies occurred in 5% of cases. SADS and coronary artery anomalies affected predominantly young athletes (≤ 35 years of age), whereas myocardial disease was more common in older individuals. SCD during intense exertion occurred in 61% of cases; ARVC and left ventricular fibrosis most strongly predicted SCD during exertion. Conclusions Conditions predisposing to SCD in sports demonstrate a significant age predilection. The strong association of ARVC and left ventricular fibrosis with exercise-induced SCD reinforces the need for early detection and abstinence from intense exercise. However, almost 40% of athletes die at rest, highlighting the need for complementary preventive strategies.","author":[{"dropping-particle":"","family":"Finocchiaro","given":"G.","non-dropping-particle":"","parse-names":false,"suffix":""},{"dropping-particle":"","family":"Papadakis","given":"M.","non-dropping-particle":"","parse-names":false,"suffix":""},{"dropping-particle":"","family":"Robertus","given":"J.-L.","non-dropping-particle":"","parse-names":false,"suffix":""},{"dropping-particle":"","family":"Dhutia","given":"H.","non-dropping-particle":"","parse-names":false,"suffix":""},{"dropping-particle":"","family":"Steriotis","given":"A.K.","non-dropping-particle":"","parse-names":false,"suffix":""},{"dropping-particle":"","family":"Tome","given":"M.","non-dropping-particle":"","parse-names":false,"suffix":""},{"dropping-particle":"","family":"Mellor","given":"G.","non-dropping-particle":"","parse-names":false,"suffix":""},{"dropping-particle":"","family":"Merghani","given":"A.","non-dropping-particle":"","parse-names":false,"suffix":""},{"dropping-particle":"","family":"Malhotra","given":"A.","non-dropping-particle":"","parse-names":false,"suffix":""},{"dropping-particle":"","family":"Behr","given":"E.","non-dropping-particle":"","parse-names":false,"suffix":""},{"dropping-particle":"","family":"Sharma","given":"S.","non-dropping-particle":"","parse-names":false,"suffix":""},{"dropping-particle":"","family":"Sheppard","given":"M.N.","non-dropping-particle":"","parse-names":false,"suffix":""}],"container-title":"Journal of the American College of Cardiology","id":"ITEM-2","issue":"18","issued":{"date-parts":[["2016"]]},"title":"Etiology of Sudden Death in Sports Insights from a United Kingdom Regional Registry","type":"article-journal","volume":"67"},"uris":["http://www.mendeley.com/documents/?uuid=33ca2651-b2a5-3026-809e-7a91e01e4d54"]}],"mendeley":{"formattedCitation":"&lt;sup&gt;1,2&lt;/sup&gt;","plainTextFormattedCitation":"1,2","previouslyFormattedCitation":"&lt;sup&gt;1,2&lt;/sup&gt;"},"properties":{"noteIndex":0},"schema":"https://github.com/citation-style-language/schema/raw/master/csl-citation.json"}</w:instrText>
      </w:r>
      <w:r w:rsidR="00640AAC" w:rsidRPr="000F27B6">
        <w:rPr>
          <w:sz w:val="24"/>
          <w:szCs w:val="24"/>
        </w:rPr>
        <w:fldChar w:fldCharType="separate"/>
      </w:r>
      <w:r w:rsidR="00640AAC" w:rsidRPr="000F27B6">
        <w:rPr>
          <w:noProof/>
          <w:sz w:val="24"/>
          <w:szCs w:val="24"/>
          <w:vertAlign w:val="superscript"/>
        </w:rPr>
        <w:t>1,2</w:t>
      </w:r>
      <w:r w:rsidR="00640AAC" w:rsidRPr="000F27B6">
        <w:rPr>
          <w:sz w:val="24"/>
          <w:szCs w:val="24"/>
        </w:rPr>
        <w:fldChar w:fldCharType="end"/>
      </w:r>
      <w:r w:rsidR="00640AAC" w:rsidRPr="000F27B6">
        <w:rPr>
          <w:sz w:val="24"/>
          <w:szCs w:val="24"/>
        </w:rPr>
        <w:t>.</w:t>
      </w:r>
      <w:r w:rsidR="009C08D8" w:rsidRPr="000F27B6">
        <w:rPr>
          <w:sz w:val="24"/>
          <w:szCs w:val="24"/>
        </w:rPr>
        <w:t xml:space="preserve"> </w:t>
      </w:r>
      <w:r w:rsidR="00BA181C" w:rsidRPr="000F27B6">
        <w:rPr>
          <w:sz w:val="24"/>
          <w:szCs w:val="24"/>
        </w:rPr>
        <w:t>Autopsy</w:t>
      </w:r>
      <w:r w:rsidRPr="000F27B6">
        <w:rPr>
          <w:sz w:val="24"/>
          <w:szCs w:val="24"/>
        </w:rPr>
        <w:t xml:space="preserve"> is an essential </w:t>
      </w:r>
      <w:r w:rsidR="00D47E05" w:rsidRPr="000F27B6">
        <w:rPr>
          <w:sz w:val="24"/>
          <w:szCs w:val="24"/>
        </w:rPr>
        <w:t xml:space="preserve">preliminary </w:t>
      </w:r>
      <w:r w:rsidRPr="000F27B6">
        <w:rPr>
          <w:sz w:val="24"/>
          <w:szCs w:val="24"/>
        </w:rPr>
        <w:t xml:space="preserve">diagnostic step </w:t>
      </w:r>
      <w:r w:rsidR="00FC1253" w:rsidRPr="000F27B6">
        <w:rPr>
          <w:sz w:val="24"/>
          <w:szCs w:val="24"/>
        </w:rPr>
        <w:t>to</w:t>
      </w:r>
      <w:r w:rsidRPr="000F27B6">
        <w:rPr>
          <w:sz w:val="24"/>
          <w:szCs w:val="24"/>
        </w:rPr>
        <w:t xml:space="preserve"> steer the clinical evaluation of surviving relatives toward inherited structural diseases or primary arrhythmogenic syndromes. The interpretation of the </w:t>
      </w:r>
      <w:r w:rsidR="00B0084A" w:rsidRPr="000F27B6">
        <w:rPr>
          <w:sz w:val="24"/>
          <w:szCs w:val="24"/>
        </w:rPr>
        <w:t>autopsy</w:t>
      </w:r>
      <w:r w:rsidRPr="000F27B6">
        <w:rPr>
          <w:sz w:val="24"/>
          <w:szCs w:val="24"/>
        </w:rPr>
        <w:t xml:space="preserve"> results, however, </w:t>
      </w:r>
      <w:r w:rsidR="00AC778B" w:rsidRPr="000F27B6">
        <w:rPr>
          <w:sz w:val="24"/>
          <w:szCs w:val="24"/>
        </w:rPr>
        <w:t>is o</w:t>
      </w:r>
      <w:r w:rsidR="00B20B15" w:rsidRPr="000F27B6">
        <w:rPr>
          <w:sz w:val="24"/>
          <w:szCs w:val="24"/>
        </w:rPr>
        <w:t>ften a</w:t>
      </w:r>
      <w:r w:rsidRPr="000F27B6">
        <w:rPr>
          <w:sz w:val="24"/>
          <w:szCs w:val="24"/>
        </w:rPr>
        <w:t xml:space="preserve"> complex task and </w:t>
      </w:r>
      <w:r w:rsidR="00B0084A" w:rsidRPr="000F27B6">
        <w:rPr>
          <w:sz w:val="24"/>
          <w:szCs w:val="24"/>
        </w:rPr>
        <w:t xml:space="preserve"> </w:t>
      </w:r>
      <w:r w:rsidRPr="000F27B6">
        <w:rPr>
          <w:sz w:val="24"/>
          <w:szCs w:val="24"/>
        </w:rPr>
        <w:t>uncertainty</w:t>
      </w:r>
      <w:r w:rsidR="00AC778B" w:rsidRPr="000F27B6">
        <w:rPr>
          <w:sz w:val="24"/>
          <w:szCs w:val="24"/>
        </w:rPr>
        <w:t xml:space="preserve"> may exist</w:t>
      </w:r>
      <w:r w:rsidRPr="000F27B6">
        <w:rPr>
          <w:sz w:val="24"/>
          <w:szCs w:val="24"/>
        </w:rPr>
        <w:t xml:space="preserve"> about the </w:t>
      </w:r>
      <w:r w:rsidR="000812A0" w:rsidRPr="000F27B6">
        <w:rPr>
          <w:sz w:val="24"/>
          <w:szCs w:val="24"/>
        </w:rPr>
        <w:t>precise</w:t>
      </w:r>
      <w:r w:rsidRPr="000F27B6">
        <w:rPr>
          <w:sz w:val="24"/>
          <w:szCs w:val="24"/>
        </w:rPr>
        <w:t xml:space="preserve"> significance of </w:t>
      </w:r>
      <w:r w:rsidR="000812A0" w:rsidRPr="000F27B6">
        <w:rPr>
          <w:sz w:val="24"/>
          <w:szCs w:val="24"/>
        </w:rPr>
        <w:t xml:space="preserve">some </w:t>
      </w:r>
      <w:r w:rsidRPr="000F27B6">
        <w:rPr>
          <w:sz w:val="24"/>
          <w:szCs w:val="24"/>
        </w:rPr>
        <w:t>pathological findings and their causal relationship with SCD</w:t>
      </w:r>
      <w:r w:rsidR="00F0531B" w:rsidRPr="000F27B6">
        <w:rPr>
          <w:sz w:val="24"/>
          <w:szCs w:val="24"/>
        </w:rPr>
        <w:fldChar w:fldCharType="begin" w:fldLock="1"/>
      </w:r>
      <w:r w:rsidR="00D02FE3" w:rsidRPr="000F27B6">
        <w:rPr>
          <w:sz w:val="24"/>
          <w:szCs w:val="24"/>
        </w:rPr>
        <w:instrText>ADDIN CSL_CITATION {"citationItems":[{"id":"ITEM-1","itemData":{"DOI":"10.1161/CIRCEP.113.000111","ISSN":"19413149","PMID":"23671135","abstract":"BACKGROUND: The sudden death of young individuals is commonly attributed to inherited cardiac disorders, and familial evaluation is advocated. The identification of pathognomonic histopathologic findings, or the absence of cardiac pathology (sudden arrhythmic death syndrome [SADS]) at postmortem, directs familial evaluation targeting structural disorders or primary arrhythmogenic syndromes, respectively. In a proportion of autopsies, structural abnormalities of uncertain significance are reported. We explored the hypothesis that such sudden cardiac deaths represent SADS.\\n\\nMETHODS AND RESULTS: Families (n=340) of index cases of sudden cardiac deaths who underwent postmortem evaluation were evaluated in specialist cardiogenetics clinics. Families in whom the deceased exhibited structural abnormalities of uncertain significance (n=41), such as ventricular hypertrophy, myocardial fibrosis, and minor coronary artery disease, were included in the study. Results were compared with 163 families with normal postmortem (SADS). Relatives underwent comprehensive cardiac evaluation. Twenty-one families (51%) with autopsy findings of uncertain significance received a diagnosis based on the identification of an inherited cardiac condition phenotype in ≥1 relatives: 14 Brugada syndrome; 4 long-QT syndrome; 1 catecholaminergic polymorphic ventricular tachycardia; and 2 cardiomyopathy. A similar proportion of families (47.2%) received a diagnosis in the SADS cohort (P=0.727). An arrhythmogenic syndrome was the predominant diagnosis in both cohorts (46% versus 45%; P=0.863).\\n\\nCONCLUSIONS: Familial evaluation after sudden cardiac deaths with autopsy findings of uncertain significance identified a similar proportion of primary arrhythmogenic syndromes to a contemporary series of SADS. Our study highlights the need for accurate interpretation of autopsy findings to avoid erroneous diagnoses, with potentially devastating implications.","author":[{"dropping-particle":"","family":"Papadakis","given":"Michael","non-dropping-particle":"","parse-names":false,"suffix":""},{"dropping-particle":"","family":"Raju","given":"Hariharan","non-dropping-particle":"","parse-names":false,"suffix":""},{"dropping-particle":"","family":"Behr","given":"Elijah R.","non-dropping-particle":"","parse-names":false,"suffix":""},{"dropping-particle":"V.","family":"Noronha","given":"Sofia","non-dropping-particle":"De","parse-names":false,"suffix":""},{"dropping-particle":"","family":"Spath","given":"Nicholas","non-dropping-particle":"","parse-names":false,"suffix":""},{"dropping-particle":"","family":"Kouloubinis","given":"Alexandros","non-dropping-particle":"","parse-names":false,"suffix":""},{"dropping-particle":"","family":"Sheppard","given":"Mary N.","non-dropping-particle":"","parse-names":false,"suffix":""},{"dropping-particle":"","family":"Sharma","given":"Sanjay","non-dropping-particle":"","parse-names":false,"suffix":""}],"container-title":"Circulation: Arrhythmia and Electrophysiology","id":"ITEM-1","issue":"3","issued":{"date-parts":[["2013"]]},"page":"588-596","title":"Sudden cardiac death with autopsy findings of uncertain significance: Potential for erroneous interpretation","type":"article-journal","volume":"6"},"uris":["http://www.mendeley.com/documents/?uuid=e1480a2a-12ee-4796-a017-ab581d4b226e"]},{"id":"ITEM-2","itemData":{"DOI":"10.1093/eurheartj/ehy654","ISSN":"1522-9645","PMID":"30380018","abstract":"Aims Unexplained sudden cardiac death (SCD) may be attributable to cardiogenetic disease. Presence or absence of autopsy anomalies detected following premature sudden death direct appropriate clinical evaluation of at-risk relatives towards inherited cardiomyopathies or primary arrhythmia syndromes, respectively. We investigated the relevance of non-diagnostic pathological abnormalities of indeterminate causality (uncertain) such as myocardial hypertrophy, fibrosis, or inflammatory infiltrates to SCD. Methods and results At-risk relatives of unexplained SCD cases aged 1-64 years without prior cardiac disease (n = 98) with either normal and negative (40%, true sudden arrhythmic death syndrome; SADS) or isolated non-diagnostic (60%, uncertain sudden unexplained death; SUD) cardiac histological autopsy findings at a central forensic pathology unit were referred to the regional unexplained SCD clinic for clinical cardiac phenotyping. Uncertain SUD were older than true SADS cases (31.8 years vs. 21.1 years, P &lt; 0.001). A cardiogenetic diagnosis was established in 24 families (24.5%) following investigation of 346 referred relatives. The proportions of uncertain SUD and true SADS explained by familial cardiogenetic diagnoses were similar (20% vs. 31%, P = 0.34, respectively), with primary arrhythmia syndromes predominating. Unexplained SCD cases were more likely than matched non-cardiac premature death controls to demonstrate at least one uncertain autopsy finding (P &lt; 0.001). Conclusion Primary arrhythmia syndromes predominate as familial cardiogenetic diagnoses amongst both uncertain SUD and true SADS cases. Non-diagnostic or uncertain histological findings associate with SUD, though cannot be attributed a causative status. At-risk relatives of uncertain SUD cases should be evaluated for phenotypic evidence of both ion channel disorders and cardiomyopathies.","author":[{"dropping-particle":"","family":"Raju","given":"Hariharan","non-dropping-particle":"","parse-names":false,"suffix":""},{"dropping-particle":"","family":"Parsons","given":"Sarah","non-dropping-particle":"","parse-names":false,"suffix":""},{"dropping-particle":"","family":"Thompson","given":"Tina N","non-dropping-particle":"","parse-names":false,"suffix":""},{"dropping-particle":"","family":"Morgan","given":"Natalie","non-dropping-particle":"","parse-names":false,"suffix":""},{"dropping-particle":"","family":"Zentner","given":"Dominica","non-dropping-particle":"","parse-names":false,"suffix":""},{"dropping-particle":"","family":"Trainer","given":"Alison H","non-dropping-particle":"","parse-names":false,"suffix":""},{"dropping-particle":"","family":"James","given":"Paul A","non-dropping-particle":"","parse-names":false,"suffix":""},{"dropping-particle":"","family":"Winship","given":"Ingrid M","non-dropping-particle":"","parse-names":false,"suffix":""},{"dropping-particle":"","family":"Kalman","given":"Jonathan M","non-dropping-particle":"","parse-names":false,"suffix":""},{"dropping-particle":"","family":"Vohra","given":"Jitendra","non-dropping-particle":"","parse-names":false,"suffix":""}],"container-title":"European heart journal","id":"ITEM-2","issued":{"date-parts":[["2018","10","30"]]},"title":"Insights into sudden cardiac death: exploring the potential relevance of non-diagnostic autopsy findings.","type":"article-journal"},"uris":["http://www.mendeley.com/documents/?uuid=0732bbfe-2ba9-46ad-a8a7-385a6feb61bc"]}],"mendeley":{"formattedCitation":"&lt;sup&gt;3,4&lt;/sup&gt;","plainTextFormattedCitation":"3,4","previouslyFormattedCitation":"&lt;sup&gt;3,4&lt;/sup&gt;"},"properties":{"noteIndex":0},"schema":"https://github.com/citation-style-language/schema/raw/master/csl-citation.json"}</w:instrText>
      </w:r>
      <w:r w:rsidR="00F0531B" w:rsidRPr="000F27B6">
        <w:rPr>
          <w:sz w:val="24"/>
          <w:szCs w:val="24"/>
        </w:rPr>
        <w:fldChar w:fldCharType="separate"/>
      </w:r>
      <w:r w:rsidR="00F0531B" w:rsidRPr="000F27B6">
        <w:rPr>
          <w:noProof/>
          <w:sz w:val="24"/>
          <w:szCs w:val="24"/>
          <w:vertAlign w:val="superscript"/>
        </w:rPr>
        <w:t>3,4</w:t>
      </w:r>
      <w:r w:rsidR="00F0531B" w:rsidRPr="000F27B6">
        <w:rPr>
          <w:sz w:val="24"/>
          <w:szCs w:val="24"/>
        </w:rPr>
        <w:fldChar w:fldCharType="end"/>
      </w:r>
      <w:r w:rsidRPr="000F27B6">
        <w:rPr>
          <w:sz w:val="24"/>
          <w:szCs w:val="24"/>
        </w:rPr>
        <w:t>.</w:t>
      </w:r>
    </w:p>
    <w:p w14:paraId="6234AD87" w14:textId="06AEF12B" w:rsidR="00F0531B" w:rsidRPr="000F27B6" w:rsidRDefault="00547204" w:rsidP="00F0531B">
      <w:pPr>
        <w:spacing w:line="480" w:lineRule="auto"/>
        <w:rPr>
          <w:sz w:val="24"/>
          <w:szCs w:val="24"/>
        </w:rPr>
      </w:pPr>
      <w:r w:rsidRPr="000F27B6">
        <w:rPr>
          <w:sz w:val="24"/>
          <w:szCs w:val="24"/>
        </w:rPr>
        <w:t>Idiopathic left ventricular hypertrophy (LVH) is</w:t>
      </w:r>
      <w:r w:rsidR="004B6BED" w:rsidRPr="000F27B6">
        <w:rPr>
          <w:sz w:val="24"/>
          <w:szCs w:val="24"/>
        </w:rPr>
        <w:t xml:space="preserve"> an</w:t>
      </w:r>
      <w:r w:rsidRPr="000F27B6">
        <w:rPr>
          <w:sz w:val="24"/>
          <w:szCs w:val="24"/>
        </w:rPr>
        <w:t xml:space="preserve"> increasingly recognized</w:t>
      </w:r>
      <w:r w:rsidR="004B6BED" w:rsidRPr="000F27B6">
        <w:rPr>
          <w:sz w:val="24"/>
          <w:szCs w:val="24"/>
        </w:rPr>
        <w:t xml:space="preserve"> finding</w:t>
      </w:r>
      <w:r w:rsidRPr="000F27B6">
        <w:rPr>
          <w:sz w:val="24"/>
          <w:szCs w:val="24"/>
        </w:rPr>
        <w:t xml:space="preserve"> at </w:t>
      </w:r>
      <w:r w:rsidR="00BA181C" w:rsidRPr="000F27B6">
        <w:rPr>
          <w:sz w:val="24"/>
          <w:szCs w:val="24"/>
        </w:rPr>
        <w:t>autopsy</w:t>
      </w:r>
      <w:r w:rsidRPr="000F27B6">
        <w:rPr>
          <w:sz w:val="24"/>
          <w:szCs w:val="24"/>
        </w:rPr>
        <w:t xml:space="preserve"> of young </w:t>
      </w:r>
      <w:r w:rsidR="004B6BED" w:rsidRPr="000F27B6">
        <w:rPr>
          <w:sz w:val="24"/>
          <w:szCs w:val="24"/>
        </w:rPr>
        <w:t>decedents from SCD</w:t>
      </w:r>
      <w:r w:rsidR="00BC2E1F">
        <w:rPr>
          <w:sz w:val="24"/>
          <w:szCs w:val="24"/>
        </w:rPr>
        <w:fldChar w:fldCharType="begin" w:fldLock="1"/>
      </w:r>
      <w:r w:rsidR="00001EEA">
        <w:rPr>
          <w:sz w:val="24"/>
          <w:szCs w:val="24"/>
        </w:rPr>
        <w:instrText>ADDIN CSL_CITATION {"citationItems":[{"id":"ITEM-1","itemData":{"DOI":"10.1161/CIRCULATIONAHA.115.015431","ISSN":"1524-4539","PMID":"25977310","abstract":"BACKGROUND The incidence and cause of sudden cardiac death (SCD) in athletes is debated with hypertrophic cardiomyopathy often reported as the most common cause. METHODS AND RESULTS A database of all National Collegiate Athletic Association deaths (2003-2013) was developed. Additional information and autopsy reports were obtained when possible. Cause of death was adjudicated by an expert panel. There were 4 242 519 athlete-years (AY) and 514 total student athlete deaths. Accidents were the most common cause of death (257, 50%, 1:16 508 AY) followed by medical causes (147, 29%, 1:28 861 AY). The most common medical cause of death was SCD (79, 15%, 1:53 703 AY). Males were at higher risk than females 1:37 790 AY versus 1:121 593 AY (incidence rate ratio, 3.2; 95% confidence interval, 1.9-5.5; P&lt;0.00001), and black athletes were at higher risk than white athletes 1:21491 AY versus 1:68 354 AY (incidence rate ratio, 3.2; 95% confidence interval, 1.9-5.2; P&lt;0.00001). The incidence of SCD in Division 1 male basketball athletes was 1:5200 AY. The most common findings at autopsy were autopsy-negative sudden unexplained death in 16 (25%), and definitive evidence for hypertrophic cardiomyopathy was seen in 5 (8%). Media reports identified more deaths in higher divisions (87%, 61%, and 44%), whereas the percentages from the internal database did not vary (87%, 83%, and 89%). Insurance claims identified only 11% of SCDs. CONCLUSIONS The rate of SCD in National Collegiate Athletic Association athletes is high, with males, black athletes, and basketball players at substantially higher risk. The most common finding at autopsy is autopsy-negative sudden unexplained death. Media reports are more likely to capture high-profile deaths, and insurance claims are not a reliable method for case identification.","author":[{"dropping-particle":"","family":"Harmon","given":"Kimberly G","non-dropping-particle":"","parse-names":false,"suffix":""},{"dropping-particle":"","family":"Asif","given":"Irfan M","non-dropping-particle":"","parse-names":false,"suffix":""},{"dropping-particle":"","family":"Maleszewski","given":"Joseph J","non-dropping-particle":"","parse-names":false,"suffix":""},{"dropping-particle":"","family":"Owens","given":"David S","non-dropping-particle":"","parse-names":false,"suffix":""},{"dropping-particle":"","family":"Prutkin","given":"Jordan M","non-dropping-particle":"","parse-names":false,"suffix":""},{"dropping-particle":"","family":"Salerno","given":"Jack C","non-dropping-particle":"","parse-names":false,"suffix":""},{"dropping-particle":"","family":"Zigman","given":"Monica L","non-dropping-particle":"","parse-names":false,"suffix":""},{"dropping-particle":"","family":"Ellenbogen","given":"Rachel","non-dropping-particle":"","parse-names":false,"suffix":""},{"dropping-particle":"","family":"Rao","given":"Ashwin L","non-dropping-particle":"","parse-names":false,"suffix":""},{"dropping-particle":"","family":"Ackerman","given":"Michael J","non-dropping-particle":"","parse-names":false,"suffix":""},{"dropping-particle":"","family":"Drezner","given":"Jonathan A","non-dropping-particle":"","parse-names":false,"suffix":""}],"container-title":"Circulation","id":"ITEM-1","issue":"1","issued":{"date-parts":[["2015","7","7"]]},"page":"10-9","title":"Incidence, Cause, and Comparative Frequency of Sudden Cardiac Death in National Collegiate Athletic Association Athletes: A Decade in Review.","type":"article-journal","volume":"132"},"uris":["http://www.mendeley.com/documents/?uuid=0aa243eb-5ea0-46fc-9a64-0fddd61a04b7"]},{"id":"ITEM-2","itemData":{"DOI":"10.1161/CIRCEP.113.000111","ISSN":"19413149","PMID":"23671135","abstract":"BACKGROUND: The sudden death of young individuals is commonly attributed to inherited cardiac disorders, and familial evaluation is advocated. The identification of pathognomonic histopathologic findings, or the absence of cardiac pathology (sudden arrhythmic death syndrome [SADS]) at postmortem, directs familial evaluation targeting structural disorders or primary arrhythmogenic syndromes, respectively. In a proportion of autopsies, structural abnormalities of uncertain significance are reported. We explored the hypothesis that such sudden cardiac deaths represent SADS.\\n\\nMETHODS AND RESULTS: Families (n=340) of index cases of sudden cardiac deaths who underwent postmortem evaluation were evaluated in specialist cardiogenetics clinics. Families in whom the deceased exhibited structural abnormalities of uncertain significance (n=41), such as ventricular hypertrophy, myocardial fibrosis, and minor coronary artery disease, were included in the study. Results were compared with 163 families with normal postmortem (SADS). Relatives underwent comprehensive cardiac evaluation. Twenty-one families (51%) with autopsy findings of uncertain significance received a diagnosis based on the identification of an inherited cardiac condition phenotype in ≥1 relatives: 14 Brugada syndrome; 4 long-QT syndrome; 1 catecholaminergic polymorphic ventricular tachycardia; and 2 cardiomyopathy. A similar proportion of families (47.2%) received a diagnosis in the SADS cohort (P=0.727). An arrhythmogenic syndrome was the predominant diagnosis in both cohorts (46% versus 45%; P=0.863).\\n\\nCONCLUSIONS: Familial evaluation after sudden cardiac deaths with autopsy findings of uncertain significance identified a similar proportion of primary arrhythmogenic syndromes to a contemporary series of SADS. Our study highlights the need for accurate interpretation of autopsy findings to avoid erroneous diagnoses, with potentially devastating implications.","author":[{"dropping-particle":"","family":"Papadakis","given":"Michael","non-dropping-particle":"","parse-names":false,"suffix":""},{"dropping-particle":"","family":"Raju","given":"Hariharan","non-dropping-particle":"","parse-names":false,"suffix":""},{"dropping-particle":"","family":"Behr","given":"Elijah R.","non-dropping-particle":"","parse-names":false,"suffix":""},{"dropping-particle":"V.","family":"Noronha","given":"Sofia","non-dropping-particle":"De","parse-names":false,"suffix":""},{"dropping-particle":"","family":"Spath","given":"Nicholas","non-dropping-particle":"","parse-names":false,"suffix":""},{"dropping-particle":"","family":"Kouloubinis","given":"Alexandros","non-dropping-particle":"","parse-names":false,"suffix":""},{"dropping-particle":"","family":"Sheppard","given":"Mary N.","non-dropping-particle":"","parse-names":false,"suffix":""},{"dropping-particle":"","family":"Sharma","given":"Sanjay","non-dropping-particle":"","parse-names":false,"suffix":""}],"container-title":"Circulation: Arrhythmia and Electrophysiology","id":"ITEM-2","issue":"3","issued":{"date-parts":[["2013"]]},"page":"588-596","title":"Sudden cardiac death with autopsy findings of uncertain significance: Potential for erroneous interpretation","type":"article-journal","volume":"6"},"uris":["http://www.mendeley.com/documents/?uuid=e1480a2a-12ee-4796-a017-ab581d4b226e"]}],"mendeley":{"formattedCitation":"&lt;sup&gt;3,5&lt;/sup&gt;","plainTextFormattedCitation":"3,5","previouslyFormattedCitation":"&lt;sup&gt;3,5&lt;/sup&gt;"},"properties":{"noteIndex":0},"schema":"https://github.com/citation-style-language/schema/raw/master/csl-citation.json"}</w:instrText>
      </w:r>
      <w:r w:rsidR="00BC2E1F">
        <w:rPr>
          <w:sz w:val="24"/>
          <w:szCs w:val="24"/>
        </w:rPr>
        <w:fldChar w:fldCharType="separate"/>
      </w:r>
      <w:r w:rsidR="00BC2E1F" w:rsidRPr="00BC2E1F">
        <w:rPr>
          <w:noProof/>
          <w:sz w:val="24"/>
          <w:szCs w:val="24"/>
          <w:vertAlign w:val="superscript"/>
        </w:rPr>
        <w:t>3,5</w:t>
      </w:r>
      <w:r w:rsidR="00BC2E1F">
        <w:rPr>
          <w:sz w:val="24"/>
          <w:szCs w:val="24"/>
        </w:rPr>
        <w:fldChar w:fldCharType="end"/>
      </w:r>
      <w:r w:rsidR="00237600">
        <w:rPr>
          <w:sz w:val="24"/>
          <w:szCs w:val="24"/>
        </w:rPr>
        <w:t>.</w:t>
      </w:r>
      <w:r w:rsidR="00335112" w:rsidRPr="000F27B6">
        <w:rPr>
          <w:sz w:val="24"/>
          <w:szCs w:val="24"/>
        </w:rPr>
        <w:t xml:space="preserve"> </w:t>
      </w:r>
      <w:r w:rsidR="00237600">
        <w:rPr>
          <w:sz w:val="24"/>
          <w:szCs w:val="24"/>
        </w:rPr>
        <w:t xml:space="preserve">The entity is used to </w:t>
      </w:r>
      <w:r w:rsidR="00335112" w:rsidRPr="000F27B6">
        <w:rPr>
          <w:sz w:val="24"/>
          <w:szCs w:val="24"/>
        </w:rPr>
        <w:t xml:space="preserve"> describe</w:t>
      </w:r>
      <w:r w:rsidR="00FC1253" w:rsidRPr="000F27B6">
        <w:rPr>
          <w:sz w:val="24"/>
          <w:szCs w:val="24"/>
        </w:rPr>
        <w:t xml:space="preserve"> </w:t>
      </w:r>
      <w:r w:rsidR="008B28FD" w:rsidRPr="000F27B6">
        <w:rPr>
          <w:sz w:val="24"/>
          <w:szCs w:val="24"/>
        </w:rPr>
        <w:t>unexplained LVH</w:t>
      </w:r>
      <w:r w:rsidR="00615E73" w:rsidRPr="000F27B6">
        <w:rPr>
          <w:sz w:val="24"/>
          <w:szCs w:val="24"/>
        </w:rPr>
        <w:t xml:space="preserve"> </w:t>
      </w:r>
      <w:r w:rsidR="0003506D" w:rsidRPr="000F27B6">
        <w:rPr>
          <w:sz w:val="24"/>
          <w:szCs w:val="24"/>
        </w:rPr>
        <w:t>in</w:t>
      </w:r>
      <w:r w:rsidR="008B28FD" w:rsidRPr="000F27B6">
        <w:rPr>
          <w:sz w:val="24"/>
          <w:szCs w:val="24"/>
        </w:rPr>
        <w:t xml:space="preserve"> the absence of myocardial disarray or secondary causes</w:t>
      </w:r>
      <w:r w:rsidR="000E75F4" w:rsidRPr="000F27B6">
        <w:rPr>
          <w:sz w:val="24"/>
          <w:szCs w:val="24"/>
        </w:rPr>
        <w:fldChar w:fldCharType="begin" w:fldLock="1"/>
      </w:r>
      <w:r w:rsidR="0074467B" w:rsidRPr="000F27B6">
        <w:rPr>
          <w:sz w:val="24"/>
          <w:szCs w:val="24"/>
        </w:rPr>
        <w:instrText>ADDIN CSL_CITATION {"citationItems":[{"id":"ITEM-1","itemData":{"DOI":"10.1016/j.jacc.2016.02.062","ISSN":"15583597 07351097","abstract":"© 2016 American College of Cardiology Foundation.Background Accurate knowledge of causes of sudden cardiac death (SCD) in athletes and its precipitating factors is necessary to establish preventative strategies. Objectives This study investigated causes of SCD and their association with intensive physical activity in a large cohort of athletes. Methods Between 1994 and 2014, 357 consecutive cases of athletes who died suddenly (mean 29 ± 11 years of age, 92% males, 76% Caucasian, 69% competitive) were referred to our cardiac pathology center. All subjects underwent detailed post-mortem evaluation, including histological analysis by an expert cardiac pathologist. Clinical information was obtained from referring coroners. Results Sudden arrhythmic death syndrome (SADS) was the most prevalent cause of death (n = 149 [42%]). Myocardial disease was detected in 40% of cases, including idiopathic left ventricular hypertrophy (LVH) and/or fibrosis (n = 59, 16%); arrhythmogenic right ventricular cardiomyopathy (ARVC) (13%); and hypertrophic cardiomyopathy (HCM) (6%). Coronary artery anomalies occurred in 5% of cases. SADS and coronary artery anomalies affected predominantly young athletes (≤ 35 years of age), whereas myocardial disease was more common in older individuals. SCD during intense exertion occurred in 61% of cases; ARVC and left ventricular fibrosis most strongly predicted SCD during exertion. Conclusions Conditions predisposing to SCD in sports demonstrate a significant age predilection. The strong association of ARVC and left ventricular fibrosis with exercise-induced SCD reinforces the need for early detection and abstinence from intense exercise. However, almost 40% of athletes die at rest, highlighting the need for complementary preventive strategies.","author":[{"dropping-particle":"","family":"Finocchiaro","given":"G.","non-dropping-particle":"","parse-names":false,"suffix":""},{"dropping-particle":"","family":"Papadakis","given":"M.","non-dropping-particle":"","parse-names":false,"suffix":""},{"dropping-particle":"","family":"Robertus","given":"J.-L.","non-dropping-particle":"","parse-names":false,"suffix":""},{"dropping-particle":"","family":"Dhutia","given":"H.","non-dropping-particle":"","parse-names":false,"suffix":""},{"dropping-particle":"","family":"Steriotis","given":"A.K.","non-dropping-particle":"","parse-names":false,"suffix":""},{"dropping-particle":"","family":"Tome","given":"M.","non-dropping-particle":"","parse-names":false,"suffix":""},{"dropping-particle":"","family":"Mellor","given":"G.","non-dropping-particle":"","parse-names":false,"suffix":""},{"dropping-particle":"","family":"Merghani","given":"A.","non-dropping-particle":"","parse-names":false,"suffix":""},{"dropping-particle":"","family":"Malhotra","given":"A.","non-dropping-particle":"","parse-names":false,"suffix":""},{"dropping-particle":"","family":"Behr","given":"E.","non-dropping-particle":"","parse-names":false,"suffix":""},{"dropping-particle":"","family":"Sharma","given":"S.","non-dropping-particle":"","parse-names":false,"suffix":""},{"dropping-particle":"","family":"Sheppard","given":"M.N.","non-dropping-particle":"","parse-names":false,"suffix":""}],"container-title":"Journal of the American College of Cardiology","id":"ITEM-1","issue":"18","issued":{"date-parts":[["2016"]]},"title":"Etiology of Sudden Death in Sports Insights from a United Kingdom Regional Registry","type":"article-journal","volume":"67"},"uris":["http://www.mendeley.com/documents/?uuid=33ca2651-b2a5-3026-809e-7a91e01e4d54"]},{"id":"ITEM-2","itemData":{"DOI":"10.1161/CIRCEP.113.000111","ISSN":"19413149","PMID":"23671135","abstract":"BACKGROUND: The sudden death of young individuals is commonly attributed to inherited cardiac disorders, and familial evaluation is advocated. The identification of pathognomonic histopathologic findings, or the absence of cardiac pathology (sudden arrhythmic death syndrome [SADS]) at postmortem, directs familial evaluation targeting structural disorders or primary arrhythmogenic syndromes, respectively. In a proportion of autopsies, structural abnormalities of uncertain significance are reported. We explored the hypothesis that such sudden cardiac deaths represent SADS.\\n\\nMETHODS AND RESULTS: Families (n=340) of index cases of sudden cardiac deaths who underwent postmortem evaluation were evaluated in specialist cardiogenetics clinics. Families in whom the deceased exhibited structural abnormalities of uncertain significance (n=41), such as ventricular hypertrophy, myocardial fibrosis, and minor coronary artery disease, were included in the study. Results were compared with 163 families with normal postmortem (SADS). Relatives underwent comprehensive cardiac evaluation. Twenty-one families (51%) with autopsy findings of uncertain significance received a diagnosis based on the identification of an inherited cardiac condition phenotype in ≥1 relatives: 14 Brugada syndrome; 4 long-QT syndrome; 1 catecholaminergic polymorphic ventricular tachycardia; and 2 cardiomyopathy. A similar proportion of families (47.2%) received a diagnosis in the SADS cohort (P=0.727). An arrhythmogenic syndrome was the predominant diagnosis in both cohorts (46% versus 45%; P=0.863).\\n\\nCONCLUSIONS: Familial evaluation after sudden cardiac deaths with autopsy findings of uncertain significance identified a similar proportion of primary arrhythmogenic syndromes to a contemporary series of SADS. Our study highlights the need for accurate interpretation of autopsy findings to avoid erroneous diagnoses, with potentially devastating implications.","author":[{"dropping-particle":"","family":"Papadakis","given":"Michael","non-dropping-particle":"","parse-names":false,"suffix":""},{"dropping-particle":"","family":"Raju","given":"Hariharan","non-dropping-particle":"","parse-names":false,"suffix":""},{"dropping-particle":"","family":"Behr","given":"Elijah R.","non-dropping-particle":"","parse-names":false,"suffix":""},{"dropping-particle":"V.","family":"Noronha","given":"Sofia","non-dropping-particle":"De","parse-names":false,"suffix":""},{"dropping-particle":"","family":"Spath","given":"Nicholas","non-dropping-particle":"","parse-names":false,"suffix":""},{"dropping-particle":"","family":"Kouloubinis","given":"Alexandros","non-dropping-particle":"","parse-names":false,"suffix":""},{"dropping-particle":"","family":"Sheppard","given":"Mary N.","non-dropping-particle":"","parse-names":false,"suffix":""},{"dropping-particle":"","family":"Sharma","given":"Sanjay","non-dropping-particle":"","parse-names":false,"suffix":""}],"container-title":"Circulation: Arrhythmia and Electrophysiology","id":"ITEM-2","issue":"3","issued":{"date-parts":[["2013"]]},"page":"588-596","title":"Sudden cardiac death with autopsy findings of uncertain significance: Potential for erroneous interpretation","type":"article-journal","volume":"6"},"uris":["http://www.mendeley.com/documents/?uuid=e1480a2a-12ee-4796-a017-ab581d4b226e"]}],"mendeley":{"formattedCitation":"&lt;sup&gt;2,3&lt;/sup&gt;","plainTextFormattedCitation":"2,3","previouslyFormattedCitation":"&lt;sup&gt;2,3&lt;/sup&gt;"},"properties":{"noteIndex":0},"schema":"https://github.com/citation-style-language/schema/raw/master/csl-citation.json"}</w:instrText>
      </w:r>
      <w:r w:rsidR="000E75F4" w:rsidRPr="000F27B6">
        <w:rPr>
          <w:sz w:val="24"/>
          <w:szCs w:val="24"/>
        </w:rPr>
        <w:fldChar w:fldCharType="separate"/>
      </w:r>
      <w:r w:rsidR="000E75F4" w:rsidRPr="000F27B6">
        <w:rPr>
          <w:noProof/>
          <w:sz w:val="24"/>
          <w:szCs w:val="24"/>
          <w:vertAlign w:val="superscript"/>
        </w:rPr>
        <w:t>2,3</w:t>
      </w:r>
      <w:r w:rsidR="000E75F4" w:rsidRPr="000F27B6">
        <w:rPr>
          <w:sz w:val="24"/>
          <w:szCs w:val="24"/>
        </w:rPr>
        <w:fldChar w:fldCharType="end"/>
      </w:r>
      <w:r w:rsidR="008B28FD" w:rsidRPr="000F27B6">
        <w:rPr>
          <w:sz w:val="24"/>
          <w:szCs w:val="24"/>
        </w:rPr>
        <w:t xml:space="preserve">. </w:t>
      </w:r>
      <w:r w:rsidR="007042E1" w:rsidRPr="000F27B6">
        <w:rPr>
          <w:sz w:val="24"/>
          <w:szCs w:val="24"/>
        </w:rPr>
        <w:t>I</w:t>
      </w:r>
      <w:r w:rsidR="0003506D" w:rsidRPr="000F27B6">
        <w:rPr>
          <w:sz w:val="24"/>
          <w:szCs w:val="24"/>
        </w:rPr>
        <w:t>diopathic LVH</w:t>
      </w:r>
      <w:r w:rsidR="007042E1" w:rsidRPr="000F27B6">
        <w:rPr>
          <w:sz w:val="24"/>
          <w:szCs w:val="24"/>
        </w:rPr>
        <w:t xml:space="preserve"> </w:t>
      </w:r>
      <w:r w:rsidR="00BA0579" w:rsidRPr="000F27B6">
        <w:rPr>
          <w:sz w:val="24"/>
          <w:szCs w:val="24"/>
        </w:rPr>
        <w:t>may be</w:t>
      </w:r>
      <w:r w:rsidR="0003506D" w:rsidRPr="000F27B6">
        <w:rPr>
          <w:sz w:val="24"/>
          <w:szCs w:val="24"/>
        </w:rPr>
        <w:t xml:space="preserve"> </w:t>
      </w:r>
      <w:r w:rsidR="00C47960" w:rsidRPr="000F27B6">
        <w:rPr>
          <w:sz w:val="24"/>
          <w:szCs w:val="24"/>
        </w:rPr>
        <w:t xml:space="preserve">interpreted </w:t>
      </w:r>
      <w:r w:rsidR="007042E1" w:rsidRPr="000F27B6">
        <w:rPr>
          <w:sz w:val="24"/>
          <w:szCs w:val="24"/>
        </w:rPr>
        <w:t xml:space="preserve"> </w:t>
      </w:r>
      <w:r w:rsidR="00C47960" w:rsidRPr="000F27B6">
        <w:rPr>
          <w:sz w:val="24"/>
          <w:szCs w:val="24"/>
        </w:rPr>
        <w:t>as</w:t>
      </w:r>
      <w:r w:rsidR="007042E1" w:rsidRPr="000F27B6">
        <w:rPr>
          <w:sz w:val="24"/>
          <w:szCs w:val="24"/>
        </w:rPr>
        <w:t xml:space="preserve"> </w:t>
      </w:r>
      <w:r w:rsidR="0003506D" w:rsidRPr="000F27B6">
        <w:rPr>
          <w:sz w:val="24"/>
          <w:szCs w:val="24"/>
        </w:rPr>
        <w:t>hypertrophic cardiomyopathy (HCM)</w:t>
      </w:r>
      <w:r w:rsidR="0074467B" w:rsidRPr="000F27B6">
        <w:rPr>
          <w:sz w:val="24"/>
          <w:szCs w:val="24"/>
        </w:rPr>
        <w:fldChar w:fldCharType="begin" w:fldLock="1"/>
      </w:r>
      <w:r w:rsidR="00B0022F">
        <w:rPr>
          <w:sz w:val="24"/>
          <w:szCs w:val="24"/>
        </w:rPr>
        <w:instrText>ADDIN CSL_CITATION {"citationItems":[{"id":"ITEM-1","itemData":{"DOI":"10.1093/europace/eut329","ISSN":"1532-2092","PMID":"24148315","abstract":"AIMS Post-mortem examination of the heart in young sudden cardiac death (SCD) is vital as the underlying aetiology is often an inherited cardiac disease with implications for surviving relatives. Our aim is to demonstrate the improvement in diagnostic quality offered by a specialist cardiac pathology service established to investigate SCD with fast-track reporting on hearts sent by pathologists in cases of SCD. METHODS AND RESULTS A tertiary centre prospective observational study was conducted. Detailed histopathological examination was performed in a tertiary centre specialized in the investigation of cardiac pathology in SCD. Hearts from 720 consecutive cases of SCD referred by coroners and pathologists from 2007 to 2009 were included. A comparison was drawn with diagnoses from referring pathologists. Most SCDs occurred in males (66%), with the median age being 32 years. The majority (57%) of deaths occurred at home. The main diagnoses were a morphologically normal heart (n = 321; 45%), cardiomyopathy (n = 207, 29%), and coronary artery pathology (n = 71; 10%). In 158 out of a sample of 200 consecutive cases, a cardiac examination was also performed by the referring pathologist with a disparity in diagnosis in 41% of the cases (κ = 0.48). Referring pathologists were more inclined to diagnose cardiomyopathy than normality with only 50 out of 80 (63%) normal hearts being described correctly. CONCLUSION Expert cardiac pathology improves the accuracy of coronial post-mortem diagnoses in young SCD. This is important as the majority of cases may be due to inherited cardiac diseases and the autopsy guides the appropriate cardiological evaluation of blood relatives for their risk of sudden death.","author":[{"dropping-particle":"V","family":"Noronha","given":"Sofia","non-dropping-particle":"de","parse-names":false,"suffix":""},{"dropping-particle":"","family":"Behr","given":"Elijah R","non-dropping-particle":"","parse-names":false,"suffix":""},{"dropping-particle":"","family":"Papadakis","given":"Michael","non-dropping-particle":"","parse-names":false,"suffix":""},{"dropping-particle":"","family":"Ohta-Ogo","given":"Keiko","non-dropping-particle":"","parse-names":false,"suffix":""},{"dropping-particle":"","family":"Banya","given":"Winston","non-dropping-particle":"","parse-names":false,"suffix":""},{"dropping-particle":"","family":"Wells","given":"Jemma","non-dropping-particle":"","parse-names":false,"suffix":""},{"dropping-particle":"","family":"Cox","given":"Steve","non-dropping-particle":"","parse-names":false,"suffix":""},{"dropping-particle":"","family":"Cox","given":"Alison","non-dropping-particle":"","parse-names":false,"suffix":""},{"dropping-particle":"","family":"Sharma","given":"Sanjay","non-dropping-particle":"","parse-names":false,"suffix":""},{"dropping-particle":"","family":"Sheppard","given":"Mary N","non-dropping-particle":"","parse-names":false,"suffix":""}],"container-title":"Europace : European pacing, arrhythmias, and cardiac electrophysiology : journal of the working groups on cardiac pacing, arrhythmias, and cardiac cellular electrophysiology of the European Society of Cardiology","id":"ITEM-1","issue":"6","issued":{"date-parts":[["2014","6"]]},"page":"899-907","title":"The importance of specialist cardiac histopathological examination in the investigation of young sudden cardiac deaths.","type":"article-journal","volume":"16"},"uris":["http://www.mendeley.com/documents/?uuid=c95875b2-1dfb-47cc-acd3-472ad1d43a06"]}],"mendeley":{"formattedCitation":"&lt;sup&gt;6&lt;/sup&gt;","plainTextFormattedCitation":"6","previouslyFormattedCitation":"&lt;sup&gt;6&lt;/sup&gt;"},"properties":{"noteIndex":0},"schema":"https://github.com/citation-style-language/schema/raw/master/csl-citation.json"}</w:instrText>
      </w:r>
      <w:r w:rsidR="0074467B" w:rsidRPr="000F27B6">
        <w:rPr>
          <w:sz w:val="24"/>
          <w:szCs w:val="24"/>
        </w:rPr>
        <w:fldChar w:fldCharType="separate"/>
      </w:r>
      <w:r w:rsidR="00B0022F" w:rsidRPr="00B0022F">
        <w:rPr>
          <w:noProof/>
          <w:sz w:val="24"/>
          <w:szCs w:val="24"/>
          <w:vertAlign w:val="superscript"/>
        </w:rPr>
        <w:t>6</w:t>
      </w:r>
      <w:r w:rsidR="0074467B" w:rsidRPr="000F27B6">
        <w:rPr>
          <w:sz w:val="24"/>
          <w:szCs w:val="24"/>
        </w:rPr>
        <w:fldChar w:fldCharType="end"/>
      </w:r>
      <w:r w:rsidR="007042E1" w:rsidRPr="000F27B6">
        <w:rPr>
          <w:sz w:val="24"/>
          <w:szCs w:val="24"/>
        </w:rPr>
        <w:t xml:space="preserve"> and </w:t>
      </w:r>
      <w:r w:rsidR="00DB4354" w:rsidRPr="000F27B6">
        <w:rPr>
          <w:sz w:val="24"/>
          <w:szCs w:val="24"/>
        </w:rPr>
        <w:t xml:space="preserve">targeted </w:t>
      </w:r>
      <w:r w:rsidR="007042E1" w:rsidRPr="000F27B6">
        <w:rPr>
          <w:sz w:val="24"/>
          <w:szCs w:val="24"/>
        </w:rPr>
        <w:t>screening of first-degree relatives is recommended to detect others</w:t>
      </w:r>
      <w:r w:rsidR="00DB4354" w:rsidRPr="000F27B6">
        <w:rPr>
          <w:sz w:val="24"/>
          <w:szCs w:val="24"/>
        </w:rPr>
        <w:t xml:space="preserve"> </w:t>
      </w:r>
      <w:r w:rsidR="00D753CA" w:rsidRPr="000F27B6">
        <w:rPr>
          <w:sz w:val="24"/>
          <w:szCs w:val="24"/>
        </w:rPr>
        <w:t>with quiescent disease</w:t>
      </w:r>
      <w:r w:rsidR="007042E1" w:rsidRPr="000F27B6">
        <w:rPr>
          <w:sz w:val="24"/>
          <w:szCs w:val="24"/>
        </w:rPr>
        <w:t>.</w:t>
      </w:r>
      <w:r w:rsidR="00DB4354" w:rsidRPr="000F27B6">
        <w:rPr>
          <w:sz w:val="24"/>
          <w:szCs w:val="24"/>
        </w:rPr>
        <w:t xml:space="preserve"> </w:t>
      </w:r>
      <w:r w:rsidR="004D127A" w:rsidRPr="000F27B6">
        <w:rPr>
          <w:sz w:val="24"/>
          <w:szCs w:val="24"/>
        </w:rPr>
        <w:t>The</w:t>
      </w:r>
      <w:r w:rsidR="00C31562" w:rsidRPr="000F27B6">
        <w:rPr>
          <w:sz w:val="24"/>
          <w:szCs w:val="24"/>
        </w:rPr>
        <w:t xml:space="preserve"> significance and causal relationship</w:t>
      </w:r>
      <w:r w:rsidR="004D127A" w:rsidRPr="000F27B6">
        <w:rPr>
          <w:sz w:val="24"/>
          <w:szCs w:val="24"/>
        </w:rPr>
        <w:t xml:space="preserve"> of this entity</w:t>
      </w:r>
      <w:r w:rsidR="00C31562" w:rsidRPr="000F27B6">
        <w:rPr>
          <w:sz w:val="24"/>
          <w:szCs w:val="24"/>
        </w:rPr>
        <w:t xml:space="preserve"> with SCD</w:t>
      </w:r>
      <w:r w:rsidR="00712EC3" w:rsidRPr="000F27B6">
        <w:rPr>
          <w:sz w:val="24"/>
          <w:szCs w:val="24"/>
        </w:rPr>
        <w:t xml:space="preserve"> is uncertain</w:t>
      </w:r>
      <w:r w:rsidR="00AB0EA0" w:rsidRPr="000F27B6">
        <w:rPr>
          <w:sz w:val="24"/>
          <w:szCs w:val="24"/>
        </w:rPr>
        <w:t>.</w:t>
      </w:r>
      <w:r w:rsidR="00B20B15" w:rsidRPr="000F27B6">
        <w:rPr>
          <w:sz w:val="24"/>
          <w:szCs w:val="24"/>
        </w:rPr>
        <w:t xml:space="preserve"> </w:t>
      </w:r>
      <w:r w:rsidR="00AB0EA0" w:rsidRPr="000F27B6">
        <w:rPr>
          <w:sz w:val="24"/>
          <w:szCs w:val="24"/>
        </w:rPr>
        <w:t>Importantly</w:t>
      </w:r>
      <w:r w:rsidR="00DB4354" w:rsidRPr="000F27B6">
        <w:rPr>
          <w:sz w:val="24"/>
          <w:szCs w:val="24"/>
        </w:rPr>
        <w:t xml:space="preserve">, </w:t>
      </w:r>
      <w:r w:rsidR="00AB0EA0" w:rsidRPr="000F27B6">
        <w:rPr>
          <w:sz w:val="24"/>
          <w:szCs w:val="24"/>
        </w:rPr>
        <w:t xml:space="preserve">it </w:t>
      </w:r>
      <w:r w:rsidR="00C31562" w:rsidRPr="000F27B6">
        <w:rPr>
          <w:sz w:val="24"/>
          <w:szCs w:val="24"/>
        </w:rPr>
        <w:t>is unclear</w:t>
      </w:r>
      <w:r w:rsidR="009C08D8" w:rsidRPr="000F27B6">
        <w:rPr>
          <w:sz w:val="24"/>
          <w:szCs w:val="24"/>
        </w:rPr>
        <w:t xml:space="preserve"> whether idiopathic LVH </w:t>
      </w:r>
      <w:r w:rsidR="004B6BED" w:rsidRPr="000F27B6">
        <w:rPr>
          <w:sz w:val="24"/>
          <w:szCs w:val="24"/>
        </w:rPr>
        <w:t>represents</w:t>
      </w:r>
      <w:r w:rsidR="009C08D8" w:rsidRPr="000F27B6">
        <w:rPr>
          <w:sz w:val="24"/>
          <w:szCs w:val="24"/>
        </w:rPr>
        <w:t xml:space="preserve"> the </w:t>
      </w:r>
      <w:r w:rsidR="000812A0" w:rsidRPr="000F27B6">
        <w:rPr>
          <w:sz w:val="24"/>
          <w:szCs w:val="24"/>
        </w:rPr>
        <w:t xml:space="preserve">disease </w:t>
      </w:r>
      <w:r w:rsidR="009C08D8" w:rsidRPr="000F27B6">
        <w:rPr>
          <w:sz w:val="24"/>
          <w:szCs w:val="24"/>
        </w:rPr>
        <w:t>spectrum of</w:t>
      </w:r>
      <w:r w:rsidR="0003506D" w:rsidRPr="000F27B6">
        <w:rPr>
          <w:sz w:val="24"/>
          <w:szCs w:val="24"/>
        </w:rPr>
        <w:t xml:space="preserve"> </w:t>
      </w:r>
      <w:r w:rsidR="00DB4354" w:rsidRPr="000F27B6">
        <w:rPr>
          <w:sz w:val="24"/>
          <w:szCs w:val="24"/>
        </w:rPr>
        <w:t>HCM</w:t>
      </w:r>
      <w:r w:rsidR="008B28FD" w:rsidRPr="000F27B6">
        <w:rPr>
          <w:sz w:val="24"/>
          <w:szCs w:val="24"/>
        </w:rPr>
        <w:t>.</w:t>
      </w:r>
      <w:r w:rsidR="00D753CA" w:rsidRPr="000F27B6">
        <w:rPr>
          <w:sz w:val="24"/>
          <w:szCs w:val="24"/>
        </w:rPr>
        <w:t xml:space="preserve"> </w:t>
      </w:r>
      <w:r w:rsidR="00F0531B" w:rsidRPr="000F27B6">
        <w:rPr>
          <w:sz w:val="24"/>
          <w:szCs w:val="24"/>
        </w:rPr>
        <w:t>Consequently, there are concerns that families</w:t>
      </w:r>
      <w:r w:rsidR="00712EC3" w:rsidRPr="000F27B6">
        <w:rPr>
          <w:sz w:val="24"/>
          <w:szCs w:val="24"/>
        </w:rPr>
        <w:t xml:space="preserve"> of decedents with idiopathic LVH</w:t>
      </w:r>
      <w:r w:rsidR="00F0531B" w:rsidRPr="000F27B6">
        <w:rPr>
          <w:sz w:val="24"/>
          <w:szCs w:val="24"/>
        </w:rPr>
        <w:t xml:space="preserve"> may be falsely reassured after limited evaluation with a 12-lead ECG and echocardiogram, which would be expected to </w:t>
      </w:r>
      <w:r w:rsidR="00E02998">
        <w:rPr>
          <w:sz w:val="24"/>
          <w:szCs w:val="24"/>
        </w:rPr>
        <w:t xml:space="preserve">identify </w:t>
      </w:r>
      <w:r w:rsidR="00F0531B" w:rsidRPr="000F27B6">
        <w:rPr>
          <w:sz w:val="24"/>
          <w:szCs w:val="24"/>
        </w:rPr>
        <w:t xml:space="preserve">the majority of </w:t>
      </w:r>
      <w:r w:rsidR="00712EC3" w:rsidRPr="000F27B6">
        <w:rPr>
          <w:sz w:val="24"/>
          <w:szCs w:val="24"/>
        </w:rPr>
        <w:t xml:space="preserve">individuals </w:t>
      </w:r>
      <w:r w:rsidR="00F0531B" w:rsidRPr="000F27B6">
        <w:rPr>
          <w:sz w:val="24"/>
          <w:szCs w:val="24"/>
        </w:rPr>
        <w:t>with HCM.</w:t>
      </w:r>
    </w:p>
    <w:p w14:paraId="080D874D" w14:textId="69B082E7" w:rsidR="004B6BED" w:rsidRPr="000F27B6" w:rsidRDefault="004B6BED" w:rsidP="00984581">
      <w:pPr>
        <w:spacing w:line="480" w:lineRule="auto"/>
        <w:rPr>
          <w:sz w:val="24"/>
          <w:szCs w:val="24"/>
        </w:rPr>
      </w:pPr>
      <w:r w:rsidRPr="000F27B6">
        <w:rPr>
          <w:sz w:val="24"/>
          <w:szCs w:val="24"/>
        </w:rPr>
        <w:t>We</w:t>
      </w:r>
      <w:r w:rsidR="009C08D8" w:rsidRPr="000F27B6">
        <w:rPr>
          <w:sz w:val="24"/>
          <w:szCs w:val="24"/>
        </w:rPr>
        <w:t xml:space="preserve"> aim</w:t>
      </w:r>
      <w:r w:rsidRPr="000F27B6">
        <w:rPr>
          <w:sz w:val="24"/>
          <w:szCs w:val="24"/>
        </w:rPr>
        <w:t>ed</w:t>
      </w:r>
      <w:r w:rsidR="009C08D8" w:rsidRPr="000F27B6">
        <w:rPr>
          <w:sz w:val="24"/>
          <w:szCs w:val="24"/>
        </w:rPr>
        <w:t xml:space="preserve"> to investigate the significance of idiopathic LVH in </w:t>
      </w:r>
      <w:r w:rsidRPr="000F27B6">
        <w:rPr>
          <w:sz w:val="24"/>
          <w:szCs w:val="24"/>
        </w:rPr>
        <w:t xml:space="preserve">decedents </w:t>
      </w:r>
      <w:r w:rsidR="00C6171C" w:rsidRPr="000F27B6">
        <w:rPr>
          <w:sz w:val="24"/>
          <w:szCs w:val="24"/>
        </w:rPr>
        <w:t xml:space="preserve">who experienced </w:t>
      </w:r>
      <w:r w:rsidR="009C08D8" w:rsidRPr="000F27B6">
        <w:rPr>
          <w:sz w:val="24"/>
          <w:szCs w:val="24"/>
        </w:rPr>
        <w:t xml:space="preserve">SCD </w:t>
      </w:r>
      <w:r w:rsidR="00043E55" w:rsidRPr="000F27B6">
        <w:rPr>
          <w:sz w:val="24"/>
          <w:szCs w:val="24"/>
        </w:rPr>
        <w:t>through</w:t>
      </w:r>
      <w:r w:rsidRPr="000F27B6">
        <w:rPr>
          <w:sz w:val="24"/>
          <w:szCs w:val="24"/>
        </w:rPr>
        <w:t xml:space="preserve"> comprehensive clinical evaluation of </w:t>
      </w:r>
      <w:r w:rsidR="00EE48D2" w:rsidRPr="000F27B6">
        <w:rPr>
          <w:sz w:val="24"/>
          <w:szCs w:val="24"/>
        </w:rPr>
        <w:t xml:space="preserve">their </w:t>
      </w:r>
      <w:r w:rsidRPr="000F27B6">
        <w:rPr>
          <w:sz w:val="24"/>
          <w:szCs w:val="24"/>
        </w:rPr>
        <w:t>first-degree relatives and</w:t>
      </w:r>
      <w:r w:rsidR="00FC1253" w:rsidRPr="000F27B6">
        <w:rPr>
          <w:sz w:val="24"/>
          <w:szCs w:val="24"/>
        </w:rPr>
        <w:t xml:space="preserve"> by</w:t>
      </w:r>
      <w:r w:rsidR="00EE48D2" w:rsidRPr="000F27B6">
        <w:rPr>
          <w:sz w:val="24"/>
          <w:szCs w:val="24"/>
        </w:rPr>
        <w:t xml:space="preserve"> conducting</w:t>
      </w:r>
      <w:r w:rsidR="00043E55" w:rsidRPr="000F27B6">
        <w:rPr>
          <w:sz w:val="24"/>
          <w:szCs w:val="24"/>
        </w:rPr>
        <w:t xml:space="preserve"> </w:t>
      </w:r>
      <w:r w:rsidR="00684D9D" w:rsidRPr="000F27B6">
        <w:rPr>
          <w:sz w:val="24"/>
          <w:szCs w:val="24"/>
        </w:rPr>
        <w:t>molecular autopsy</w:t>
      </w:r>
      <w:r w:rsidR="008B28FD" w:rsidRPr="000F27B6">
        <w:rPr>
          <w:sz w:val="24"/>
          <w:szCs w:val="24"/>
        </w:rPr>
        <w:t xml:space="preserve"> in</w:t>
      </w:r>
      <w:r w:rsidR="00EE48D2" w:rsidRPr="000F27B6">
        <w:rPr>
          <w:sz w:val="24"/>
          <w:szCs w:val="24"/>
        </w:rPr>
        <w:t xml:space="preserve"> the</w:t>
      </w:r>
      <w:r w:rsidR="008B28FD" w:rsidRPr="000F27B6">
        <w:rPr>
          <w:sz w:val="24"/>
          <w:szCs w:val="24"/>
        </w:rPr>
        <w:t xml:space="preserve"> </w:t>
      </w:r>
      <w:r w:rsidR="008B4E91" w:rsidRPr="000F27B6">
        <w:rPr>
          <w:sz w:val="24"/>
          <w:szCs w:val="24"/>
        </w:rPr>
        <w:t>decedents</w:t>
      </w:r>
      <w:r w:rsidR="00043E55" w:rsidRPr="000F27B6">
        <w:rPr>
          <w:sz w:val="24"/>
          <w:szCs w:val="24"/>
        </w:rPr>
        <w:t>.</w:t>
      </w:r>
      <w:r w:rsidR="009663E2" w:rsidRPr="000F27B6">
        <w:rPr>
          <w:sz w:val="24"/>
          <w:szCs w:val="24"/>
        </w:rPr>
        <w:t xml:space="preserve"> We hypothesised that idiopathic LVH represents the disease spectrum of HCM, which is inherited as an autosomal dominant trait, and therefore </w:t>
      </w:r>
      <w:r w:rsidR="00FA23CB">
        <w:rPr>
          <w:sz w:val="24"/>
          <w:szCs w:val="24"/>
        </w:rPr>
        <w:t>expected</w:t>
      </w:r>
      <w:r w:rsidR="00EE48D2" w:rsidRPr="000F27B6">
        <w:rPr>
          <w:sz w:val="24"/>
          <w:szCs w:val="24"/>
        </w:rPr>
        <w:t xml:space="preserve"> to </w:t>
      </w:r>
      <w:r w:rsidR="00FC1253" w:rsidRPr="000F27B6">
        <w:rPr>
          <w:sz w:val="24"/>
          <w:szCs w:val="24"/>
        </w:rPr>
        <w:t>detect</w:t>
      </w:r>
      <w:r w:rsidR="00B20B15" w:rsidRPr="000F27B6">
        <w:rPr>
          <w:sz w:val="24"/>
          <w:szCs w:val="24"/>
        </w:rPr>
        <w:t xml:space="preserve"> </w:t>
      </w:r>
      <w:r w:rsidR="00FC1253" w:rsidRPr="000F27B6">
        <w:rPr>
          <w:sz w:val="24"/>
          <w:szCs w:val="24"/>
        </w:rPr>
        <w:t xml:space="preserve">LVH in a </w:t>
      </w:r>
      <w:r w:rsidR="009663E2" w:rsidRPr="000F27B6">
        <w:rPr>
          <w:sz w:val="24"/>
          <w:szCs w:val="24"/>
        </w:rPr>
        <w:t>significant proportion of famil</w:t>
      </w:r>
      <w:r w:rsidR="00FC1253" w:rsidRPr="000F27B6">
        <w:rPr>
          <w:sz w:val="24"/>
          <w:szCs w:val="24"/>
        </w:rPr>
        <w:t>y members.</w:t>
      </w:r>
    </w:p>
    <w:p w14:paraId="148EF217" w14:textId="77777777" w:rsidR="009C08D8" w:rsidRPr="000F27B6" w:rsidRDefault="009C08D8" w:rsidP="00984581">
      <w:pPr>
        <w:spacing w:line="480" w:lineRule="auto"/>
        <w:rPr>
          <w:b/>
          <w:sz w:val="24"/>
          <w:szCs w:val="24"/>
        </w:rPr>
      </w:pPr>
      <w:r w:rsidRPr="000F27B6">
        <w:rPr>
          <w:b/>
          <w:sz w:val="24"/>
          <w:szCs w:val="24"/>
        </w:rPr>
        <w:lastRenderedPageBreak/>
        <w:t>METHODS</w:t>
      </w:r>
    </w:p>
    <w:p w14:paraId="4AEA1753" w14:textId="77777777" w:rsidR="00547204" w:rsidRPr="000F27B6" w:rsidRDefault="009C08D8" w:rsidP="00984581">
      <w:pPr>
        <w:spacing w:line="480" w:lineRule="auto"/>
        <w:rPr>
          <w:b/>
          <w:sz w:val="24"/>
          <w:szCs w:val="24"/>
        </w:rPr>
      </w:pPr>
      <w:r w:rsidRPr="000F27B6">
        <w:rPr>
          <w:b/>
          <w:sz w:val="24"/>
          <w:szCs w:val="24"/>
        </w:rPr>
        <w:t>Study setting</w:t>
      </w:r>
    </w:p>
    <w:p w14:paraId="01B7992F" w14:textId="034A277B" w:rsidR="00547204" w:rsidRPr="000F27B6" w:rsidRDefault="001C552B" w:rsidP="00984581">
      <w:pPr>
        <w:spacing w:line="480" w:lineRule="auto"/>
        <w:rPr>
          <w:sz w:val="24"/>
          <w:szCs w:val="24"/>
        </w:rPr>
      </w:pPr>
      <w:r w:rsidRPr="000F27B6">
        <w:rPr>
          <w:sz w:val="24"/>
          <w:szCs w:val="24"/>
        </w:rPr>
        <w:t>The</w:t>
      </w:r>
      <w:r w:rsidR="000C4EC3" w:rsidRPr="000F27B6">
        <w:rPr>
          <w:sz w:val="24"/>
          <w:szCs w:val="24"/>
        </w:rPr>
        <w:t xml:space="preserve"> Cardiac Risk in the Young (CRY) cent</w:t>
      </w:r>
      <w:r w:rsidR="002348FC" w:rsidRPr="000F27B6">
        <w:rPr>
          <w:sz w:val="24"/>
          <w:szCs w:val="24"/>
        </w:rPr>
        <w:t>re</w:t>
      </w:r>
      <w:r w:rsidR="000C4EC3" w:rsidRPr="000F27B6">
        <w:rPr>
          <w:sz w:val="24"/>
          <w:szCs w:val="24"/>
        </w:rPr>
        <w:t xml:space="preserve"> for cardiac pathology</w:t>
      </w:r>
      <w:r w:rsidR="002348FC" w:rsidRPr="000F27B6">
        <w:rPr>
          <w:sz w:val="24"/>
          <w:szCs w:val="24"/>
        </w:rPr>
        <w:t xml:space="preserve"> at St George’s</w:t>
      </w:r>
      <w:r w:rsidR="005C4126">
        <w:rPr>
          <w:sz w:val="24"/>
          <w:szCs w:val="24"/>
        </w:rPr>
        <w:t>,</w:t>
      </w:r>
      <w:r w:rsidR="00B20B15" w:rsidRPr="000F27B6">
        <w:rPr>
          <w:sz w:val="24"/>
          <w:szCs w:val="24"/>
        </w:rPr>
        <w:t xml:space="preserve"> </w:t>
      </w:r>
      <w:r w:rsidR="002348FC" w:rsidRPr="000F27B6">
        <w:rPr>
          <w:sz w:val="24"/>
          <w:szCs w:val="24"/>
        </w:rPr>
        <w:t>University of London</w:t>
      </w:r>
      <w:r w:rsidR="000C4EC3" w:rsidRPr="000F27B6">
        <w:rPr>
          <w:sz w:val="24"/>
          <w:szCs w:val="24"/>
        </w:rPr>
        <w:t xml:space="preserve"> is led by an expert cardiac pathologist (M.N.S.) and receives over </w:t>
      </w:r>
      <w:r w:rsidR="00043E55" w:rsidRPr="000F27B6">
        <w:rPr>
          <w:sz w:val="24"/>
          <w:szCs w:val="24"/>
        </w:rPr>
        <w:t>5</w:t>
      </w:r>
      <w:r w:rsidR="000C4EC3" w:rsidRPr="000F27B6">
        <w:rPr>
          <w:sz w:val="24"/>
          <w:szCs w:val="24"/>
        </w:rPr>
        <w:t>00 whole hearts</w:t>
      </w:r>
      <w:r w:rsidR="004B6BED" w:rsidRPr="000F27B6">
        <w:rPr>
          <w:sz w:val="24"/>
          <w:szCs w:val="24"/>
        </w:rPr>
        <w:t xml:space="preserve"> </w:t>
      </w:r>
      <w:r w:rsidR="00192785" w:rsidRPr="000F27B6">
        <w:rPr>
          <w:sz w:val="24"/>
          <w:szCs w:val="24"/>
        </w:rPr>
        <w:t>each year across the United Kingdom</w:t>
      </w:r>
      <w:r w:rsidR="000C4EC3" w:rsidRPr="000F27B6">
        <w:rPr>
          <w:sz w:val="24"/>
          <w:szCs w:val="24"/>
        </w:rPr>
        <w:t xml:space="preserve"> from </w:t>
      </w:r>
      <w:r w:rsidR="00192785" w:rsidRPr="000F27B6">
        <w:rPr>
          <w:sz w:val="24"/>
          <w:szCs w:val="24"/>
        </w:rPr>
        <w:t>indi</w:t>
      </w:r>
      <w:r w:rsidR="00CE50C4" w:rsidRPr="000F27B6">
        <w:rPr>
          <w:sz w:val="24"/>
          <w:szCs w:val="24"/>
        </w:rPr>
        <w:t>viduals who</w:t>
      </w:r>
      <w:r w:rsidR="00192785" w:rsidRPr="000F27B6">
        <w:rPr>
          <w:sz w:val="24"/>
          <w:szCs w:val="24"/>
        </w:rPr>
        <w:t xml:space="preserve"> have experienced a SCD. </w:t>
      </w:r>
      <w:r w:rsidR="000C4EC3" w:rsidRPr="000F27B6">
        <w:rPr>
          <w:sz w:val="24"/>
          <w:szCs w:val="24"/>
        </w:rPr>
        <w:t xml:space="preserve"> General pathologists are likely to refer to the CRY </w:t>
      </w:r>
      <w:r w:rsidR="00DB17D7" w:rsidRPr="000F27B6">
        <w:rPr>
          <w:sz w:val="24"/>
          <w:szCs w:val="24"/>
        </w:rPr>
        <w:t>centre</w:t>
      </w:r>
      <w:r w:rsidR="000C4EC3" w:rsidRPr="000F27B6">
        <w:rPr>
          <w:sz w:val="24"/>
          <w:szCs w:val="24"/>
        </w:rPr>
        <w:t xml:space="preserve"> when the clinical history is suggestive of inherited cardiac disease, especially when death affects a young or athletic individual or when the cause of death is uncertain after the initial autopsy.</w:t>
      </w:r>
      <w:r w:rsidR="002348FC" w:rsidRPr="000F27B6">
        <w:rPr>
          <w:sz w:val="24"/>
          <w:szCs w:val="24"/>
        </w:rPr>
        <w:t xml:space="preserve"> </w:t>
      </w:r>
      <w:r w:rsidR="00547204" w:rsidRPr="000F27B6">
        <w:rPr>
          <w:sz w:val="24"/>
          <w:szCs w:val="24"/>
        </w:rPr>
        <w:t xml:space="preserve">The tertiary inherited cardiac </w:t>
      </w:r>
      <w:r w:rsidR="00FC1253" w:rsidRPr="000F27B6">
        <w:rPr>
          <w:sz w:val="24"/>
          <w:szCs w:val="24"/>
        </w:rPr>
        <w:t xml:space="preserve">conditions </w:t>
      </w:r>
      <w:r w:rsidR="00547204" w:rsidRPr="000F27B6">
        <w:rPr>
          <w:sz w:val="24"/>
          <w:szCs w:val="24"/>
        </w:rPr>
        <w:t>unit</w:t>
      </w:r>
      <w:r w:rsidR="004D127A" w:rsidRPr="000F27B6">
        <w:rPr>
          <w:sz w:val="24"/>
          <w:szCs w:val="24"/>
        </w:rPr>
        <w:t xml:space="preserve"> at St George’s Hospital</w:t>
      </w:r>
      <w:r w:rsidR="00547204" w:rsidRPr="000F27B6">
        <w:rPr>
          <w:sz w:val="24"/>
          <w:szCs w:val="24"/>
        </w:rPr>
        <w:t xml:space="preserve"> has the capacity to</w:t>
      </w:r>
      <w:r w:rsidR="004D127A" w:rsidRPr="000F27B6">
        <w:rPr>
          <w:sz w:val="24"/>
          <w:szCs w:val="24"/>
        </w:rPr>
        <w:t xml:space="preserve"> provide</w:t>
      </w:r>
      <w:r w:rsidR="00547204" w:rsidRPr="000F27B6">
        <w:rPr>
          <w:sz w:val="24"/>
          <w:szCs w:val="24"/>
        </w:rPr>
        <w:t xml:space="preserve"> </w:t>
      </w:r>
      <w:r w:rsidR="004B6BED" w:rsidRPr="000F27B6">
        <w:rPr>
          <w:sz w:val="24"/>
          <w:szCs w:val="24"/>
        </w:rPr>
        <w:t>comprehensive</w:t>
      </w:r>
      <w:r w:rsidR="002348FC" w:rsidRPr="000F27B6">
        <w:rPr>
          <w:sz w:val="24"/>
          <w:szCs w:val="24"/>
        </w:rPr>
        <w:t xml:space="preserve"> clinical</w:t>
      </w:r>
      <w:r w:rsidR="004B6BED" w:rsidRPr="000F27B6">
        <w:rPr>
          <w:sz w:val="24"/>
          <w:szCs w:val="24"/>
        </w:rPr>
        <w:t xml:space="preserve"> </w:t>
      </w:r>
      <w:r w:rsidR="00547204" w:rsidRPr="000F27B6">
        <w:rPr>
          <w:sz w:val="24"/>
          <w:szCs w:val="24"/>
        </w:rPr>
        <w:t>investigat</w:t>
      </w:r>
      <w:r w:rsidR="004D127A" w:rsidRPr="000F27B6">
        <w:rPr>
          <w:sz w:val="24"/>
          <w:szCs w:val="24"/>
        </w:rPr>
        <w:t>ion of</w:t>
      </w:r>
      <w:r w:rsidR="00547204" w:rsidRPr="000F27B6">
        <w:rPr>
          <w:sz w:val="24"/>
          <w:szCs w:val="24"/>
        </w:rPr>
        <w:t xml:space="preserve"> </w:t>
      </w:r>
      <w:r w:rsidR="00511E87" w:rsidRPr="000F27B6">
        <w:rPr>
          <w:sz w:val="24"/>
          <w:szCs w:val="24"/>
        </w:rPr>
        <w:t xml:space="preserve">large </w:t>
      </w:r>
      <w:r w:rsidR="00547204" w:rsidRPr="000F27B6">
        <w:rPr>
          <w:sz w:val="24"/>
          <w:szCs w:val="24"/>
        </w:rPr>
        <w:t>family units together in one s</w:t>
      </w:r>
      <w:r w:rsidR="00004B09" w:rsidRPr="000F27B6">
        <w:rPr>
          <w:sz w:val="24"/>
          <w:szCs w:val="24"/>
        </w:rPr>
        <w:t>e</w:t>
      </w:r>
      <w:r w:rsidR="00547204" w:rsidRPr="000F27B6">
        <w:rPr>
          <w:sz w:val="24"/>
          <w:szCs w:val="24"/>
        </w:rPr>
        <w:t xml:space="preserve">tting. </w:t>
      </w:r>
    </w:p>
    <w:p w14:paraId="69BE0F7E" w14:textId="77777777" w:rsidR="00043E55" w:rsidRPr="000F27B6" w:rsidRDefault="00043E55" w:rsidP="00984581">
      <w:pPr>
        <w:spacing w:line="480" w:lineRule="auto"/>
        <w:rPr>
          <w:b/>
          <w:sz w:val="24"/>
          <w:szCs w:val="24"/>
        </w:rPr>
      </w:pPr>
      <w:r w:rsidRPr="000F27B6">
        <w:rPr>
          <w:b/>
          <w:sz w:val="24"/>
          <w:szCs w:val="24"/>
        </w:rPr>
        <w:t>Study population</w:t>
      </w:r>
    </w:p>
    <w:p w14:paraId="7436B0C3" w14:textId="002A4754" w:rsidR="00374896" w:rsidRPr="00374896" w:rsidRDefault="00BA2723" w:rsidP="00374896">
      <w:pPr>
        <w:spacing w:line="480" w:lineRule="auto"/>
        <w:rPr>
          <w:sz w:val="24"/>
          <w:szCs w:val="24"/>
        </w:rPr>
      </w:pPr>
      <w:bookmarkStart w:id="1" w:name="_Hlk16061702"/>
      <w:r w:rsidRPr="00BA2723">
        <w:rPr>
          <w:sz w:val="24"/>
          <w:szCs w:val="24"/>
        </w:rPr>
        <w:t>Cases of idiopathic LVH were reviewed retrospectively between January 2007 and December 2014 and prospectively from 2015 to 2017 from a database of 4,220 cases of SCDs referred to our centre for cardiac pathology (whole heart referred in 65% of the cases).</w:t>
      </w:r>
      <w:bookmarkEnd w:id="1"/>
      <w:r w:rsidR="009A569C">
        <w:rPr>
          <w:sz w:val="24"/>
          <w:szCs w:val="24"/>
        </w:rPr>
        <w:t xml:space="preserve"> </w:t>
      </w:r>
      <w:r w:rsidR="00FA23CB" w:rsidRPr="000F27B6">
        <w:rPr>
          <w:sz w:val="24"/>
          <w:szCs w:val="24"/>
        </w:rPr>
        <w:t>Sudden cardiac death was defined as</w:t>
      </w:r>
      <w:r w:rsidR="00FA23CB">
        <w:rPr>
          <w:sz w:val="24"/>
          <w:szCs w:val="24"/>
        </w:rPr>
        <w:t xml:space="preserve"> instantaneous witnessed</w:t>
      </w:r>
      <w:r w:rsidR="00FA23CB" w:rsidRPr="000F27B6">
        <w:rPr>
          <w:sz w:val="24"/>
          <w:szCs w:val="24"/>
        </w:rPr>
        <w:t xml:space="preserve"> death</w:t>
      </w:r>
      <w:r w:rsidR="00FA23CB">
        <w:rPr>
          <w:sz w:val="24"/>
          <w:szCs w:val="24"/>
        </w:rPr>
        <w:t xml:space="preserve"> within one hour of onset of symptoms</w:t>
      </w:r>
      <w:r w:rsidR="00A91070">
        <w:rPr>
          <w:sz w:val="24"/>
          <w:szCs w:val="24"/>
        </w:rPr>
        <w:t>,</w:t>
      </w:r>
      <w:r w:rsidR="00FA23CB">
        <w:rPr>
          <w:sz w:val="24"/>
          <w:szCs w:val="24"/>
        </w:rPr>
        <w:t xml:space="preserve"> or if unwitnessed</w:t>
      </w:r>
      <w:r w:rsidR="00A91070">
        <w:rPr>
          <w:sz w:val="24"/>
          <w:szCs w:val="24"/>
        </w:rPr>
        <w:t>,</w:t>
      </w:r>
      <w:r w:rsidR="00FA23CB">
        <w:rPr>
          <w:sz w:val="24"/>
          <w:szCs w:val="24"/>
        </w:rPr>
        <w:t xml:space="preserve"> </w:t>
      </w:r>
      <w:r w:rsidR="00FA23CB" w:rsidRPr="000F27B6">
        <w:rPr>
          <w:sz w:val="24"/>
          <w:szCs w:val="24"/>
        </w:rPr>
        <w:t xml:space="preserve">within 12 hours of </w:t>
      </w:r>
      <w:r w:rsidR="00FA23CB">
        <w:rPr>
          <w:sz w:val="24"/>
          <w:szCs w:val="24"/>
        </w:rPr>
        <w:t>being seen alive and well</w:t>
      </w:r>
      <w:r w:rsidR="00B524DB" w:rsidRPr="000F27B6">
        <w:rPr>
          <w:sz w:val="24"/>
          <w:szCs w:val="24"/>
        </w:rPr>
        <w:t>.</w:t>
      </w:r>
      <w:r w:rsidR="00DD30EC" w:rsidRPr="000F27B6">
        <w:rPr>
          <w:sz w:val="24"/>
          <w:szCs w:val="24"/>
        </w:rPr>
        <w:t xml:space="preserve"> </w:t>
      </w:r>
      <w:r w:rsidR="00642CBE" w:rsidRPr="000F27B6">
        <w:rPr>
          <w:sz w:val="24"/>
          <w:szCs w:val="24"/>
        </w:rPr>
        <w:t xml:space="preserve">Idiopathic LVH was defined as unexplained LVH (heart weight &gt; 500 g in males and &gt; 400 g in females or increased heart weight as a function of body weight according to </w:t>
      </w:r>
      <w:r w:rsidR="0067762F" w:rsidRPr="000F27B6">
        <w:rPr>
          <w:sz w:val="24"/>
          <w:szCs w:val="24"/>
        </w:rPr>
        <w:t xml:space="preserve">established </w:t>
      </w:r>
      <w:r w:rsidR="00642CBE" w:rsidRPr="000F27B6">
        <w:rPr>
          <w:sz w:val="24"/>
          <w:szCs w:val="24"/>
        </w:rPr>
        <w:t xml:space="preserve"> nomograms</w:t>
      </w:r>
      <w:r w:rsidR="00642CBE" w:rsidRPr="000F27B6">
        <w:rPr>
          <w:sz w:val="24"/>
          <w:szCs w:val="24"/>
        </w:rPr>
        <w:fldChar w:fldCharType="begin" w:fldLock="1"/>
      </w:r>
      <w:r w:rsidR="00B0022F">
        <w:rPr>
          <w:sz w:val="24"/>
          <w:szCs w:val="24"/>
        </w:rPr>
        <w:instrText>ADDIN CSL_CITATION {"citationItems":[{"id":"ITEM-1","itemData":{"ISSN":"0025-6196","PMID":"3276974","abstract":"Heart weights, ventricular wall thicknesses, and valve circumferences were measured in 765 autopsy specimens from normal hearts from persons 20 to 99 years old. Body weight was a better predictor of normal heart weight than was body surface area or height, and mean heart weights were greater in men than in women at all ages. When heart weights were indexed (divided by body surface area), the mean values per decade increased significantly in women between the 3rd and 10th decades of life (P less than 0.01) but remained relatively constant with time in men. We found no significant differences in ventricular wall thicknesses between men and women. Although indexed mean values for left and right ventricular wall thicknesses remained relatively constant in all decades, ventricular septal thickness increased significantly between the 3rd and 10th decades of life (P less than 0.001). Beyond the seventh decade of life, the mean ratio of septal to left ventricular free wall thicknesses exceeded 1.20, and the upper 95% confidence limit exceeded 1.50--an important consideration in evaluation of hypertrophic cardiomyopathy in elderly patients. Mean valve circumferences were usually greater in men than in women, but the opposite pertained when values were indexed by body surface area. In both sexes, all indexed mean valve circumferences increased progressively throughout adult life, although this trend was greater for semilunar than for atrioventricular valves. The mean circumference of the aortic valve surpassed that of the pulmonary valve in the 4th decade and approached that of the mitral valve by the 10th decade of life. Thus, in evaluation of annuloaortic ectasia, investigators should take into account the normal age-related changes in aortic valve dimensions.","author":[{"dropping-particle":"","family":"Kitzman","given":"D W","non-dropping-particle":"","parse-names":false,"suffix":""},{"dropping-particle":"","family":"Scholz","given":"D G","non-dropping-particle":"","parse-names":false,"suffix":""},{"dropping-particle":"","family":"Hagen","given":"P T","non-dropping-particle":"","parse-names":false,"suffix":""},{"dropping-particle":"","family":"Ilstrup","given":"D M","non-dropping-particle":"","parse-names":false,"suffix":""},{"dropping-particle":"","family":"Edwards","given":"W D","non-dropping-particle":"","parse-names":false,"suffix":""}],"container-title":"Mayo Clinic proceedings","id":"ITEM-1","issue":"2","issued":{"date-parts":[["1988","2"]]},"page":"137-46","title":"Age-related changes in normal human hearts during the first 10 decades of life. Part II (Maturity): A quantitative anatomic study of 765 specimens from subjects 20 to 99 years old.","type":"article-journal","volume":"63"},"uris":["http://www.mendeley.com/documents/?uuid=96a7f3f9-0e5d-4152-8ddf-ff02d6dfaf5e"]}],"mendeley":{"formattedCitation":"&lt;sup&gt;7&lt;/sup&gt;","plainTextFormattedCitation":"7","previouslyFormattedCitation":"&lt;sup&gt;7&lt;/sup&gt;"},"properties":{"noteIndex":0},"schema":"https://github.com/citation-style-language/schema/raw/master/csl-citation.json"}</w:instrText>
      </w:r>
      <w:r w:rsidR="00642CBE" w:rsidRPr="000F27B6">
        <w:rPr>
          <w:sz w:val="24"/>
          <w:szCs w:val="24"/>
        </w:rPr>
        <w:fldChar w:fldCharType="separate"/>
      </w:r>
      <w:r w:rsidR="00B0022F" w:rsidRPr="00B0022F">
        <w:rPr>
          <w:noProof/>
          <w:sz w:val="24"/>
          <w:szCs w:val="24"/>
          <w:vertAlign w:val="superscript"/>
        </w:rPr>
        <w:t>7</w:t>
      </w:r>
      <w:r w:rsidR="00642CBE" w:rsidRPr="000F27B6">
        <w:rPr>
          <w:sz w:val="24"/>
          <w:szCs w:val="24"/>
        </w:rPr>
        <w:fldChar w:fldCharType="end"/>
      </w:r>
      <w:r w:rsidR="00642CBE" w:rsidRPr="000F27B6">
        <w:rPr>
          <w:sz w:val="24"/>
          <w:szCs w:val="24"/>
        </w:rPr>
        <w:t xml:space="preserve"> and left ventricular wall thickness &gt; 15 mm</w:t>
      </w:r>
      <w:r w:rsidR="00D44089">
        <w:rPr>
          <w:sz w:val="24"/>
          <w:szCs w:val="24"/>
        </w:rPr>
        <w:t>,</w:t>
      </w:r>
      <w:r w:rsidR="00642CBE" w:rsidRPr="000F27B6">
        <w:rPr>
          <w:sz w:val="24"/>
          <w:szCs w:val="24"/>
        </w:rPr>
        <w:t xml:space="preserve"> in the absence of myocardial disarray or secondary causes of LVH</w:t>
      </w:r>
      <w:r w:rsidR="00D8199B">
        <w:rPr>
          <w:sz w:val="24"/>
          <w:szCs w:val="24"/>
        </w:rPr>
        <w:t>)</w:t>
      </w:r>
      <w:r w:rsidR="00642CBE" w:rsidRPr="000F27B6">
        <w:rPr>
          <w:sz w:val="24"/>
          <w:szCs w:val="24"/>
        </w:rPr>
        <w:fldChar w:fldCharType="begin" w:fldLock="1"/>
      </w:r>
      <w:r w:rsidR="00642CBE" w:rsidRPr="000F27B6">
        <w:rPr>
          <w:sz w:val="24"/>
          <w:szCs w:val="24"/>
        </w:rPr>
        <w:instrText>ADDIN CSL_CITATION {"citationItems":[{"id":"ITEM-1","itemData":{"DOI":"10.1161/CIRCEP.113.000111","ISSN":"19413149","PMID":"23671135","abstract":"BACKGROUND: The sudden death of young individuals is commonly attributed to inherited cardiac disorders, and familial evaluation is advocated. The identification of pathognomonic histopathologic findings, or the absence of cardiac pathology (sudden arrhythmic death syndrome [SADS]) at postmortem, directs familial evaluation targeting structural disorders or primary arrhythmogenic syndromes, respectively. In a proportion of autopsies, structural abnormalities of uncertain significance are reported. We explored the hypothesis that such sudden cardiac deaths represent SADS.\\n\\nMETHODS AND RESULTS: Families (n=340) of index cases of sudden cardiac deaths who underwent postmortem evaluation were evaluated in specialist cardiogenetics clinics. Families in whom the deceased exhibited structural abnormalities of uncertain significance (n=41), such as ventricular hypertrophy, myocardial fibrosis, and minor coronary artery disease, were included in the study. Results were compared with 163 families with normal postmortem (SADS). Relatives underwent comprehensive cardiac evaluation. Twenty-one families (51%) with autopsy findings of uncertain significance received a diagnosis based on the identification of an inherited cardiac condition phenotype in ≥1 relatives: 14 Brugada syndrome; 4 long-QT syndrome; 1 catecholaminergic polymorphic ventricular tachycardia; and 2 cardiomyopathy. A similar proportion of families (47.2%) received a diagnosis in the SADS cohort (P=0.727). An arrhythmogenic syndrome was the predominant diagnosis in both cohorts (46% versus 45%; P=0.863).\\n\\nCONCLUSIONS: Familial evaluation after sudden cardiac deaths with autopsy findings of uncertain significance identified a similar proportion of primary arrhythmogenic syndromes to a contemporary series of SADS. Our study highlights the need for accurate interpretation of autopsy findings to avoid erroneous diagnoses, with potentially devastating implications.","author":[{"dropping-particle":"","family":"Papadakis","given":"Michael","non-dropping-particle":"","parse-names":false,"suffix":""},{"dropping-particle":"","family":"Raju","given":"Hariharan","non-dropping-particle":"","parse-names":false,"suffix":""},{"dropping-particle":"","family":"Behr","given":"Elijah R.","non-dropping-particle":"","parse-names":false,"suffix":""},{"dropping-particle":"V.","family":"Noronha","given":"Sofia","non-dropping-particle":"De","parse-names":false,"suffix":""},{"dropping-particle":"","family":"Spath","given":"Nicholas","non-dropping-particle":"","parse-names":false,"suffix":""},{"dropping-particle":"","family":"Kouloubinis","given":"Alexandros","non-dropping-particle":"","parse-names":false,"suffix":""},{"dropping-particle":"","family":"Sheppard","given":"Mary N.","non-dropping-particle":"","parse-names":false,"suffix":""},{"dropping-particle":"","family":"Sharma","given":"Sanjay","non-dropping-particle":"","parse-names":false,"suffix":""}],"container-title":"Circulation: Arrhythmia and Electrophysiology","id":"ITEM-1","issue":"3","issued":{"date-parts":[["2013"]]},"page":"588-596","title":"Sudden cardiac death with autopsy findings of uncertain significance: Potential for erroneous interpretation","type":"article-journal","volume":"6"},"uris":["http://www.mendeley.com/documents/?uuid=e1480a2a-12ee-4796-a017-ab581d4b226e"]},{"id":"ITEM-2","itemData":{"DOI":"10.1016/j.jacc.2016.02.062","ISSN":"15583597 07351097","abstract":"© 2016 American College of Cardiology Foundation.Background Accurate knowledge of causes of sudden cardiac death (SCD) in athletes and its precipitating factors is necessary to establish preventative strategies. Objectives This study investigated causes of SCD and their association with intensive physical activity in a large cohort of athletes. Methods Between 1994 and 2014, 357 consecutive cases of athletes who died suddenly (mean 29 ± 11 years of age, 92% males, 76% Caucasian, 69% competitive) were referred to our cardiac pathology center. All subjects underwent detailed post-mortem evaluation, including histological analysis by an expert cardiac pathologist. Clinical information was obtained from referring coroners. Results Sudden arrhythmic death syndrome (SADS) was the most prevalent cause of death (n = 149 [42%]). Myocardial disease was detected in 40% of cases, including idiopathic left ventricular hypertrophy (LVH) and/or fibrosis (n = 59, 16%); arrhythmogenic right ventricular cardiomyopathy (ARVC) (13%); and hypertrophic cardiomyopathy (HCM) (6%). Coronary artery anomalies occurred in 5% of cases. SADS and coronary artery anomalies affected predominantly young athletes (≤ 35 years of age), whereas myocardial disease was more common in older individuals. SCD during intense exertion occurred in 61% of cases; ARVC and left ventricular fibrosis most strongly predicted SCD during exertion. Conclusions Conditions predisposing to SCD in sports demonstrate a significant age predilection. The strong association of ARVC and left ventricular fibrosis with exercise-induced SCD reinforces the need for early detection and abstinence from intense exercise. However, almost 40% of athletes die at rest, highlighting the need for complementary preventive strategies.","author":[{"dropping-particle":"","family":"Finocchiaro","given":"G.","non-dropping-particle":"","parse-names":false,"suffix":""},{"dropping-particle":"","family":"Papadakis","given":"M.","non-dropping-particle":"","parse-names":false,"suffix":""},{"dropping-particle":"","family":"Robertus","given":"J.-L.","non-dropping-particle":"","parse-names":false,"suffix":""},{"dropping-particle":"","family":"Dhutia","given":"H.","non-dropping-particle":"","parse-names":false,"suffix":""},{"dropping-particle":"","family":"Steriotis","given":"A.K.","non-dropping-particle":"","parse-names":false,"suffix":""},{"dropping-particle":"","family":"Tome","given":"M.","non-dropping-particle":"","parse-names":false,"suffix":""},{"dropping-particle":"","family":"Mellor","given":"G.","non-dropping-particle":"","parse-names":false,"suffix":""},{"dropping-particle":"","family":"Merghani","given":"A.","non-dropping-particle":"","parse-names":false,"suffix":""},{"dropping-particle":"","family":"Malhotra","given":"A.","non-dropping-particle":"","parse-names":false,"suffix":""},{"dropping-particle":"","family":"Behr","given":"E.","non-dropping-particle":"","parse-names":false,"suffix":""},{"dropping-particle":"","family":"Sharma","given":"S.","non-dropping-particle":"","parse-names":false,"suffix":""},{"dropping-particle":"","family":"Sheppard","given":"M.N.","non-dropping-particle":"","parse-names":false,"suffix":""}],"container-title":"Journal of the American College of Cardiology","id":"ITEM-2","issue":"18","issued":{"date-parts":[["2016"]]},"title":"Etiology of Sudden Death in Sports Insights from a United Kingdom Regional Registry","type":"article-journal","volume":"67"},"uris":["http://www.mendeley.com/documents/?uuid=33ca2651-b2a5-3026-809e-7a91e01e4d54"]}],"mendeley":{"formattedCitation":"&lt;sup&gt;2,3&lt;/sup&gt;","plainTextFormattedCitation":"2,3","previouslyFormattedCitation":"&lt;sup&gt;2,3&lt;/sup&gt;"},"properties":{"noteIndex":0},"schema":"https://github.com/citation-style-language/schema/raw/master/csl-citation.json"}</w:instrText>
      </w:r>
      <w:r w:rsidR="00642CBE" w:rsidRPr="000F27B6">
        <w:rPr>
          <w:sz w:val="24"/>
          <w:szCs w:val="24"/>
        </w:rPr>
        <w:fldChar w:fldCharType="separate"/>
      </w:r>
      <w:r w:rsidR="00642CBE" w:rsidRPr="000F27B6">
        <w:rPr>
          <w:noProof/>
          <w:sz w:val="24"/>
          <w:szCs w:val="24"/>
          <w:vertAlign w:val="superscript"/>
        </w:rPr>
        <w:t>2,3</w:t>
      </w:r>
      <w:r w:rsidR="00642CBE" w:rsidRPr="000F27B6">
        <w:rPr>
          <w:sz w:val="24"/>
          <w:szCs w:val="24"/>
        </w:rPr>
        <w:fldChar w:fldCharType="end"/>
      </w:r>
      <w:r w:rsidR="00B20B15" w:rsidRPr="000F27B6">
        <w:rPr>
          <w:sz w:val="24"/>
          <w:szCs w:val="24"/>
        </w:rPr>
        <w:t>.</w:t>
      </w:r>
      <w:bookmarkStart w:id="2" w:name="_Hlk16068413"/>
      <w:r w:rsidR="008C0E81">
        <w:rPr>
          <w:sz w:val="24"/>
          <w:szCs w:val="24"/>
        </w:rPr>
        <w:t xml:space="preserve"> </w:t>
      </w:r>
      <w:bookmarkStart w:id="3" w:name="_Hlk16331319"/>
      <w:r w:rsidR="008C0E81">
        <w:rPr>
          <w:sz w:val="24"/>
          <w:szCs w:val="24"/>
        </w:rPr>
        <w:t>Although there is no consensus about the definition of normal heart weight</w:t>
      </w:r>
      <w:r w:rsidR="008C0E81">
        <w:rPr>
          <w:sz w:val="24"/>
          <w:szCs w:val="24"/>
        </w:rPr>
        <w:fldChar w:fldCharType="begin" w:fldLock="1"/>
      </w:r>
      <w:r w:rsidR="00B0022F">
        <w:rPr>
          <w:sz w:val="24"/>
          <w:szCs w:val="24"/>
        </w:rPr>
        <w:instrText>ADDIN CSL_CITATION {"citationItems":[{"id":"ITEM-1","itemData":{"DOI":"10.1016/j.forsciint.2015.04.036","ISSN":"1872-6283","PMID":"26004078","abstract":"The interpretation of postmortem heart weight is often difficult, and references for normal heart weight are important. However, to assess the cause of death at a medicolegal autopsy it is also important to have references based on an unselected population of medicolegal autopsy cases with non-natural causes of death (not due directly to disease). We aimed at studying and deriving references for adult heart weight by considering sex, age and body size in cases with an external cause of death. We identified all medicolegal autopsies in Sweden from 1999 to 2013 (n=79,778) and included 27,645 cases. We applied multivariate piecewise linear regression models in three strata of body mass-underweight, normal-/overweight and obesity. We observed that approximately 50% of the variation in heart weight was explained by age, sex and body size. These variables were slightly less important in explaining the variation in heart weight in the underweight and obese compared to in those normal or overweight. Based on the linear regression models we present equations to calculate the predicted heart weight with reference intervals using age, sex, body weight and height. We provide an online heart weight calculator (http://lundforensicmedicine.com) based on these equations. In the forensic interpretation of postmortem heart weights, we suggest that heart weight references derived in cases with an external cause of death is an important complement to references solely based on healthy and normal hearts. Furthermore, the heart weight references presented are derived from a large population, with sufficient numbers for separate models in underweight, normal-/overweight and obese populations.","author":[{"dropping-particle":"","family":"Wingren","given":"Carl Johan","non-dropping-particle":"","parse-names":false,"suffix":""},{"dropping-particle":"","family":"Ottosson","given":"Anders","non-dropping-particle":"","parse-names":false,"suffix":""}],"container-title":"Forensic science international","id":"ITEM-1","issued":{"date-parts":[["2015","7"]]},"page":"157-62","title":"Postmortem heart weight modelled using piecewise linear regression in 27,645 medicolegal autopsy cases.","type":"article-journal","volume":"252"},"uris":["http://www.mendeley.com/documents/?uuid=a44d23dc-06d0-4b5b-82b3-8ac0aed0e648"]}],"mendeley":{"formattedCitation":"&lt;sup&gt;8&lt;/sup&gt;","plainTextFormattedCitation":"8","previouslyFormattedCitation":"&lt;sup&gt;8&lt;/sup&gt;"},"properties":{"noteIndex":0},"schema":"https://github.com/citation-style-language/schema/raw/master/csl-citation.json"}</w:instrText>
      </w:r>
      <w:r w:rsidR="008C0E81">
        <w:rPr>
          <w:sz w:val="24"/>
          <w:szCs w:val="24"/>
        </w:rPr>
        <w:fldChar w:fldCharType="separate"/>
      </w:r>
      <w:r w:rsidR="00B0022F" w:rsidRPr="00B0022F">
        <w:rPr>
          <w:noProof/>
          <w:sz w:val="24"/>
          <w:szCs w:val="24"/>
          <w:vertAlign w:val="superscript"/>
        </w:rPr>
        <w:t>8</w:t>
      </w:r>
      <w:r w:rsidR="008C0E81">
        <w:rPr>
          <w:sz w:val="24"/>
          <w:szCs w:val="24"/>
        </w:rPr>
        <w:fldChar w:fldCharType="end"/>
      </w:r>
      <w:r w:rsidR="008C0E81">
        <w:rPr>
          <w:sz w:val="24"/>
          <w:szCs w:val="24"/>
        </w:rPr>
        <w:t xml:space="preserve"> we followed the nomograms derived by </w:t>
      </w:r>
      <w:proofErr w:type="spellStart"/>
      <w:r w:rsidR="008C0E81">
        <w:rPr>
          <w:sz w:val="24"/>
          <w:szCs w:val="24"/>
        </w:rPr>
        <w:t>Kitzman</w:t>
      </w:r>
      <w:proofErr w:type="spellEnd"/>
      <w:r w:rsidR="008C0E81">
        <w:rPr>
          <w:sz w:val="24"/>
          <w:szCs w:val="24"/>
        </w:rPr>
        <w:t xml:space="preserve"> et al.</w:t>
      </w:r>
      <w:r w:rsidR="008C0E81">
        <w:rPr>
          <w:sz w:val="24"/>
          <w:szCs w:val="24"/>
        </w:rPr>
        <w:fldChar w:fldCharType="begin" w:fldLock="1"/>
      </w:r>
      <w:r w:rsidR="00B0022F">
        <w:rPr>
          <w:sz w:val="24"/>
          <w:szCs w:val="24"/>
        </w:rPr>
        <w:instrText>ADDIN CSL_CITATION {"citationItems":[{"id":"ITEM-1","itemData":{"ISSN":"0025-6196","PMID":"3276974","abstract":"Heart weights, ventricular wall thicknesses, and valve circumferences were measured in 765 autopsy specimens from normal hearts from persons 20 to 99 years old. Body weight was a better predictor of normal heart weight than was body surface area or height, and mean heart weights were greater in men than in women at all ages. When heart weights were indexed (divided by body surface area), the mean values per decade increased significantly in women between the 3rd and 10th decades of life (P less than 0.01) but remained relatively constant with time in men. We found no significant differences in ventricular wall thicknesses between men and women. Although indexed mean values for left and right ventricular wall thicknesses remained relatively constant in all decades, ventricular septal thickness increased significantly between the 3rd and 10th decades of life (P less than 0.001). Beyond the seventh decade of life, the mean ratio of septal to left ventricular free wall thicknesses exceeded 1.20, and the upper 95% confidence limit exceeded 1.50--an important consideration in evaluation of hypertrophic cardiomyopathy in elderly patients. Mean valve circumferences were usually greater in men than in women, but the opposite pertained when values were indexed by body surface area. In both sexes, all indexed mean valve circumferences increased progressively throughout adult life, although this trend was greater for semilunar than for atrioventricular valves. The mean circumference of the aortic valve surpassed that of the pulmonary valve in the 4th decade and approached that of the mitral valve by the 10th decade of life. Thus, in evaluation of annuloaortic ectasia, investigators should take into account the normal age-related changes in aortic valve dimensions.","author":[{"dropping-particle":"","family":"Kitzman","given":"D W","non-dropping-particle":"","parse-names":false,"suffix":""},{"dropping-particle":"","family":"Scholz","given":"D G","non-dropping-particle":"","parse-names":false,"suffix":""},{"dropping-particle":"","family":"Hagen","given":"P T","non-dropping-particle":"","parse-names":false,"suffix":""},{"dropping-particle":"","family":"Ilstrup","given":"D M","non-dropping-particle":"","parse-names":false,"suffix":""},{"dropping-particle":"","family":"Edwards","given":"W D","non-dropping-particle":"","parse-names":false,"suffix":""}],"container-title":"Mayo Clinic proceedings","id":"ITEM-1","issue":"2","issued":{"date-parts":[["1988","2"]]},"page":"137-46","title":"Age-related changes in normal human hearts during the first 10 decades of life. Part II (Maturity): A quantitative anatomic study of 765 specimens from subjects 20 to 99 years old.","type":"article-journal","volume":"63"},"uris":["http://www.mendeley.com/documents/?uuid=96a7f3f9-0e5d-4152-8ddf-ff02d6dfaf5e"]}],"mendeley":{"formattedCitation":"&lt;sup&gt;7&lt;/sup&gt;","plainTextFormattedCitation":"7","previouslyFormattedCitation":"&lt;sup&gt;7&lt;/sup&gt;"},"properties":{"noteIndex":0},"schema":"https://github.com/citation-style-language/schema/raw/master/csl-citation.json"}</w:instrText>
      </w:r>
      <w:r w:rsidR="008C0E81">
        <w:rPr>
          <w:sz w:val="24"/>
          <w:szCs w:val="24"/>
        </w:rPr>
        <w:fldChar w:fldCharType="separate"/>
      </w:r>
      <w:r w:rsidR="00B0022F" w:rsidRPr="00B0022F">
        <w:rPr>
          <w:noProof/>
          <w:sz w:val="24"/>
          <w:szCs w:val="24"/>
          <w:vertAlign w:val="superscript"/>
        </w:rPr>
        <w:t>7</w:t>
      </w:r>
      <w:r w:rsidR="008C0E81">
        <w:rPr>
          <w:sz w:val="24"/>
          <w:szCs w:val="24"/>
        </w:rPr>
        <w:fldChar w:fldCharType="end"/>
      </w:r>
      <w:r w:rsidR="008C0E81">
        <w:rPr>
          <w:sz w:val="24"/>
          <w:szCs w:val="24"/>
        </w:rPr>
        <w:t>.</w:t>
      </w:r>
      <w:bookmarkEnd w:id="3"/>
      <w:r w:rsidR="00374896">
        <w:rPr>
          <w:sz w:val="24"/>
          <w:szCs w:val="24"/>
        </w:rPr>
        <w:t xml:space="preserve"> </w:t>
      </w:r>
      <w:r w:rsidR="00374896" w:rsidRPr="00374896">
        <w:rPr>
          <w:sz w:val="24"/>
          <w:szCs w:val="24"/>
        </w:rPr>
        <w:t>Myocyte disarray</w:t>
      </w:r>
      <w:r w:rsidR="00374896">
        <w:rPr>
          <w:sz w:val="24"/>
          <w:szCs w:val="24"/>
        </w:rPr>
        <w:t xml:space="preserve"> was considered significant if </w:t>
      </w:r>
      <w:r w:rsidR="00374896" w:rsidRPr="00374896">
        <w:rPr>
          <w:sz w:val="24"/>
          <w:szCs w:val="24"/>
        </w:rPr>
        <w:t>&gt;20% in at least 2</w:t>
      </w:r>
    </w:p>
    <w:p w14:paraId="36C22BCA" w14:textId="4D9BE65F" w:rsidR="00A26DB1" w:rsidRPr="000F27B6" w:rsidRDefault="00374896" w:rsidP="00F8026E">
      <w:pPr>
        <w:spacing w:line="480" w:lineRule="auto"/>
        <w:rPr>
          <w:b/>
          <w:bCs/>
          <w:sz w:val="24"/>
          <w:szCs w:val="24"/>
        </w:rPr>
      </w:pPr>
      <w:r w:rsidRPr="00374896">
        <w:rPr>
          <w:sz w:val="24"/>
          <w:szCs w:val="24"/>
        </w:rPr>
        <w:lastRenderedPageBreak/>
        <w:t>tissue blocks of 4 cm2)</w:t>
      </w:r>
      <w:r w:rsidR="00F8026E">
        <w:rPr>
          <w:sz w:val="24"/>
          <w:szCs w:val="24"/>
        </w:rPr>
        <w:fldChar w:fldCharType="begin" w:fldLock="1"/>
      </w:r>
      <w:r w:rsidR="008C0E81">
        <w:rPr>
          <w:sz w:val="24"/>
          <w:szCs w:val="24"/>
        </w:rPr>
        <w:instrText>ADDIN CSL_CITATION {"citationItems":[{"id":"ITEM-1","itemData":{"DOI":"10.1016/j.jacc.2016.02.062","ISSN":"15583597 07351097","abstract":"© 2016 American College of Cardiology Foundation.Background Accurate knowledge of causes of sudden cardiac death (SCD) in athletes and its precipitating factors is necessary to establish preventative strategies. Objectives This study investigated causes of SCD and their association with intensive physical activity in a large cohort of athletes. Methods Between 1994 and 2014, 357 consecutive cases of athletes who died suddenly (mean 29 ± 11 years of age, 92% males, 76% Caucasian, 69% competitive) were referred to our cardiac pathology center. All subjects underwent detailed post-mortem evaluation, including histological analysis by an expert cardiac pathologist. Clinical information was obtained from referring coroners. Results Sudden arrhythmic death syndrome (SADS) was the most prevalent cause of death (n = 149 [42%]). Myocardial disease was detected in 40% of cases, including idiopathic left ventricular hypertrophy (LVH) and/or fibrosis (n = 59, 16%); arrhythmogenic right ventricular cardiomyopathy (ARVC) (13%); and hypertrophic cardiomyopathy (HCM) (6%). Coronary artery anomalies occurred in 5% of cases. SADS and coronary artery anomalies affected predominantly young athletes (≤ 35 years of age), whereas myocardial disease was more common in older individuals. SCD during intense exertion occurred in 61% of cases; ARVC and left ventricular fibrosis most strongly predicted SCD during exertion. Conclusions Conditions predisposing to SCD in sports demonstrate a significant age predilection. The strong association of ARVC and left ventricular fibrosis with exercise-induced SCD reinforces the need for early detection and abstinence from intense exercise. However, almost 40% of athletes die at rest, highlighting the need for complementary preventive strategies.","author":[{"dropping-particle":"","family":"Finocchiaro","given":"G.","non-dropping-particle":"","parse-names":false,"suffix":""},{"dropping-particle":"","family":"Papadakis","given":"M.","non-dropping-particle":"","parse-names":false,"suffix":""},{"dropping-particle":"","family":"Robertus","given":"J.-L.","non-dropping-particle":"","parse-names":false,"suffix":""},{"dropping-particle":"","family":"Dhutia","given":"H.","non-dropping-particle":"","parse-names":false,"suffix":""},{"dropping-particle":"","family":"Steriotis","given":"A.K.","non-dropping-particle":"","parse-names":false,"suffix":""},{"dropping-particle":"","family":"Tome","given":"M.","non-dropping-particle":"","parse-names":false,"suffix":""},{"dropping-particle":"","family":"Mellor","given":"G.","non-dropping-particle":"","parse-names":false,"suffix":""},{"dropping-particle":"","family":"Merghani","given":"A.","non-dropping-particle":"","parse-names":false,"suffix":""},{"dropping-particle":"","family":"Malhotra","given":"A.","non-dropping-particle":"","parse-names":false,"suffix":""},{"dropping-particle":"","family":"Behr","given":"E.","non-dropping-particle":"","parse-names":false,"suffix":""},{"dropping-particle":"","family":"Sharma","given":"S.","non-dropping-particle":"","parse-names":false,"suffix":""},{"dropping-particle":"","family":"Sheppard","given":"M.N.","non-dropping-particle":"","parse-names":false,"suffix":""}],"container-title":"Journal of the American College of Cardiology","id":"ITEM-1","issue":"18","issued":{"date-parts":[["2016"]]},"title":"Etiology of Sudden Death in Sports Insights from a United Kingdom Regional Registry","type":"article-journal","volume":"67"},"uris":["http://www.mendeley.com/documents/?uuid=33ca2651-b2a5-3026-809e-7a91e01e4d54"]}],"mendeley":{"formattedCitation":"&lt;sup&gt;2&lt;/sup&gt;","plainTextFormattedCitation":"2","previouslyFormattedCitation":"&lt;sup&gt;2&lt;/sup&gt;"},"properties":{"noteIndex":0},"schema":"https://github.com/citation-style-language/schema/raw/master/csl-citation.json"}</w:instrText>
      </w:r>
      <w:r w:rsidR="00F8026E">
        <w:rPr>
          <w:sz w:val="24"/>
          <w:szCs w:val="24"/>
        </w:rPr>
        <w:fldChar w:fldCharType="separate"/>
      </w:r>
      <w:r w:rsidR="00F8026E" w:rsidRPr="00F8026E">
        <w:rPr>
          <w:noProof/>
          <w:sz w:val="24"/>
          <w:szCs w:val="24"/>
          <w:vertAlign w:val="superscript"/>
        </w:rPr>
        <w:t>2</w:t>
      </w:r>
      <w:r w:rsidR="00F8026E">
        <w:rPr>
          <w:sz w:val="24"/>
          <w:szCs w:val="24"/>
        </w:rPr>
        <w:fldChar w:fldCharType="end"/>
      </w:r>
      <w:r w:rsidR="00F8026E">
        <w:rPr>
          <w:sz w:val="24"/>
          <w:szCs w:val="24"/>
        </w:rPr>
        <w:t>.</w:t>
      </w:r>
      <w:bookmarkEnd w:id="2"/>
      <w:r w:rsidR="00642CBE" w:rsidRPr="000F27B6">
        <w:rPr>
          <w:sz w:val="24"/>
          <w:szCs w:val="24"/>
        </w:rPr>
        <w:t xml:space="preserve"> </w:t>
      </w:r>
      <w:r w:rsidR="007E39B1" w:rsidRPr="000F27B6">
        <w:rPr>
          <w:sz w:val="24"/>
          <w:szCs w:val="24"/>
        </w:rPr>
        <w:t>One hundred</w:t>
      </w:r>
      <w:r w:rsidR="00190B44" w:rsidRPr="000F27B6">
        <w:rPr>
          <w:sz w:val="24"/>
          <w:szCs w:val="24"/>
        </w:rPr>
        <w:t xml:space="preserve"> </w:t>
      </w:r>
      <w:r w:rsidR="00826B8C" w:rsidRPr="000F27B6">
        <w:rPr>
          <w:sz w:val="24"/>
          <w:szCs w:val="24"/>
        </w:rPr>
        <w:t xml:space="preserve">decedents </w:t>
      </w:r>
      <w:r w:rsidR="000C495A" w:rsidRPr="000F27B6">
        <w:rPr>
          <w:sz w:val="24"/>
          <w:szCs w:val="24"/>
        </w:rPr>
        <w:t>aged 5 to 65 years old,</w:t>
      </w:r>
      <w:r w:rsidR="00BA0579" w:rsidRPr="000F27B6">
        <w:rPr>
          <w:sz w:val="24"/>
          <w:szCs w:val="24"/>
        </w:rPr>
        <w:t xml:space="preserve"> whose whole heart was examined at our </w:t>
      </w:r>
      <w:r w:rsidR="00D8199B" w:rsidRPr="000F27B6">
        <w:rPr>
          <w:sz w:val="24"/>
          <w:szCs w:val="24"/>
        </w:rPr>
        <w:t>centre</w:t>
      </w:r>
      <w:r w:rsidR="00BA0579" w:rsidRPr="000F27B6">
        <w:rPr>
          <w:sz w:val="24"/>
          <w:szCs w:val="24"/>
        </w:rPr>
        <w:t>,</w:t>
      </w:r>
      <w:r w:rsidR="007E39B1" w:rsidRPr="000F27B6">
        <w:rPr>
          <w:sz w:val="24"/>
          <w:szCs w:val="24"/>
        </w:rPr>
        <w:t xml:space="preserve"> fulfilled our stringent diagnostic criteria for idiopathic LVH at autopsy. </w:t>
      </w:r>
      <w:r w:rsidR="00190B44" w:rsidRPr="000F27B6">
        <w:rPr>
          <w:sz w:val="24"/>
          <w:szCs w:val="24"/>
        </w:rPr>
        <w:t>We</w:t>
      </w:r>
      <w:r w:rsidR="003C1702" w:rsidRPr="000F27B6">
        <w:rPr>
          <w:sz w:val="24"/>
          <w:szCs w:val="24"/>
        </w:rPr>
        <w:t xml:space="preserve"> were able to contact </w:t>
      </w:r>
      <w:r w:rsidR="00C52516" w:rsidRPr="000F27B6">
        <w:rPr>
          <w:sz w:val="24"/>
          <w:szCs w:val="24"/>
        </w:rPr>
        <w:t xml:space="preserve">50 </w:t>
      </w:r>
      <w:r w:rsidR="003C1702" w:rsidRPr="000F27B6">
        <w:rPr>
          <w:sz w:val="24"/>
          <w:szCs w:val="24"/>
        </w:rPr>
        <w:t xml:space="preserve">families </w:t>
      </w:r>
      <w:r w:rsidR="00826B8C" w:rsidRPr="000F27B6">
        <w:rPr>
          <w:sz w:val="24"/>
          <w:szCs w:val="24"/>
        </w:rPr>
        <w:t>following which</w:t>
      </w:r>
      <w:r w:rsidR="0067762F" w:rsidRPr="000F27B6">
        <w:rPr>
          <w:sz w:val="24"/>
          <w:szCs w:val="24"/>
        </w:rPr>
        <w:t>,</w:t>
      </w:r>
      <w:r w:rsidR="00826B8C" w:rsidRPr="000F27B6">
        <w:rPr>
          <w:sz w:val="24"/>
          <w:szCs w:val="24"/>
        </w:rPr>
        <w:t xml:space="preserve"> </w:t>
      </w:r>
      <w:r w:rsidR="003C1702" w:rsidRPr="000F27B6">
        <w:rPr>
          <w:sz w:val="24"/>
          <w:szCs w:val="24"/>
        </w:rPr>
        <w:t xml:space="preserve">46 families (constituting 125 individuals) </w:t>
      </w:r>
      <w:r w:rsidR="00826B8C" w:rsidRPr="000F27B6">
        <w:rPr>
          <w:sz w:val="24"/>
          <w:szCs w:val="24"/>
        </w:rPr>
        <w:t xml:space="preserve">consented </w:t>
      </w:r>
      <w:r w:rsidR="003C1702" w:rsidRPr="000F27B6">
        <w:rPr>
          <w:sz w:val="24"/>
          <w:szCs w:val="24"/>
        </w:rPr>
        <w:t xml:space="preserve">to participate in </w:t>
      </w:r>
      <w:r w:rsidR="00826B8C" w:rsidRPr="000F27B6">
        <w:rPr>
          <w:sz w:val="24"/>
          <w:szCs w:val="24"/>
        </w:rPr>
        <w:t xml:space="preserve">the </w:t>
      </w:r>
      <w:r w:rsidR="003C1702" w:rsidRPr="000F27B6">
        <w:rPr>
          <w:sz w:val="24"/>
          <w:szCs w:val="24"/>
        </w:rPr>
        <w:t xml:space="preserve">study. </w:t>
      </w:r>
      <w:r w:rsidR="00190B44" w:rsidRPr="000F27B6">
        <w:rPr>
          <w:sz w:val="24"/>
          <w:szCs w:val="24"/>
        </w:rPr>
        <w:t xml:space="preserve"> </w:t>
      </w:r>
    </w:p>
    <w:p w14:paraId="5216BD9F" w14:textId="77777777" w:rsidR="007B77EC" w:rsidRPr="000F27B6" w:rsidRDefault="00BA181C" w:rsidP="007B77EC">
      <w:pPr>
        <w:spacing w:line="480" w:lineRule="auto"/>
        <w:rPr>
          <w:b/>
          <w:bCs/>
          <w:sz w:val="24"/>
          <w:szCs w:val="24"/>
        </w:rPr>
      </w:pPr>
      <w:r w:rsidRPr="000F27B6">
        <w:rPr>
          <w:b/>
          <w:bCs/>
          <w:sz w:val="24"/>
          <w:szCs w:val="24"/>
        </w:rPr>
        <w:t>Autopsy</w:t>
      </w:r>
    </w:p>
    <w:p w14:paraId="4D75636A" w14:textId="580D01C9" w:rsidR="007B77EC" w:rsidRPr="000F27B6" w:rsidRDefault="007B77EC" w:rsidP="007B77EC">
      <w:pPr>
        <w:spacing w:line="480" w:lineRule="auto"/>
        <w:rPr>
          <w:bCs/>
          <w:sz w:val="24"/>
          <w:szCs w:val="24"/>
        </w:rPr>
      </w:pPr>
      <w:r w:rsidRPr="000F27B6">
        <w:rPr>
          <w:sz w:val="24"/>
          <w:szCs w:val="24"/>
        </w:rPr>
        <w:t>All</w:t>
      </w:r>
      <w:r w:rsidR="00B51EA7" w:rsidRPr="000F27B6">
        <w:rPr>
          <w:sz w:val="24"/>
          <w:szCs w:val="24"/>
        </w:rPr>
        <w:t xml:space="preserve"> decedents </w:t>
      </w:r>
      <w:r w:rsidRPr="000F27B6">
        <w:rPr>
          <w:sz w:val="24"/>
          <w:szCs w:val="24"/>
        </w:rPr>
        <w:t xml:space="preserve">underwent a full </w:t>
      </w:r>
      <w:r w:rsidR="00BA181C" w:rsidRPr="000F27B6">
        <w:rPr>
          <w:sz w:val="24"/>
          <w:szCs w:val="24"/>
        </w:rPr>
        <w:t>autopsy</w:t>
      </w:r>
      <w:r w:rsidRPr="000F27B6">
        <w:rPr>
          <w:sz w:val="24"/>
          <w:szCs w:val="24"/>
        </w:rPr>
        <w:t xml:space="preserve"> evaluation</w:t>
      </w:r>
      <w:r w:rsidR="00A01225" w:rsidRPr="000F27B6">
        <w:rPr>
          <w:sz w:val="24"/>
          <w:szCs w:val="24"/>
        </w:rPr>
        <w:t xml:space="preserve"> performed</w:t>
      </w:r>
      <w:r w:rsidRPr="000F27B6">
        <w:rPr>
          <w:sz w:val="24"/>
          <w:szCs w:val="24"/>
        </w:rPr>
        <w:t xml:space="preserve"> by </w:t>
      </w:r>
      <w:r w:rsidR="00B51EA7" w:rsidRPr="000F27B6">
        <w:rPr>
          <w:sz w:val="24"/>
          <w:szCs w:val="24"/>
        </w:rPr>
        <w:t>a</w:t>
      </w:r>
      <w:r w:rsidRPr="000F27B6">
        <w:rPr>
          <w:sz w:val="24"/>
          <w:szCs w:val="24"/>
        </w:rPr>
        <w:t xml:space="preserve"> local pathologist.  Following the exclusion of extra-cardiac causes, the heart was referred to our centre </w:t>
      </w:r>
      <w:r w:rsidR="00B51EA7" w:rsidRPr="000F27B6">
        <w:rPr>
          <w:sz w:val="24"/>
          <w:szCs w:val="24"/>
        </w:rPr>
        <w:t>with</w:t>
      </w:r>
      <w:r w:rsidRPr="000F27B6">
        <w:rPr>
          <w:sz w:val="24"/>
          <w:szCs w:val="24"/>
        </w:rPr>
        <w:t xml:space="preserve"> written consent of the coroner and the family of the deceased. </w:t>
      </w:r>
      <w:r w:rsidRPr="000F27B6">
        <w:rPr>
          <w:sz w:val="24"/>
          <w:szCs w:val="24"/>
          <w:lang w:val="en-US"/>
        </w:rPr>
        <w:t>A toxicology screen was conducted in all cases in accordance with the usual investigation of sudden and unexpected deaths in the UK</w:t>
      </w:r>
      <w:r w:rsidR="008B0320" w:rsidRPr="000F27B6">
        <w:rPr>
          <w:sz w:val="24"/>
          <w:szCs w:val="24"/>
          <w:lang w:val="en-US"/>
        </w:rPr>
        <w:fldChar w:fldCharType="begin" w:fldLock="1"/>
      </w:r>
      <w:r w:rsidR="00B0022F">
        <w:rPr>
          <w:sz w:val="24"/>
          <w:szCs w:val="24"/>
          <w:lang w:val="en-US"/>
        </w:rPr>
        <w:instrText>ADDIN CSL_CITATION {"citationItems":[{"id":"ITEM-1","itemData":{"author":[{"dropping-particle":"","family":"Osborn M, Lowe J, Sheppard MN","given":"Suvarna SK","non-dropping-particle":"","parse-names":false,"suffix":""}],"container-title":"The Royal College of Pathologists","id":"ITEM-1","issued":{"date-parts":[["2015"]]},"title":"Guidelines on autopsy practice: sudden death with likely cardiac pathology","type":"article-journal","volume":"G145"},"uris":["http://www.mendeley.com/documents/?uuid=b79fcff7-0e43-4846-b930-ff9e61685785"]},{"id":"ITEM-2","itemData":{"DOI":"10.1007/s00428-017-2221-0","ISSN":"1432-2307","PMID":"28889247","abstract":"Although sudden cardiac death (SCD) is one of the most important modes of death in Western countries, pathologists and public health physicians have not given this problem the attention it deserves. New methods of preventing potentially fatal arrhythmias have been developed and the accurate diagnosis of the causes of SCD is now of particular importance. Pathologists are responsible for determining the precise cause and mechanism of sudden death but there is still considerable variation in the way in which they approach this increasingly complex task. The Association for European Cardiovascular Pathology has developed these guidelines, which represent the minimum standard that is required in the routine autopsy practice for the adequate investigation of SCD. The present version is an update of our original article, published 10 years ago. This is necessary because of our increased understanding of the genetics of cardiovascular diseases, the availability of new diagnostic methods, and the experience we have gained from the routine use of the original guidelines. The updated guidelines include a detailed protocol for the examination of the heart and recommendations for the selection of histological blocks and appropriate material for toxicology, microbiology, biochemistry, and molecular investigation. Our recommendations apply to university medical centers, regionals hospitals, and all healthcare professionals practicing pathology and forensic medicine. We believe that their adoption throughout Europe will improve the standards of autopsy practice, allow meaningful comparisons between different communities and regions, and permit the identification of emerging patterns of diseases causing SCD. Finally, we recommend the development of regional multidisciplinary networks of cardiologists, geneticists, and pathologists. Their role will be to facilitate the identification of index cases with a genetic basis, to screen appropriate family members, and ensure that appropriate preventive strategies are implemented.","author":[{"dropping-particle":"","family":"Basso","given":"Cristina","non-dropping-particle":"","parse-names":false,"suffix":""},{"dropping-particle":"","family":"Aguilera","given":"Beatriz","non-dropping-particle":"","parse-names":false,"suffix":""},{"dropping-particle":"","family":"Banner","given":"Jytte","non-dropping-particle":"","parse-names":false,"suffix":""},{"dropping-particle":"","family":"Cohle","given":"Stephan","non-dropping-particle":"","parse-names":false,"suffix":""},{"dropping-particle":"","family":"D'Amati","given":"Giulia","non-dropping-particle":"","parse-names":false,"suffix":""},{"dropping-particle":"","family":"Gouveia","given":"Rosa Henriques","non-dropping-particle":"de","parse-names":false,"suffix":""},{"dropping-particle":"","family":"Gioia","given":"Cira","non-dropping-particle":"di","parse-names":false,"suffix":""},{"dropping-particle":"","family":"Fabre","given":"Aurelie","non-dropping-particle":"","parse-names":false,"suffix":""},{"dropping-particle":"","family":"Gallagher","given":"Patrick J","non-dropping-particle":"","parse-names":false,"suffix":""},{"dropping-particle":"","family":"Leone","given":"Ornella","non-dropping-particle":"","parse-names":false,"suffix":""},{"dropping-particle":"","family":"Lucena","given":"Joaquin","non-dropping-particle":"","parse-names":false,"suffix":""},{"dropping-particle":"","family":"Mitrofanova","given":"Lubov","non-dropping-particle":"","parse-names":false,"suffix":""},{"dropping-particle":"","family":"Molina","given":"Pilar","non-dropping-particle":"","parse-names":false,"suffix":""},{"dropping-particle":"","family":"Parsons","given":"Sarah","non-dropping-particle":"","parse-names":false,"suffix":""},{"dropping-particle":"","family":"Rizzo","given":"Stefania","non-dropping-particle":"","parse-names":false,"suffix":""},{"dropping-particle":"","family":"Sheppard","given":"Mary N","non-dropping-particle":"","parse-names":false,"suffix":""},{"dropping-particle":"","family":"Mier","given":"Maria Paz Suárez","non-dropping-particle":"","parse-names":false,"suffix":""},{"dropping-particle":"","family":"Kim Suvarna","given":"S","non-dropping-particle":"","parse-names":false,"suffix":""},{"dropping-particle":"","family":"Thiene","given":"Gaetano","non-dropping-particle":"","parse-names":false,"suffix":""},{"dropping-particle":"","family":"Wal","given":"Allard","non-dropping-particle":"van der","parse-names":false,"suffix":""},{"dropping-particle":"","family":"Vink","given":"Aryan","non-dropping-particle":"","parse-names":false,"suffix":""},{"dropping-particle":"","family":"Michaud","given":"Katarzyna","non-dropping-particle":"","parse-names":false,"suffix":""},{"dropping-particle":"","family":"Association for European Cardiovascular Pathology","given":"","non-dropping-particle":"","parse-names":false,"suffix":""}],"container-title":"Virchows Archiv : an international journal of pathology","id":"ITEM-2","issue":"6","issued":{"date-parts":[["2017","12"]]},"page":"691-705","title":"Guidelines for autopsy investigation of sudden cardiac death: 2017 update from the Association for European Cardiovascular Pathology.","type":"article-journal","volume":"471"},"uris":["http://www.mendeley.com/documents/?uuid=1d3b1f30-8db3-4868-b258-f8cdce81f1c3"]}],"mendeley":{"formattedCitation":"&lt;sup&gt;9,10&lt;/sup&gt;","plainTextFormattedCitation":"9,10","previouslyFormattedCitation":"&lt;sup&gt;9,10&lt;/sup&gt;"},"properties":{"noteIndex":0},"schema":"https://github.com/citation-style-language/schema/raw/master/csl-citation.json"}</w:instrText>
      </w:r>
      <w:r w:rsidR="008B0320" w:rsidRPr="000F27B6">
        <w:rPr>
          <w:sz w:val="24"/>
          <w:szCs w:val="24"/>
          <w:lang w:val="en-US"/>
        </w:rPr>
        <w:fldChar w:fldCharType="separate"/>
      </w:r>
      <w:r w:rsidR="00B0022F" w:rsidRPr="00B0022F">
        <w:rPr>
          <w:noProof/>
          <w:sz w:val="24"/>
          <w:szCs w:val="24"/>
          <w:vertAlign w:val="superscript"/>
          <w:lang w:val="en-US"/>
        </w:rPr>
        <w:t>9,10</w:t>
      </w:r>
      <w:r w:rsidR="008B0320" w:rsidRPr="000F27B6">
        <w:rPr>
          <w:sz w:val="24"/>
          <w:szCs w:val="24"/>
          <w:lang w:val="en-US"/>
        </w:rPr>
        <w:fldChar w:fldCharType="end"/>
      </w:r>
      <w:r w:rsidRPr="000F27B6">
        <w:rPr>
          <w:sz w:val="24"/>
          <w:szCs w:val="24"/>
          <w:lang w:val="en-US"/>
        </w:rPr>
        <w:t xml:space="preserve">. </w:t>
      </w:r>
      <w:r w:rsidRPr="000F27B6">
        <w:rPr>
          <w:bCs/>
          <w:sz w:val="24"/>
          <w:szCs w:val="24"/>
        </w:rPr>
        <w:t>Comprehensive macroscopic examination of the whole heart and histological analysis were performed in accordance with the guidelines on “Autopsy practice for sudden death with likely cardiac pathology” of the Royal College of Pathologists and the Association for European Cardiovascular Pathology</w:t>
      </w:r>
      <w:r w:rsidR="00136CD4" w:rsidRPr="000F27B6">
        <w:rPr>
          <w:bCs/>
          <w:sz w:val="24"/>
          <w:szCs w:val="24"/>
        </w:rPr>
        <w:fldChar w:fldCharType="begin" w:fldLock="1"/>
      </w:r>
      <w:r w:rsidR="00B0022F">
        <w:rPr>
          <w:bCs/>
          <w:sz w:val="24"/>
          <w:szCs w:val="24"/>
        </w:rPr>
        <w:instrText>ADDIN CSL_CITATION {"citationItems":[{"id":"ITEM-1","itemData":{"author":[{"dropping-particle":"","family":"Osborn M, Lowe J, Sheppard MN","given":"Suvarna SK","non-dropping-particle":"","parse-names":false,"suffix":""}],"container-title":"The Royal College of Pathologists","id":"ITEM-1","issued":{"date-parts":[["2015"]]},"title":"Guidelines on autopsy practice: sudden death with likely cardiac pathology","type":"article-journal","volume":"G145"},"uris":["http://www.mendeley.com/documents/?uuid=b79fcff7-0e43-4846-b930-ff9e61685785","http://www.mendeley.com/documents/?uuid=de9f518d-d039-415b-8dda-7cfecafebf12"]},{"id":"ITEM-2","itemData":{"DOI":"10.1007/s00428-017-2221-0","ISSN":"1432-2307","PMID":"28889247","abstract":"Although sudden cardiac death (SCD) is one of the most important modes of death in Western countries, pathologists and public health physicians have not given this problem the attention it deserves. New methods of preventing potentially fatal arrhythmias have been developed and the accurate diagnosis of the causes of SCD is now of particular importance. Pathologists are responsible for determining the precise cause and mechanism of sudden death but there is still considerable variation in the way in which they approach this increasingly complex task. The Association for European Cardiovascular Pathology has developed these guidelines, which represent the minimum standard that is required in the routine autopsy practice for the adequate investigation of SCD. The present version is an update of our original article, published 10 years ago. This is necessary because of our increased understanding of the genetics of cardiovascular diseases, the availability of new diagnostic methods, and the experience we have gained from the routine use of the original guidelines. The updated guidelines include a detailed protocol for the examination of the heart and recommendations for the selection of histological blocks and appropriate material for toxicology, microbiology, biochemistry, and molecular investigation. Our recommendations apply to university medical centers, regionals hospitals, and all healthcare professionals practicing pathology and forensic medicine. We believe that their adoption throughout Europe will improve the standards of autopsy practice, allow meaningful comparisons between different communities and regions, and permit the identification of emerging patterns of diseases causing SCD. Finally, we recommend the development of regional multidisciplinary networks of cardiologists, geneticists, and pathologists. Their role will be to facilitate the identification of index cases with a genetic basis, to screen appropriate family members, and ensure that appropriate preventive strategies are implemented.","author":[{"dropping-particle":"","family":"Basso","given":"Cristina","non-dropping-particle":"","parse-names":false,"suffix":""},{"dropping-particle":"","family":"Aguilera","given":"Beatriz","non-dropping-particle":"","parse-names":false,"suffix":""},{"dropping-particle":"","family":"Banner","given":"Jytte","non-dropping-particle":"","parse-names":false,"suffix":""},{"dropping-particle":"","family":"Cohle","given":"Stephan","non-dropping-particle":"","parse-names":false,"suffix":""},{"dropping-particle":"","family":"D'Amati","given":"Giulia","non-dropping-particle":"","parse-names":false,"suffix":""},{"dropping-particle":"","family":"Gouveia","given":"Rosa Henriques","non-dropping-particle":"de","parse-names":false,"suffix":""},{"dropping-particle":"","family":"Gioia","given":"Cira","non-dropping-particle":"di","parse-names":false,"suffix":""},{"dropping-particle":"","family":"Fabre","given":"Aurelie","non-dropping-particle":"","parse-names":false,"suffix":""},{"dropping-particle":"","family":"Gallagher","given":"Patrick J","non-dropping-particle":"","parse-names":false,"suffix":""},{"dropping-particle":"","family":"Leone","given":"Ornella","non-dropping-particle":"","parse-names":false,"suffix":""},{"dropping-particle":"","family":"Lucena","given":"Joaquin","non-dropping-particle":"","parse-names":false,"suffix":""},{"dropping-particle":"","family":"Mitrofanova","given":"Lubov","non-dropping-particle":"","parse-names":false,"suffix":""},{"dropping-particle":"","family":"Molina","given":"Pilar","non-dropping-particle":"","parse-names":false,"suffix":""},{"dropping-particle":"","family":"Parsons","given":"Sarah","non-dropping-particle":"","parse-names":false,"suffix":""},{"dropping-particle":"","family":"Rizzo","given":"Stefania","non-dropping-particle":"","parse-names":false,"suffix":""},{"dropping-particle":"","family":"Sheppard","given":"Mary N","non-dropping-particle":"","parse-names":false,"suffix":""},{"dropping-particle":"","family":"Mier","given":"Maria Paz Suárez","non-dropping-particle":"","parse-names":false,"suffix":""},{"dropping-particle":"","family":"Kim Suvarna","given":"S","non-dropping-particle":"","parse-names":false,"suffix":""},{"dropping-particle":"","family":"Thiene","given":"Gaetano","non-dropping-particle":"","parse-names":false,"suffix":""},{"dropping-particle":"","family":"Wal","given":"Allard","non-dropping-particle":"van der","parse-names":false,"suffix":""},{"dropping-particle":"","family":"Vink","given":"Aryan","non-dropping-particle":"","parse-names":false,"suffix":""},{"dropping-particle":"","family":"Michaud","given":"Katarzyna","non-dropping-particle":"","parse-names":false,"suffix":""},{"dropping-particle":"","family":"Association for European Cardiovascular Pathology","given":"","non-dropping-particle":"","parse-names":false,"suffix":""}],"container-title":"Virchows Archiv : an international journal of pathology","id":"ITEM-2","issue":"6","issued":{"date-parts":[["2017","12"]]},"page":"691-705","title":"Guidelines for autopsy investigation of sudden cardiac death: 2017 update from the Association for European Cardiovascular Pathology.","type":"article-journal","volume":"471"},"uris":["http://www.mendeley.com/documents/?uuid=1d3b1f30-8db3-4868-b258-f8cdce81f1c3"]}],"mendeley":{"formattedCitation":"&lt;sup&gt;9,10&lt;/sup&gt;","plainTextFormattedCitation":"9,10","previouslyFormattedCitation":"&lt;sup&gt;9,10&lt;/sup&gt;"},"properties":{"noteIndex":0},"schema":"https://github.com/citation-style-language/schema/raw/master/csl-citation.json"}</w:instrText>
      </w:r>
      <w:r w:rsidR="00136CD4" w:rsidRPr="000F27B6">
        <w:rPr>
          <w:bCs/>
          <w:sz w:val="24"/>
          <w:szCs w:val="24"/>
        </w:rPr>
        <w:fldChar w:fldCharType="separate"/>
      </w:r>
      <w:r w:rsidR="00B0022F" w:rsidRPr="00B0022F">
        <w:rPr>
          <w:bCs/>
          <w:noProof/>
          <w:sz w:val="24"/>
          <w:szCs w:val="24"/>
          <w:vertAlign w:val="superscript"/>
        </w:rPr>
        <w:t>9,10</w:t>
      </w:r>
      <w:r w:rsidR="00136CD4" w:rsidRPr="000F27B6">
        <w:rPr>
          <w:bCs/>
          <w:sz w:val="24"/>
          <w:szCs w:val="24"/>
        </w:rPr>
        <w:fldChar w:fldCharType="end"/>
      </w:r>
      <w:r w:rsidRPr="000F27B6">
        <w:rPr>
          <w:bCs/>
          <w:sz w:val="24"/>
          <w:szCs w:val="24"/>
        </w:rPr>
        <w:t xml:space="preserve">. All cardiac structures were systematically examined. The heart weight was recorded in grams and ventricular wall thickness and internal cavity dimensions were measured at mid-ventricular level excluding the papillary muscles and fat. A minimum of 10 blocks of tissue </w:t>
      </w:r>
      <w:r w:rsidR="00B4389E" w:rsidRPr="000F27B6">
        <w:rPr>
          <w:bCs/>
          <w:sz w:val="24"/>
          <w:szCs w:val="24"/>
        </w:rPr>
        <w:t>we</w:t>
      </w:r>
      <w:r w:rsidRPr="000F27B6">
        <w:rPr>
          <w:bCs/>
          <w:sz w:val="24"/>
          <w:szCs w:val="24"/>
        </w:rPr>
        <w:t>re taken for histological analysis as reported previously</w:t>
      </w:r>
      <w:r w:rsidR="00A01225" w:rsidRPr="000F27B6">
        <w:rPr>
          <w:bCs/>
          <w:sz w:val="24"/>
          <w:szCs w:val="24"/>
        </w:rPr>
        <w:fldChar w:fldCharType="begin" w:fldLock="1"/>
      </w:r>
      <w:r w:rsidR="00F310D1" w:rsidRPr="000F27B6">
        <w:rPr>
          <w:bCs/>
          <w:sz w:val="24"/>
          <w:szCs w:val="24"/>
        </w:rPr>
        <w:instrText>ADDIN CSL_CITATION {"citationItems":[{"id":"ITEM-1","itemData":{"DOI":"10.1016/j.jacc.2016.02.062","ISSN":"15583597 07351097","abstract":"© 2016 American College of Cardiology Foundation.Background Accurate knowledge of causes of sudden cardiac death (SCD) in athletes and its precipitating factors is necessary to establish preventative strategies. Objectives This study investigated causes of SCD and their association with intensive physical activity in a large cohort of athletes. Methods Between 1994 and 2014, 357 consecutive cases of athletes who died suddenly (mean 29 ± 11 years of age, 92% males, 76% Caucasian, 69% competitive) were referred to our cardiac pathology center. All subjects underwent detailed post-mortem evaluation, including histological analysis by an expert cardiac pathologist. Clinical information was obtained from referring coroners. Results Sudden arrhythmic death syndrome (SADS) was the most prevalent cause of death (n = 149 [42%]). Myocardial disease was detected in 40% of cases, including idiopathic left ventricular hypertrophy (LVH) and/or fibrosis (n = 59, 16%); arrhythmogenic right ventricular cardiomyopathy (ARVC) (13%); and hypertrophic cardiomyopathy (HCM) (6%). Coronary artery anomalies occurred in 5% of cases. SADS and coronary artery anomalies affected predominantly young athletes (≤ 35 years of age), whereas myocardial disease was more common in older individuals. SCD during intense exertion occurred in 61% of cases; ARVC and left ventricular fibrosis most strongly predicted SCD during exertion. Conclusions Conditions predisposing to SCD in sports demonstrate a significant age predilection. The strong association of ARVC and left ventricular fibrosis with exercise-induced SCD reinforces the need for early detection and abstinence from intense exercise. However, almost 40% of athletes die at rest, highlighting the need for complementary preventive strategies.","author":[{"dropping-particle":"","family":"Finocchiaro","given":"G.","non-dropping-particle":"","parse-names":false,"suffix":""},{"dropping-particle":"","family":"Papadakis","given":"M.","non-dropping-particle":"","parse-names":false,"suffix":""},{"dropping-particle":"","family":"Robertus","given":"J.-L.","non-dropping-particle":"","parse-names":false,"suffix":""},{"dropping-particle":"","family":"Dhutia","given":"H.","non-dropping-particle":"","parse-names":false,"suffix":""},{"dropping-particle":"","family":"Steriotis","given":"A.K.","non-dropping-particle":"","parse-names":false,"suffix":""},{"dropping-particle":"","family":"Tome","given":"M.","non-dropping-particle":"","parse-names":false,"suffix":""},{"dropping-particle":"","family":"Mellor","given":"G.","non-dropping-particle":"","parse-names":false,"suffix":""},{"dropping-particle":"","family":"Merghani","given":"A.","non-dropping-particle":"","parse-names":false,"suffix":""},{"dropping-particle":"","family":"Malhotra","given":"A.","non-dropping-particle":"","parse-names":false,"suffix":""},{"dropping-particle":"","family":"Behr","given":"E.","non-dropping-particle":"","parse-names":false,"suffix":""},{"dropping-particle":"","family":"Sharma","given":"S.","non-dropping-particle":"","parse-names":false,"suffix":""},{"dropping-particle":"","family":"Sheppard","given":"M.N.","non-dropping-particle":"","parse-names":false,"suffix":""}],"container-title":"Journal of the American College of Cardiology","id":"ITEM-1","issue":"18","issued":{"date-parts":[["2016"]]},"title":"Etiology of Sudden Death in Sports Insights from a United Kingdom Regional Registry","type":"article-journal","volume":"67"},"uris":["http://www.mendeley.com/documents/?uuid=33ca2651-b2a5-3026-809e-7a91e01e4d54"]}],"mendeley":{"formattedCitation":"&lt;sup&gt;2&lt;/sup&gt;","plainTextFormattedCitation":"2","previouslyFormattedCitation":"&lt;sup&gt;2&lt;/sup&gt;"},"properties":{"noteIndex":0},"schema":"https://github.com/citation-style-language/schema/raw/master/csl-citation.json"}</w:instrText>
      </w:r>
      <w:r w:rsidR="00A01225" w:rsidRPr="000F27B6">
        <w:rPr>
          <w:bCs/>
          <w:sz w:val="24"/>
          <w:szCs w:val="24"/>
        </w:rPr>
        <w:fldChar w:fldCharType="separate"/>
      </w:r>
      <w:r w:rsidR="00A01225" w:rsidRPr="000F27B6">
        <w:rPr>
          <w:bCs/>
          <w:noProof/>
          <w:sz w:val="24"/>
          <w:szCs w:val="24"/>
          <w:vertAlign w:val="superscript"/>
        </w:rPr>
        <w:t>2</w:t>
      </w:r>
      <w:r w:rsidR="00A01225" w:rsidRPr="000F27B6">
        <w:rPr>
          <w:bCs/>
          <w:sz w:val="24"/>
          <w:szCs w:val="24"/>
        </w:rPr>
        <w:fldChar w:fldCharType="end"/>
      </w:r>
      <w:r w:rsidRPr="000F27B6">
        <w:rPr>
          <w:bCs/>
          <w:sz w:val="24"/>
          <w:szCs w:val="24"/>
        </w:rPr>
        <w:t xml:space="preserve">. Sections of myocardium were fixed in formalin, embedded in paraffin and stained with haematoxylin and eosin as well as elastic Van </w:t>
      </w:r>
      <w:proofErr w:type="spellStart"/>
      <w:r w:rsidRPr="000F27B6">
        <w:rPr>
          <w:bCs/>
          <w:sz w:val="24"/>
          <w:szCs w:val="24"/>
        </w:rPr>
        <w:t>Gieson</w:t>
      </w:r>
      <w:proofErr w:type="spellEnd"/>
      <w:r w:rsidRPr="000F27B6">
        <w:rPr>
          <w:bCs/>
          <w:sz w:val="24"/>
          <w:szCs w:val="24"/>
        </w:rPr>
        <w:t xml:space="preserve"> stain to highlight myocardial fibrosis</w:t>
      </w:r>
      <w:r w:rsidR="00E05BBB" w:rsidRPr="000F27B6">
        <w:rPr>
          <w:bCs/>
          <w:sz w:val="24"/>
          <w:szCs w:val="24"/>
        </w:rPr>
        <w:t>.</w:t>
      </w:r>
    </w:p>
    <w:p w14:paraId="0FD3F918" w14:textId="20A71FC5" w:rsidR="007B77EC" w:rsidRPr="000F27B6" w:rsidRDefault="007B77EC" w:rsidP="007B77EC">
      <w:pPr>
        <w:spacing w:line="480" w:lineRule="auto"/>
        <w:rPr>
          <w:b/>
          <w:bCs/>
          <w:sz w:val="24"/>
          <w:szCs w:val="24"/>
        </w:rPr>
      </w:pPr>
      <w:r w:rsidRPr="000F27B6">
        <w:rPr>
          <w:b/>
          <w:bCs/>
          <w:sz w:val="24"/>
          <w:szCs w:val="24"/>
        </w:rPr>
        <w:t>Clinical information</w:t>
      </w:r>
      <w:r w:rsidR="000D216D" w:rsidRPr="000F27B6">
        <w:rPr>
          <w:b/>
          <w:bCs/>
          <w:sz w:val="24"/>
          <w:szCs w:val="24"/>
        </w:rPr>
        <w:t xml:space="preserve"> in </w:t>
      </w:r>
      <w:r w:rsidR="00D44089">
        <w:rPr>
          <w:b/>
          <w:bCs/>
          <w:sz w:val="24"/>
          <w:szCs w:val="24"/>
        </w:rPr>
        <w:t>decedents</w:t>
      </w:r>
      <w:r w:rsidR="00B8063E" w:rsidRPr="000F27B6">
        <w:rPr>
          <w:b/>
          <w:bCs/>
          <w:sz w:val="24"/>
          <w:szCs w:val="24"/>
        </w:rPr>
        <w:t xml:space="preserve"> </w:t>
      </w:r>
    </w:p>
    <w:p w14:paraId="144CEA71" w14:textId="77777777" w:rsidR="00A91070" w:rsidRDefault="007B77EC" w:rsidP="007B77EC">
      <w:pPr>
        <w:spacing w:line="480" w:lineRule="auto"/>
        <w:rPr>
          <w:sz w:val="24"/>
          <w:szCs w:val="24"/>
          <w:lang w:val="en-US"/>
        </w:rPr>
      </w:pPr>
      <w:r w:rsidRPr="000F27B6">
        <w:rPr>
          <w:sz w:val="24"/>
          <w:szCs w:val="24"/>
          <w:lang w:val="en-US"/>
        </w:rPr>
        <w:t>The referring co</w:t>
      </w:r>
      <w:r w:rsidR="00A91070">
        <w:rPr>
          <w:sz w:val="24"/>
          <w:szCs w:val="24"/>
          <w:lang w:val="en-US"/>
        </w:rPr>
        <w:t>roner and pathologist were requested</w:t>
      </w:r>
      <w:r w:rsidRPr="000F27B6">
        <w:rPr>
          <w:sz w:val="24"/>
          <w:szCs w:val="24"/>
          <w:lang w:val="en-US"/>
        </w:rPr>
        <w:t xml:space="preserve"> to complete a questionnaire inquiring about the demographics of the deceased, past medical history, family history, cardiac </w:t>
      </w:r>
      <w:r w:rsidRPr="000F27B6">
        <w:rPr>
          <w:sz w:val="24"/>
          <w:szCs w:val="24"/>
          <w:lang w:val="en-US"/>
        </w:rPr>
        <w:lastRenderedPageBreak/>
        <w:t>symptoms, the nature and level of physical activity and exact circumstances of death. The data were derived from a number of sources including interview</w:t>
      </w:r>
      <w:r w:rsidR="00B51EA7" w:rsidRPr="000F27B6">
        <w:rPr>
          <w:sz w:val="24"/>
          <w:szCs w:val="24"/>
          <w:lang w:val="en-US"/>
        </w:rPr>
        <w:t>s</w:t>
      </w:r>
      <w:r w:rsidRPr="000F27B6">
        <w:rPr>
          <w:sz w:val="24"/>
          <w:szCs w:val="24"/>
          <w:lang w:val="en-US"/>
        </w:rPr>
        <w:t xml:space="preserve"> with family</w:t>
      </w:r>
      <w:r w:rsidR="00B51EA7" w:rsidRPr="000F27B6">
        <w:rPr>
          <w:sz w:val="24"/>
          <w:szCs w:val="24"/>
          <w:lang w:val="en-US"/>
        </w:rPr>
        <w:t xml:space="preserve"> members</w:t>
      </w:r>
      <w:r w:rsidRPr="000F27B6">
        <w:rPr>
          <w:sz w:val="24"/>
          <w:szCs w:val="24"/>
          <w:lang w:val="en-US"/>
        </w:rPr>
        <w:t xml:space="preserve"> of </w:t>
      </w:r>
      <w:r w:rsidR="0067762F" w:rsidRPr="000F27B6">
        <w:rPr>
          <w:sz w:val="24"/>
          <w:szCs w:val="24"/>
          <w:lang w:val="en-US"/>
        </w:rPr>
        <w:t>decedents</w:t>
      </w:r>
      <w:r w:rsidRPr="000F27B6">
        <w:rPr>
          <w:sz w:val="24"/>
          <w:szCs w:val="24"/>
          <w:lang w:val="en-US"/>
        </w:rPr>
        <w:t xml:space="preserve">, potential witnesses of the SCD and reports from the deceased’s family physician. </w:t>
      </w:r>
      <w:r w:rsidR="006C36CE" w:rsidRPr="000F27B6">
        <w:rPr>
          <w:sz w:val="24"/>
          <w:szCs w:val="24"/>
          <w:lang w:val="en-US"/>
        </w:rPr>
        <w:t xml:space="preserve">All information relating to the </w:t>
      </w:r>
      <w:r w:rsidR="00826B8C" w:rsidRPr="000F27B6">
        <w:rPr>
          <w:sz w:val="24"/>
          <w:szCs w:val="24"/>
          <w:lang w:val="en-US"/>
        </w:rPr>
        <w:t xml:space="preserve">decedents </w:t>
      </w:r>
      <w:r w:rsidR="006C36CE" w:rsidRPr="000F27B6">
        <w:rPr>
          <w:sz w:val="24"/>
          <w:szCs w:val="24"/>
          <w:lang w:val="en-US"/>
        </w:rPr>
        <w:t>w</w:t>
      </w:r>
      <w:r w:rsidR="009548E1" w:rsidRPr="000F27B6">
        <w:rPr>
          <w:sz w:val="24"/>
          <w:szCs w:val="24"/>
          <w:lang w:val="en-US"/>
        </w:rPr>
        <w:t>as</w:t>
      </w:r>
      <w:r w:rsidR="006C36CE" w:rsidRPr="000F27B6">
        <w:rPr>
          <w:sz w:val="24"/>
          <w:szCs w:val="24"/>
          <w:lang w:val="en-US"/>
        </w:rPr>
        <w:t xml:space="preserve"> reviewed during the clinic</w:t>
      </w:r>
      <w:r w:rsidR="00A91070">
        <w:rPr>
          <w:sz w:val="24"/>
          <w:szCs w:val="24"/>
          <w:lang w:val="en-US"/>
        </w:rPr>
        <w:t>al</w:t>
      </w:r>
      <w:r w:rsidR="006C36CE" w:rsidRPr="000F27B6">
        <w:rPr>
          <w:sz w:val="24"/>
          <w:szCs w:val="24"/>
          <w:lang w:val="en-US"/>
        </w:rPr>
        <w:t xml:space="preserve"> consultation with the relatives.</w:t>
      </w:r>
      <w:r w:rsidR="00533ED7">
        <w:rPr>
          <w:sz w:val="24"/>
          <w:szCs w:val="24"/>
          <w:lang w:val="en-US"/>
        </w:rPr>
        <w:t xml:space="preserve"> </w:t>
      </w:r>
      <w:r w:rsidR="004B0561" w:rsidRPr="004B0561">
        <w:rPr>
          <w:sz w:val="24"/>
          <w:szCs w:val="24"/>
          <w:lang w:val="en-US"/>
        </w:rPr>
        <w:t xml:space="preserve">For the purpose of this study, </w:t>
      </w:r>
      <w:r w:rsidR="00A91070">
        <w:rPr>
          <w:sz w:val="24"/>
          <w:szCs w:val="24"/>
          <w:lang w:val="en-US"/>
        </w:rPr>
        <w:t>w</w:t>
      </w:r>
      <w:r w:rsidR="00A91070" w:rsidRPr="004B0561">
        <w:rPr>
          <w:sz w:val="24"/>
          <w:szCs w:val="24"/>
          <w:lang w:val="en-US"/>
        </w:rPr>
        <w:t>e took particular care in trying to exclude decedents with hypertension by ascertaining their clinical history</w:t>
      </w:r>
      <w:r w:rsidR="00A91070">
        <w:rPr>
          <w:sz w:val="24"/>
          <w:szCs w:val="24"/>
          <w:lang w:val="en-US"/>
        </w:rPr>
        <w:t>.</w:t>
      </w:r>
    </w:p>
    <w:p w14:paraId="2FD48711" w14:textId="65CA9DB5" w:rsidR="007B77EC" w:rsidRPr="000F27B6" w:rsidRDefault="000D216D" w:rsidP="007B77EC">
      <w:pPr>
        <w:spacing w:line="480" w:lineRule="auto"/>
        <w:rPr>
          <w:b/>
          <w:sz w:val="24"/>
          <w:szCs w:val="24"/>
        </w:rPr>
      </w:pPr>
      <w:r w:rsidRPr="000F27B6">
        <w:rPr>
          <w:b/>
          <w:sz w:val="24"/>
          <w:szCs w:val="24"/>
        </w:rPr>
        <w:t>Family screening</w:t>
      </w:r>
    </w:p>
    <w:p w14:paraId="2159AEA0" w14:textId="4E10754B" w:rsidR="00CF253C" w:rsidRPr="000F27B6" w:rsidRDefault="000D216D" w:rsidP="000D216D">
      <w:pPr>
        <w:spacing w:line="480" w:lineRule="auto"/>
        <w:rPr>
          <w:sz w:val="24"/>
          <w:szCs w:val="24"/>
        </w:rPr>
      </w:pPr>
      <w:bookmarkStart w:id="4" w:name="_Hlk16061862"/>
      <w:r w:rsidRPr="000F27B6">
        <w:rPr>
          <w:sz w:val="24"/>
          <w:szCs w:val="24"/>
        </w:rPr>
        <w:t>First</w:t>
      </w:r>
      <w:r w:rsidR="000A4248" w:rsidRPr="000F27B6">
        <w:rPr>
          <w:sz w:val="24"/>
          <w:szCs w:val="24"/>
        </w:rPr>
        <w:t>-</w:t>
      </w:r>
      <w:r w:rsidRPr="000F27B6">
        <w:rPr>
          <w:sz w:val="24"/>
          <w:szCs w:val="24"/>
        </w:rPr>
        <w:t>degree relatives of</w:t>
      </w:r>
      <w:r w:rsidR="00B51EA7" w:rsidRPr="000F27B6">
        <w:rPr>
          <w:sz w:val="24"/>
          <w:szCs w:val="24"/>
        </w:rPr>
        <w:t xml:space="preserve"> </w:t>
      </w:r>
      <w:r w:rsidR="00826B8C" w:rsidRPr="000F27B6">
        <w:rPr>
          <w:sz w:val="24"/>
          <w:szCs w:val="24"/>
        </w:rPr>
        <w:t xml:space="preserve">decedents </w:t>
      </w:r>
      <w:r w:rsidR="00C44098" w:rsidRPr="000F27B6">
        <w:rPr>
          <w:sz w:val="24"/>
          <w:szCs w:val="24"/>
        </w:rPr>
        <w:t>with</w:t>
      </w:r>
      <w:r w:rsidRPr="000F27B6">
        <w:rPr>
          <w:sz w:val="24"/>
          <w:szCs w:val="24"/>
        </w:rPr>
        <w:t xml:space="preserve"> idiopathic LVH</w:t>
      </w:r>
      <w:r w:rsidR="00A01225" w:rsidRPr="000F27B6">
        <w:rPr>
          <w:sz w:val="24"/>
          <w:szCs w:val="24"/>
        </w:rPr>
        <w:t xml:space="preserve"> who were</w:t>
      </w:r>
      <w:r w:rsidR="002A7E61" w:rsidRPr="000F27B6">
        <w:rPr>
          <w:sz w:val="24"/>
          <w:szCs w:val="24"/>
        </w:rPr>
        <w:t xml:space="preserve"> age</w:t>
      </w:r>
      <w:r w:rsidR="00BF3A7C" w:rsidRPr="000F27B6">
        <w:rPr>
          <w:sz w:val="24"/>
          <w:szCs w:val="24"/>
        </w:rPr>
        <w:t>d</w:t>
      </w:r>
      <w:r w:rsidR="00A01225" w:rsidRPr="000F27B6">
        <w:rPr>
          <w:sz w:val="24"/>
          <w:szCs w:val="24"/>
        </w:rPr>
        <w:t xml:space="preserve"> between</w:t>
      </w:r>
      <w:r w:rsidR="002A7E61" w:rsidRPr="000F27B6">
        <w:rPr>
          <w:sz w:val="24"/>
          <w:szCs w:val="24"/>
        </w:rPr>
        <w:t xml:space="preserve"> 16 </w:t>
      </w:r>
      <w:r w:rsidR="00A01225" w:rsidRPr="000F27B6">
        <w:rPr>
          <w:sz w:val="24"/>
          <w:szCs w:val="24"/>
        </w:rPr>
        <w:t>and</w:t>
      </w:r>
      <w:r w:rsidR="002A7E61" w:rsidRPr="000F27B6">
        <w:rPr>
          <w:sz w:val="24"/>
          <w:szCs w:val="24"/>
        </w:rPr>
        <w:t xml:space="preserve"> 75 years </w:t>
      </w:r>
      <w:r w:rsidRPr="000F27B6">
        <w:rPr>
          <w:sz w:val="24"/>
          <w:szCs w:val="24"/>
        </w:rPr>
        <w:t>were prospectively investigated with tests specifically tailored to diagnose</w:t>
      </w:r>
      <w:r w:rsidR="00CF253C" w:rsidRPr="000F27B6">
        <w:rPr>
          <w:sz w:val="24"/>
          <w:szCs w:val="24"/>
        </w:rPr>
        <w:t xml:space="preserve"> the broad spectrum of the</w:t>
      </w:r>
      <w:r w:rsidRPr="000F27B6">
        <w:rPr>
          <w:sz w:val="24"/>
          <w:szCs w:val="24"/>
        </w:rPr>
        <w:t xml:space="preserve"> HCM</w:t>
      </w:r>
      <w:r w:rsidR="00CF253C" w:rsidRPr="000F27B6">
        <w:rPr>
          <w:sz w:val="24"/>
          <w:szCs w:val="24"/>
        </w:rPr>
        <w:t xml:space="preserve"> phenotype. </w:t>
      </w:r>
      <w:bookmarkEnd w:id="4"/>
      <w:r w:rsidR="00CF253C" w:rsidRPr="000F27B6">
        <w:rPr>
          <w:sz w:val="24"/>
          <w:szCs w:val="24"/>
        </w:rPr>
        <w:t>These included 12-lead</w:t>
      </w:r>
      <w:r w:rsidRPr="000F27B6">
        <w:rPr>
          <w:sz w:val="24"/>
          <w:szCs w:val="24"/>
        </w:rPr>
        <w:t xml:space="preserve"> ECG, echocardiogram and </w:t>
      </w:r>
      <w:r w:rsidR="00B51EA7" w:rsidRPr="000F27B6">
        <w:rPr>
          <w:sz w:val="24"/>
          <w:szCs w:val="24"/>
        </w:rPr>
        <w:t>cardiovascular magnetic resonance (</w:t>
      </w:r>
      <w:r w:rsidRPr="000F27B6">
        <w:rPr>
          <w:sz w:val="24"/>
          <w:szCs w:val="24"/>
        </w:rPr>
        <w:t>CMR</w:t>
      </w:r>
      <w:r w:rsidR="00B51EA7" w:rsidRPr="000F27B6">
        <w:rPr>
          <w:sz w:val="24"/>
          <w:szCs w:val="24"/>
        </w:rPr>
        <w:t>) imaging</w:t>
      </w:r>
      <w:r w:rsidR="00CF253C" w:rsidRPr="000F27B6">
        <w:rPr>
          <w:sz w:val="24"/>
          <w:szCs w:val="24"/>
        </w:rPr>
        <w:t xml:space="preserve">, exercise </w:t>
      </w:r>
      <w:r w:rsidR="00D44089">
        <w:rPr>
          <w:sz w:val="24"/>
          <w:szCs w:val="24"/>
        </w:rPr>
        <w:t>tolerance</w:t>
      </w:r>
      <w:r w:rsidR="00F92BB8">
        <w:rPr>
          <w:sz w:val="24"/>
          <w:szCs w:val="24"/>
        </w:rPr>
        <w:t xml:space="preserve"> test</w:t>
      </w:r>
      <w:r w:rsidR="00D44089">
        <w:rPr>
          <w:sz w:val="24"/>
          <w:szCs w:val="24"/>
        </w:rPr>
        <w:t xml:space="preserve"> (ETT)</w:t>
      </w:r>
      <w:r w:rsidR="00CF253C" w:rsidRPr="000F27B6">
        <w:rPr>
          <w:sz w:val="24"/>
          <w:szCs w:val="24"/>
        </w:rPr>
        <w:t xml:space="preserve"> and 24-hour Holter monitor</w:t>
      </w:r>
      <w:r w:rsidRPr="000F27B6">
        <w:rPr>
          <w:sz w:val="24"/>
          <w:szCs w:val="24"/>
        </w:rPr>
        <w:t>.</w:t>
      </w:r>
      <w:r w:rsidR="00EA2431" w:rsidRPr="000F27B6">
        <w:rPr>
          <w:sz w:val="24"/>
          <w:szCs w:val="24"/>
        </w:rPr>
        <w:t xml:space="preserve"> </w:t>
      </w:r>
      <w:r w:rsidR="00CF253C" w:rsidRPr="000F27B6">
        <w:rPr>
          <w:sz w:val="24"/>
          <w:szCs w:val="24"/>
        </w:rPr>
        <w:t xml:space="preserve">Among families where we were unable to diagnose HCM or another cardiac condition associated with SCD, </w:t>
      </w:r>
      <w:r w:rsidR="00826B8C" w:rsidRPr="000F27B6">
        <w:rPr>
          <w:sz w:val="24"/>
          <w:szCs w:val="24"/>
        </w:rPr>
        <w:t xml:space="preserve">we proceeded to perform an ajmaline </w:t>
      </w:r>
      <w:r w:rsidR="0067762F" w:rsidRPr="000F27B6">
        <w:rPr>
          <w:sz w:val="24"/>
          <w:szCs w:val="24"/>
        </w:rPr>
        <w:t xml:space="preserve">provocation test </w:t>
      </w:r>
      <w:r w:rsidR="00CF253C" w:rsidRPr="000F27B6">
        <w:rPr>
          <w:sz w:val="24"/>
          <w:szCs w:val="24"/>
        </w:rPr>
        <w:t>to specifically investigate the possibility of Brugada syndrome</w:t>
      </w:r>
      <w:r w:rsidR="00CF253C" w:rsidRPr="000F27B6">
        <w:rPr>
          <w:sz w:val="24"/>
          <w:szCs w:val="24"/>
          <w:vertAlign w:val="superscript"/>
        </w:rPr>
        <w:t>3</w:t>
      </w:r>
      <w:r w:rsidR="00826B8C" w:rsidRPr="000F27B6">
        <w:rPr>
          <w:sz w:val="24"/>
          <w:szCs w:val="24"/>
        </w:rPr>
        <w:t xml:space="preserve"> </w:t>
      </w:r>
      <w:r w:rsidR="00C44098" w:rsidRPr="000F27B6">
        <w:rPr>
          <w:sz w:val="24"/>
          <w:szCs w:val="24"/>
        </w:rPr>
        <w:t>(</w:t>
      </w:r>
      <w:r w:rsidR="003408E7" w:rsidRPr="000F27B6">
        <w:rPr>
          <w:sz w:val="24"/>
          <w:szCs w:val="24"/>
        </w:rPr>
        <w:t>Figure 1</w:t>
      </w:r>
      <w:r w:rsidR="00C44098" w:rsidRPr="000F27B6">
        <w:rPr>
          <w:sz w:val="24"/>
          <w:szCs w:val="24"/>
        </w:rPr>
        <w:t>)</w:t>
      </w:r>
      <w:r w:rsidR="003408E7" w:rsidRPr="000F27B6">
        <w:rPr>
          <w:sz w:val="24"/>
          <w:szCs w:val="24"/>
        </w:rPr>
        <w:t>.</w:t>
      </w:r>
      <w:r w:rsidR="00EA2431" w:rsidRPr="000F27B6">
        <w:rPr>
          <w:sz w:val="24"/>
          <w:szCs w:val="24"/>
        </w:rPr>
        <w:t xml:space="preserve"> </w:t>
      </w:r>
    </w:p>
    <w:p w14:paraId="074E5AD7" w14:textId="70202454" w:rsidR="002A5011" w:rsidRPr="000F27B6" w:rsidRDefault="000D216D" w:rsidP="000D216D">
      <w:pPr>
        <w:spacing w:line="480" w:lineRule="auto"/>
        <w:rPr>
          <w:sz w:val="24"/>
          <w:szCs w:val="24"/>
        </w:rPr>
      </w:pPr>
      <w:bookmarkStart w:id="5" w:name="_Hlk16072101"/>
      <w:r w:rsidRPr="000F27B6">
        <w:rPr>
          <w:sz w:val="24"/>
          <w:szCs w:val="24"/>
        </w:rPr>
        <w:t xml:space="preserve">Individuals with phenotypes suggestive of cardiac disease </w:t>
      </w:r>
      <w:r w:rsidR="00774B10" w:rsidRPr="000F27B6">
        <w:rPr>
          <w:sz w:val="24"/>
          <w:szCs w:val="24"/>
        </w:rPr>
        <w:t xml:space="preserve">were </w:t>
      </w:r>
      <w:r w:rsidRPr="000F27B6">
        <w:rPr>
          <w:sz w:val="24"/>
          <w:szCs w:val="24"/>
        </w:rPr>
        <w:t>offered treatment and genetic testing after appropriate counselling as per established protocols</w:t>
      </w:r>
      <w:r w:rsidR="00774B10" w:rsidRPr="000F27B6">
        <w:rPr>
          <w:sz w:val="24"/>
          <w:szCs w:val="24"/>
        </w:rPr>
        <w:fldChar w:fldCharType="begin" w:fldLock="1"/>
      </w:r>
      <w:r w:rsidR="00B0022F">
        <w:rPr>
          <w:sz w:val="24"/>
          <w:szCs w:val="24"/>
        </w:rPr>
        <w:instrText>ADDIN CSL_CITATION {"citationItems":[{"id":"ITEM-1","itemData":{"DOI":"10.1093/eurheartj/ehv316","ISSN":"1522-9645","PMID":"26320108","author":[{"dropping-particle":"","family":"Priori","given":"Silvia G","non-dropping-particle":"","parse-names":false,"suffix":""},{"dropping-particle":"","family":"Blomström-Lundqvist","given":"Carina","non-dropping-particle":"","parse-names":false,"suffix":""},{"dropping-particle":"","family":"Mazzanti","given":"Andrea","non-dropping-particle":"","parse-names":false,"suffix":""},{"dropping-particle":"","family":"Blom","given":"Nico","non-dropping-particle":"","parse-names":false,"suffix":""},{"dropping-particle":"","family":"Borggrefe","given":"Martin","non-dropping-particle":"","parse-names":false,"suffix":""},{"dropping-particle":"","family":"Camm","given":"John","non-dropping-particle":"","parse-names":false,"suffix":""},{"dropping-particle":"","family":"Elliott","given":"Perry Mark","non-dropping-particle":"","parse-names":false,"suffix":""},{"dropping-particle":"","family":"Fitzsimons","given":"Donna","non-dropping-particle":"","parse-names":false,"suffix":""},{"dropping-particle":"","family":"Hatala","given":"Robert","non-dropping-particle":"","parse-names":false,"suffix":""},{"dropping-particle":"","family":"Hindricks","given":"Gerhard","non-dropping-particle":"","parse-names":false,"suffix":""},{"dropping-particle":"","family":"Kirchhof","given":"Paulus","non-dropping-particle":"","parse-names":false,"suffix":""},{"dropping-particle":"","family":"Kjeldsen","given":"Keld","non-dropping-particle":"","parse-names":false,"suffix":""},{"dropping-particle":"","family":"Kuck","given":"Karl-Heinz","non-dropping-particle":"","parse-names":false,"suffix":""},{"dropping-particle":"","family":"Hernandez-Madrid","given":"Antonio","non-dropping-particle":"","parse-names":false,"suffix":""},{"dropping-particle":"","family":"Nikolaou","given":"Nikolaos","non-dropping-particle":"","parse-names":false,"suffix":""},{"dropping-particle":"","family":"Norekvål","given":"Tone M","non-dropping-particle":"","parse-names":false,"suffix":""},{"dropping-particle":"","family":"Spaulding","given":"Christian","non-dropping-particle":"","parse-names":false,"suffix":""},{"dropping-particle":"","family":"Veldhuisen","given":"Dirk J","non-dropping-particle":"Van","parse-names":false,"suffix":""}],"container-title":"European heart journal","id":"ITEM-1","issue":"41","issued":{"date-parts":[["2015","11","1"]]},"page":"2793-867","title":"2015 ESC Guidelines for the management of patients with ventricular arrhythmias and the prevention of sudden cardiac death: The Task Force for the Management of Patients with Ventricular Arrhythmias and the Prevention of Sudden Cardiac Death of the Europe","type":"article-journal","volume":"36"},"uris":["http://www.mendeley.com/documents/?uuid=ebfb7a39-fd3a-4cd4-8a64-43aec2a0e4e0"]}],"mendeley":{"formattedCitation":"&lt;sup&gt;11&lt;/sup&gt;","plainTextFormattedCitation":"11","previouslyFormattedCitation":"&lt;sup&gt;11&lt;/sup&gt;"},"properties":{"noteIndex":0},"schema":"https://github.com/citation-style-language/schema/raw/master/csl-citation.json"}</w:instrText>
      </w:r>
      <w:r w:rsidR="00774B10" w:rsidRPr="000F27B6">
        <w:rPr>
          <w:sz w:val="24"/>
          <w:szCs w:val="24"/>
        </w:rPr>
        <w:fldChar w:fldCharType="separate"/>
      </w:r>
      <w:r w:rsidR="00B0022F" w:rsidRPr="00B0022F">
        <w:rPr>
          <w:noProof/>
          <w:sz w:val="24"/>
          <w:szCs w:val="24"/>
          <w:vertAlign w:val="superscript"/>
        </w:rPr>
        <w:t>11</w:t>
      </w:r>
      <w:r w:rsidR="00774B10" w:rsidRPr="000F27B6">
        <w:rPr>
          <w:sz w:val="24"/>
          <w:szCs w:val="24"/>
        </w:rPr>
        <w:fldChar w:fldCharType="end"/>
      </w:r>
      <w:bookmarkEnd w:id="5"/>
      <w:r w:rsidRPr="000F27B6">
        <w:rPr>
          <w:sz w:val="24"/>
          <w:szCs w:val="24"/>
        </w:rPr>
        <w:t xml:space="preserve">. </w:t>
      </w:r>
      <w:r w:rsidR="002A7E61" w:rsidRPr="000F27B6">
        <w:rPr>
          <w:sz w:val="24"/>
          <w:szCs w:val="24"/>
        </w:rPr>
        <w:t xml:space="preserve">Families of </w:t>
      </w:r>
      <w:r w:rsidR="00826B8C" w:rsidRPr="000F27B6">
        <w:rPr>
          <w:sz w:val="24"/>
          <w:szCs w:val="24"/>
        </w:rPr>
        <w:t xml:space="preserve">decedents </w:t>
      </w:r>
      <w:r w:rsidR="00A01225" w:rsidRPr="000F27B6">
        <w:rPr>
          <w:sz w:val="24"/>
          <w:szCs w:val="24"/>
        </w:rPr>
        <w:t>with idiopathic LVH</w:t>
      </w:r>
      <w:r w:rsidR="002A7E61" w:rsidRPr="000F27B6">
        <w:rPr>
          <w:sz w:val="24"/>
          <w:szCs w:val="24"/>
        </w:rPr>
        <w:t xml:space="preserve"> that encountered extensive diagnostic work-up at a different cent</w:t>
      </w:r>
      <w:r w:rsidR="00C44098" w:rsidRPr="000F27B6">
        <w:rPr>
          <w:sz w:val="24"/>
          <w:szCs w:val="24"/>
        </w:rPr>
        <w:t>re</w:t>
      </w:r>
      <w:r w:rsidR="002A7E61" w:rsidRPr="000F27B6">
        <w:rPr>
          <w:sz w:val="24"/>
          <w:szCs w:val="24"/>
        </w:rPr>
        <w:t xml:space="preserve"> </w:t>
      </w:r>
      <w:r w:rsidR="00E57569" w:rsidRPr="000F27B6">
        <w:rPr>
          <w:sz w:val="24"/>
          <w:szCs w:val="24"/>
        </w:rPr>
        <w:t>(n=</w:t>
      </w:r>
      <w:r w:rsidR="000554D2" w:rsidRPr="000F27B6">
        <w:rPr>
          <w:sz w:val="24"/>
          <w:szCs w:val="24"/>
        </w:rPr>
        <w:t>6</w:t>
      </w:r>
      <w:r w:rsidR="00E57569" w:rsidRPr="000F27B6">
        <w:rPr>
          <w:sz w:val="24"/>
          <w:szCs w:val="24"/>
        </w:rPr>
        <w:t xml:space="preserve">) </w:t>
      </w:r>
      <w:r w:rsidR="002A7E61" w:rsidRPr="000F27B6">
        <w:rPr>
          <w:sz w:val="24"/>
          <w:szCs w:val="24"/>
        </w:rPr>
        <w:t>were included in the study after gaining their consent to retrieve medical information. Whe</w:t>
      </w:r>
      <w:r w:rsidR="00C44098" w:rsidRPr="000F27B6">
        <w:rPr>
          <w:sz w:val="24"/>
          <w:szCs w:val="24"/>
        </w:rPr>
        <w:t>n</w:t>
      </w:r>
      <w:r w:rsidR="00B51EA7" w:rsidRPr="000F27B6">
        <w:rPr>
          <w:sz w:val="24"/>
          <w:szCs w:val="24"/>
        </w:rPr>
        <w:t xml:space="preserve"> such</w:t>
      </w:r>
      <w:r w:rsidR="002A7E61" w:rsidRPr="000F27B6">
        <w:rPr>
          <w:sz w:val="24"/>
          <w:szCs w:val="24"/>
        </w:rPr>
        <w:t xml:space="preserve"> family members </w:t>
      </w:r>
      <w:r w:rsidR="00B51EA7" w:rsidRPr="000F27B6">
        <w:rPr>
          <w:sz w:val="24"/>
          <w:szCs w:val="24"/>
        </w:rPr>
        <w:t>had not been</w:t>
      </w:r>
      <w:r w:rsidR="002A7E61" w:rsidRPr="000F27B6">
        <w:rPr>
          <w:sz w:val="24"/>
          <w:szCs w:val="24"/>
        </w:rPr>
        <w:t xml:space="preserve"> previously investigated as comprehensively as </w:t>
      </w:r>
      <w:r w:rsidR="00B51EA7" w:rsidRPr="000F27B6">
        <w:rPr>
          <w:sz w:val="24"/>
          <w:szCs w:val="24"/>
        </w:rPr>
        <w:t>per</w:t>
      </w:r>
      <w:r w:rsidR="002A7E61" w:rsidRPr="000F27B6">
        <w:rPr>
          <w:sz w:val="24"/>
          <w:szCs w:val="24"/>
        </w:rPr>
        <w:t xml:space="preserve"> our study</w:t>
      </w:r>
      <w:r w:rsidR="00B51EA7" w:rsidRPr="000F27B6">
        <w:rPr>
          <w:sz w:val="24"/>
          <w:szCs w:val="24"/>
        </w:rPr>
        <w:t xml:space="preserve"> protocol</w:t>
      </w:r>
      <w:r w:rsidR="002A7E61" w:rsidRPr="000F27B6">
        <w:rPr>
          <w:sz w:val="24"/>
          <w:szCs w:val="24"/>
        </w:rPr>
        <w:t xml:space="preserve">, </w:t>
      </w:r>
      <w:r w:rsidR="00826B8C" w:rsidRPr="000F27B6">
        <w:rPr>
          <w:sz w:val="24"/>
          <w:szCs w:val="24"/>
        </w:rPr>
        <w:t xml:space="preserve">we </w:t>
      </w:r>
      <w:r w:rsidR="002A7E61" w:rsidRPr="000F27B6">
        <w:rPr>
          <w:sz w:val="24"/>
          <w:szCs w:val="24"/>
        </w:rPr>
        <w:t>offered</w:t>
      </w:r>
      <w:r w:rsidR="00B51EA7" w:rsidRPr="000F27B6">
        <w:rPr>
          <w:sz w:val="24"/>
          <w:szCs w:val="24"/>
        </w:rPr>
        <w:t xml:space="preserve"> the appropriate additional</w:t>
      </w:r>
      <w:r w:rsidR="00774B10" w:rsidRPr="000F27B6">
        <w:rPr>
          <w:sz w:val="24"/>
          <w:szCs w:val="24"/>
        </w:rPr>
        <w:t xml:space="preserve"> cardiac</w:t>
      </w:r>
      <w:r w:rsidR="002A7E61" w:rsidRPr="000F27B6">
        <w:rPr>
          <w:sz w:val="24"/>
          <w:szCs w:val="24"/>
        </w:rPr>
        <w:t xml:space="preserve"> tests </w:t>
      </w:r>
      <w:r w:rsidR="00A2507E" w:rsidRPr="000F27B6">
        <w:rPr>
          <w:sz w:val="24"/>
          <w:szCs w:val="24"/>
        </w:rPr>
        <w:t>in</w:t>
      </w:r>
      <w:r w:rsidR="002A7E61" w:rsidRPr="000F27B6">
        <w:rPr>
          <w:sz w:val="24"/>
          <w:szCs w:val="24"/>
        </w:rPr>
        <w:t xml:space="preserve"> </w:t>
      </w:r>
      <w:r w:rsidR="00B51EA7" w:rsidRPr="000F27B6">
        <w:rPr>
          <w:sz w:val="24"/>
          <w:szCs w:val="24"/>
        </w:rPr>
        <w:t>our</w:t>
      </w:r>
      <w:r w:rsidR="002A7E61" w:rsidRPr="000F27B6">
        <w:rPr>
          <w:sz w:val="24"/>
          <w:szCs w:val="24"/>
        </w:rPr>
        <w:t xml:space="preserve"> inherited cardiac disease </w:t>
      </w:r>
      <w:r w:rsidR="00A2507E" w:rsidRPr="000F27B6">
        <w:rPr>
          <w:sz w:val="24"/>
          <w:szCs w:val="24"/>
        </w:rPr>
        <w:t>unit</w:t>
      </w:r>
      <w:r w:rsidR="002A7E61" w:rsidRPr="000F27B6">
        <w:rPr>
          <w:sz w:val="24"/>
          <w:szCs w:val="24"/>
        </w:rPr>
        <w:t>.</w:t>
      </w:r>
    </w:p>
    <w:p w14:paraId="63FF9E67" w14:textId="77777777" w:rsidR="004956DC" w:rsidRPr="000F27B6" w:rsidRDefault="00A2507E" w:rsidP="004956DC">
      <w:pPr>
        <w:spacing w:line="480" w:lineRule="auto"/>
        <w:rPr>
          <w:i/>
          <w:sz w:val="24"/>
          <w:szCs w:val="24"/>
        </w:rPr>
      </w:pPr>
      <w:r w:rsidRPr="000F27B6">
        <w:rPr>
          <w:i/>
          <w:sz w:val="24"/>
          <w:szCs w:val="24"/>
        </w:rPr>
        <w:t>Investigations</w:t>
      </w:r>
    </w:p>
    <w:p w14:paraId="606CCD60" w14:textId="53B91B5F" w:rsidR="00A2507E" w:rsidRPr="000F27B6" w:rsidRDefault="00B4389E" w:rsidP="00B4389E">
      <w:pPr>
        <w:spacing w:line="480" w:lineRule="auto"/>
        <w:rPr>
          <w:sz w:val="24"/>
          <w:szCs w:val="24"/>
          <w:u w:val="single"/>
        </w:rPr>
      </w:pPr>
      <w:r w:rsidRPr="000F27B6">
        <w:rPr>
          <w:sz w:val="24"/>
          <w:szCs w:val="24"/>
          <w:u w:val="single"/>
        </w:rPr>
        <w:lastRenderedPageBreak/>
        <w:t>12-lead ECG</w:t>
      </w:r>
    </w:p>
    <w:p w14:paraId="490FD4A9" w14:textId="02F6CAEB" w:rsidR="00AD790F" w:rsidRPr="000F27B6" w:rsidRDefault="00E77F08" w:rsidP="00B4389E">
      <w:pPr>
        <w:spacing w:line="480" w:lineRule="auto"/>
        <w:rPr>
          <w:sz w:val="24"/>
          <w:szCs w:val="24"/>
        </w:rPr>
      </w:pPr>
      <w:r w:rsidRPr="000F27B6">
        <w:rPr>
          <w:sz w:val="24"/>
          <w:szCs w:val="24"/>
        </w:rPr>
        <w:t>A standard resting 12-lead</w:t>
      </w:r>
      <w:r w:rsidR="0047243C" w:rsidRPr="000F27B6">
        <w:rPr>
          <w:sz w:val="24"/>
          <w:szCs w:val="24"/>
        </w:rPr>
        <w:t xml:space="preserve"> ECG was</w:t>
      </w:r>
      <w:r w:rsidR="00B4389E" w:rsidRPr="000F27B6">
        <w:rPr>
          <w:sz w:val="24"/>
          <w:szCs w:val="24"/>
        </w:rPr>
        <w:t xml:space="preserve"> performed as previously described</w:t>
      </w:r>
      <w:r w:rsidR="004956DC" w:rsidRPr="000F27B6">
        <w:rPr>
          <w:sz w:val="24"/>
          <w:szCs w:val="24"/>
        </w:rPr>
        <w:fldChar w:fldCharType="begin" w:fldLock="1"/>
      </w:r>
      <w:r w:rsidR="00B0022F">
        <w:rPr>
          <w:sz w:val="24"/>
          <w:szCs w:val="24"/>
        </w:rPr>
        <w:instrText>ADDIN CSL_CITATION {"citationItems":[{"id":"ITEM-1","itemData":{"ISSN":"0002-8703","PMID":"15432282","author":[{"dropping-particle":"","family":"EINTHOVEN","given":"W","non-dropping-particle":"","parse-names":false,"suffix":""},{"dropping-particle":"","family":"FAHR","given":"G","non-dropping-particle":"","parse-names":false,"suffix":""},{"dropping-particle":"","family":"WAART","given":"A","non-dropping-particle":"DE","parse-names":false,"suffix":""}],"container-title":"American heart journal","id":"ITEM-1","issue":"2","issued":{"date-parts":[["1950","8"]]},"page":"163-211","title":"On the direction and manifest size of the variations of potential in the human heart and on the influence of the position of the heart on the form of the electrocardiogram.","type":"article-journal","volume":"40"},"uris":["http://www.mendeley.com/documents/?uuid=66c34ad2-0dbd-4722-baf2-94baee573c04"]}],"mendeley":{"formattedCitation":"&lt;sup&gt;12&lt;/sup&gt;","plainTextFormattedCitation":"12","previouslyFormattedCitation":"&lt;sup&gt;12&lt;/sup&gt;"},"properties":{"noteIndex":0},"schema":"https://github.com/citation-style-language/schema/raw/master/csl-citation.json"}</w:instrText>
      </w:r>
      <w:r w:rsidR="004956DC" w:rsidRPr="000F27B6">
        <w:rPr>
          <w:sz w:val="24"/>
          <w:szCs w:val="24"/>
        </w:rPr>
        <w:fldChar w:fldCharType="separate"/>
      </w:r>
      <w:r w:rsidR="00B0022F" w:rsidRPr="00B0022F">
        <w:rPr>
          <w:noProof/>
          <w:sz w:val="24"/>
          <w:szCs w:val="24"/>
          <w:vertAlign w:val="superscript"/>
        </w:rPr>
        <w:t>12</w:t>
      </w:r>
      <w:r w:rsidR="004956DC" w:rsidRPr="000F27B6">
        <w:rPr>
          <w:sz w:val="24"/>
          <w:szCs w:val="24"/>
        </w:rPr>
        <w:fldChar w:fldCharType="end"/>
      </w:r>
      <w:r w:rsidR="00AF7792" w:rsidRPr="000F27B6">
        <w:rPr>
          <w:sz w:val="24"/>
          <w:szCs w:val="24"/>
        </w:rPr>
        <w:t>.</w:t>
      </w:r>
      <w:r w:rsidR="004956DC" w:rsidRPr="000F27B6">
        <w:rPr>
          <w:sz w:val="24"/>
          <w:szCs w:val="24"/>
        </w:rPr>
        <w:t xml:space="preserve"> </w:t>
      </w:r>
      <w:r w:rsidRPr="000F27B6">
        <w:rPr>
          <w:sz w:val="24"/>
          <w:szCs w:val="24"/>
        </w:rPr>
        <w:t xml:space="preserve">High intercostal leads (third and second intercostal space) were performed </w:t>
      </w:r>
      <w:r w:rsidR="000554D2" w:rsidRPr="000F27B6">
        <w:rPr>
          <w:sz w:val="24"/>
          <w:szCs w:val="24"/>
        </w:rPr>
        <w:t>in all cases</w:t>
      </w:r>
      <w:r w:rsidRPr="000F27B6">
        <w:rPr>
          <w:sz w:val="24"/>
          <w:szCs w:val="24"/>
        </w:rPr>
        <w:t>.</w:t>
      </w:r>
    </w:p>
    <w:p w14:paraId="7F5E29BD" w14:textId="77777777" w:rsidR="00A2507E" w:rsidRPr="000F27B6" w:rsidRDefault="00A2507E" w:rsidP="00B4389E">
      <w:pPr>
        <w:spacing w:line="480" w:lineRule="auto"/>
        <w:rPr>
          <w:sz w:val="24"/>
          <w:szCs w:val="24"/>
          <w:u w:val="single"/>
        </w:rPr>
      </w:pPr>
      <w:r w:rsidRPr="000F27B6">
        <w:rPr>
          <w:sz w:val="24"/>
          <w:szCs w:val="24"/>
          <w:u w:val="single"/>
        </w:rPr>
        <w:t>Echocardiography</w:t>
      </w:r>
    </w:p>
    <w:p w14:paraId="5A742966" w14:textId="36A9FBC2" w:rsidR="00AD790F" w:rsidRPr="000F27B6" w:rsidRDefault="00B4389E" w:rsidP="00B4389E">
      <w:pPr>
        <w:spacing w:line="480" w:lineRule="auto"/>
        <w:rPr>
          <w:sz w:val="24"/>
          <w:szCs w:val="24"/>
          <w:lang w:val="en-US"/>
        </w:rPr>
      </w:pPr>
      <w:r w:rsidRPr="000F27B6">
        <w:rPr>
          <w:sz w:val="24"/>
          <w:szCs w:val="24"/>
        </w:rPr>
        <w:t xml:space="preserve">Two-dimensional echocardiography was performed with the subject in the left lateral decubitus position using the following commercially available ultrasound systems: GE Vivid I, GE Vivid 9 (GE Healthcare, Milwaukee, WI, USA) and Philips iE33 (Philips Medical, Bothell, Washington, USA). </w:t>
      </w:r>
      <w:r w:rsidR="00531891" w:rsidRPr="000F27B6">
        <w:rPr>
          <w:sz w:val="24"/>
          <w:szCs w:val="24"/>
        </w:rPr>
        <w:t>S</w:t>
      </w:r>
      <w:r w:rsidRPr="000F27B6">
        <w:rPr>
          <w:sz w:val="24"/>
          <w:szCs w:val="24"/>
        </w:rPr>
        <w:t>tandard views</w:t>
      </w:r>
      <w:r w:rsidR="00531891" w:rsidRPr="000F27B6">
        <w:rPr>
          <w:sz w:val="24"/>
          <w:szCs w:val="24"/>
        </w:rPr>
        <w:t xml:space="preserve"> were</w:t>
      </w:r>
      <w:r w:rsidRPr="000F27B6">
        <w:rPr>
          <w:sz w:val="24"/>
          <w:szCs w:val="24"/>
        </w:rPr>
        <w:t xml:space="preserve"> obtained and analysed according to the protocols specified by the European Association of Echocardiography</w:t>
      </w:r>
      <w:r w:rsidR="004956DC" w:rsidRPr="000F27B6">
        <w:rPr>
          <w:sz w:val="24"/>
          <w:szCs w:val="24"/>
        </w:rPr>
        <w:fldChar w:fldCharType="begin" w:fldLock="1"/>
      </w:r>
      <w:r w:rsidR="00B0022F">
        <w:rPr>
          <w:sz w:val="24"/>
          <w:szCs w:val="24"/>
        </w:rPr>
        <w:instrText>ADDIN CSL_CITATION {"citationItems":[{"id":"ITEM-1","itemData":{"DOI":"10.1093/ehjci/jev014","ISSN":"2047-2412","PMID":"25712077","abstract":"The rapid technological developments of the past decade and the changes in echocardiographic practice brought about by these developments have resulted in the need for updated recommendations to the previously published guidelines for cardiac chamber quantification, which was the goal of the joint writing group assembled by the American Society of Echocardiography and the European Association of Cardiovascular Imaging. This document provides updated normal values for all four cardiac chambers, including three-dimensional echocardiography and myocardial deformation, when possible, on the basis of considerably larger numbers of normal subjects, compiled from multiple databases. In addition, this document attempts to eliminate several minor discrepancies that existed between previously published guidelines.","author":[{"dropping-particle":"","family":"Lang","given":"Roberto M","non-dropping-particle":"","parse-names":false,"suffix":""},{"dropping-particle":"","family":"Badano","given":"Luigi P","non-dropping-particle":"","parse-names":false,"suffix":""},{"dropping-particle":"","family":"Mor-Avi","given":"Victor","non-dropping-particle":"","parse-names":false,"suffix":""},{"dropping-particle":"","family":"Afilalo","given":"Jonathan","non-dropping-particle":"","parse-names":false,"suffix":""},{"dropping-particle":"","family":"Armstrong","given":"Anderson","non-dropping-particle":"","parse-names":false,"suffix":""},{"dropping-particle":"","family":"Ernande","given":"Laura","non-dropping-particle":"","parse-names":false,"suffix":""},{"dropping-particle":"","family":"Flachskampf","given":"Frank A","non-dropping-particle":"","parse-names":false,"suffix":""},{"dropping-particle":"","family":"Foster","given":"Elyse","non-dropping-particle":"","parse-names":false,"suffix":""},{"dropping-particle":"","family":"Goldstein","given":"Steven A","non-dropping-particle":"","parse-names":false,"suffix":""},{"dropping-particle":"","family":"Kuznetsova","given":"Tatiana","non-dropping-particle":"","parse-names":false,"suffix":""},{"dropping-particle":"","family":"Lancellotti","given":"Patrizio","non-dropping-particle":"","parse-names":false,"suffix":""},{"dropping-particle":"","family":"Muraru","given":"Denisa","non-dropping-particle":"","parse-names":false,"suffix":""},{"dropping-particle":"","family":"Picard","given":"Michael H","non-dropping-particle":"","parse-names":false,"suffix":""},{"dropping-particle":"","family":"Rietzschel","given":"Ernst R","non-dropping-particle":"","parse-names":false,"suffix":""},{"dropping-particle":"","family":"Rudski","given":"Lawrence","non-dropping-particle":"","parse-names":false,"suffix":""},{"dropping-particle":"","family":"Spencer","given":"Kirk T","non-dropping-particle":"","parse-names":false,"suffix":""},{"dropping-particle":"","family":"Tsang","given":"Wendy","non-dropping-particle":"","parse-names":false,"suffix":""},{"dropping-particle":"","family":"Voigt","given":"Jens-Uwe","non-dropping-particle":"","parse-names":false,"suffix":""}],"container-title":"European heart journal cardiovascular Imaging","id":"ITEM-1","issue":"3","issued":{"date-parts":[["2015","3"]]},"page":"233-70","title":"Recommendations for cardiac chamber quantification by echocardiography in adults: an update from the American Society of Echocardiography and the European Association of Cardiovascular Imaging.","type":"article-journal","volume":"16"},"uris":["http://www.mendeley.com/documents/?uuid=6afb245c-565a-4766-83d1-2376be2dbf0f"]}],"mendeley":{"formattedCitation":"&lt;sup&gt;13&lt;/sup&gt;","plainTextFormattedCitation":"13","previouslyFormattedCitation":"&lt;sup&gt;13&lt;/sup&gt;"},"properties":{"noteIndex":0},"schema":"https://github.com/citation-style-language/schema/raw/master/csl-citation.json"}</w:instrText>
      </w:r>
      <w:r w:rsidR="004956DC" w:rsidRPr="000F27B6">
        <w:rPr>
          <w:sz w:val="24"/>
          <w:szCs w:val="24"/>
        </w:rPr>
        <w:fldChar w:fldCharType="separate"/>
      </w:r>
      <w:r w:rsidR="00B0022F" w:rsidRPr="00B0022F">
        <w:rPr>
          <w:noProof/>
          <w:sz w:val="24"/>
          <w:szCs w:val="24"/>
          <w:vertAlign w:val="superscript"/>
        </w:rPr>
        <w:t>13</w:t>
      </w:r>
      <w:r w:rsidR="004956DC" w:rsidRPr="000F27B6">
        <w:rPr>
          <w:sz w:val="24"/>
          <w:szCs w:val="24"/>
        </w:rPr>
        <w:fldChar w:fldCharType="end"/>
      </w:r>
      <w:r w:rsidRPr="000F27B6">
        <w:rPr>
          <w:sz w:val="24"/>
          <w:szCs w:val="24"/>
        </w:rPr>
        <w:t xml:space="preserve">. </w:t>
      </w:r>
      <w:r w:rsidR="00AC5411" w:rsidRPr="000F27B6">
        <w:rPr>
          <w:sz w:val="24"/>
          <w:szCs w:val="24"/>
          <w:lang w:val="en-US"/>
        </w:rPr>
        <w:t>L</w:t>
      </w:r>
      <w:r w:rsidR="00531891" w:rsidRPr="000F27B6">
        <w:rPr>
          <w:sz w:val="24"/>
          <w:szCs w:val="24"/>
          <w:lang w:val="en-US"/>
        </w:rPr>
        <w:t>eft</w:t>
      </w:r>
      <w:r w:rsidR="004A2B96" w:rsidRPr="000F27B6">
        <w:rPr>
          <w:sz w:val="24"/>
          <w:szCs w:val="24"/>
          <w:lang w:val="en-US"/>
        </w:rPr>
        <w:t xml:space="preserve"> sided cardiac dimensions</w:t>
      </w:r>
      <w:r w:rsidR="00531891" w:rsidRPr="000F27B6">
        <w:rPr>
          <w:sz w:val="24"/>
          <w:szCs w:val="24"/>
          <w:lang w:val="en-US"/>
        </w:rPr>
        <w:t xml:space="preserve"> </w:t>
      </w:r>
      <w:r w:rsidR="00AC5411" w:rsidRPr="000F27B6">
        <w:rPr>
          <w:sz w:val="24"/>
          <w:szCs w:val="24"/>
          <w:lang w:val="en-US"/>
        </w:rPr>
        <w:t>were measured from two-dimensional images in the parasternal long-axis</w:t>
      </w:r>
      <w:r w:rsidR="004A2B96" w:rsidRPr="000F27B6">
        <w:rPr>
          <w:sz w:val="24"/>
          <w:szCs w:val="24"/>
          <w:lang w:val="en-US"/>
        </w:rPr>
        <w:t xml:space="preserve"> and short-axis</w:t>
      </w:r>
      <w:r w:rsidR="00AC5411" w:rsidRPr="000F27B6">
        <w:rPr>
          <w:sz w:val="24"/>
          <w:szCs w:val="24"/>
          <w:lang w:val="en-US"/>
        </w:rPr>
        <w:t xml:space="preserve"> view</w:t>
      </w:r>
      <w:r w:rsidR="004A2B96" w:rsidRPr="000F27B6">
        <w:rPr>
          <w:sz w:val="24"/>
          <w:szCs w:val="24"/>
          <w:lang w:val="en-US"/>
        </w:rPr>
        <w:t>s</w:t>
      </w:r>
      <w:r w:rsidR="00AC5411" w:rsidRPr="000F27B6">
        <w:rPr>
          <w:sz w:val="24"/>
          <w:szCs w:val="24"/>
          <w:lang w:val="en-US"/>
        </w:rPr>
        <w:t xml:space="preserve"> </w:t>
      </w:r>
      <w:r w:rsidR="00AC5411" w:rsidRPr="000F27B6">
        <w:rPr>
          <w:sz w:val="24"/>
          <w:szCs w:val="24"/>
          <w:vertAlign w:val="superscript"/>
        </w:rPr>
        <w:fldChar w:fldCharType="begin" w:fldLock="1"/>
      </w:r>
      <w:r w:rsidR="00B0022F">
        <w:rPr>
          <w:sz w:val="24"/>
          <w:szCs w:val="24"/>
          <w:vertAlign w:val="superscript"/>
        </w:rPr>
        <w:instrText>ADDIN CSL_CITATION {"citationItems":[{"id":"ITEM-1","itemData":{"DOI":"10.1136/bmjopen-2014-004814","ISSN":"20446055","abstract":"Objectives: It is unclear if morphology impacts on diastole in hypertrophic cardiomyopathy (HCM). We sought to determine the relationship between various parameters of diastolic function and morphology in a large HCM cohort. Setting: Tertiary referral centre from Stanford, California, USA. Partecipants: 383 patients with HCM and normal systolic function between 1999 and 2011. A group of 100 prospectively recruited age-matched and sex-matched healthy participants were used as controls. Primary and secondary outcome measures: Echocardiograms were assessed by two blinded board-certified cardiologists. HCM morphology was classified as described in the literature (reverse, sigmoid, symmetric, apical and undefined). Results: Reverse curvature morphology was most commonly observed (218 (57%). Lateral mitral annular E′&lt;12 cm/s was present in 86% of reverse, 88% of sigmoid, 79% of symmetric, 86% of apical and 81% of undefined morphology, p=0.65. E/E′ was similarly elevated (E/E′: 12.3±7.9 in reverse curvature, 12.1±6.1 in sigmoid, 12.7±9.5 in symmetric, 9.4±4.0 in apical, 12.7±7.9 in undefined morphology, p=0.71) and indexed left atrial volume (LAVi)&gt;40 mL/m2 was present in 47% in reverse curvature, 33% in sigmoid, 32% in symmetric, 37% in apical and 32% in undefined, p=0.09. Each morphology showed altered parameters of diastolic function when compared with the control population. Left ventricular (LV) obstruction was independently associated with all three diastolic parameters considered, in particular with LAVi&gt;40 mL/ m2 (OR 2.04 (95% CI 1.23 to 3.39), p=0.005), E/E′&gt;15 (OR 4.66 (95% CI 2.51 to 8.64), p&lt;0.001) and E′&lt;8 (OR 2.55 (95% CI 1.42 to 4.53), p=0.001). Other correlates of diastolic dysfunction were age, LV wall thickness and moderate-to-severe mitral regurgitation. Conclusions: In HCM, diastolic dysfunction is present to similar degrees independently from the morphological pattern. The main correlates of diastolic dysfunction are LV obstruction, age, degree of hypertrophy and degree of mitral regurgitation.","author":[{"dropping-particle":"","family":"Finocchiaro","given":"G.","non-dropping-particle":"","parse-names":false,"suffix":""},{"dropping-particle":"","family":"Haddad","given":"F.","non-dropping-particle":"","parse-names":false,"suffix":""},{"dropping-particle":"","family":"Pavlovic","given":"A.","non-dropping-particle":"","parse-names":false,"suffix":""},{"dropping-particle":"","family":"Magavern","given":"E.","non-dropping-particle":"","parse-names":false,"suffix":""},{"dropping-particle":"","family":"Sinagra","given":"G.","non-dropping-particle":"","parse-names":false,"suffix":""},{"dropping-particle":"","family":"Knowles","given":"J.W.","non-dropping-particle":"","parse-names":false,"suffix":""},{"dropping-particle":"","family":"Myers","given":"J.","non-dropping-particle":"","parse-names":false,"suffix":""},{"dropping-particle":"","family":"Ashley","given":"E.A.","non-dropping-particle":"","parse-names":false,"suffix":""}],"container-title":"BMJ Open","id":"ITEM-1","issue":"6","issued":{"date-parts":[["2014"]]},"title":"How does morphology impact on diastolic function in hypertrophic cardiomyopathy? A single centre experience","type":"article-journal","volume":"4"},"uris":["http://www.mendeley.com/documents/?uuid=45dc4fc7-efd9-3453-b8be-db309188afdc"]},{"id":"ITEM-2","itemData":{"DOI":"10.1016/j.jcmg.2016.05.003","ISSN":"1876-7591","PMID":"27388665","abstract":"The almost 50-year odyssey of cardiac imaging in hypertrophic cardiomyopathy (HCM), revisited and described here, has been remarkable, particularly when viewed in the timeline of advances that occurred during a single generation of investigators. At each step along the way, from M-mode to 2-dimensional echocardiography to Doppler imaging, and finally over the last 10 years with the emergence of high-resolution tomographic cardiac magnetic resonance (CMR), evolution of the images generated by each new technology constituted a paradigm change over what was previously available. Together, these advances have transformed the noninvasive diagnosis and management of HCM in a number of important clinical respects. These changes include a more complete definition of the phenotype, resulting in more reliable clinical identification of patients and family members, defining mechanisms (and magnitude) of left ventricular outflow obstruction, and novel myocardial tissue characterization (including in vivo detection of fibrosis/scarring); notably, these advances afford more precise recognition of at-risk patients who are potential candidates for life-saving primary prevention defibrillator therapy. This evolution in imaging as applied to HCM has indelibly changed cardiovascular practice for this morphologically and clinically complex genetic disease.","author":[{"dropping-particle":"","family":"Maron","given":"Barry J","non-dropping-particle":"","parse-names":false,"suffix":""},{"dropping-particle":"","family":"Maron","given":"Martin S","non-dropping-particle":"","parse-names":false,"suffix":""}],"container-title":"JACC. Cardiovascular imaging","id":"ITEM-2","issue":"7","issued":{"date-parts":[["2016"]]},"page":"858-872","title":"The Remarkable 50 Years of Imaging in HCM and How it Has Changed Diagnosis and Management: From M-Mode Echocardiography to CMR.","type":"article-journal","volume":"9"},"uris":["http://www.mendeley.com/documents/?uuid=7b367a7f-a982-419f-b5b9-37fb8ba4c3b2","http://www.mendeley.com/documents/?uuid=fae0807c-4e38-4f82-b563-c8d546342297"]}],"mendeley":{"formattedCitation":"&lt;sup&gt;14,15&lt;/sup&gt;","plainTextFormattedCitation":"14,15","previouslyFormattedCitation":"&lt;sup&gt;14,15&lt;/sup&gt;"},"properties":{"noteIndex":0},"schema":"https://github.com/citation-style-language/schema/raw/master/csl-citation.json"}</w:instrText>
      </w:r>
      <w:r w:rsidR="00AC5411" w:rsidRPr="000F27B6">
        <w:rPr>
          <w:sz w:val="24"/>
          <w:szCs w:val="24"/>
          <w:vertAlign w:val="superscript"/>
        </w:rPr>
        <w:fldChar w:fldCharType="separate"/>
      </w:r>
      <w:r w:rsidR="00B0022F" w:rsidRPr="00B0022F">
        <w:rPr>
          <w:noProof/>
          <w:sz w:val="24"/>
          <w:szCs w:val="24"/>
          <w:vertAlign w:val="superscript"/>
        </w:rPr>
        <w:t>14,15</w:t>
      </w:r>
      <w:r w:rsidR="00AC5411" w:rsidRPr="000F27B6">
        <w:rPr>
          <w:sz w:val="24"/>
          <w:szCs w:val="24"/>
          <w:vertAlign w:val="superscript"/>
        </w:rPr>
        <w:fldChar w:fldCharType="end"/>
      </w:r>
      <w:r w:rsidR="00AC5411" w:rsidRPr="000F27B6">
        <w:rPr>
          <w:sz w:val="24"/>
          <w:szCs w:val="24"/>
          <w:lang w:val="en-US"/>
        </w:rPr>
        <w:t>. When measuring septal thickness, care was taken to exclude right ventricular septal bands.</w:t>
      </w:r>
    </w:p>
    <w:p w14:paraId="2D425791" w14:textId="783DB923" w:rsidR="00531891" w:rsidRPr="000F27B6" w:rsidRDefault="00531891" w:rsidP="00B4389E">
      <w:pPr>
        <w:spacing w:line="480" w:lineRule="auto"/>
        <w:rPr>
          <w:sz w:val="24"/>
          <w:szCs w:val="24"/>
          <w:u w:val="single"/>
        </w:rPr>
      </w:pPr>
      <w:r w:rsidRPr="000F27B6">
        <w:rPr>
          <w:sz w:val="24"/>
          <w:szCs w:val="24"/>
          <w:u w:val="single"/>
        </w:rPr>
        <w:t>Cardi</w:t>
      </w:r>
      <w:r w:rsidR="00B8063E" w:rsidRPr="000F27B6">
        <w:rPr>
          <w:sz w:val="24"/>
          <w:szCs w:val="24"/>
          <w:u w:val="single"/>
        </w:rPr>
        <w:t>ovascular</w:t>
      </w:r>
      <w:r w:rsidRPr="000F27B6">
        <w:rPr>
          <w:sz w:val="24"/>
          <w:szCs w:val="24"/>
          <w:u w:val="single"/>
        </w:rPr>
        <w:t xml:space="preserve"> magnetic resonance</w:t>
      </w:r>
      <w:r w:rsidR="00B8063E" w:rsidRPr="000F27B6">
        <w:rPr>
          <w:sz w:val="24"/>
          <w:szCs w:val="24"/>
          <w:u w:val="single"/>
        </w:rPr>
        <w:t xml:space="preserve"> </w:t>
      </w:r>
    </w:p>
    <w:p w14:paraId="65261750" w14:textId="219BA752" w:rsidR="00B4389E" w:rsidRPr="000F27B6" w:rsidRDefault="00531891" w:rsidP="00B4389E">
      <w:pPr>
        <w:spacing w:line="480" w:lineRule="auto"/>
        <w:rPr>
          <w:sz w:val="24"/>
          <w:szCs w:val="24"/>
        </w:rPr>
      </w:pPr>
      <w:r w:rsidRPr="000F27B6">
        <w:rPr>
          <w:sz w:val="24"/>
          <w:szCs w:val="24"/>
        </w:rPr>
        <w:t>Cardi</w:t>
      </w:r>
      <w:r w:rsidR="00B8063E" w:rsidRPr="000F27B6">
        <w:rPr>
          <w:sz w:val="24"/>
          <w:szCs w:val="24"/>
        </w:rPr>
        <w:t xml:space="preserve">ovascular </w:t>
      </w:r>
      <w:r w:rsidRPr="000F27B6">
        <w:rPr>
          <w:sz w:val="24"/>
          <w:szCs w:val="24"/>
        </w:rPr>
        <w:t xml:space="preserve">magnetic resonance </w:t>
      </w:r>
      <w:r w:rsidR="00C44098" w:rsidRPr="000F27B6">
        <w:rPr>
          <w:sz w:val="24"/>
          <w:szCs w:val="24"/>
        </w:rPr>
        <w:t>imaging</w:t>
      </w:r>
      <w:r w:rsidR="00B4389E" w:rsidRPr="000F27B6">
        <w:rPr>
          <w:sz w:val="24"/>
          <w:szCs w:val="24"/>
        </w:rPr>
        <w:t xml:space="preserve"> was performed with a Philips Achiever 3.0T TX (Amsterdam, The Netherlands) scanner using steady-state, free precession breath-hold </w:t>
      </w:r>
      <w:proofErr w:type="spellStart"/>
      <w:r w:rsidR="00B4389E" w:rsidRPr="000F27B6">
        <w:rPr>
          <w:sz w:val="24"/>
          <w:szCs w:val="24"/>
        </w:rPr>
        <w:t>cines</w:t>
      </w:r>
      <w:proofErr w:type="spellEnd"/>
      <w:r w:rsidR="00B4389E" w:rsidRPr="000F27B6">
        <w:rPr>
          <w:sz w:val="24"/>
          <w:szCs w:val="24"/>
        </w:rPr>
        <w:t xml:space="preserve"> in long-axis planes and sequential 7mm short-axis slices from the atrioventricular ring to the apex. Ventricular volumes and function and left ventricular mass were measured using standard techniques and analysed using semi-automated software (Extended MR workspace [Philips, Amsterdam, The Netherlands]. All volumes and masses were indexed for age and body surface area (BSA)</w:t>
      </w:r>
      <w:r w:rsidR="004956DC" w:rsidRPr="000F27B6">
        <w:rPr>
          <w:sz w:val="24"/>
          <w:szCs w:val="24"/>
        </w:rPr>
        <w:fldChar w:fldCharType="begin" w:fldLock="1"/>
      </w:r>
      <w:r w:rsidR="00B0022F">
        <w:rPr>
          <w:sz w:val="24"/>
          <w:szCs w:val="24"/>
        </w:rPr>
        <w:instrText>ADDIN CSL_CITATION {"citationItems":[{"id":"ITEM-1","itemData":{"DOI":"10.1016/j.mri.2008.06.008","ISBN":"0730-725X (Print)\\r0730-725X (Linking)","ISSN":"0730-725X","PMID":"18687545","abstract":"Scaling left ventricular (LV) mass and other cardiac dimensions to account for individual body size is important. The traditional method of simple ratio scaling using, for example, body surface area (BSA) assumes a linear and proportional relationship and accurate measurement of both LV mass and BSA. These assumptions can be questioned; hence, we examined the appropriateness of methods and different indices using highly accurate magnetic resonance imaging scans. Cardiac and whole-body scans were performed in 172 young, healthy, male subjects (age range, 17-28 years) to assess LV mass, volume, linear dimensions, lean body mass and fat mass. Height, body mass and BSA were determined anthropometrically. Relationships were examined for linearity and closeness of fit using log-log least-squares linear regression to determine the slope exponent b (where 1.0 indicates linearity). The relationship between LV mass and lean body mass (b=.90+/-.15; r(2)=.66) was linear and geometrically consistent. This was also the case for LV end-diastolic volume (b=.70), although the confidence intervals were broader (+/-0.32) and the r(2) (.31) smaller. The relationships between LV mass, volume and other variables were generally not linear or geometrically consistent. LV linear dimensions did not demonstrate any linear relationships, and in particular, those with BSA were extremely poor (r(2)=.02-.09). In summary, the traditional scaling of LV measurements to BSA does not remove the influence of body size and other techniques should be considered. Lean body mass was the most appropriate variable for simple indexing of LV mass. No body size variable had a linear and proportional relationship with LV linear dimensions, and the use of simple ratio scaling for these is seriously questioned.","author":[{"dropping-particle":"","family":"George","given":"Keith P","non-dropping-particle":"","parse-names":false,"suffix":""},{"dropping-particle":"","family":"Birch","given":"Karen M","non-dropping-particle":"","parse-names":false,"suffix":""},{"dropping-particle":"","family":"Pennell","given":"Dudley J","non-dropping-particle":"","parse-names":false,"suffix":""},{"dropping-particle":"","family":"Myerson","given":"Saul G","non-dropping-particle":"","parse-names":false,"suffix":""}],"container-title":"Magnetic resonance imaging","id":"ITEM-1","issue":"2","issued":{"date-parts":[["2009"]]},"page":"207-13","publisher":"Elsevier Inc.","title":"Magnetic-resonance-imaging-derived indices for the normalization of left ventricular morphology by body size.","type":"article-journal","volume":"27"},"uris":["http://www.mendeley.com/documents/?uuid=5178c35b-3eb4-4c0f-a7e3-9d50c69d1423"]}],"mendeley":{"formattedCitation":"&lt;sup&gt;16&lt;/sup&gt;","plainTextFormattedCitation":"16","previouslyFormattedCitation":"&lt;sup&gt;16&lt;/sup&gt;"},"properties":{"noteIndex":0},"schema":"https://github.com/citation-style-language/schema/raw/master/csl-citation.json"}</w:instrText>
      </w:r>
      <w:r w:rsidR="004956DC" w:rsidRPr="000F27B6">
        <w:rPr>
          <w:sz w:val="24"/>
          <w:szCs w:val="24"/>
        </w:rPr>
        <w:fldChar w:fldCharType="separate"/>
      </w:r>
      <w:r w:rsidR="00B0022F" w:rsidRPr="00B0022F">
        <w:rPr>
          <w:noProof/>
          <w:sz w:val="24"/>
          <w:szCs w:val="24"/>
          <w:vertAlign w:val="superscript"/>
        </w:rPr>
        <w:t>16</w:t>
      </w:r>
      <w:r w:rsidR="004956DC" w:rsidRPr="000F27B6">
        <w:rPr>
          <w:sz w:val="24"/>
          <w:szCs w:val="24"/>
        </w:rPr>
        <w:fldChar w:fldCharType="end"/>
      </w:r>
      <w:r w:rsidR="00B4389E" w:rsidRPr="000F27B6">
        <w:rPr>
          <w:sz w:val="24"/>
          <w:szCs w:val="24"/>
        </w:rPr>
        <w:t xml:space="preserve">. </w:t>
      </w:r>
      <w:r w:rsidR="00AD790F" w:rsidRPr="000F27B6">
        <w:rPr>
          <w:sz w:val="24"/>
          <w:szCs w:val="24"/>
        </w:rPr>
        <w:t>Assessment of left ventricular and right ventricular function was</w:t>
      </w:r>
      <w:r w:rsidR="00B4389E" w:rsidRPr="000F27B6">
        <w:rPr>
          <w:sz w:val="24"/>
          <w:szCs w:val="24"/>
        </w:rPr>
        <w:t xml:space="preserve"> performed by 2 experienced observers. Late gadolinium enhancement images were acquired 10 minutes after intravenous gadolinium-DTPA (0.15 mmol/Kg, </w:t>
      </w:r>
      <w:proofErr w:type="spellStart"/>
      <w:r w:rsidR="005B7526">
        <w:rPr>
          <w:sz w:val="24"/>
          <w:szCs w:val="24"/>
        </w:rPr>
        <w:t>Gadovist</w:t>
      </w:r>
      <w:proofErr w:type="spellEnd"/>
      <w:r w:rsidR="00B4389E" w:rsidRPr="000F27B6">
        <w:rPr>
          <w:sz w:val="24"/>
          <w:szCs w:val="24"/>
        </w:rPr>
        <w:t xml:space="preserve">) in </w:t>
      </w:r>
      <w:r w:rsidR="00B4389E" w:rsidRPr="000F27B6">
        <w:rPr>
          <w:sz w:val="24"/>
          <w:szCs w:val="24"/>
        </w:rPr>
        <w:lastRenderedPageBreak/>
        <w:t>long-axis and short-axis planes using an inversion-recove</w:t>
      </w:r>
      <w:r w:rsidR="004956DC" w:rsidRPr="000F27B6">
        <w:rPr>
          <w:sz w:val="24"/>
          <w:szCs w:val="24"/>
        </w:rPr>
        <w:t>ry gradient echo sequence</w:t>
      </w:r>
      <w:r w:rsidR="004956DC" w:rsidRPr="000F27B6">
        <w:rPr>
          <w:sz w:val="24"/>
          <w:szCs w:val="24"/>
        </w:rPr>
        <w:fldChar w:fldCharType="begin" w:fldLock="1"/>
      </w:r>
      <w:r w:rsidR="00B0022F">
        <w:rPr>
          <w:sz w:val="24"/>
          <w:szCs w:val="24"/>
        </w:rPr>
        <w:instrText>ADDIN CSL_CITATION {"citationItems":[{"id":"ITEM-1","itemData":{"DOI":"10.1016/j.jacc.2010.11.013","ISBN":"0735-1097","ISSN":"07351097","PMID":"21329834","abstract":"Diffuse interstitial or replacement myocardial fibrosis is a common feature of a broad variety of cardiomyopathies. Myocardial fibrosis leads to impaired cardiac diastolic and systolic function and is related to adverse cardiovascular events. Cardiovascular magnetic resonance (CMR) may uniquely characterize the extent of replacement fibrosis and may have prognostic value in various cardiomyopathies. Myocardial longitudinal relaxation time mapping is an emerging technique that could improve CMR's diagnostic accuracy, especially for interstitial diffuse myocardial fibrosis. As such, CMR could be integrated in the monitoring and therapeutic management of a large number of patients. This review summarizes the advantages and limitations of CMR for the assessment of myocardial fibrosis. © 2011 American College of Cardiology Foundation.","author":[{"dropping-particle":"","family":"Mewton","given":"Nathan","non-dropping-particle":"","parse-names":false,"suffix":""},{"dropping-particle":"","family":"Liu","given":"Chia Ying","non-dropping-particle":"","parse-names":false,"suffix":""},{"dropping-particle":"","family":"Croisille","given":"Pierre","non-dropping-particle":"","parse-names":false,"suffix":""},{"dropping-particle":"","family":"Bluemke","given":"David","non-dropping-particle":"","parse-names":false,"suffix":""},{"dropping-particle":"","family":"Lima","given":"Joo a C","non-dropping-particle":"","parse-names":false,"suffix":""}],"container-title":"Journal of the American College of Cardiology","id":"ITEM-1","issue":"8","issued":{"date-parts":[["2011"]]},"page":"891-903","publisher":"Elsevier Inc.","title":"Assessment of myocardial fibrosis with cardiovascular magnetic resonance","type":"article-journal","volume":"57"},"uris":["http://www.mendeley.com/documents/?uuid=3f16cdcb-5475-40d4-85b3-f9e10caabe5d"]}],"mendeley":{"formattedCitation":"&lt;sup&gt;17&lt;/sup&gt;","plainTextFormattedCitation":"17","previouslyFormattedCitation":"&lt;sup&gt;17&lt;/sup&gt;"},"properties":{"noteIndex":0},"schema":"https://github.com/citation-style-language/schema/raw/master/csl-citation.json"}</w:instrText>
      </w:r>
      <w:r w:rsidR="004956DC" w:rsidRPr="000F27B6">
        <w:rPr>
          <w:sz w:val="24"/>
          <w:szCs w:val="24"/>
        </w:rPr>
        <w:fldChar w:fldCharType="separate"/>
      </w:r>
      <w:r w:rsidR="00B0022F" w:rsidRPr="00B0022F">
        <w:rPr>
          <w:noProof/>
          <w:sz w:val="24"/>
          <w:szCs w:val="24"/>
          <w:vertAlign w:val="superscript"/>
        </w:rPr>
        <w:t>17</w:t>
      </w:r>
      <w:r w:rsidR="004956DC" w:rsidRPr="000F27B6">
        <w:rPr>
          <w:sz w:val="24"/>
          <w:szCs w:val="24"/>
        </w:rPr>
        <w:fldChar w:fldCharType="end"/>
      </w:r>
      <w:r w:rsidR="00B4389E" w:rsidRPr="000F27B6">
        <w:rPr>
          <w:sz w:val="24"/>
          <w:szCs w:val="24"/>
        </w:rPr>
        <w:t xml:space="preserve">. Inversion times were adjusted to null normal myocardium and late gadolinium enhancement images were phase-swapped when </w:t>
      </w:r>
      <w:r w:rsidR="00FA23CB">
        <w:rPr>
          <w:sz w:val="24"/>
          <w:szCs w:val="24"/>
        </w:rPr>
        <w:t>necessary to</w:t>
      </w:r>
      <w:r w:rsidR="00B4389E" w:rsidRPr="000F27B6">
        <w:rPr>
          <w:sz w:val="24"/>
          <w:szCs w:val="24"/>
        </w:rPr>
        <w:t xml:space="preserve"> exclude possible artefacts.</w:t>
      </w:r>
    </w:p>
    <w:p w14:paraId="577EBBC3" w14:textId="075FF27F" w:rsidR="0039122B" w:rsidRPr="000F27B6" w:rsidRDefault="0039122B" w:rsidP="0039122B">
      <w:pPr>
        <w:spacing w:line="480" w:lineRule="auto"/>
        <w:rPr>
          <w:sz w:val="24"/>
          <w:szCs w:val="24"/>
          <w:u w:val="single"/>
        </w:rPr>
      </w:pPr>
      <w:r w:rsidRPr="000F27B6">
        <w:rPr>
          <w:sz w:val="24"/>
          <w:szCs w:val="24"/>
          <w:u w:val="single"/>
        </w:rPr>
        <w:t>Exercise tolerance</w:t>
      </w:r>
      <w:r w:rsidR="0039022A" w:rsidRPr="000F27B6">
        <w:rPr>
          <w:sz w:val="24"/>
          <w:szCs w:val="24"/>
          <w:u w:val="single"/>
        </w:rPr>
        <w:t xml:space="preserve"> </w:t>
      </w:r>
      <w:r w:rsidRPr="000F27B6">
        <w:rPr>
          <w:sz w:val="24"/>
          <w:szCs w:val="24"/>
          <w:u w:val="single"/>
        </w:rPr>
        <w:t>test</w:t>
      </w:r>
    </w:p>
    <w:p w14:paraId="3A2FD157" w14:textId="2CD6FDD8" w:rsidR="0039122B" w:rsidRPr="000F27B6" w:rsidRDefault="0015024D" w:rsidP="00B4389E">
      <w:pPr>
        <w:spacing w:line="480" w:lineRule="auto"/>
        <w:rPr>
          <w:sz w:val="24"/>
          <w:szCs w:val="24"/>
        </w:rPr>
      </w:pPr>
      <w:r w:rsidRPr="000F27B6">
        <w:rPr>
          <w:sz w:val="24"/>
          <w:szCs w:val="24"/>
        </w:rPr>
        <w:t xml:space="preserve">An </w:t>
      </w:r>
      <w:r w:rsidR="0039122B" w:rsidRPr="000F27B6">
        <w:rPr>
          <w:sz w:val="24"/>
          <w:szCs w:val="24"/>
        </w:rPr>
        <w:t>ETT was performed on a treadmill using a standard Bruce protocol</w:t>
      </w:r>
      <w:r w:rsidR="0039122B" w:rsidRPr="000F27B6">
        <w:rPr>
          <w:sz w:val="24"/>
          <w:szCs w:val="24"/>
        </w:rPr>
        <w:fldChar w:fldCharType="begin" w:fldLock="1"/>
      </w:r>
      <w:r w:rsidR="00B0022F">
        <w:rPr>
          <w:sz w:val="24"/>
          <w:szCs w:val="24"/>
        </w:rPr>
        <w:instrText>ADDIN CSL_CITATION {"citationItems":[{"id":"ITEM-1","itemData":{"DOI":"10.1172/JCI102207","ISSN":"0021-9738","PMID":"15407661","author":[{"dropping-particle":"","family":"BRUCE","given":"R A","non-dropping-particle":"","parse-names":false,"suffix":""},{"dropping-particle":"","family":"LOVEJOY","given":"F W","non-dropping-particle":"","parse-names":false,"suffix":""}],"container-title":"The Journal of clinical investigation","id":"ITEM-1","issue":"6 Pt 2","issued":{"date-parts":[["1949","11"]]},"page":"1423-30","title":"Normal respiratory and circulatory pathways of adaptation in exercise.","type":"article-journal","volume":"28"},"uris":["http://www.mendeley.com/documents/?uuid=e2c30ddf-d888-4d28-9e2f-5b634259bc50","http://www.mendeley.com/documents/?uuid=cf3a1e81-e8f7-4334-a5c4-a0f1169fcc9d"]}],"mendeley":{"formattedCitation":"&lt;sup&gt;18&lt;/sup&gt;","plainTextFormattedCitation":"18","previouslyFormattedCitation":"&lt;sup&gt;18&lt;/sup&gt;"},"properties":{"noteIndex":0},"schema":"https://github.com/citation-style-language/schema/raw/master/csl-citation.json"}</w:instrText>
      </w:r>
      <w:r w:rsidR="0039122B" w:rsidRPr="000F27B6">
        <w:rPr>
          <w:sz w:val="24"/>
          <w:szCs w:val="24"/>
        </w:rPr>
        <w:fldChar w:fldCharType="separate"/>
      </w:r>
      <w:r w:rsidR="00B0022F" w:rsidRPr="00B0022F">
        <w:rPr>
          <w:noProof/>
          <w:sz w:val="24"/>
          <w:szCs w:val="24"/>
          <w:vertAlign w:val="superscript"/>
        </w:rPr>
        <w:t>18</w:t>
      </w:r>
      <w:r w:rsidR="0039122B" w:rsidRPr="000F27B6">
        <w:rPr>
          <w:sz w:val="24"/>
          <w:szCs w:val="24"/>
        </w:rPr>
        <w:fldChar w:fldCharType="end"/>
      </w:r>
      <w:r w:rsidR="0039122B" w:rsidRPr="000F27B6">
        <w:rPr>
          <w:sz w:val="24"/>
          <w:szCs w:val="24"/>
        </w:rPr>
        <w:t xml:space="preserve"> in a quiet air-conditioned room with an average temperature of 21° C and full resuscitation facilities. Before the test, all subjects underwent a 3 minutes familiarization test. Participants were encouraged to exercise to the point of exhaustion.</w:t>
      </w:r>
    </w:p>
    <w:p w14:paraId="0DCEF41C" w14:textId="2A0B4AAF" w:rsidR="0039122B" w:rsidRPr="000F27B6" w:rsidRDefault="0039122B" w:rsidP="0039122B">
      <w:pPr>
        <w:spacing w:line="480" w:lineRule="auto"/>
        <w:rPr>
          <w:sz w:val="24"/>
          <w:szCs w:val="24"/>
          <w:u w:val="single"/>
        </w:rPr>
      </w:pPr>
      <w:r w:rsidRPr="000F27B6">
        <w:rPr>
          <w:sz w:val="24"/>
          <w:szCs w:val="24"/>
          <w:u w:val="single"/>
        </w:rPr>
        <w:t>24</w:t>
      </w:r>
      <w:r w:rsidR="004A2B96" w:rsidRPr="000F27B6">
        <w:rPr>
          <w:sz w:val="24"/>
          <w:szCs w:val="24"/>
          <w:u w:val="single"/>
        </w:rPr>
        <w:t>-</w:t>
      </w:r>
      <w:r w:rsidRPr="000F27B6">
        <w:rPr>
          <w:sz w:val="24"/>
          <w:szCs w:val="24"/>
          <w:u w:val="single"/>
        </w:rPr>
        <w:t>hour Holter</w:t>
      </w:r>
    </w:p>
    <w:p w14:paraId="35BD667A" w14:textId="37528BBD" w:rsidR="00200BA3" w:rsidRPr="000F27B6" w:rsidRDefault="0039122B" w:rsidP="00B4389E">
      <w:pPr>
        <w:spacing w:line="480" w:lineRule="auto"/>
        <w:rPr>
          <w:sz w:val="24"/>
          <w:szCs w:val="24"/>
        </w:rPr>
      </w:pPr>
      <w:r w:rsidRPr="000F27B6">
        <w:rPr>
          <w:sz w:val="24"/>
          <w:szCs w:val="24"/>
        </w:rPr>
        <w:t>All patients were investigated with a 3-lead</w:t>
      </w:r>
      <w:r w:rsidR="004A2B96" w:rsidRPr="000F27B6">
        <w:rPr>
          <w:sz w:val="24"/>
          <w:szCs w:val="24"/>
        </w:rPr>
        <w:t xml:space="preserve"> </w:t>
      </w:r>
      <w:r w:rsidRPr="000F27B6">
        <w:rPr>
          <w:sz w:val="24"/>
          <w:szCs w:val="24"/>
        </w:rPr>
        <w:t>24</w:t>
      </w:r>
      <w:r w:rsidR="004A2B96" w:rsidRPr="000F27B6">
        <w:rPr>
          <w:sz w:val="24"/>
          <w:szCs w:val="24"/>
        </w:rPr>
        <w:t>-</w:t>
      </w:r>
      <w:r w:rsidRPr="000F27B6">
        <w:rPr>
          <w:sz w:val="24"/>
          <w:szCs w:val="24"/>
        </w:rPr>
        <w:t xml:space="preserve">hour Holter </w:t>
      </w:r>
      <w:r w:rsidR="00275DBA" w:rsidRPr="000F27B6">
        <w:rPr>
          <w:sz w:val="24"/>
          <w:szCs w:val="24"/>
        </w:rPr>
        <w:t xml:space="preserve">monitor </w:t>
      </w:r>
      <w:r w:rsidRPr="000F27B6">
        <w:rPr>
          <w:sz w:val="24"/>
          <w:szCs w:val="24"/>
        </w:rPr>
        <w:t xml:space="preserve">to detect possible arrhythmias. </w:t>
      </w:r>
    </w:p>
    <w:p w14:paraId="01593667" w14:textId="1F8112DD" w:rsidR="00531891" w:rsidRPr="000F27B6" w:rsidRDefault="00531891" w:rsidP="00B4389E">
      <w:pPr>
        <w:spacing w:line="480" w:lineRule="auto"/>
        <w:rPr>
          <w:sz w:val="24"/>
          <w:szCs w:val="24"/>
          <w:u w:val="single"/>
        </w:rPr>
      </w:pPr>
      <w:r w:rsidRPr="000F27B6">
        <w:rPr>
          <w:sz w:val="24"/>
          <w:szCs w:val="24"/>
          <w:u w:val="single"/>
        </w:rPr>
        <w:t>Ajmaline provocation test</w:t>
      </w:r>
    </w:p>
    <w:p w14:paraId="41C18314" w14:textId="50E1A3BB" w:rsidR="006C36CE" w:rsidRPr="000F27B6" w:rsidRDefault="00B4389E" w:rsidP="004956DC">
      <w:pPr>
        <w:spacing w:line="480" w:lineRule="auto"/>
        <w:rPr>
          <w:i/>
          <w:sz w:val="24"/>
          <w:szCs w:val="24"/>
        </w:rPr>
      </w:pPr>
      <w:r w:rsidRPr="000F27B6">
        <w:rPr>
          <w:sz w:val="24"/>
          <w:szCs w:val="24"/>
        </w:rPr>
        <w:t xml:space="preserve">Ajmaline </w:t>
      </w:r>
      <w:r w:rsidR="00531891" w:rsidRPr="000F27B6">
        <w:rPr>
          <w:sz w:val="24"/>
          <w:szCs w:val="24"/>
        </w:rPr>
        <w:t>provocation</w:t>
      </w:r>
      <w:r w:rsidRPr="000F27B6">
        <w:rPr>
          <w:sz w:val="24"/>
          <w:szCs w:val="24"/>
        </w:rPr>
        <w:t xml:space="preserve"> </w:t>
      </w:r>
      <w:r w:rsidR="00AD790F" w:rsidRPr="000F27B6">
        <w:rPr>
          <w:sz w:val="24"/>
          <w:szCs w:val="24"/>
        </w:rPr>
        <w:t>wa</w:t>
      </w:r>
      <w:r w:rsidRPr="000F27B6">
        <w:rPr>
          <w:sz w:val="24"/>
          <w:szCs w:val="24"/>
        </w:rPr>
        <w:t>s used</w:t>
      </w:r>
      <w:r w:rsidR="004956DC" w:rsidRPr="000F27B6">
        <w:rPr>
          <w:sz w:val="24"/>
          <w:szCs w:val="24"/>
        </w:rPr>
        <w:t xml:space="preserve"> to unmask</w:t>
      </w:r>
      <w:r w:rsidR="00531891" w:rsidRPr="000F27B6">
        <w:rPr>
          <w:sz w:val="24"/>
          <w:szCs w:val="24"/>
        </w:rPr>
        <w:t xml:space="preserve"> the concealed form of</w:t>
      </w:r>
      <w:r w:rsidR="004956DC" w:rsidRPr="000F27B6">
        <w:rPr>
          <w:sz w:val="24"/>
          <w:szCs w:val="24"/>
        </w:rPr>
        <w:t xml:space="preserve"> Brugada </w:t>
      </w:r>
      <w:r w:rsidR="0047243C" w:rsidRPr="000F27B6">
        <w:rPr>
          <w:sz w:val="24"/>
          <w:szCs w:val="24"/>
        </w:rPr>
        <w:t>s</w:t>
      </w:r>
      <w:r w:rsidR="004956DC" w:rsidRPr="000F27B6">
        <w:rPr>
          <w:sz w:val="24"/>
          <w:szCs w:val="24"/>
        </w:rPr>
        <w:t>yndrome</w:t>
      </w:r>
      <w:r w:rsidR="004956DC" w:rsidRPr="000F27B6">
        <w:rPr>
          <w:sz w:val="24"/>
          <w:szCs w:val="24"/>
        </w:rPr>
        <w:fldChar w:fldCharType="begin" w:fldLock="1"/>
      </w:r>
      <w:r w:rsidR="00B0022F">
        <w:rPr>
          <w:sz w:val="24"/>
          <w:szCs w:val="24"/>
        </w:rPr>
        <w:instrText>ADDIN CSL_CITATION {"citationItems":[{"id":"ITEM-1","itemData":{"DOI":"10.1136/hrt.2010.201244","ISSN":"1468-201X","PMID":"20962343","abstract":"AIMS The authors sought to assess the value of the high right precordial leads (RPL) to detect the Type I Brugada ECG pattern in patients suspected of carrying Brugada syndrome (BrS). METHODS Ajmaline testing using 15-lead ECGs was performed in 183 patients suspected of carrying BrS. Standard 12-lead ECG with V1-V3 recorded from the fourth intercostal space and an additional three leads placed over V1-V3 recorded from the third intercostal space were analysed. ECGs were analysed for a Type I ECG pattern in either the standard or high RPLs. RESULTS Of the 183 tests, 31 (17%) were positive, and 152 were negative. In all positive studies, at least one high RPL became positive. In 13/31 (42%) cases, the Type I ECG pattern could be observed only in the high RPLs. Standard or high V3 were never positive before standard or high V1-V2. In seven patients, a Type I pattern was seen in one standard and one high RPL (vertical relationship). CONCLUSIONS The high RPLs are more sensitive than the conventional 12-lead ECG alone and initial observations suggest that they remain specific for BrS, while standard and high lead V3 offer redundant data. A vertical relationship of type 1 patterns may have a similar diagnostic value to that of a horizontal pair.","author":[{"dropping-particle":"","family":"Govindan","given":"Malini","non-dropping-particle":"","parse-names":false,"suffix":""},{"dropping-particle":"","family":"Batchvarov","given":"Velislav N","non-dropping-particle":"","parse-names":false,"suffix":""},{"dropping-particle":"","family":"Raju","given":"Hariharan","non-dropping-particle":"","parse-names":false,"suffix":""},{"dropping-particle":"","family":"Shanmugam","given":"Nesan","non-dropping-particle":"","parse-names":false,"suffix":""},{"dropping-particle":"","family":"Bizrah","given":"Mukhtar","non-dropping-particle":"","parse-names":false,"suffix":""},{"dropping-particle":"","family":"Bastiaenen","given":"Rachael","non-dropping-particle":"","parse-names":false,"suffix":""},{"dropping-particle":"","family":"Kiotsekoglou","given":"Anatoli","non-dropping-particle":"","parse-names":false,"suffix":""},{"dropping-particle":"","family":"Camm","given":"John","non-dropping-particle":"","parse-names":false,"suffix":""},{"dropping-particle":"","family":"Behr","given":"Elijah R","non-dropping-particle":"","parse-names":false,"suffix":""}],"container-title":"Heart (British Cardiac Society)","id":"ITEM-1","issue":"23","issued":{"date-parts":[["2010","12"]]},"page":"1904-8","title":"Utility of high and standard right precordial leads during ajmaline testing for the diagnosis of Brugada syndrome.","type":"article-journal","volume":"96"},"uris":["http://www.mendeley.com/documents/?uuid=21854ccc-4bb5-490f-9849-ade8804fdc98"]}],"mendeley":{"formattedCitation":"&lt;sup&gt;19&lt;/sup&gt;","plainTextFormattedCitation":"19","previouslyFormattedCitation":"&lt;sup&gt;19&lt;/sup&gt;"},"properties":{"noteIndex":0},"schema":"https://github.com/citation-style-language/schema/raw/master/csl-citation.json"}</w:instrText>
      </w:r>
      <w:r w:rsidR="004956DC" w:rsidRPr="000F27B6">
        <w:rPr>
          <w:sz w:val="24"/>
          <w:szCs w:val="24"/>
        </w:rPr>
        <w:fldChar w:fldCharType="separate"/>
      </w:r>
      <w:r w:rsidR="00B0022F" w:rsidRPr="00B0022F">
        <w:rPr>
          <w:noProof/>
          <w:sz w:val="24"/>
          <w:szCs w:val="24"/>
          <w:vertAlign w:val="superscript"/>
        </w:rPr>
        <w:t>19</w:t>
      </w:r>
      <w:r w:rsidR="004956DC" w:rsidRPr="000F27B6">
        <w:rPr>
          <w:sz w:val="24"/>
          <w:szCs w:val="24"/>
        </w:rPr>
        <w:fldChar w:fldCharType="end"/>
      </w:r>
      <w:r w:rsidR="00AD790F" w:rsidRPr="000F27B6">
        <w:rPr>
          <w:sz w:val="24"/>
          <w:szCs w:val="24"/>
        </w:rPr>
        <w:t xml:space="preserve"> in family members</w:t>
      </w:r>
      <w:r w:rsidR="00272083" w:rsidRPr="000F27B6">
        <w:rPr>
          <w:sz w:val="24"/>
          <w:szCs w:val="24"/>
        </w:rPr>
        <w:t xml:space="preserve"> </w:t>
      </w:r>
      <w:r w:rsidR="004A2B96" w:rsidRPr="000F27B6">
        <w:rPr>
          <w:sz w:val="24"/>
          <w:szCs w:val="24"/>
        </w:rPr>
        <w:t xml:space="preserve">without </w:t>
      </w:r>
      <w:r w:rsidR="00272083" w:rsidRPr="000F27B6">
        <w:rPr>
          <w:sz w:val="24"/>
          <w:szCs w:val="24"/>
        </w:rPr>
        <w:t>phenotypic features of</w:t>
      </w:r>
      <w:r w:rsidR="00AD790F" w:rsidRPr="000F27B6">
        <w:rPr>
          <w:sz w:val="24"/>
          <w:szCs w:val="24"/>
        </w:rPr>
        <w:t xml:space="preserve"> cardiomyopathy</w:t>
      </w:r>
      <w:r w:rsidR="004A2B96" w:rsidRPr="000F27B6">
        <w:rPr>
          <w:sz w:val="24"/>
          <w:szCs w:val="24"/>
        </w:rPr>
        <w:t xml:space="preserve"> or </w:t>
      </w:r>
      <w:r w:rsidR="00BF1E3F" w:rsidRPr="000F27B6">
        <w:rPr>
          <w:sz w:val="24"/>
          <w:szCs w:val="24"/>
        </w:rPr>
        <w:t>other potentially inherited cardiac disease</w:t>
      </w:r>
      <w:r w:rsidR="00CF253C" w:rsidRPr="000F27B6">
        <w:rPr>
          <w:sz w:val="24"/>
          <w:szCs w:val="24"/>
        </w:rPr>
        <w:t>s</w:t>
      </w:r>
      <w:r w:rsidR="004A2B96" w:rsidRPr="000F27B6">
        <w:rPr>
          <w:sz w:val="24"/>
          <w:szCs w:val="24"/>
        </w:rPr>
        <w:t>,</w:t>
      </w:r>
      <w:r w:rsidR="00AD790F" w:rsidRPr="000F27B6">
        <w:rPr>
          <w:sz w:val="24"/>
          <w:szCs w:val="24"/>
        </w:rPr>
        <w:t xml:space="preserve"> </w:t>
      </w:r>
      <w:r w:rsidR="004A2B96" w:rsidRPr="000F27B6">
        <w:rPr>
          <w:sz w:val="24"/>
          <w:szCs w:val="24"/>
        </w:rPr>
        <w:t>as</w:t>
      </w:r>
      <w:r w:rsidR="0015024D" w:rsidRPr="000F27B6">
        <w:rPr>
          <w:sz w:val="24"/>
          <w:szCs w:val="24"/>
        </w:rPr>
        <w:t xml:space="preserve"> described elsewhere</w:t>
      </w:r>
      <w:r w:rsidR="00200BA3" w:rsidRPr="000F27B6">
        <w:rPr>
          <w:sz w:val="24"/>
          <w:szCs w:val="24"/>
        </w:rPr>
        <w:fldChar w:fldCharType="begin" w:fldLock="1"/>
      </w:r>
      <w:r w:rsidR="00B0022F">
        <w:rPr>
          <w:sz w:val="24"/>
          <w:szCs w:val="24"/>
        </w:rPr>
        <w:instrText>ADDIN CSL_CITATION {"citationItems":[{"id":"ITEM-1","itemData":{"DOI":"10.1016/j.jacc.2018.01.031","ISSN":"15583597","abstract":"© 2018 American College of Cardiology Foundation Background: Familial evaluation after a sudden death with negative autopsy (sudden arrhythmic death syndrome; SADS) may identify relatives at risk of fatal arrhythmias. Objectives: This study aimed to assess the impact of systematic ajmaline provocation testing using high right precordial leads (RPLs) on the diagnostic yield of Brugada syndrome (BrS) in a large cohort of SADS families. Methods: Three hundred three SADS families (911 relatives) underwent evaluation with resting electrocardiogram using conventional and high RPLs, echocardiography, exercise, and 24-h electrocardiogram monitor. An ajmaline test with conventional and high RPLs was undertaken in 670 (74%) relatives without a familial diagnosis after initial evaluation. Further investigations were guided by clinical suspicion. Results: An inherited cardiac disease was diagnosed in 128 (42%) families and 201 (22%) relatives. BrS was the most prevalent diagnosis (n = 85, 28% of families; n = 140, 15% of relatives). Ajmaline testing was required to unmask the BrS in 97% of diagnosed individuals. The use of high RPLs showed a 16% incremental diagnostic yield of ajmaline testing by diagnosing BrS in an additional 49 families. There were no differences of the characteristics between individuals and families with a diagnostic pattern in the conventional and the high RPLs. On follow-up, a spontaneous type 1 Brugada pattern and/or clinically significant arrhythmic events developed in 17% (n = 25) of the concealed BrS cohort. Conclusions: Systematic use of ajmaline testing with high RPLs increases substantially the yield of BrS in SADS families. Assessment should be performed in expert centers where patients are counseled appropriately for the potential implications of provocation testing.","author":[{"dropping-particle":"","family":"Papadakis","given":"M.","non-dropping-particle":"","parse-names":false,"suffix":""},{"dropping-particle":"","family":"Papatheodorou","given":"E.","non-dropping-particle":"","parse-names":false,"suffix":""},{"dropping-particle":"","family":"Mellor","given":"G.","non-dropping-particle":"","parse-names":false,"suffix":""},{"dropping-particle":"","family":"Raju","given":"H.","non-dropping-particle":"","parse-names":false,"suffix":""},{"dropping-particle":"","family":"Bastiaenen","given":"R.","non-dropping-particle":"","parse-names":false,"suffix":""},{"dropping-particle":"","family":"Wijeyeratne","given":"Y.","non-dropping-particle":"","parse-names":false,"suffix":""},{"dropping-particle":"","family":"Wasim","given":"S.","non-dropping-particle":"","parse-names":false,"suffix":""},{"dropping-particle":"","family":"Ensam","given":"B.","non-dropping-particle":"","parse-names":false,"suffix":""},{"dropping-particle":"","family":"Finocchiaro","given":"G.","non-dropping-particle":"","parse-names":false,"suffix":""},{"dropping-particle":"","family":"Gray","given":"B.","non-dropping-particle":"","parse-names":false,"suffix":""},{"dropping-particle":"","family":"Malhotra","given":"A.","non-dropping-particle":"","parse-names":false,"suffix":""},{"dropping-particle":"","family":"D'Silva","given":"A.","non-dropping-particle":"","parse-names":false,"suffix":""},{"dropping-particle":"","family":"Edwards","given":"N.","non-dropping-particle":"","parse-names":false,"suffix":""},{"dropping-particle":"","family":"Cole","given":"D.","non-dropping-particle":"","parse-names":false,"suffix":""},{"dropping-particle":"","family":"Attard","given":"V.","non-dropping-particle":"","parse-names":false,"suffix":""},{"dropping-particle":"","family":"Batchvarov","given":"V.N.","non-dropping-particle":"","parse-names":false,"suffix":""},{"dropping-particle":"","family":"Tome-Esteban","given":"M.","non-dropping-particle":"","parse-names":false,"suffix":""},{"dropping-particle":"","family":"Homfray","given":"T.","non-dropping-particle":"","parse-names":false,"suffix":""},{"dropping-particle":"","family":"Sheppard","given":"M.N.","non-dropping-particle":"","parse-names":false,"suffix":""},{"dropping-particle":"","family":"Sharma","given":"S.","non-dropping-particle":"","parse-names":false,"suffix":""},{"dropping-particle":"","family":"Behr","given":"E.R.","non-dropping-particle":"","parse-names":false,"suffix":""}],"container-title":"Journal of the American College of Cardiology","id":"ITEM-1","issue":"11","issued":{"date-parts":[["2018"]]},"title":"The Diagnostic Yield of Brugada Syndrome After Sudden Death With Normal Autopsy","type":"article-journal","volume":"71"},"uris":["http://www.mendeley.com/documents/?uuid=73f947ce-548f-3f8c-8051-b6d0eb8f0bdb"]}],"mendeley":{"formattedCitation":"&lt;sup&gt;20&lt;/sup&gt;","plainTextFormattedCitation":"20","previouslyFormattedCitation":"&lt;sup&gt;20&lt;/sup&gt;"},"properties":{"noteIndex":0},"schema":"https://github.com/citation-style-language/schema/raw/master/csl-citation.json"}</w:instrText>
      </w:r>
      <w:r w:rsidR="00200BA3" w:rsidRPr="000F27B6">
        <w:rPr>
          <w:sz w:val="24"/>
          <w:szCs w:val="24"/>
        </w:rPr>
        <w:fldChar w:fldCharType="separate"/>
      </w:r>
      <w:r w:rsidR="00B0022F" w:rsidRPr="00B0022F">
        <w:rPr>
          <w:noProof/>
          <w:sz w:val="24"/>
          <w:szCs w:val="24"/>
          <w:vertAlign w:val="superscript"/>
        </w:rPr>
        <w:t>20</w:t>
      </w:r>
      <w:r w:rsidR="00200BA3" w:rsidRPr="000F27B6">
        <w:rPr>
          <w:sz w:val="24"/>
          <w:szCs w:val="24"/>
        </w:rPr>
        <w:fldChar w:fldCharType="end"/>
      </w:r>
      <w:r w:rsidR="0015024D" w:rsidRPr="000F27B6">
        <w:rPr>
          <w:sz w:val="24"/>
          <w:szCs w:val="24"/>
        </w:rPr>
        <w:t>. All tests were performed using conventional and high right precordial leads, as per established protocol</w:t>
      </w:r>
      <w:r w:rsidR="00D02FE3" w:rsidRPr="000F27B6">
        <w:rPr>
          <w:sz w:val="24"/>
          <w:szCs w:val="24"/>
        </w:rPr>
        <w:fldChar w:fldCharType="begin" w:fldLock="1"/>
      </w:r>
      <w:r w:rsidR="00B0022F">
        <w:rPr>
          <w:sz w:val="24"/>
          <w:szCs w:val="24"/>
        </w:rPr>
        <w:instrText>ADDIN CSL_CITATION {"citationItems":[{"id":"ITEM-1","itemData":{"DOI":"10.1016/j.jacc.2018.01.031","ISSN":"15583597","abstract":"© 2018 American College of Cardiology Foundation Background: Familial evaluation after a sudden death with negative autopsy (sudden arrhythmic death syndrome; SADS) may identify relatives at risk of fatal arrhythmias. Objectives: This study aimed to assess the impact of systematic ajmaline provocation testing using high right precordial leads (RPLs) on the diagnostic yield of Brugada syndrome (BrS) in a large cohort of SADS families. Methods: Three hundred three SADS families (911 relatives) underwent evaluation with resting electrocardiogram using conventional and high RPLs, echocardiography, exercise, and 24-h electrocardiogram monitor. An ajmaline test with conventional and high RPLs was undertaken in 670 (74%) relatives without a familial diagnosis after initial evaluation. Further investigations were guided by clinical suspicion. Results: An inherited cardiac disease was diagnosed in 128 (42%) families and 201 (22%) relatives. BrS was the most prevalent diagnosis (n = 85, 28% of families; n = 140, 15% of relatives). Ajmaline testing was required to unmask the BrS in 97% of diagnosed individuals. The use of high RPLs showed a 16% incremental diagnostic yield of ajmaline testing by diagnosing BrS in an additional 49 families. There were no differences of the characteristics between individuals and families with a diagnostic pattern in the conventional and the high RPLs. On follow-up, a spontaneous type 1 Brugada pattern and/or clinically significant arrhythmic events developed in 17% (n = 25) of the concealed BrS cohort. Conclusions: Systematic use of ajmaline testing with high RPLs increases substantially the yield of BrS in SADS families. Assessment should be performed in expert centers where patients are counseled appropriately for the potential implications of provocation testing.","author":[{"dropping-particle":"","family":"Papadakis","given":"M.","non-dropping-particle":"","parse-names":false,"suffix":""},{"dropping-particle":"","family":"Papatheodorou","given":"E.","non-dropping-particle":"","parse-names":false,"suffix":""},{"dropping-particle":"","family":"Mellor","given":"G.","non-dropping-particle":"","parse-names":false,"suffix":""},{"dropping-particle":"","family":"Raju","given":"H.","non-dropping-particle":"","parse-names":false,"suffix":""},{"dropping-particle":"","family":"Bastiaenen","given":"R.","non-dropping-particle":"","parse-names":false,"suffix":""},{"dropping-particle":"","family":"Wijeyeratne","given":"Y.","non-dropping-particle":"","parse-names":false,"suffix":""},{"dropping-particle":"","family":"Wasim","given":"S.","non-dropping-particle":"","parse-names":false,"suffix":""},{"dropping-particle":"","family":"Ensam","given":"B.","non-dropping-particle":"","parse-names":false,"suffix":""},{"dropping-particle":"","family":"Finocchiaro","given":"G.","non-dropping-particle":"","parse-names":false,"suffix":""},{"dropping-particle":"","family":"Gray","given":"B.","non-dropping-particle":"","parse-names":false,"suffix":""},{"dropping-particle":"","family":"Malhotra","given":"A.","non-dropping-particle":"","parse-names":false,"suffix":""},{"dropping-particle":"","family":"D'Silva","given":"A.","non-dropping-particle":"","parse-names":false,"suffix":""},{"dropping-particle":"","family":"Edwards","given":"N.","non-dropping-particle":"","parse-names":false,"suffix":""},{"dropping-particle":"","family":"Cole","given":"D.","non-dropping-particle":"","parse-names":false,"suffix":""},{"dropping-particle":"","family":"Attard","given":"V.","non-dropping-particle":"","parse-names":false,"suffix":""},{"dropping-particle":"","family":"Batchvarov","given":"V.N.","non-dropping-particle":"","parse-names":false,"suffix":""},{"dropping-particle":"","family":"Tome-Esteban","given":"M.","non-dropping-particle":"","parse-names":false,"suffix":""},{"dropping-particle":"","family":"Homfray","given":"T.","non-dropping-particle":"","parse-names":false,"suffix":""},{"dropping-particle":"","family":"Sheppard","given":"M.N.","non-dropping-particle":"","parse-names":false,"suffix":""},{"dropping-particle":"","family":"Sharma","given":"S.","non-dropping-particle":"","parse-names":false,"suffix":""},{"dropping-particle":"","family":"Behr","given":"E.R.","non-dropping-particle":"","parse-names":false,"suffix":""}],"container-title":"Journal of the American College of Cardiology","id":"ITEM-1","issue":"11","issued":{"date-parts":[["2018"]]},"title":"The Diagnostic Yield of Brugada Syndrome After Sudden Death With Normal Autopsy","type":"article-journal","volume":"71"},"uris":["http://www.mendeley.com/documents/?uuid=73f947ce-548f-3f8c-8051-b6d0eb8f0bdb"]}],"mendeley":{"formattedCitation":"&lt;sup&gt;20&lt;/sup&gt;","plainTextFormattedCitation":"20","previouslyFormattedCitation":"&lt;sup&gt;20&lt;/sup&gt;"},"properties":{"noteIndex":0},"schema":"https://github.com/citation-style-language/schema/raw/master/csl-citation.json"}</w:instrText>
      </w:r>
      <w:r w:rsidR="00D02FE3" w:rsidRPr="000F27B6">
        <w:rPr>
          <w:sz w:val="24"/>
          <w:szCs w:val="24"/>
        </w:rPr>
        <w:fldChar w:fldCharType="separate"/>
      </w:r>
      <w:r w:rsidR="00B0022F" w:rsidRPr="00B0022F">
        <w:rPr>
          <w:noProof/>
          <w:sz w:val="24"/>
          <w:szCs w:val="24"/>
          <w:vertAlign w:val="superscript"/>
        </w:rPr>
        <w:t>20</w:t>
      </w:r>
      <w:r w:rsidR="00D02FE3" w:rsidRPr="000F27B6">
        <w:rPr>
          <w:sz w:val="24"/>
          <w:szCs w:val="24"/>
        </w:rPr>
        <w:fldChar w:fldCharType="end"/>
      </w:r>
      <w:r w:rsidR="0015024D" w:rsidRPr="000F27B6">
        <w:rPr>
          <w:sz w:val="24"/>
          <w:szCs w:val="24"/>
        </w:rPr>
        <w:t xml:space="preserve">. </w:t>
      </w:r>
      <w:r w:rsidR="0015024D" w:rsidRPr="000F27B6">
        <w:rPr>
          <w:rFonts w:asciiTheme="minorHAnsi" w:eastAsia="Times New Roman" w:hAnsiTheme="minorHAnsi" w:cstheme="minorHAnsi"/>
          <w:sz w:val="24"/>
          <w:szCs w:val="24"/>
          <w:lang w:eastAsia="zh-CN"/>
        </w:rPr>
        <w:t xml:space="preserve">A MAC 5000 or a </w:t>
      </w:r>
      <w:proofErr w:type="spellStart"/>
      <w:r w:rsidR="0015024D" w:rsidRPr="000F27B6">
        <w:rPr>
          <w:rFonts w:asciiTheme="minorHAnsi" w:eastAsia="Times New Roman" w:hAnsiTheme="minorHAnsi" w:cstheme="minorHAnsi"/>
          <w:sz w:val="24"/>
          <w:szCs w:val="24"/>
          <w:lang w:eastAsia="zh-CN"/>
        </w:rPr>
        <w:t>Cardiosoft</w:t>
      </w:r>
      <w:proofErr w:type="spellEnd"/>
      <w:r w:rsidR="0015024D" w:rsidRPr="000F27B6">
        <w:rPr>
          <w:rFonts w:asciiTheme="minorHAnsi" w:eastAsia="Times New Roman" w:hAnsiTheme="minorHAnsi" w:cstheme="minorHAnsi"/>
          <w:sz w:val="24"/>
          <w:szCs w:val="24"/>
          <w:lang w:eastAsia="zh-CN"/>
        </w:rPr>
        <w:t xml:space="preserve"> recorder (GE Medical, Milwaukee, Wisconsin; 500 samples/s, 4.88 </w:t>
      </w:r>
      <w:proofErr w:type="spellStart"/>
      <w:r w:rsidR="0015024D" w:rsidRPr="000F27B6">
        <w:rPr>
          <w:rFonts w:asciiTheme="minorHAnsi" w:eastAsia="Times New Roman" w:hAnsiTheme="minorHAnsi" w:cstheme="minorHAnsi"/>
          <w:sz w:val="24"/>
          <w:szCs w:val="24"/>
          <w:lang w:eastAsia="zh-CN"/>
        </w:rPr>
        <w:t>mcV</w:t>
      </w:r>
      <w:proofErr w:type="spellEnd"/>
      <w:r w:rsidR="0015024D" w:rsidRPr="000F27B6">
        <w:rPr>
          <w:rFonts w:asciiTheme="minorHAnsi" w:eastAsia="Times New Roman" w:hAnsiTheme="minorHAnsi" w:cstheme="minorHAnsi"/>
          <w:sz w:val="24"/>
          <w:szCs w:val="24"/>
          <w:lang w:eastAsia="zh-CN"/>
        </w:rPr>
        <w:t xml:space="preserve">) was used for digital ECG acquisition. All ECGs were subsequently exported to a customized software program where tracings could be magnified to measure basic intervals accurately with on-screen </w:t>
      </w:r>
      <w:r w:rsidR="00BF1E3F" w:rsidRPr="000F27B6">
        <w:rPr>
          <w:rFonts w:asciiTheme="minorHAnsi" w:eastAsia="Times New Roman" w:hAnsiTheme="minorHAnsi" w:cstheme="minorHAnsi"/>
          <w:sz w:val="24"/>
          <w:szCs w:val="24"/>
          <w:lang w:eastAsia="zh-CN"/>
        </w:rPr>
        <w:t>callipers</w:t>
      </w:r>
      <w:r w:rsidR="00D06B1C" w:rsidRPr="000F27B6">
        <w:rPr>
          <w:rFonts w:asciiTheme="minorHAnsi" w:eastAsia="Times New Roman" w:hAnsiTheme="minorHAnsi" w:cstheme="minorHAnsi"/>
          <w:sz w:val="24"/>
          <w:szCs w:val="24"/>
          <w:lang w:eastAsia="zh-CN"/>
        </w:rPr>
        <w:t xml:space="preserve">. </w:t>
      </w:r>
      <w:r w:rsidRPr="000F27B6">
        <w:rPr>
          <w:sz w:val="24"/>
          <w:szCs w:val="24"/>
        </w:rPr>
        <w:t>The test was discontinued if the patient exhibited significant side effects</w:t>
      </w:r>
      <w:r w:rsidR="00272083" w:rsidRPr="000F27B6">
        <w:rPr>
          <w:sz w:val="24"/>
          <w:szCs w:val="24"/>
        </w:rPr>
        <w:t>,</w:t>
      </w:r>
      <w:r w:rsidRPr="000F27B6">
        <w:rPr>
          <w:sz w:val="24"/>
          <w:szCs w:val="24"/>
        </w:rPr>
        <w:t xml:space="preserve"> multiple premature ventricular beats or</w:t>
      </w:r>
      <w:r w:rsidR="00272083" w:rsidRPr="000F27B6">
        <w:rPr>
          <w:sz w:val="24"/>
          <w:szCs w:val="24"/>
        </w:rPr>
        <w:t xml:space="preserve"> complex</w:t>
      </w:r>
      <w:r w:rsidRPr="000F27B6">
        <w:rPr>
          <w:sz w:val="24"/>
          <w:szCs w:val="24"/>
        </w:rPr>
        <w:t xml:space="preserve"> ventricular arrhythmias</w:t>
      </w:r>
      <w:r w:rsidR="00272083" w:rsidRPr="000F27B6">
        <w:rPr>
          <w:sz w:val="24"/>
          <w:szCs w:val="24"/>
        </w:rPr>
        <w:t>,</w:t>
      </w:r>
      <w:r w:rsidRPr="000F27B6">
        <w:rPr>
          <w:sz w:val="24"/>
          <w:szCs w:val="24"/>
        </w:rPr>
        <w:t xml:space="preserve"> </w:t>
      </w:r>
      <w:r w:rsidR="007B6F58" w:rsidRPr="000F27B6">
        <w:rPr>
          <w:sz w:val="24"/>
          <w:szCs w:val="24"/>
        </w:rPr>
        <w:t>a</w:t>
      </w:r>
      <w:r w:rsidRPr="000F27B6">
        <w:rPr>
          <w:sz w:val="24"/>
          <w:szCs w:val="24"/>
        </w:rPr>
        <w:t xml:space="preserve"> QRS duration </w:t>
      </w:r>
      <w:r w:rsidR="007B6F58" w:rsidRPr="000F27B6">
        <w:rPr>
          <w:sz w:val="24"/>
          <w:szCs w:val="24"/>
        </w:rPr>
        <w:lastRenderedPageBreak/>
        <w:t>increase</w:t>
      </w:r>
      <w:r w:rsidRPr="000F27B6">
        <w:rPr>
          <w:sz w:val="24"/>
          <w:szCs w:val="24"/>
        </w:rPr>
        <w:t xml:space="preserve"> of more than 50% when compared to the baseline or </w:t>
      </w:r>
      <w:r w:rsidR="00272083" w:rsidRPr="000F27B6">
        <w:rPr>
          <w:sz w:val="24"/>
          <w:szCs w:val="24"/>
        </w:rPr>
        <w:t xml:space="preserve">when </w:t>
      </w:r>
      <w:r w:rsidRPr="000F27B6">
        <w:rPr>
          <w:sz w:val="24"/>
          <w:szCs w:val="24"/>
        </w:rPr>
        <w:t>the ECG developed the diagnostic type-1 Brugada pattern in the standard or higher right precordial leads</w:t>
      </w:r>
      <w:r w:rsidR="00F07AA4" w:rsidRPr="000F27B6">
        <w:rPr>
          <w:sz w:val="24"/>
          <w:szCs w:val="24"/>
        </w:rPr>
        <w:fldChar w:fldCharType="begin" w:fldLock="1"/>
      </w:r>
      <w:r w:rsidR="00B0022F">
        <w:rPr>
          <w:sz w:val="24"/>
          <w:szCs w:val="24"/>
        </w:rPr>
        <w:instrText>ADDIN CSL_CITATION {"citationItems":[{"id":"ITEM-1","itemData":{"DOI":"10.1016/j.jacc.2018.01.031","ISSN":"15583597","abstract":"© 2018 American College of Cardiology Foundation Background: Familial evaluation after a sudden death with negative autopsy (sudden arrhythmic death syndrome; SADS) may identify relatives at risk of fatal arrhythmias. Objectives: This study aimed to assess the impact of systematic ajmaline provocation testing using high right precordial leads (RPLs) on the diagnostic yield of Brugada syndrome (BrS) in a large cohort of SADS families. Methods: Three hundred three SADS families (911 relatives) underwent evaluation with resting electrocardiogram using conventional and high RPLs, echocardiography, exercise, and 24-h electrocardiogram monitor. An ajmaline test with conventional and high RPLs was undertaken in 670 (74%) relatives without a familial diagnosis after initial evaluation. Further investigations were guided by clinical suspicion. Results: An inherited cardiac disease was diagnosed in 128 (42%) families and 201 (22%) relatives. BrS was the most prevalent diagnosis (n = 85, 28% of families; n = 140, 15% of relatives). Ajmaline testing was required to unmask the BrS in 97% of diagnosed individuals. The use of high RPLs showed a 16% incremental diagnostic yield of ajmaline testing by diagnosing BrS in an additional 49 families. There were no differences of the characteristics between individuals and families with a diagnostic pattern in the conventional and the high RPLs. On follow-up, a spontaneous type 1 Brugada pattern and/or clinically significant arrhythmic events developed in 17% (n = 25) of the concealed BrS cohort. Conclusions: Systematic use of ajmaline testing with high RPLs increases substantially the yield of BrS in SADS families. Assessment should be performed in expert centers where patients are counseled appropriately for the potential implications of provocation testing.","author":[{"dropping-particle":"","family":"Papadakis","given":"M.","non-dropping-particle":"","parse-names":false,"suffix":""},{"dropping-particle":"","family":"Papatheodorou","given":"E.","non-dropping-particle":"","parse-names":false,"suffix":""},{"dropping-particle":"","family":"Mellor","given":"G.","non-dropping-particle":"","parse-names":false,"suffix":""},{"dropping-particle":"","family":"Raju","given":"H.","non-dropping-particle":"","parse-names":false,"suffix":""},{"dropping-particle":"","family":"Bastiaenen","given":"R.","non-dropping-particle":"","parse-names":false,"suffix":""},{"dropping-particle":"","family":"Wijeyeratne","given":"Y.","non-dropping-particle":"","parse-names":false,"suffix":""},{"dropping-particle":"","family":"Wasim","given":"S.","non-dropping-particle":"","parse-names":false,"suffix":""},{"dropping-particle":"","family":"Ensam","given":"B.","non-dropping-particle":"","parse-names":false,"suffix":""},{"dropping-particle":"","family":"Finocchiaro","given":"G.","non-dropping-particle":"","parse-names":false,"suffix":""},{"dropping-particle":"","family":"Gray","given":"B.","non-dropping-particle":"","parse-names":false,"suffix":""},{"dropping-particle":"","family":"Malhotra","given":"A.","non-dropping-particle":"","parse-names":false,"suffix":""},{"dropping-particle":"","family":"D'Silva","given":"A.","non-dropping-particle":"","parse-names":false,"suffix":""},{"dropping-particle":"","family":"Edwards","given":"N.","non-dropping-particle":"","parse-names":false,"suffix":""},{"dropping-particle":"","family":"Cole","given":"D.","non-dropping-particle":"","parse-names":false,"suffix":""},{"dropping-particle":"","family":"Attard","given":"V.","non-dropping-particle":"","parse-names":false,"suffix":""},{"dropping-particle":"","family":"Batchvarov","given":"V.N.","non-dropping-particle":"","parse-names":false,"suffix":""},{"dropping-particle":"","family":"Tome-Esteban","given":"M.","non-dropping-particle":"","parse-names":false,"suffix":""},{"dropping-particle":"","family":"Homfray","given":"T.","non-dropping-particle":"","parse-names":false,"suffix":""},{"dropping-particle":"","family":"Sheppard","given":"M.N.","non-dropping-particle":"","parse-names":false,"suffix":""},{"dropping-particle":"","family":"Sharma","given":"S.","non-dropping-particle":"","parse-names":false,"suffix":""},{"dropping-particle":"","family":"Behr","given":"E.R.","non-dropping-particle":"","parse-names":false,"suffix":""}],"container-title":"Journal of the American College of Cardiology","id":"ITEM-1","issue":"11","issued":{"date-parts":[["2018"]]},"title":"The Diagnostic Yield of Brugada Syndrome After Sudden Death With Normal Autopsy","type":"article-journal","volume":"71"},"uris":["http://www.mendeley.com/documents/?uuid=73f947ce-548f-3f8c-8051-b6d0eb8f0bdb"]}],"mendeley":{"formattedCitation":"&lt;sup&gt;20&lt;/sup&gt;","plainTextFormattedCitation":"20","previouslyFormattedCitation":"&lt;sup&gt;20&lt;/sup&gt;"},"properties":{"noteIndex":0},"schema":"https://github.com/citation-style-language/schema/raw/master/csl-citation.json"}</w:instrText>
      </w:r>
      <w:r w:rsidR="00F07AA4" w:rsidRPr="000F27B6">
        <w:rPr>
          <w:sz w:val="24"/>
          <w:szCs w:val="24"/>
        </w:rPr>
        <w:fldChar w:fldCharType="separate"/>
      </w:r>
      <w:r w:rsidR="00B0022F" w:rsidRPr="00B0022F">
        <w:rPr>
          <w:noProof/>
          <w:sz w:val="24"/>
          <w:szCs w:val="24"/>
          <w:vertAlign w:val="superscript"/>
        </w:rPr>
        <w:t>20</w:t>
      </w:r>
      <w:r w:rsidR="00F07AA4" w:rsidRPr="000F27B6">
        <w:rPr>
          <w:sz w:val="24"/>
          <w:szCs w:val="24"/>
        </w:rPr>
        <w:fldChar w:fldCharType="end"/>
      </w:r>
      <w:r w:rsidRPr="000F27B6">
        <w:rPr>
          <w:sz w:val="24"/>
          <w:szCs w:val="24"/>
        </w:rPr>
        <w:t xml:space="preserve">. </w:t>
      </w:r>
    </w:p>
    <w:p w14:paraId="050443A5" w14:textId="373E4ABC" w:rsidR="007D0E55" w:rsidRPr="000F27B6" w:rsidRDefault="00275DBA" w:rsidP="004956DC">
      <w:pPr>
        <w:spacing w:line="480" w:lineRule="auto"/>
        <w:rPr>
          <w:b/>
          <w:sz w:val="24"/>
          <w:szCs w:val="24"/>
        </w:rPr>
      </w:pPr>
      <w:r w:rsidRPr="000F27B6">
        <w:rPr>
          <w:b/>
          <w:sz w:val="24"/>
          <w:szCs w:val="24"/>
        </w:rPr>
        <w:t xml:space="preserve">Molecular </w:t>
      </w:r>
      <w:r w:rsidR="0040727F" w:rsidRPr="000F27B6">
        <w:rPr>
          <w:b/>
          <w:sz w:val="24"/>
          <w:szCs w:val="24"/>
        </w:rPr>
        <w:t>a</w:t>
      </w:r>
      <w:r w:rsidRPr="000F27B6">
        <w:rPr>
          <w:b/>
          <w:sz w:val="24"/>
          <w:szCs w:val="24"/>
        </w:rPr>
        <w:t xml:space="preserve">utopsy in </w:t>
      </w:r>
      <w:r w:rsidR="0040727F" w:rsidRPr="000F27B6">
        <w:rPr>
          <w:b/>
          <w:sz w:val="24"/>
          <w:szCs w:val="24"/>
        </w:rPr>
        <w:t>d</w:t>
      </w:r>
      <w:r w:rsidRPr="000F27B6">
        <w:rPr>
          <w:b/>
          <w:sz w:val="24"/>
          <w:szCs w:val="24"/>
        </w:rPr>
        <w:t xml:space="preserve">ecedents with </w:t>
      </w:r>
      <w:r w:rsidR="0040727F" w:rsidRPr="000F27B6">
        <w:rPr>
          <w:b/>
          <w:sz w:val="24"/>
          <w:szCs w:val="24"/>
        </w:rPr>
        <w:t>i</w:t>
      </w:r>
      <w:r w:rsidRPr="000F27B6">
        <w:rPr>
          <w:b/>
          <w:sz w:val="24"/>
          <w:szCs w:val="24"/>
        </w:rPr>
        <w:t>diopathic LVH</w:t>
      </w:r>
    </w:p>
    <w:p w14:paraId="1F8300FA" w14:textId="48DCAE38" w:rsidR="006671CC" w:rsidRPr="000F27B6" w:rsidRDefault="00D06B1C" w:rsidP="000D216D">
      <w:pPr>
        <w:spacing w:line="480" w:lineRule="auto"/>
        <w:rPr>
          <w:sz w:val="24"/>
          <w:szCs w:val="24"/>
          <w:lang w:val="de-DE"/>
        </w:rPr>
      </w:pPr>
      <w:bookmarkStart w:id="6" w:name="_Hlk16071944"/>
      <w:r w:rsidRPr="000F27B6">
        <w:rPr>
          <w:rFonts w:cs="Arial"/>
          <w:bCs/>
          <w:sz w:val="24"/>
        </w:rPr>
        <w:t>Due to historic limitations</w:t>
      </w:r>
      <w:r w:rsidR="0040727F" w:rsidRPr="000F27B6">
        <w:rPr>
          <w:rFonts w:cs="Arial"/>
          <w:bCs/>
          <w:sz w:val="24"/>
        </w:rPr>
        <w:t>,</w:t>
      </w:r>
      <w:r w:rsidRPr="000F27B6">
        <w:rPr>
          <w:rFonts w:cs="Arial"/>
          <w:bCs/>
          <w:sz w:val="24"/>
        </w:rPr>
        <w:t xml:space="preserve"> post-mortem DNA</w:t>
      </w:r>
      <w:r w:rsidR="00B26434">
        <w:rPr>
          <w:rFonts w:cs="Arial"/>
          <w:bCs/>
          <w:sz w:val="24"/>
        </w:rPr>
        <w:t xml:space="preserve"> (from a spleen sample)</w:t>
      </w:r>
      <w:r w:rsidRPr="000F27B6">
        <w:rPr>
          <w:rFonts w:cs="Arial"/>
          <w:bCs/>
          <w:sz w:val="24"/>
        </w:rPr>
        <w:t xml:space="preserve"> was available in only</w:t>
      </w:r>
      <w:r w:rsidR="00E0567A" w:rsidRPr="000F27B6">
        <w:rPr>
          <w:rFonts w:cs="Arial"/>
          <w:bCs/>
          <w:sz w:val="24"/>
        </w:rPr>
        <w:t xml:space="preserve"> 14 </w:t>
      </w:r>
      <w:r w:rsidRPr="000F27B6">
        <w:rPr>
          <w:rFonts w:cs="Arial"/>
          <w:bCs/>
          <w:sz w:val="24"/>
        </w:rPr>
        <w:t>(</w:t>
      </w:r>
      <w:r w:rsidR="00E0567A" w:rsidRPr="000F27B6">
        <w:rPr>
          <w:rFonts w:cs="Arial"/>
          <w:bCs/>
          <w:sz w:val="24"/>
        </w:rPr>
        <w:t>30%</w:t>
      </w:r>
      <w:r w:rsidRPr="000F27B6">
        <w:rPr>
          <w:rFonts w:cs="Arial"/>
          <w:bCs/>
          <w:sz w:val="24"/>
        </w:rPr>
        <w:t>) decedents.</w:t>
      </w:r>
      <w:r w:rsidR="00E0567A" w:rsidRPr="000F27B6">
        <w:rPr>
          <w:rFonts w:cs="Arial"/>
          <w:bCs/>
          <w:sz w:val="24"/>
        </w:rPr>
        <w:t xml:space="preserve"> </w:t>
      </w:r>
      <w:bookmarkEnd w:id="6"/>
      <w:r w:rsidRPr="000F27B6">
        <w:rPr>
          <w:rFonts w:cs="Arial"/>
          <w:bCs/>
          <w:sz w:val="24"/>
        </w:rPr>
        <w:t xml:space="preserve">Twelve decedents </w:t>
      </w:r>
      <w:r w:rsidR="00E0567A" w:rsidRPr="000F27B6">
        <w:rPr>
          <w:rFonts w:cs="Arial"/>
          <w:bCs/>
          <w:sz w:val="24"/>
        </w:rPr>
        <w:t xml:space="preserve"> underwent research based cardiac gene panel testing using the 174 gene Illumina </w:t>
      </w:r>
      <w:proofErr w:type="spellStart"/>
      <w:r w:rsidR="00E0567A" w:rsidRPr="000F27B6">
        <w:rPr>
          <w:rFonts w:cs="Arial"/>
          <w:bCs/>
          <w:sz w:val="24"/>
        </w:rPr>
        <w:t>Trusight</w:t>
      </w:r>
      <w:proofErr w:type="spellEnd"/>
      <w:r w:rsidR="00E0567A" w:rsidRPr="000F27B6">
        <w:rPr>
          <w:rFonts w:cs="Arial"/>
          <w:bCs/>
          <w:sz w:val="24"/>
        </w:rPr>
        <w:t xml:space="preserve"> Cardiac pane</w:t>
      </w:r>
      <w:r w:rsidR="008E2ECC" w:rsidRPr="000F27B6">
        <w:rPr>
          <w:rFonts w:cs="Arial"/>
          <w:bCs/>
          <w:sz w:val="24"/>
        </w:rPr>
        <w:t>l (Supplementary material, Table 1),</w:t>
      </w:r>
      <w:r w:rsidR="006C36CE" w:rsidRPr="000F27B6">
        <w:rPr>
          <w:rFonts w:cs="Arial"/>
          <w:bCs/>
          <w:sz w:val="24"/>
        </w:rPr>
        <w:fldChar w:fldCharType="begin" w:fldLock="1"/>
      </w:r>
      <w:r w:rsidR="00B0022F">
        <w:rPr>
          <w:rFonts w:cs="Arial"/>
          <w:bCs/>
          <w:sz w:val="24"/>
        </w:rPr>
        <w:instrText xml:space="preserve">ADDIN CSL_CITATION {"citationItems":[{"id":"ITEM-1","itemData":{"DOI":"10.1007/s12265-016-9673-5","ISSN":"1937-5395","PMID":"26888179","abstract":"Inherited cardiac conditions (ICCs) are characterised by marked genetic and allelic heterogeneity and require extensive sequencing for genetic characterisation. We iteratively optimised a targeted gene capture panel for ICCs that includes disease-causing, putatively pathogenic, research and phenocopy genes (n = 174 genes). We achieved high coverage of the target region on both MiSeq (&gt;99.8% at ≥ 20× read depth, n = 12) and NextSeq (&gt;99.9% at ≥ 20×, n = 48) platforms with 100% sensitivity and precision for single nucleotide variants and indels across the protein-coding target on the MiSeq. In the final assay, 40 out of 43 established ICC genes informative in clinical practice achieved complete coverage (100 % at ≥ 20×). By comparison, whole exome sequencing (WES; </w:instrText>
      </w:r>
      <w:r w:rsidR="00B0022F">
        <w:rPr>
          <w:rFonts w:ascii="Cambria Math" w:hAnsi="Cambria Math" w:cs="Cambria Math"/>
          <w:bCs/>
          <w:sz w:val="24"/>
        </w:rPr>
        <w:instrText>∼</w:instrText>
      </w:r>
      <w:r w:rsidR="00B0022F">
        <w:rPr>
          <w:rFonts w:cs="Arial"/>
          <w:bCs/>
          <w:sz w:val="24"/>
        </w:rPr>
        <w:instrText xml:space="preserve"> 80</w:instrText>
      </w:r>
      <w:r w:rsidR="00B0022F">
        <w:rPr>
          <w:rFonts w:cs="Calibri"/>
          <w:bCs/>
          <w:sz w:val="24"/>
        </w:rPr>
        <w:instrText>×</w:instrText>
      </w:r>
      <w:r w:rsidR="00B0022F">
        <w:rPr>
          <w:rFonts w:cs="Arial"/>
          <w:bCs/>
          <w:sz w:val="24"/>
        </w:rPr>
        <w:instrText>), deep WES (</w:instrText>
      </w:r>
      <w:r w:rsidR="00B0022F">
        <w:rPr>
          <w:rFonts w:ascii="Cambria Math" w:hAnsi="Cambria Math" w:cs="Cambria Math"/>
          <w:bCs/>
          <w:sz w:val="24"/>
        </w:rPr>
        <w:instrText>∼</w:instrText>
      </w:r>
      <w:r w:rsidR="00B0022F">
        <w:rPr>
          <w:rFonts w:cs="Arial"/>
          <w:bCs/>
          <w:sz w:val="24"/>
        </w:rPr>
        <w:instrText xml:space="preserve"> 500</w:instrText>
      </w:r>
      <w:r w:rsidR="00B0022F">
        <w:rPr>
          <w:rFonts w:cs="Calibri"/>
          <w:bCs/>
          <w:sz w:val="24"/>
        </w:rPr>
        <w:instrText>×</w:instrText>
      </w:r>
      <w:r w:rsidR="00B0022F">
        <w:rPr>
          <w:rFonts w:cs="Arial"/>
          <w:bCs/>
          <w:sz w:val="24"/>
        </w:rPr>
        <w:instrText xml:space="preserve">) and whole genome sequencing (WGS; </w:instrText>
      </w:r>
      <w:r w:rsidR="00B0022F">
        <w:rPr>
          <w:rFonts w:ascii="Cambria Math" w:hAnsi="Cambria Math" w:cs="Cambria Math"/>
          <w:bCs/>
          <w:sz w:val="24"/>
        </w:rPr>
        <w:instrText>∼</w:instrText>
      </w:r>
      <w:r w:rsidR="00B0022F">
        <w:rPr>
          <w:rFonts w:cs="Arial"/>
          <w:bCs/>
          <w:sz w:val="24"/>
        </w:rPr>
        <w:instrText xml:space="preserve"> 70</w:instrText>
      </w:r>
      <w:r w:rsidR="00B0022F">
        <w:rPr>
          <w:rFonts w:cs="Calibri"/>
          <w:bCs/>
          <w:sz w:val="24"/>
        </w:rPr>
        <w:instrText>×</w:instrText>
      </w:r>
      <w:r w:rsidR="00B0022F">
        <w:rPr>
          <w:rFonts w:cs="Arial"/>
          <w:bCs/>
          <w:sz w:val="24"/>
        </w:rPr>
        <w:instrText xml:space="preserve">) had poorer performance (88.1, 99.2 and 99.3% respectively at </w:instrText>
      </w:r>
      <w:r w:rsidR="00B0022F">
        <w:rPr>
          <w:rFonts w:cs="Calibri"/>
          <w:bCs/>
          <w:sz w:val="24"/>
        </w:rPr>
        <w:instrText>≥</w:instrText>
      </w:r>
      <w:r w:rsidR="00B0022F">
        <w:rPr>
          <w:rFonts w:cs="Arial"/>
          <w:bCs/>
          <w:sz w:val="24"/>
        </w:rPr>
        <w:instrText xml:space="preserve"> 20</w:instrText>
      </w:r>
      <w:r w:rsidR="00B0022F">
        <w:rPr>
          <w:rFonts w:cs="Calibri"/>
          <w:bCs/>
          <w:sz w:val="24"/>
        </w:rPr>
        <w:instrText>×</w:instrText>
      </w:r>
      <w:r w:rsidR="00B0022F">
        <w:rPr>
          <w:rFonts w:cs="Arial"/>
          <w:bCs/>
          <w:sz w:val="24"/>
        </w:rPr>
        <w:instrText>) across the ICC target. The assay described here delivers highly accurate and affordable sequencing of ICC genes, complemented by accessible cloud-based computation and informatics. See Editorial in this issue (DOI: 10.1007/s12265-015-9667-8 ).","author":[{"dropping-particle":"","family":"Pua","given":"Chee Jian","non-dropping-particle":"","parse-names":false,"suffix":""},{"dropping-particle":"","family":"Bhalshankar","given":"Jaydutt","non-dropping-particle":"","parse-names":false,"suffix":""},{"dropping-particle":"","family":"Miao","given":"Kui","non-dropping-particle":"","parse-names":false,"suffix":""},{"dropping-particle":"","family":"Walsh","given":"Roddy","non-dropping-particle":"","parse-names":false,"suffix":""},{"dropping-particle":"","family":"John","given":"Shibu","non-dropping-particle":"","parse-names":false,"suffix":""},{"dropping-particle":"","family":"Lim","given":"Shi Qi","non-dropping-particle":"","parse-names":false,"suffix":""},{"dropping-particle":"","family":"Chow","given":"Kingsley","non-dropping-particle":"","parse-names":false,"suffix":""},{"dropping-particle":"","family":"Buchan","given":"Rachel","non-dropping-particle":"","parse-names":false,"suffix":""},{"dropping-particle":"","family":"Soh","given":"Bee Yong","non-dropping-particle":"","parse-names":false,"suffix":""},{"dropping-particle":"","family":"Lio","given":"Pei Min","non-dropping-particle":"","parse-names":false,"suffix":""},{"dropping-particle":"","family":"Lim","given":"Jaclyn","non-dropping-particle":"","parse-names":false,"suffix":""},{"dropping-particle":"","family":"Schafer","given":"Sebastian","non-dropping-particle":"","parse-names":false,"suffix":""},{"dropping-particle":"","family":"Lim","given":"Jing Quan","non-dropping-particle":"","parse-names":false,"suffix":""},{"dropping-particle":"","family":"Tan","given":"Patrick","non-dropping-particle":"","parse-names":false,"suffix":""},{"dropping-particle":"","family":"Whiffin","given":"Nicola","non-dropping-particle":"","parse-names":false,"suffix":""},{"dropping-particle":"","family":"Barton","given":"Paul J","non-dropping-particle":"","parse-names":false,"suffix":""},{"dropping-particle":"","family":"Ware","given":"James S","non-dropping-particle":"","parse-names":false,"suffix":""},{"dropping-particle":"","family":"Cook","given":"Stuart A","non-dropping-particle":"","parse-names":false,"suffix":""}],"container-title":"Journal of cardiovascular translational research","id":"ITEM-1","issue":"1","issued":{"date-parts":[["2016","2"]]},"page":"3-11","title":"Development of a Comprehensive Sequencing Assay for Inherited Cardiac Condition Genes.","type":"article-journal","volume":"9"},"uris":["http://www.mendeley.com/documents/?uuid=ec39045b-e852-478f-8dd5-dfb845911946"]}],"mendeley":{"formattedCitation":"&lt;sup&gt;21&lt;/sup&gt;","plainTextFormattedCitation":"21","previouslyFormattedCitation":"&lt;sup&gt;21&lt;/sup&gt;"},"properties":{"noteIndex":0},"schema":"https://github.com/citation-style-language/schema/raw/master/csl-citation.json"}</w:instrText>
      </w:r>
      <w:r w:rsidR="006C36CE" w:rsidRPr="000F27B6">
        <w:rPr>
          <w:rFonts w:cs="Arial"/>
          <w:bCs/>
          <w:sz w:val="24"/>
        </w:rPr>
        <w:fldChar w:fldCharType="separate"/>
      </w:r>
      <w:r w:rsidR="00B0022F" w:rsidRPr="00B0022F">
        <w:rPr>
          <w:rFonts w:cs="Arial"/>
          <w:bCs/>
          <w:noProof/>
          <w:sz w:val="24"/>
          <w:vertAlign w:val="superscript"/>
        </w:rPr>
        <w:t>21</w:t>
      </w:r>
      <w:r w:rsidR="006C36CE" w:rsidRPr="000F27B6">
        <w:rPr>
          <w:rFonts w:cs="Arial"/>
          <w:bCs/>
          <w:sz w:val="24"/>
        </w:rPr>
        <w:fldChar w:fldCharType="end"/>
      </w:r>
      <w:r w:rsidR="000C495A" w:rsidRPr="000F27B6">
        <w:rPr>
          <w:rFonts w:cs="Arial"/>
          <w:bCs/>
          <w:sz w:val="24"/>
        </w:rPr>
        <w:t xml:space="preserve"> </w:t>
      </w:r>
      <w:r w:rsidRPr="000F27B6">
        <w:rPr>
          <w:rFonts w:cs="Arial"/>
          <w:bCs/>
          <w:sz w:val="24"/>
        </w:rPr>
        <w:t xml:space="preserve">and </w:t>
      </w:r>
      <w:r w:rsidR="00DB6664" w:rsidRPr="000F27B6">
        <w:rPr>
          <w:rFonts w:cs="Arial"/>
          <w:bCs/>
          <w:sz w:val="24"/>
        </w:rPr>
        <w:t xml:space="preserve"> 2 decedents underwent clinical molecular autopsy using a targeted panel of 19 cardiac genes</w:t>
      </w:r>
      <w:r w:rsidR="009C70DE" w:rsidRPr="000F27B6">
        <w:rPr>
          <w:rFonts w:cs="Arial"/>
          <w:bCs/>
          <w:sz w:val="24"/>
        </w:rPr>
        <w:t>.</w:t>
      </w:r>
      <w:r w:rsidR="00E0567A" w:rsidRPr="000F27B6">
        <w:rPr>
          <w:rFonts w:cs="Arial"/>
          <w:bCs/>
          <w:sz w:val="24"/>
        </w:rPr>
        <w:t xml:space="preserve"> </w:t>
      </w:r>
      <w:r w:rsidR="00637861" w:rsidRPr="000F27B6">
        <w:rPr>
          <w:sz w:val="24"/>
          <w:szCs w:val="24"/>
        </w:rPr>
        <w:t>Va</w:t>
      </w:r>
      <w:r w:rsidR="009C70DE" w:rsidRPr="000F27B6">
        <w:rPr>
          <w:sz w:val="24"/>
          <w:szCs w:val="24"/>
        </w:rPr>
        <w:t xml:space="preserve">riants </w:t>
      </w:r>
      <w:r w:rsidR="00637861" w:rsidRPr="000F27B6">
        <w:rPr>
          <w:sz w:val="24"/>
          <w:szCs w:val="24"/>
        </w:rPr>
        <w:t>with</w:t>
      </w:r>
      <w:r w:rsidR="009C70DE" w:rsidRPr="000F27B6">
        <w:rPr>
          <w:sz w:val="24"/>
          <w:szCs w:val="24"/>
        </w:rPr>
        <w:t xml:space="preserve"> a minor allele frequency (MAF) &gt;0.001% in the Exome Aggregation Consortium (</w:t>
      </w:r>
      <w:proofErr w:type="spellStart"/>
      <w:r w:rsidR="009C70DE" w:rsidRPr="000F27B6">
        <w:rPr>
          <w:sz w:val="24"/>
          <w:szCs w:val="24"/>
        </w:rPr>
        <w:t>ExAC</w:t>
      </w:r>
      <w:proofErr w:type="spellEnd"/>
      <w:r w:rsidR="009C70DE" w:rsidRPr="000F27B6">
        <w:rPr>
          <w:sz w:val="24"/>
          <w:szCs w:val="24"/>
        </w:rPr>
        <w:t>)</w:t>
      </w:r>
      <w:r w:rsidR="009C70DE" w:rsidRPr="000F27B6">
        <w:rPr>
          <w:sz w:val="24"/>
          <w:szCs w:val="24"/>
        </w:rPr>
        <w:fldChar w:fldCharType="begin" w:fldLock="1"/>
      </w:r>
      <w:r w:rsidR="00B0022F">
        <w:rPr>
          <w:sz w:val="24"/>
          <w:szCs w:val="24"/>
        </w:rPr>
        <w:instrText>ADDIN CSL_CITATION {"citationItems":[{"id":"ITEM-1","itemData":{"id":"ITEM-1","issued":{"date-parts":[["0"]]},"title":"About Exome Aggregation Consortium (ExAC). Available at: http://exac.broadinstitute.org/about.","type":"article-journal"},"uris":["http://www.mendeley.com/documents/?uuid=7613d8bb-63fd-43c8-90d9-abd2f26eafbe"]}],"mendeley":{"formattedCitation":"&lt;sup&gt;22&lt;/sup&gt;","plainTextFormattedCitation":"22","previouslyFormattedCitation":"&lt;sup&gt;22&lt;/sup&gt;"},"properties":{"noteIndex":0},"schema":"https://github.com/citation-style-language/schema/raw/master/csl-citation.json"}</w:instrText>
      </w:r>
      <w:r w:rsidR="009C70DE" w:rsidRPr="000F27B6">
        <w:rPr>
          <w:sz w:val="24"/>
          <w:szCs w:val="24"/>
        </w:rPr>
        <w:fldChar w:fldCharType="separate"/>
      </w:r>
      <w:r w:rsidR="00B0022F" w:rsidRPr="00B0022F">
        <w:rPr>
          <w:noProof/>
          <w:sz w:val="24"/>
          <w:szCs w:val="24"/>
          <w:vertAlign w:val="superscript"/>
        </w:rPr>
        <w:t>22</w:t>
      </w:r>
      <w:r w:rsidR="009C70DE" w:rsidRPr="000F27B6">
        <w:rPr>
          <w:sz w:val="24"/>
          <w:szCs w:val="24"/>
        </w:rPr>
        <w:fldChar w:fldCharType="end"/>
      </w:r>
      <w:r w:rsidR="00637861" w:rsidRPr="000F27B6">
        <w:rPr>
          <w:sz w:val="24"/>
          <w:szCs w:val="24"/>
        </w:rPr>
        <w:t xml:space="preserve">, </w:t>
      </w:r>
      <w:r w:rsidR="009C70DE" w:rsidRPr="000F27B6">
        <w:rPr>
          <w:sz w:val="24"/>
          <w:szCs w:val="24"/>
        </w:rPr>
        <w:t>synonymous variants not located at splice sites and non-truncating variants in titin (TTN) gene</w:t>
      </w:r>
      <w:r w:rsidR="00637861" w:rsidRPr="000F27B6">
        <w:rPr>
          <w:sz w:val="24"/>
          <w:szCs w:val="24"/>
        </w:rPr>
        <w:t xml:space="preserve"> were excluded</w:t>
      </w:r>
      <w:r w:rsidR="009C70DE" w:rsidRPr="000F27B6">
        <w:rPr>
          <w:sz w:val="24"/>
          <w:szCs w:val="24"/>
        </w:rPr>
        <w:fldChar w:fldCharType="begin" w:fldLock="1"/>
      </w:r>
      <w:r w:rsidR="00B0022F">
        <w:rPr>
          <w:sz w:val="24"/>
          <w:szCs w:val="24"/>
        </w:rPr>
        <w:instrText>ADDIN CSL_CITATION {"citationItems":[{"id":"ITEM-1","itemData":{"DOI":"10.1056/NEJMoa1110186","ISBN":"1533-4406 (Electronic)\\n0028-4793 (Linking)","ISSN":"0028-4793","PMID":"22335739","abstract":"BACKGROUND: Dilated cardiomyopathy and hypertrophic cardiomyopathy arise from mutations in many genes. TTN, the gene encoding the sarcomere protein titin, has been insufficiently analyzed for cardiomyopathy mutations because of its enormous size.\\n\\nMETHODS: We analyzed TTN in 312 subjects with dilated cardiomyopathy, 231 subjects with hypertrophic cardiomyopathy, and 249 controls by using next-generation or dideoxy sequencing. We evaluated deleterious variants for cosegregation in families and assessed clinical characteristics.\\n\\nRESULTS: We identified 72 unique mutations (25 nonsense, 23 frameshift, 23 splicing, and 1 large tandem insertion) that altered full-length titin. Among subjects studied by means of next-generation sequencing, the frequency of TTN mutations was significantly higher among subjects with dilated cardiomyopathy (54 of 203 [27%]) than among subjects with hypertrophic cardiomyopathy (3 of 231 [1%], P=3×10(-16)) or controls (7 of 249 [3%], P=9×10(-14)). TTN mutations cosegregated with dilated cardiomyopathy in families (combined lod score, 11.1) with high (&gt;95%) observed penetrance after the age of 40 years. Mutations associated with dilated cardiomyopathy were overrepresented in the titin A-band but were absent from the Z-disk and M-band regions of titin (P≤0.01 for all comparisons). Overall, the rates of cardiac outcomes were similar in subjects with and those without TTN mutations, but adverse events occurred earlier in male mutation carriers than in female carriers (P=4×10(-5)).\\n\\nCONCLUSIONS: TTN truncating mutations are a common cause of dilated cardiomyopathy, occurring in approximately 25% of familial cases of idiopathic dilated cardiomyopathy and in 18% of sporadic cases. Incorporation of sequencing approaches that detect TTN truncations into genetic testing for dilated cardiomyopathy should substantially increase test sensitivity, thereby allowing earlier diagnosis and therapeutic intervention for many patients with dilated cardiomyopathy. Defining the functional effects of TTN truncating mutations should improve our understanding of the pathophysiology of dilated cardiomyopathy. (Funded by the Howard Hughes Medical Institute and others.).","author":[{"dropping-particle":"","family":"Herman","given":"Daniel S.","non-dropping-particle":"","parse-names":false,"suffix":""},{"dropping-particle":"","family":"Lam","given":"Lien","non-dropping-particle":"","parse-names":false,"suffix":""},{"dropping-particle":"","family":"Taylor","given":"Matthew R.G.","non-dropping-particle":"","parse-names":false,"suffix":""},{"dropping-particle":"","family":"Wang","given":"Libin","non-dropping-particle":"","parse-names":false,"suffix":""},{"dropping-particle":"","family":"Teekakirikul","given":"Polakit","non-dropping-particle":"","parse-names":false,"suffix":""},{"dropping-particle":"","family":"Christodoulou","given":"Danos","non-dropping-particle":"","parse-names":false,"suffix":""},{"dropping-particle":"","family":"Conner","given":"Lauren","non-dropping-particle":"","parse-names":false,"suffix":""},{"dropping-particle":"","family":"DePalma","given":"Steven R.","non-dropping-particle":"","parse-names":false,"suffix":""},{"dropping-particle":"","family":"McDonough","given":"Barbara","non-dropping-particle":"","parse-names":false,"suffix":""},{"dropping-particle":"","family":"Sparks","given":"Elizabeth","non-dropping-particle":"","parse-names":false,"suffix":""},{"dropping-particle":"","family":"Teodorescu","given":"Debbie Lin","non-dropping-particle":"","parse-names":false,"suffix":""},{"dropping-particle":"","family":"Cirino","given":"Allison L.","non-dropping-particle":"","parse-names":false,"suffix":""},{"dropping-particle":"","family":"Banner","given":"Nicholas R.","non-dropping-particle":"","parse-names":false,"suffix":""},{"dropping-particle":"","family":"Pennell","given":"Dudley J.","non-dropping-particle":"","parse-names":false,"suffix":""},{"dropping-particle":"","family":"Graw","given":"Sharon","non-dropping-particle":"","parse-names":false,"suffix":""},{"dropping-particle":"","family":"Merlo","given":"Marco","non-dropping-particle":"","parse-names":false,"suffix":""},{"dropping-particle":"","family":"Lenarda","given":"Andrea","non-dropping-particle":"Di","parse-names":false,"suffix":""},{"dropping-particle":"","family":"Sinagra","given":"Gianfranco","non-dropping-particle":"","parse-names":false,"suffix":""},{"dropping-particle":"","family":"Bos","given":"J. Martijn","non-dropping-particle":"","parse-names":false,"suffix":""},{"dropping-particle":"","family":"Ackerman","given":"Michael J.","non-dropping-particle":"","parse-names":false,"suffix":""},{"dropping-particle":"","family":"Mitchell","given":"Richard N.","non-dropping-particle":"","parse-names":false,"suffix":""},{"dropping-particle":"","family":"Murry","given":"Charles E.","non-dropping-particle":"","parse-names":false,"suffix":""},{"dropping-particle":"","family":"Lakdawala","given":"Neal K.","non-dropping-particle":"","parse-names":false,"suffix":""},{"dropping-particle":"","family":"Ho","given":"Carolyn Y.","non-dropping-particle":"","parse-names":false,"suffix":""},{"dropping-particle":"","family":"Barton","given":"Paul J.R.","non-dropping-particle":"","parse-names":false,"suffix":""},{"dropping-particle":"","family":"Cook","given":"Stuart a.","non-dropping-particle":"","parse-names":false,"suffix":""},{"dropping-particle":"","family":"Mestroni","given":"Luisa","non-dropping-particle":"","parse-names":false,"suffix":""},{"dropping-particle":"","family":"Seidman","given":"J.G.","non-dropping-particle":"","parse-names":false,"suffix":""},{"dropping-particle":"","family":"Seidman","given":"Christine E.","non-dropping-particle":"","parse-names":false,"suffix":""}],"container-title":"New England Journal of Medicine","id":"ITEM-1","issue":"7","issued":{"date-parts":[["2012"]]},"page":"619-628","title":"Truncations of Titin Causing Dilated Cardiomyopathy","type":"article-journal","volume":"366"},"uris":["http://www.mendeley.com/documents/?uuid=1ce3a731-16e1-4c5b-82dc-30207bc6a807"]}],"mendeley":{"formattedCitation":"&lt;sup&gt;23&lt;/sup&gt;","plainTextFormattedCitation":"23","previouslyFormattedCitation":"&lt;sup&gt;23&lt;/sup&gt;"},"properties":{"noteIndex":0},"schema":"https://github.com/citation-style-language/schema/raw/master/csl-citation.json"}</w:instrText>
      </w:r>
      <w:r w:rsidR="009C70DE" w:rsidRPr="000F27B6">
        <w:rPr>
          <w:sz w:val="24"/>
          <w:szCs w:val="24"/>
        </w:rPr>
        <w:fldChar w:fldCharType="separate"/>
      </w:r>
      <w:r w:rsidR="00B0022F" w:rsidRPr="00B0022F">
        <w:rPr>
          <w:noProof/>
          <w:sz w:val="24"/>
          <w:szCs w:val="24"/>
          <w:vertAlign w:val="superscript"/>
        </w:rPr>
        <w:t>23</w:t>
      </w:r>
      <w:r w:rsidR="009C70DE" w:rsidRPr="000F27B6">
        <w:rPr>
          <w:sz w:val="24"/>
          <w:szCs w:val="24"/>
        </w:rPr>
        <w:fldChar w:fldCharType="end"/>
      </w:r>
      <w:r w:rsidR="009C70DE" w:rsidRPr="000F27B6">
        <w:rPr>
          <w:sz w:val="24"/>
          <w:szCs w:val="24"/>
        </w:rPr>
        <w:t>. Variants were classified according to American College of Medical Genetics (ACMG) criteria</w:t>
      </w:r>
      <w:r w:rsidR="009C70DE" w:rsidRPr="000F27B6">
        <w:rPr>
          <w:sz w:val="24"/>
          <w:szCs w:val="24"/>
        </w:rPr>
        <w:fldChar w:fldCharType="begin" w:fldLock="1"/>
      </w:r>
      <w:r w:rsidR="00B0022F">
        <w:rPr>
          <w:sz w:val="24"/>
          <w:szCs w:val="24"/>
        </w:rPr>
        <w:instrText>ADDIN CSL_CITATION {"citationItems":[{"id":"ITEM-1","itemData":{"DOI":"10.1038/gim.2015.30","ISSN":"1530-0366","PMID":"25741868","abstract":"The American College of Medical Genetics and Genomics (ACMG) previously developed guidance for the interpretation of sequence variants.(1) In the past decade, sequencing technology has evolved rapidly with the advent of high-throughput next-generation sequencing. By adopting and leveraging next-generation sequencing, clinical laboratories are now performing an ever-increasing catalogue of genetic testing spanning genotyping, single genes, gene panels, exomes, genomes, transcriptomes, and epigenetic assays for genetic disorders. By virtue of increased complexity, this shift in genetic testing has been accompanied by new challenges in sequence interpretation. In this context the ACMG convened a workgroup in 2013 comprising representatives from the ACMG, the Association for Molecular Pathology (AMP), and the College of American Pathologists to revisit and revise the standards and guidelines for the interpretation of sequence variants. The group consisted of clinical laboratory directors and clinicians. This report represents expert opinion of the workgroup with input from ACMG, AMP, and College of American Pathologists stakeholders. These recommendations primarily apply to the breadth of genetic tests used in clinical laboratories, including genotyping, single genes, panels, exomes, and genomes. This report recommends the use of specific standard terminology-\"pathogenic,\" \"likely pathogenic,\" \"uncertain significance,\" \"likely benign,\" and \"benign\"-to describe variants identified in genes that cause Mendelian disorders. Moreover, this recommendation describes a process for classifying variants into these five categories based on criteria using typical types of variant evidence (e.g., population data, computational data, functional data, segregation data). Because of the increased complexity of analysis and interpretation of clinical genetic testing described in this report, the ACMG strongly recommends that clinical molecular genetic testing should be performed in a Clinical Laboratory Improvement Amendments-approved laboratory, with results interpreted by a board-certified clinical molecular geneticist or molecular genetic pathologist or the equivalent.","author":[{"dropping-particle":"","family":"Richards","given":"Sue","non-dropping-particle":"","parse-names":false,"suffix":""},{"dropping-particle":"","family":"Aziz","given":"Nazneen","non-dropping-particle":"","parse-names":false,"suffix":""},{"dropping-particle":"","family":"Bale","given":"Sherri","non-dropping-particle":"","parse-names":false,"suffix":""},{"dropping-particle":"","family":"Bick","given":"David","non-dropping-particle":"","parse-names":false,"suffix":""},{"dropping-particle":"","family":"Das","given":"Soma","non-dropping-particle":"","parse-names":false,"suffix":""},{"dropping-particle":"","family":"Gastier-Foster","given":"Julie","non-dropping-particle":"","parse-names":false,"suffix":""},{"dropping-particle":"","family":"Grody","given":"Wayne W","non-dropping-particle":"","parse-names":false,"suffix":""},{"dropping-particle":"","family":"Hegde","given":"Madhuri","non-dropping-particle":"","parse-names":false,"suffix":""},{"dropping-particle":"","family":"Lyon","given":"Elaine","non-dropping-particle":"","parse-names":false,"suffix":""},{"dropping-particle":"","family":"Spector","given":"Elaine","non-dropping-particle":"","parse-names":false,"suffix":""},{"dropping-particle":"","family":"Voelkerding","given":"Karl","non-dropping-particle":"","parse-names":false,"suffix":""},{"dropping-particle":"","family":"Rehm","given":"Heidi L","non-dropping-particle":"","parse-names":false,"suffix":""},{"dropping-particle":"","family":"ACMG Laboratory Quality Assurance Committee","given":"","non-dropping-particle":"","parse-names":false,"suffix":""}],"container-title":"Genetics in medicine : official journal of the American College of Medical Genetics","id":"ITEM-1","issue":"5","issued":{"date-parts":[["2015","5"]]},"page":"405-24","title":"Standards and guidelines for the interpretation of sequence variants: a joint consensus recommendation of the American College of Medical Genetics and Genomics and the Association for Molecular Pathology.","type":"article-journal","volume":"17"},"uris":["http://www.mendeley.com/documents/?uuid=19feed79-6a92-4772-b812-d8661688eb10"]}],"mendeley":{"formattedCitation":"&lt;sup&gt;24&lt;/sup&gt;","plainTextFormattedCitation":"24","previouslyFormattedCitation":"&lt;sup&gt;24&lt;/sup&gt;"},"properties":{"noteIndex":0},"schema":"https://github.com/citation-style-language/schema/raw/master/csl-citation.json"}</w:instrText>
      </w:r>
      <w:r w:rsidR="009C70DE" w:rsidRPr="000F27B6">
        <w:rPr>
          <w:sz w:val="24"/>
          <w:szCs w:val="24"/>
        </w:rPr>
        <w:fldChar w:fldCharType="separate"/>
      </w:r>
      <w:r w:rsidR="00B0022F" w:rsidRPr="00B0022F">
        <w:rPr>
          <w:noProof/>
          <w:sz w:val="24"/>
          <w:szCs w:val="24"/>
          <w:vertAlign w:val="superscript"/>
        </w:rPr>
        <w:t>24</w:t>
      </w:r>
      <w:r w:rsidR="009C70DE" w:rsidRPr="000F27B6">
        <w:rPr>
          <w:sz w:val="24"/>
          <w:szCs w:val="24"/>
        </w:rPr>
        <w:fldChar w:fldCharType="end"/>
      </w:r>
      <w:r w:rsidR="009C70DE" w:rsidRPr="000F27B6">
        <w:rPr>
          <w:sz w:val="24"/>
          <w:szCs w:val="24"/>
        </w:rPr>
        <w:t xml:space="preserve">. </w:t>
      </w:r>
    </w:p>
    <w:p w14:paraId="7CF4CD32" w14:textId="718BE953" w:rsidR="002A5011" w:rsidRPr="000F27B6" w:rsidRDefault="002A5011" w:rsidP="000D216D">
      <w:pPr>
        <w:spacing w:line="480" w:lineRule="auto"/>
        <w:rPr>
          <w:b/>
          <w:sz w:val="24"/>
          <w:szCs w:val="24"/>
          <w:lang w:val="de-DE"/>
        </w:rPr>
      </w:pPr>
      <w:r w:rsidRPr="000F27B6">
        <w:rPr>
          <w:b/>
          <w:sz w:val="24"/>
          <w:szCs w:val="24"/>
          <w:lang w:val="de-DE"/>
        </w:rPr>
        <w:t xml:space="preserve">Definitions of </w:t>
      </w:r>
      <w:r w:rsidR="00F65064" w:rsidRPr="000F27B6">
        <w:rPr>
          <w:b/>
          <w:sz w:val="24"/>
          <w:szCs w:val="24"/>
          <w:lang w:val="de-DE"/>
        </w:rPr>
        <w:t>c</w:t>
      </w:r>
      <w:r w:rsidRPr="000F27B6">
        <w:rPr>
          <w:b/>
          <w:sz w:val="24"/>
          <w:szCs w:val="24"/>
          <w:lang w:val="de-DE"/>
        </w:rPr>
        <w:t xml:space="preserve">linical </w:t>
      </w:r>
      <w:r w:rsidR="00F65064" w:rsidRPr="000F27B6">
        <w:rPr>
          <w:b/>
          <w:sz w:val="24"/>
          <w:szCs w:val="24"/>
          <w:lang w:val="de-DE"/>
        </w:rPr>
        <w:t>d</w:t>
      </w:r>
      <w:r w:rsidRPr="000F27B6">
        <w:rPr>
          <w:b/>
          <w:sz w:val="24"/>
          <w:szCs w:val="24"/>
          <w:lang w:val="de-DE"/>
        </w:rPr>
        <w:t>iagnoses</w:t>
      </w:r>
    </w:p>
    <w:p w14:paraId="44649EA0" w14:textId="131C56D3" w:rsidR="002A5011" w:rsidRPr="000F27B6" w:rsidRDefault="002A7E61" w:rsidP="002A5011">
      <w:pPr>
        <w:spacing w:line="480" w:lineRule="auto"/>
        <w:rPr>
          <w:sz w:val="24"/>
          <w:szCs w:val="24"/>
        </w:rPr>
      </w:pPr>
      <w:r w:rsidRPr="000F27B6">
        <w:rPr>
          <w:sz w:val="24"/>
          <w:szCs w:val="24"/>
          <w:lang w:val="de-DE"/>
        </w:rPr>
        <w:t>Diagnosis of cardiac disease was made according to international guidelines</w:t>
      </w:r>
      <w:r w:rsidR="00136CD4" w:rsidRPr="000F27B6">
        <w:rPr>
          <w:sz w:val="24"/>
          <w:szCs w:val="24"/>
          <w:lang w:val="de-DE"/>
        </w:rPr>
        <w:t xml:space="preserve"> and </w:t>
      </w:r>
      <w:r w:rsidR="00BD41F9" w:rsidRPr="000F27B6">
        <w:rPr>
          <w:sz w:val="24"/>
          <w:szCs w:val="24"/>
          <w:lang w:val="de-DE"/>
        </w:rPr>
        <w:t>recommendations</w:t>
      </w:r>
      <w:r w:rsidRPr="000F27B6">
        <w:rPr>
          <w:sz w:val="24"/>
          <w:szCs w:val="24"/>
          <w:lang w:val="de-DE"/>
        </w:rPr>
        <w:t>.</w:t>
      </w:r>
      <w:r w:rsidR="00F65064" w:rsidRPr="000F27B6">
        <w:rPr>
          <w:sz w:val="24"/>
          <w:szCs w:val="24"/>
          <w:lang w:val="de-DE"/>
        </w:rPr>
        <w:t xml:space="preserve"> </w:t>
      </w:r>
      <w:r w:rsidR="002A5011" w:rsidRPr="000F27B6">
        <w:rPr>
          <w:sz w:val="24"/>
          <w:szCs w:val="24"/>
        </w:rPr>
        <w:t xml:space="preserve">The diagnosis of HCM was </w:t>
      </w:r>
      <w:r w:rsidR="00272083" w:rsidRPr="000F27B6">
        <w:rPr>
          <w:sz w:val="24"/>
          <w:szCs w:val="24"/>
        </w:rPr>
        <w:t>considered</w:t>
      </w:r>
      <w:r w:rsidR="002A5011" w:rsidRPr="000F27B6">
        <w:rPr>
          <w:sz w:val="24"/>
          <w:szCs w:val="24"/>
        </w:rPr>
        <w:t xml:space="preserve"> </w:t>
      </w:r>
      <w:r w:rsidR="00272083" w:rsidRPr="000F27B6">
        <w:rPr>
          <w:sz w:val="24"/>
          <w:szCs w:val="24"/>
        </w:rPr>
        <w:t>i</w:t>
      </w:r>
      <w:r w:rsidR="002A5011" w:rsidRPr="000F27B6">
        <w:rPr>
          <w:sz w:val="24"/>
          <w:szCs w:val="24"/>
        </w:rPr>
        <w:t>n the presence of unexplained LVH with end-diastolic</w:t>
      </w:r>
      <w:r w:rsidR="00272083" w:rsidRPr="000F27B6">
        <w:rPr>
          <w:sz w:val="24"/>
          <w:szCs w:val="24"/>
        </w:rPr>
        <w:t xml:space="preserve"> LV</w:t>
      </w:r>
      <w:r w:rsidR="002A5011" w:rsidRPr="000F27B6">
        <w:rPr>
          <w:sz w:val="24"/>
          <w:szCs w:val="24"/>
        </w:rPr>
        <w:t xml:space="preserve"> wall thickness &gt;15 mm on 2D echocardiography or CMR. A diagnosis of HCM was also considered in individuals with a wall thickness between 13 and 15 mm, in the presence of abnormal repolarisation changes on electrocardiography, or in the context of another family member fulfilling conventional diagnostic criteria for HCM</w:t>
      </w:r>
      <w:r w:rsidR="00784852">
        <w:rPr>
          <w:sz w:val="24"/>
          <w:szCs w:val="24"/>
        </w:rPr>
        <w:fldChar w:fldCharType="begin" w:fldLock="1"/>
      </w:r>
      <w:r w:rsidR="00784852">
        <w:rPr>
          <w:sz w:val="24"/>
          <w:szCs w:val="24"/>
        </w:rPr>
        <w:instrText>ADDIN CSL_CITATION {"citationItems":[{"id":"ITEM-1","itemData":{"author":[{"dropping-particle":"","family":"Elliott","given":"Perry M","non-dropping-particle":"","parse-names":false,"suffix":""},{"dropping-particle":"","family":"Anastasakis","given":"Aris","non-dropping-particle":"","parse-names":false,"suffix":""},{"dropping-particle":"","family":"Borger","given":"Michael A","non-dropping-particle":"","parse-names":false,"suffix":""},{"dropping-particle":"","family":"Borggrefe","given":"Martin","non-dropping-particle":"","parse-names":false,"suffix":""},{"dropping-particle":"","family":"Cecchi","given":"Franco","non-dropping-particle":"","parse-names":false,"suffix":""},{"dropping-particle":"","family":"Charron","given":"Philippe","non-dropping-particle":"","parse-names":false,"suffix":""},{"dropping-particle":"","family":"Hagege","given":"Albert Alain","non-dropping-particle":"","parse-names":false,"suffix":""},{"dropping-particle":"","family":"Lafont","given":"Antoine","non-dropping-particle":"","parse-names":false,"suffix":""},{"dropping-particle":"","family":"Limongelli","given":"Giuseppe","non-dropping-particle":"","parse-names":false,"suffix":""},{"dropping-particle":"","family":"Mahrholdt","given":"Heiko","non-dropping-particle":"","parse-names":false,"suffix":""},{"dropping-particle":"","family":"McKenna","given":"William J","non-dropping-particle":"","parse-names":false,"suffix":""},{"dropping-particle":"","family":"Mogensen","given":"Jens","non-dropping-particle":"","parse-names":false,"suffix":""},{"dropping-particle":"","family":"Nihoyannopoulos","given":"Petros","non-dropping-particle":"","parse-names":false,"suffix":""},{"dropping-particle":"","family":"Nistri","given":"Stefano","non-dropping-particle":"","parse-names":false,"suffix":""},{"dropping-particle":"","family":"Pieper","given":"Petronella G","non-dropping-particle":"","parse-names":false,"suffix":""},{"dropping-particle":"","family":"Pieske","given":"Burkert","non-dropping-particle":"","parse-names":false,"suffix":""},{"dropping-particle":"","family":"Rapezzi","given":"Claudio","non-dropping-particle":"","parse-names":false,"suffix":""},{"dropping-particle":"","family":"Rutten","given":"Frans H","non-dropping-particle":"","parse-names":false,"suffix":""},{"dropping-particle":"","family":"Tillmanns","given":"Christoph","non-dropping-particle":"","parse-names":false,"suffix":""},{"dropping-particle":"","family":"Watkins","given":"Hugh","non-dropping-particle":"","parse-names":false,"suffix":""}],"container-title":"European Heart Journal","id":"ITEM-1","issue":"39","issued":{"date-parts":[["2014"]]},"page":"2733-2779","title":"2014 ESC guidelines on diagnosis and management of hypertrophic cardiomyopathy","type":"article-journal","volume":"35"},"uris":["http://www.mendeley.com/documents/?uuid=85a18ec0-efd7-42bb-8578-60b6f020fc96"]}],"mendeley":{"formattedCitation":"&lt;sup&gt;25&lt;/sup&gt;","plainTextFormattedCitation":"25"},"properties":{"noteIndex":0},"schema":"https://github.com/citation-style-language/schema/raw/master/csl-citation.json"}</w:instrText>
      </w:r>
      <w:r w:rsidR="00784852">
        <w:rPr>
          <w:sz w:val="24"/>
          <w:szCs w:val="24"/>
        </w:rPr>
        <w:fldChar w:fldCharType="separate"/>
      </w:r>
      <w:r w:rsidR="00784852" w:rsidRPr="00784852">
        <w:rPr>
          <w:noProof/>
          <w:sz w:val="24"/>
          <w:szCs w:val="24"/>
          <w:vertAlign w:val="superscript"/>
        </w:rPr>
        <w:t>25</w:t>
      </w:r>
      <w:r w:rsidR="00784852">
        <w:rPr>
          <w:sz w:val="24"/>
          <w:szCs w:val="24"/>
        </w:rPr>
        <w:fldChar w:fldCharType="end"/>
      </w:r>
      <w:r w:rsidR="002A5011" w:rsidRPr="000F27B6">
        <w:rPr>
          <w:sz w:val="24"/>
          <w:szCs w:val="24"/>
        </w:rPr>
        <w:t xml:space="preserve">. </w:t>
      </w:r>
    </w:p>
    <w:p w14:paraId="75BD120C" w14:textId="0EC2F197" w:rsidR="002A5011" w:rsidRPr="000F27B6" w:rsidRDefault="00C44098" w:rsidP="002A5011">
      <w:pPr>
        <w:spacing w:line="480" w:lineRule="auto"/>
        <w:rPr>
          <w:sz w:val="24"/>
          <w:szCs w:val="24"/>
        </w:rPr>
      </w:pPr>
      <w:r w:rsidRPr="000F27B6">
        <w:rPr>
          <w:sz w:val="24"/>
          <w:szCs w:val="24"/>
        </w:rPr>
        <w:t>A</w:t>
      </w:r>
      <w:r w:rsidR="00F07AA4" w:rsidRPr="000F27B6">
        <w:rPr>
          <w:sz w:val="24"/>
          <w:szCs w:val="24"/>
        </w:rPr>
        <w:t>rrhythmogenic right ventricular cardiomyopathy (</w:t>
      </w:r>
      <w:r w:rsidR="002A5011" w:rsidRPr="000F27B6">
        <w:rPr>
          <w:sz w:val="24"/>
          <w:szCs w:val="24"/>
        </w:rPr>
        <w:t>ARVC</w:t>
      </w:r>
      <w:r w:rsidR="00F07AA4" w:rsidRPr="000F27B6">
        <w:rPr>
          <w:sz w:val="24"/>
          <w:szCs w:val="24"/>
        </w:rPr>
        <w:t>)</w:t>
      </w:r>
      <w:r w:rsidR="002A5011" w:rsidRPr="000F27B6">
        <w:rPr>
          <w:sz w:val="24"/>
          <w:szCs w:val="24"/>
        </w:rPr>
        <w:t xml:space="preserve"> was</w:t>
      </w:r>
      <w:r w:rsidRPr="000F27B6">
        <w:rPr>
          <w:sz w:val="24"/>
          <w:szCs w:val="24"/>
        </w:rPr>
        <w:t xml:space="preserve"> diagnosed</w:t>
      </w:r>
      <w:r w:rsidR="002A5011" w:rsidRPr="000F27B6">
        <w:rPr>
          <w:sz w:val="24"/>
          <w:szCs w:val="24"/>
        </w:rPr>
        <w:t xml:space="preserve"> on the</w:t>
      </w:r>
      <w:r w:rsidR="00272083" w:rsidRPr="000F27B6">
        <w:rPr>
          <w:sz w:val="24"/>
          <w:szCs w:val="24"/>
        </w:rPr>
        <w:t xml:space="preserve"> basis of fulfilling the</w:t>
      </w:r>
      <w:r w:rsidR="002A5011" w:rsidRPr="000F27B6">
        <w:rPr>
          <w:sz w:val="24"/>
          <w:szCs w:val="24"/>
        </w:rPr>
        <w:t xml:space="preserve"> Revised Task Force Criteria published in 2010</w:t>
      </w:r>
      <w:r w:rsidR="002A5011" w:rsidRPr="000F27B6">
        <w:rPr>
          <w:sz w:val="24"/>
          <w:szCs w:val="24"/>
        </w:rPr>
        <w:fldChar w:fldCharType="begin" w:fldLock="1"/>
      </w:r>
      <w:r w:rsidR="00B0022F">
        <w:rPr>
          <w:sz w:val="24"/>
          <w:szCs w:val="24"/>
        </w:rPr>
        <w:instrText>ADDIN CSL_CITATION {"citationItems":[{"id":"ITEM-1","itemData":{"DOI":"10.1161/CIRCULATIONAHA.108.840827","ISSN":"0009-7322","author":[{"dropping-particle":"","family":"Marcus","given":"F. I.","non-dropping-particle":"","parse-names":false,"suffix":""},{"dropping-particle":"","family":"McKenna","given":"W. J.","non-dropping-particle":"","parse-names":false,"suffix":""},{"dropping-particle":"","family":"Sherrill","given":"D.","non-dropping-particle":"","parse-names":false,"suffix":""},{"dropping-particle":"","family":"Basso","given":"C.","non-dropping-particle":"","parse-names":false,"suffix":""},{"dropping-particle":"","family":"Bauce","given":"B.","non-dropping-particle":"","parse-names":false,"suffix":""},{"dropping-particle":"","family":"Bluemke","given":"D. a.","non-dropping-particle":"","parse-names":false,"suffix":""},{"dropping-particle":"","family":"Calkins","given":"H.","non-dropping-particle":"","parse-names":false,"suffix":""},{"dropping-particle":"","family":"Corrado","given":"D.","non-dropping-particle":"","parse-names":false,"suffix":""},{"dropping-particle":"","family":"Cox","given":"M. G.P.J. P. J.","non-dropping-particle":"","parse-names":false,"suffix":""},{"dropping-particle":"","family":"Daubert","given":"J. P.","non-dropping-particle":"","parse-names":false,"suffix":""},{"dropping-particle":"","family":"Fontaine","given":"G.","non-dropping-particle":"","parse-names":false,"suffix":""},{"dropping-particle":"","family":"Gear","given":"K.","non-dropping-particle":"","parse-names":false,"suffix":""},{"dropping-particle":"","family":"Hauer","given":"R.","non-dropping-particle":"","parse-names":false,"suffix":""},{"dropping-particle":"","family":"Nava","given":"a.","non-dropping-particle":"","parse-names":false,"suffix":""},{"dropping-particle":"","family":"Picard","given":"M. H.","non-dropping-particle":"","parse-names":false,"suffix":""},{"dropping-particle":"","family":"Protonotarios","given":"N.","non-dropping-particle":"","parse-names":false,"suffix":""},{"dropping-particle":"","family":"Saffitz","given":"J. E.","non-dropping-particle":"","parse-names":false,"suffix":""},{"dropping-particle":"","family":"Sanborn","given":"D. M. Y.","non-dropping-particle":"","parse-names":false,"suffix":""},{"dropping-particle":"","family":"Steinberg","given":"J. S.","non-dropping-particle":"","parse-names":false,"suffix":""},{"dropping-particle":"","family":"Tandri","given":"H.","non-dropping-particle":"","parse-names":false,"suffix":""},{"dropping-particle":"","family":"Thiene","given":"G.","non-dropping-particle":"","parse-names":false,"suffix":""},{"dropping-particle":"","family":"Towbin","given":"J. a.","non-dropping-particle":"","parse-names":false,"suffix":""},{"dropping-particle":"","family":"Tsatsopoulou","given":"A.","non-dropping-particle":"","parse-names":false,"suffix":""},{"dropping-particle":"","family":"Wichter","given":"T.","non-dropping-particle":"","parse-names":false,"suffix":""},{"dropping-particle":"","family":"Zareba","given":"W.","non-dropping-particle":"","parse-names":false,"suffix":""}],"container-title":"Circulation","id":"ITEM-1","issue":"13","issued":{"date-parts":[["2010"]]},"page":"1533-1541","title":"Diagnosis of Arrhythmogenic Right Ventricular Cardiomyopathy/Dysplasia: Proposed Modification of the Task Force Criteria","type":"article-journal","volume":"121"},"uris":["http://www.mendeley.com/documents/?uuid=39bf4d19-9c9a-4e53-82f6-80ee7f2d3e0f"]}],"mendeley":{"formattedCitation":"&lt;sup&gt;26&lt;/sup&gt;","plainTextFormattedCitation":"26","previouslyFormattedCitation":"&lt;sup&gt;26&lt;/sup&gt;"},"properties":{"noteIndex":0},"schema":"https://github.com/citation-style-language/schema/raw/master/csl-citation.json"}</w:instrText>
      </w:r>
      <w:r w:rsidR="002A5011" w:rsidRPr="000F27B6">
        <w:rPr>
          <w:sz w:val="24"/>
          <w:szCs w:val="24"/>
        </w:rPr>
        <w:fldChar w:fldCharType="separate"/>
      </w:r>
      <w:r w:rsidR="00B0022F" w:rsidRPr="00B0022F">
        <w:rPr>
          <w:noProof/>
          <w:sz w:val="24"/>
          <w:szCs w:val="24"/>
          <w:vertAlign w:val="superscript"/>
        </w:rPr>
        <w:t>26</w:t>
      </w:r>
      <w:r w:rsidR="002A5011" w:rsidRPr="000F27B6">
        <w:rPr>
          <w:sz w:val="24"/>
          <w:szCs w:val="24"/>
        </w:rPr>
        <w:fldChar w:fldCharType="end"/>
      </w:r>
      <w:r w:rsidR="002A5011" w:rsidRPr="000F27B6">
        <w:rPr>
          <w:sz w:val="24"/>
          <w:szCs w:val="24"/>
        </w:rPr>
        <w:t xml:space="preserve">. </w:t>
      </w:r>
      <w:r w:rsidRPr="000F27B6">
        <w:rPr>
          <w:sz w:val="24"/>
          <w:szCs w:val="24"/>
        </w:rPr>
        <w:t>D</w:t>
      </w:r>
      <w:r w:rsidR="00F07AA4" w:rsidRPr="000F27B6">
        <w:rPr>
          <w:sz w:val="24"/>
          <w:szCs w:val="24"/>
        </w:rPr>
        <w:t>ilated cardiomyopathy (</w:t>
      </w:r>
      <w:r w:rsidR="002A5011" w:rsidRPr="000F27B6">
        <w:rPr>
          <w:sz w:val="24"/>
          <w:szCs w:val="24"/>
        </w:rPr>
        <w:t>DCM</w:t>
      </w:r>
      <w:r w:rsidR="00F07AA4" w:rsidRPr="000F27B6">
        <w:rPr>
          <w:sz w:val="24"/>
          <w:szCs w:val="24"/>
        </w:rPr>
        <w:t>)</w:t>
      </w:r>
      <w:r w:rsidR="002A5011" w:rsidRPr="000F27B6">
        <w:rPr>
          <w:sz w:val="24"/>
          <w:szCs w:val="24"/>
        </w:rPr>
        <w:t xml:space="preserve"> was </w:t>
      </w:r>
      <w:r w:rsidR="00272083" w:rsidRPr="000F27B6">
        <w:rPr>
          <w:sz w:val="24"/>
          <w:szCs w:val="24"/>
        </w:rPr>
        <w:t>considered</w:t>
      </w:r>
      <w:r w:rsidR="002A5011" w:rsidRPr="000F27B6">
        <w:rPr>
          <w:sz w:val="24"/>
          <w:szCs w:val="24"/>
        </w:rPr>
        <w:t xml:space="preserve"> on</w:t>
      </w:r>
      <w:r w:rsidR="00272083" w:rsidRPr="000F27B6">
        <w:rPr>
          <w:sz w:val="24"/>
          <w:szCs w:val="24"/>
        </w:rPr>
        <w:t xml:space="preserve"> the basis of</w:t>
      </w:r>
      <w:r w:rsidR="002A5011" w:rsidRPr="000F27B6">
        <w:rPr>
          <w:sz w:val="24"/>
          <w:szCs w:val="24"/>
        </w:rPr>
        <w:t xml:space="preserve"> LV dilation (LV end-diastolic diameter &gt;117% of the predicted per age and sex), and reduced systolic function (LV</w:t>
      </w:r>
      <w:r w:rsidR="00F07AA4" w:rsidRPr="000F27B6">
        <w:rPr>
          <w:sz w:val="24"/>
          <w:szCs w:val="24"/>
        </w:rPr>
        <w:t xml:space="preserve"> ejection fraction</w:t>
      </w:r>
      <w:r w:rsidR="002A5011" w:rsidRPr="000F27B6">
        <w:rPr>
          <w:sz w:val="24"/>
          <w:szCs w:val="24"/>
        </w:rPr>
        <w:t xml:space="preserve"> &lt; 55%) in the </w:t>
      </w:r>
      <w:r w:rsidR="002A5011" w:rsidRPr="000F27B6">
        <w:rPr>
          <w:sz w:val="24"/>
          <w:szCs w:val="24"/>
        </w:rPr>
        <w:lastRenderedPageBreak/>
        <w:t>absence of abnormal loading conditions such as hypertension or valvular disease and in the absence of significant coronary artery disease</w:t>
      </w:r>
      <w:r w:rsidR="002A5011" w:rsidRPr="000F27B6">
        <w:rPr>
          <w:sz w:val="24"/>
          <w:szCs w:val="24"/>
        </w:rPr>
        <w:fldChar w:fldCharType="begin" w:fldLock="1"/>
      </w:r>
      <w:r w:rsidR="00B0022F">
        <w:rPr>
          <w:sz w:val="24"/>
          <w:szCs w:val="24"/>
        </w:rPr>
        <w:instrText>ADDIN CSL_CITATION {"citationItems":[{"id":"ITEM-1","itemData":{"DOI":"10.1161/CIRCRESAHA.116.309396","ISSN":"1524-4571","PMID":"28912180","abstract":"Nonischemic dilated cardiomyopathy (DCM) often has a genetic pathogenesis. Because of the large number of genes and alleles attributed to DCM, comprehensive genetic testing encompasses ever-increasing gene panels. Genetic diagnosis can help predict prognosis, especially with regard to arrhythmia risk for certain subtypes. Moreover, cascade genetic testing in family members can identify those who are at risk or with early stage disease, offering the opportunity for early intervention. This review will address diagnosis and management of DCM, including the role of genetic evaluation. We will also overview distinct genetic pathways linked to DCM and their pathogenetic mechanisms. Historically, cardiac morphology has been used to classify cardiomyopathy subtypes. Determining genetic variants is emerging as an additional adjunct to help further refine subtypes of DCM, especially where arrhythmia risk is increased, and ultimately contribute to clinical management.","author":[{"dropping-particle":"","family":"McNally","given":"Elizabeth M","non-dropping-particle":"","parse-names":false,"suffix":""},{"dropping-particle":"","family":"Mestroni","given":"Luisa","non-dropping-particle":"","parse-names":false,"suffix":""}],"container-title":"Circulation research","id":"ITEM-1","issue":"7","issued":{"date-parts":[["2017","9","15"]]},"page":"731-748","title":"Dilated Cardiomyopathy: Genetic Determinants and Mechanisms.","type":"article-journal","volume":"121"},"uris":["http://www.mendeley.com/documents/?uuid=64f8d3f5-9841-461f-affa-396133521174"]}],"mendeley":{"formattedCitation":"&lt;sup&gt;27&lt;/sup&gt;","plainTextFormattedCitation":"27","previouslyFormattedCitation":"&lt;sup&gt;27&lt;/sup&gt;"},"properties":{"noteIndex":0},"schema":"https://github.com/citation-style-language/schema/raw/master/csl-citation.json"}</w:instrText>
      </w:r>
      <w:r w:rsidR="002A5011" w:rsidRPr="000F27B6">
        <w:rPr>
          <w:sz w:val="24"/>
          <w:szCs w:val="24"/>
        </w:rPr>
        <w:fldChar w:fldCharType="separate"/>
      </w:r>
      <w:r w:rsidR="00B0022F" w:rsidRPr="00B0022F">
        <w:rPr>
          <w:noProof/>
          <w:sz w:val="24"/>
          <w:szCs w:val="24"/>
          <w:vertAlign w:val="superscript"/>
        </w:rPr>
        <w:t>27</w:t>
      </w:r>
      <w:r w:rsidR="002A5011" w:rsidRPr="000F27B6">
        <w:rPr>
          <w:sz w:val="24"/>
          <w:szCs w:val="24"/>
        </w:rPr>
        <w:fldChar w:fldCharType="end"/>
      </w:r>
      <w:r w:rsidR="002A5011" w:rsidRPr="000F27B6">
        <w:rPr>
          <w:sz w:val="24"/>
          <w:szCs w:val="24"/>
        </w:rPr>
        <w:t>. Left ventricular non-compaction (LVNC) was considered</w:t>
      </w:r>
      <w:r w:rsidR="00272083" w:rsidRPr="000F27B6">
        <w:rPr>
          <w:sz w:val="24"/>
          <w:szCs w:val="24"/>
        </w:rPr>
        <w:t xml:space="preserve"> if an individual fulfilled the</w:t>
      </w:r>
      <w:r w:rsidR="002A5011" w:rsidRPr="000F27B6">
        <w:rPr>
          <w:sz w:val="24"/>
          <w:szCs w:val="24"/>
        </w:rPr>
        <w:t xml:space="preserve"> Chin</w:t>
      </w:r>
      <w:r w:rsidR="00522F6D" w:rsidRPr="000F27B6">
        <w:rPr>
          <w:sz w:val="24"/>
          <w:szCs w:val="24"/>
        </w:rPr>
        <w:fldChar w:fldCharType="begin" w:fldLock="1"/>
      </w:r>
      <w:r w:rsidR="00B0022F">
        <w:rPr>
          <w:sz w:val="24"/>
          <w:szCs w:val="24"/>
        </w:rPr>
        <w:instrText>ADDIN CSL_CITATION {"citationItems":[{"id":"ITEM-1","itemData":{"ISSN":"0009-7322","PMID":"2372897","abstract":"Isolated noncompaction of left ventricular myocardium is a rare disorder of endomyocardial morphogenesis characterized by numerous, excessively prominent ventricular trabeculations and deep intertrabecular recesses. This study comprised eight cases, including three at necropsy. Ages ranged from 11 months to 22.5 years, with follow-up as long as 5 years. Gross morphological severity ranged from moderately abnormal ventricular trabeculations to profoundly abnormal, loosely compacted trabeculations. Echocardiographic images were diagnostic and corresponded to the morphological appearances at necropsy. The depths of the intertrabecular recesses were assessed by a quantitative echocardiographic X-to-Y ratio and were significantly greater than in normal control subjects (p less than 0.001). Clinical manifestations of the disorder included depressed left ventricular systolic function in five patients, ventricular arrhythmias in five, systemic embolization in three, distinctive facial dysmorphism in three, and familial recurrence in four patients. We conclude that isolated noncompaction of left ventricular myocardium is a rare if not unique disorder with characteristic morphological features that can be identified by two-dimensional echocardiography. The incidence of cardiovascular complications is high. The disorder may be associated with facial dysmorphism and familial recurrence.","author":[{"dropping-particle":"","family":"Chin","given":"T K","non-dropping-particle":"","parse-names":false,"suffix":""},{"dropping-particle":"","family":"Perloff","given":"J K","non-dropping-particle":"","parse-names":false,"suffix":""},{"dropping-particle":"","family":"Williams","given":"R G","non-dropping-particle":"","parse-names":false,"suffix":""},{"dropping-particle":"","family":"Jue","given":"K","non-dropping-particle":"","parse-names":false,"suffix":""},{"dropping-particle":"","family":"Mohrmann","given":"R","non-dropping-particle":"","parse-names":false,"suffix":""}],"container-title":"Circulation","id":"ITEM-1","issue":"2","issued":{"date-parts":[["1990","8"]]},"page":"507-13","title":"Isolated noncompaction of left ventricular myocardium. A study of eight cases.","type":"article-journal","volume":"82"},"uris":["http://www.mendeley.com/documents/?uuid=00d86223-70d2-402e-9378-8822157a5d97","http://www.mendeley.com/documents/?uuid=e1a08366-8c52-443e-a282-9e04a39af734"]}],"mendeley":{"formattedCitation":"&lt;sup&gt;28&lt;/sup&gt;","plainTextFormattedCitation":"28","previouslyFormattedCitation":"&lt;sup&gt;28&lt;/sup&gt;"},"properties":{"noteIndex":0},"schema":"https://github.com/citation-style-language/schema/raw/master/csl-citation.json"}</w:instrText>
      </w:r>
      <w:r w:rsidR="00522F6D" w:rsidRPr="000F27B6">
        <w:rPr>
          <w:sz w:val="24"/>
          <w:szCs w:val="24"/>
        </w:rPr>
        <w:fldChar w:fldCharType="separate"/>
      </w:r>
      <w:r w:rsidR="00B0022F" w:rsidRPr="00B0022F">
        <w:rPr>
          <w:noProof/>
          <w:sz w:val="24"/>
          <w:szCs w:val="24"/>
          <w:vertAlign w:val="superscript"/>
        </w:rPr>
        <w:t>28</w:t>
      </w:r>
      <w:r w:rsidR="00522F6D" w:rsidRPr="000F27B6">
        <w:rPr>
          <w:sz w:val="24"/>
          <w:szCs w:val="24"/>
        </w:rPr>
        <w:fldChar w:fldCharType="end"/>
      </w:r>
      <w:r w:rsidR="002A5011" w:rsidRPr="000F27B6">
        <w:rPr>
          <w:sz w:val="24"/>
          <w:szCs w:val="24"/>
        </w:rPr>
        <w:t xml:space="preserve"> </w:t>
      </w:r>
      <w:r w:rsidR="00C85DE9" w:rsidRPr="000F27B6">
        <w:rPr>
          <w:sz w:val="24"/>
          <w:szCs w:val="24"/>
        </w:rPr>
        <w:t>or</w:t>
      </w:r>
      <w:r w:rsidR="002A5011" w:rsidRPr="000F27B6">
        <w:rPr>
          <w:sz w:val="24"/>
          <w:szCs w:val="24"/>
        </w:rPr>
        <w:t xml:space="preserve"> Jenni</w:t>
      </w:r>
      <w:r w:rsidR="00522F6D" w:rsidRPr="000F27B6">
        <w:rPr>
          <w:sz w:val="24"/>
          <w:szCs w:val="24"/>
        </w:rPr>
        <w:fldChar w:fldCharType="begin" w:fldLock="1"/>
      </w:r>
      <w:r w:rsidR="00B0022F">
        <w:rPr>
          <w:sz w:val="24"/>
          <w:szCs w:val="24"/>
        </w:rPr>
        <w:instrText>ADDIN CSL_CITATION {"citationItems":[{"id":"ITEM-1","itemData":{"ISSN":"1468-201X","PMID":"11711464","abstract":"AIM To determine clear cut echocardiographic criteria for isolated ventricular non-compaction (IVNC), a cardiomyopathy as yet \"unclassified\" by the World Health Organization. The disease is not widely known and its diagnosis mostly missed. METHODS AND RESULTS In seven out of a series of 34 patients with IVNC the in vivo echocardiographic characteristics were validated against the anatomical examination of the heart removed after death in four and due to heart transplantation in three patients. Four morphological criteria diagnostic for IVNC were found. (1) Coexisting cardiac abnormalities were absent (by definition). (2) A two layer structure was seen, with a compacted thin epicardial band and a much thicker non-compacted endocardial layer of trabecular meshwork with deep endomyocardial spaces. A maximal end systolic ratio of non-compacted to compacted layers of &gt; 2 is diagnostic. (3) The predominant localisation of the pathology was to mid-lateral (seven of seven patients), apical (six), and mid-inferior (seven) areas. The pathological preparations confirmed the echocardiographic findings. Concomitant regional hypokinesia was not confined to the non-compacted segments. (4) There was colour Doppler evidence of deep perfused intertrabecular recesses. CONCLUSIONS Four clear cut echocardiographic diagnostic criteria were established. It is suggested that the WHO classification of cardiomyopathies be reconsidered to include IVNC as a distinct cardiomyopathy.","author":[{"dropping-particle":"","family":"Jenni","given":"R","non-dropping-particle":"","parse-names":false,"suffix":""},{"dropping-particle":"","family":"Oechslin","given":"E","non-dropping-particle":"","parse-names":false,"suffix":""},{"dropping-particle":"","family":"Schneider","given":"J","non-dropping-particle":"","parse-names":false,"suffix":""},{"dropping-particle":"","family":"Attenhofer Jost","given":"C","non-dropping-particle":"","parse-names":false,"suffix":""},{"dropping-particle":"","family":"Kaufmann","given":"P A","non-dropping-particle":"","parse-names":false,"suffix":""}],"container-title":"Heart (British Cardiac Society)","id":"ITEM-1","issue":"6","issued":{"date-parts":[["2001","12"]]},"page":"666-71","title":"Echocardiographic and pathoanatomical characteristics of isolated left ventricular non-compaction: a step towards classification as a distinct cardiomyopathy.","type":"article-journal","volume":"86"},"uris":["http://www.mendeley.com/documents/?uuid=eba061d3-5dbb-4068-ba93-a861db5c962d","http://www.mendeley.com/documents/?uuid=1a265881-3028-4fed-8f96-02700a747247"]}],"mendeley":{"formattedCitation":"&lt;sup&gt;29&lt;/sup&gt;","plainTextFormattedCitation":"29","previouslyFormattedCitation":"&lt;sup&gt;29&lt;/sup&gt;"},"properties":{"noteIndex":0},"schema":"https://github.com/citation-style-language/schema/raw/master/csl-citation.json"}</w:instrText>
      </w:r>
      <w:r w:rsidR="00522F6D" w:rsidRPr="000F27B6">
        <w:rPr>
          <w:sz w:val="24"/>
          <w:szCs w:val="24"/>
        </w:rPr>
        <w:fldChar w:fldCharType="separate"/>
      </w:r>
      <w:r w:rsidR="00B0022F" w:rsidRPr="00B0022F">
        <w:rPr>
          <w:noProof/>
          <w:sz w:val="24"/>
          <w:szCs w:val="24"/>
          <w:vertAlign w:val="superscript"/>
        </w:rPr>
        <w:t>29</w:t>
      </w:r>
      <w:r w:rsidR="00522F6D" w:rsidRPr="000F27B6">
        <w:rPr>
          <w:sz w:val="24"/>
          <w:szCs w:val="24"/>
        </w:rPr>
        <w:fldChar w:fldCharType="end"/>
      </w:r>
      <w:r w:rsidR="002A5011" w:rsidRPr="000F27B6">
        <w:rPr>
          <w:sz w:val="24"/>
          <w:szCs w:val="24"/>
        </w:rPr>
        <w:t xml:space="preserve"> criteria and</w:t>
      </w:r>
      <w:r w:rsidR="007D0E55" w:rsidRPr="000F27B6">
        <w:rPr>
          <w:sz w:val="24"/>
          <w:szCs w:val="24"/>
        </w:rPr>
        <w:t xml:space="preserve"> showed</w:t>
      </w:r>
      <w:r w:rsidR="00C85DE9" w:rsidRPr="000F27B6">
        <w:rPr>
          <w:sz w:val="24"/>
          <w:szCs w:val="24"/>
        </w:rPr>
        <w:t xml:space="preserve"> reduced LV</w:t>
      </w:r>
      <w:r w:rsidR="007D0E55" w:rsidRPr="000F27B6">
        <w:rPr>
          <w:sz w:val="24"/>
          <w:szCs w:val="24"/>
        </w:rPr>
        <w:t xml:space="preserve"> systolic</w:t>
      </w:r>
      <w:r w:rsidR="00C85DE9" w:rsidRPr="000F27B6">
        <w:rPr>
          <w:sz w:val="24"/>
          <w:szCs w:val="24"/>
        </w:rPr>
        <w:t xml:space="preserve"> function on the echocardiogram </w:t>
      </w:r>
      <w:r w:rsidR="007D0E55" w:rsidRPr="000F27B6">
        <w:rPr>
          <w:sz w:val="24"/>
          <w:szCs w:val="24"/>
        </w:rPr>
        <w:t>and/</w:t>
      </w:r>
      <w:r w:rsidR="00C85DE9" w:rsidRPr="000F27B6">
        <w:rPr>
          <w:sz w:val="24"/>
          <w:szCs w:val="24"/>
        </w:rPr>
        <w:t xml:space="preserve">or </w:t>
      </w:r>
      <w:r w:rsidR="007D0E55" w:rsidRPr="000F27B6">
        <w:rPr>
          <w:sz w:val="24"/>
          <w:szCs w:val="24"/>
        </w:rPr>
        <w:t>fulfilled the</w:t>
      </w:r>
      <w:r w:rsidR="002A5011" w:rsidRPr="000F27B6">
        <w:rPr>
          <w:sz w:val="24"/>
          <w:szCs w:val="24"/>
        </w:rPr>
        <w:t xml:space="preserve"> Petersen criteria</w:t>
      </w:r>
      <w:r w:rsidR="00522F6D" w:rsidRPr="000F27B6">
        <w:rPr>
          <w:sz w:val="24"/>
          <w:szCs w:val="24"/>
        </w:rPr>
        <w:fldChar w:fldCharType="begin" w:fldLock="1"/>
      </w:r>
      <w:r w:rsidR="00B0022F">
        <w:rPr>
          <w:sz w:val="24"/>
          <w:szCs w:val="24"/>
        </w:rPr>
        <w:instrText>ADDIN CSL_CITATION {"citationItems":[{"id":"ITEM-1","itemData":{"DOI":"10.1016/j.jacc.2005.03.045","ISSN":"0735-1097","PMID":"15992642","abstract":"OBJECTIVES We aimed to test the diagnostic accuracy of cardiovascular magnetic resonance (CMR) imaging in distinguishing pathological left ventricular non-compaction (LVNC) from lesser degrees of trabecular layering seen in healthy volunteers and, in those with cardiomyopathies and concentric left ventricular hypertrophy, potential differential diagnoses. We hypothesized that pathological trabeculation could be distinguished by determining the ratio of non-compacted to compacted myocardium (NC/C ratio). BACKGROUND Left ventricular non-compaction is characterized by a non-compacted myocardial layer in the left ventricle. Cardiovascular magnetic resonance images this layer with unprecedented quality, particularly in the ventricular apex, where echocardiography has inherent difficulties. METHODS We analyzed magnetic resonance cine images, using the 17-segment model in 45 healthy volunteers, 25 athletes, 39 patients with hypertrophic cardiomyopathy and 14 with dilated cardiomyopathy, 17 with hypertensive heart disease, and 30 with aortic stenosis, as well as images from 7 patients previously diagnosed with LVNC whose diagnoses were supported by additional features. RESULTS Areas of non-compaction were common and occurred more frequently in all groups studied in apical and lateral, rather than in basal or septal, segments. A NC/C ratio of &gt;2.3 in diastole distinguished pathological non-compaction, with values for sensitivity, specificity, and positive and negative predictions of 86%, 99%, 75%, and 99%, respectively. CONCLUSIONS Left ventricular non-compaction is diagnosed accurately with CMR using the NC/C ratio in diastole.","author":[{"dropping-particle":"","family":"Petersen","given":"Steffen E","non-dropping-particle":"","parse-names":false,"suffix":""},{"dropping-particle":"","family":"Selvanayagam","given":"Joseph B","non-dropping-particle":"","parse-names":false,"suffix":""},{"dropping-particle":"","family":"Wiesmann","given":"Frank","non-dropping-particle":"","parse-names":false,"suffix":""},{"dropping-particle":"","family":"Robson","given":"Matthew D","non-dropping-particle":"","parse-names":false,"suffix":""},{"dropping-particle":"","family":"Francis","given":"Jane M","non-dropping-particle":"","parse-names":false,"suffix":""},{"dropping-particle":"","family":"Anderson","given":"Robert H","non-dropping-particle":"","parse-names":false,"suffix":""},{"dropping-particle":"","family":"Watkins","given":"Hugh","non-dropping-particle":"","parse-names":false,"suffix":""},{"dropping-particle":"","family":"Neubauer","given":"Stefan","non-dropping-particle":"","parse-names":false,"suffix":""}],"container-title":"Journal of the American College of Cardiology","id":"ITEM-1","issue":"1","issued":{"date-parts":[["2005","7","5"]]},"page":"101-5","title":"Left ventricular non-compaction: insights from cardiovascular magnetic resonance imaging.","type":"article-journal","volume":"46"},"uris":["http://www.mendeley.com/documents/?uuid=08c5abf1-2478-43e5-95fa-0d7eeca176e7"]}],"mendeley":{"formattedCitation":"&lt;sup&gt;30&lt;/sup&gt;","plainTextFormattedCitation":"30","previouslyFormattedCitation":"&lt;sup&gt;30&lt;/sup&gt;"},"properties":{"noteIndex":0},"schema":"https://github.com/citation-style-language/schema/raw/master/csl-citation.json"}</w:instrText>
      </w:r>
      <w:r w:rsidR="00522F6D" w:rsidRPr="000F27B6">
        <w:rPr>
          <w:sz w:val="24"/>
          <w:szCs w:val="24"/>
        </w:rPr>
        <w:fldChar w:fldCharType="separate"/>
      </w:r>
      <w:r w:rsidR="00B0022F" w:rsidRPr="00B0022F">
        <w:rPr>
          <w:noProof/>
          <w:sz w:val="24"/>
          <w:szCs w:val="24"/>
          <w:vertAlign w:val="superscript"/>
        </w:rPr>
        <w:t>30</w:t>
      </w:r>
      <w:r w:rsidR="00522F6D" w:rsidRPr="000F27B6">
        <w:rPr>
          <w:sz w:val="24"/>
          <w:szCs w:val="24"/>
        </w:rPr>
        <w:fldChar w:fldCharType="end"/>
      </w:r>
      <w:r w:rsidR="00C85DE9" w:rsidRPr="000F27B6">
        <w:rPr>
          <w:sz w:val="24"/>
          <w:szCs w:val="24"/>
        </w:rPr>
        <w:t xml:space="preserve"> on</w:t>
      </w:r>
      <w:r w:rsidR="002A5011" w:rsidRPr="000F27B6">
        <w:rPr>
          <w:sz w:val="24"/>
          <w:szCs w:val="24"/>
        </w:rPr>
        <w:t xml:space="preserve"> CMR.  Br</w:t>
      </w:r>
      <w:r w:rsidR="00F202E0" w:rsidRPr="000F27B6">
        <w:rPr>
          <w:sz w:val="24"/>
          <w:szCs w:val="24"/>
        </w:rPr>
        <w:t>ugada syndrome</w:t>
      </w:r>
      <w:r w:rsidR="002A5011" w:rsidRPr="000F27B6">
        <w:rPr>
          <w:sz w:val="24"/>
          <w:szCs w:val="24"/>
        </w:rPr>
        <w:t xml:space="preserve"> was</w:t>
      </w:r>
      <w:r w:rsidR="00F07AA4" w:rsidRPr="000F27B6">
        <w:rPr>
          <w:sz w:val="24"/>
          <w:szCs w:val="24"/>
        </w:rPr>
        <w:t xml:space="preserve"> considered</w:t>
      </w:r>
      <w:r w:rsidR="002A5011" w:rsidRPr="000F27B6">
        <w:rPr>
          <w:sz w:val="24"/>
          <w:szCs w:val="24"/>
        </w:rPr>
        <w:t xml:space="preserve"> in the presence of </w:t>
      </w:r>
      <w:r w:rsidR="00D44089">
        <w:rPr>
          <w:sz w:val="24"/>
          <w:szCs w:val="24"/>
        </w:rPr>
        <w:t xml:space="preserve">a spontaneous </w:t>
      </w:r>
      <w:r w:rsidR="002A5011" w:rsidRPr="000F27B6">
        <w:rPr>
          <w:sz w:val="24"/>
          <w:szCs w:val="24"/>
        </w:rPr>
        <w:t xml:space="preserve"> Brugada</w:t>
      </w:r>
      <w:r w:rsidR="00D44089">
        <w:rPr>
          <w:sz w:val="24"/>
          <w:szCs w:val="24"/>
        </w:rPr>
        <w:t xml:space="preserve"> ECG</w:t>
      </w:r>
      <w:r w:rsidR="002A5011" w:rsidRPr="000F27B6">
        <w:rPr>
          <w:sz w:val="24"/>
          <w:szCs w:val="24"/>
        </w:rPr>
        <w:t xml:space="preserve"> pattern (coved ST-segment elevation ≥2 mm followed by a negative T-wave) in &gt;</w:t>
      </w:r>
      <w:r w:rsidR="006E6923" w:rsidRPr="000F27B6">
        <w:rPr>
          <w:sz w:val="24"/>
          <w:szCs w:val="24"/>
        </w:rPr>
        <w:t xml:space="preserve"> </w:t>
      </w:r>
      <w:r w:rsidR="002A5011" w:rsidRPr="000F27B6">
        <w:rPr>
          <w:sz w:val="24"/>
          <w:szCs w:val="24"/>
        </w:rPr>
        <w:t xml:space="preserve">1 right </w:t>
      </w:r>
      <w:r w:rsidR="00C53288" w:rsidRPr="000F27B6">
        <w:rPr>
          <w:sz w:val="24"/>
          <w:szCs w:val="24"/>
        </w:rPr>
        <w:t>precordial</w:t>
      </w:r>
      <w:r w:rsidR="002A5011" w:rsidRPr="000F27B6">
        <w:rPr>
          <w:sz w:val="24"/>
          <w:szCs w:val="24"/>
        </w:rPr>
        <w:t xml:space="preserve"> leads (V1 to V3)  or</w:t>
      </w:r>
      <w:r w:rsidR="00D44089">
        <w:rPr>
          <w:sz w:val="24"/>
          <w:szCs w:val="24"/>
        </w:rPr>
        <w:t xml:space="preserve"> after intravenous</w:t>
      </w:r>
      <w:r w:rsidR="002A5011" w:rsidRPr="000F27B6">
        <w:rPr>
          <w:sz w:val="24"/>
          <w:szCs w:val="24"/>
        </w:rPr>
        <w:t xml:space="preserve">  a</w:t>
      </w:r>
      <w:r w:rsidR="00D44089">
        <w:rPr>
          <w:sz w:val="24"/>
          <w:szCs w:val="24"/>
        </w:rPr>
        <w:t>jmaline</w:t>
      </w:r>
      <w:r w:rsidR="002A5011" w:rsidRPr="000F27B6">
        <w:rPr>
          <w:sz w:val="24"/>
          <w:szCs w:val="24"/>
        </w:rPr>
        <w:t xml:space="preserve"> </w:t>
      </w:r>
      <w:r w:rsidR="00F202E0" w:rsidRPr="000F27B6">
        <w:rPr>
          <w:sz w:val="24"/>
          <w:szCs w:val="24"/>
        </w:rPr>
        <w:fldChar w:fldCharType="begin" w:fldLock="1"/>
      </w:r>
      <w:r w:rsidR="00B0022F">
        <w:rPr>
          <w:sz w:val="24"/>
          <w:szCs w:val="24"/>
        </w:rPr>
        <w:instrText>ADDIN CSL_CITATION {"citationItems":[{"id":"ITEM-1","itemData":{"DOI":"10.1093/europace/eut272","ISSN":"1532-2092","PMID":"23994779","author":[{"dropping-particle":"","family":"Priori","given":"Silvia G","non-dropping-particle":"","parse-names":false,"suffix":""},{"dropping-particle":"","family":"Wilde","given":"Arthur A","non-dropping-particle":"","parse-names":false,"suffix":""},{"dropping-particle":"","family":"Horie","given":"Minoru","non-dropping-particle":"","parse-names":false,"suffix":""},{"dropping-particle":"","family":"Cho","given":"Yongkeun","non-dropping-particle":"","parse-names":false,"suffix":""},{"dropping-particle":"","family":"Behr","given":"Elijah R","non-dropping-particle":"","parse-names":false,"suffix":""},{"dropping-particle":"","family":"Berul","given":"Charles","non-dropping-particle":"","parse-names":false,"suffix":""},{"dropping-particle":"","family":"Blom","given":"Nico","non-dropping-particle":"","parse-names":false,"suffix":""},{"dropping-particle":"","family":"Brugada","given":"Josep","non-dropping-particle":"","parse-names":false,"suffix":""},{"dropping-particle":"","family":"Chiang","given":"Chern-En","non-dropping-particle":"","parse-names":false,"suffix":""},{"dropping-particle":"","family":"Huikuri","given":"Heikki","non-dropping-particle":"","parse-names":false,"suffix":""},{"dropping-particle":"","family":"Kannankeril","given":"Prince","non-dropping-particle":"","parse-names":false,"suffix":""},{"dropping-particle":"","family":"Krahn","given":"Andrew","non-dropping-particle":"","parse-names":false,"suffix":""},{"dropping-particle":"","family":"Leenhardt","given":"Antoine","non-dropping-particle":"","parse-names":false,"suffix":""},{"dropping-particle":"","family":"Moss","given":"Arthur","non-dropping-particle":"","parse-names":false,"suffix":""},{"dropping-particle":"","family":"Schwartz","given":"Peter J","non-dropping-particle":"","parse-names":false,"suffix":""},{"dropping-particle":"","family":"Shimizu","given":"Wataru","non-dropping-particle":"","parse-names":false,"suffix":""},{"dropping-particle":"","family":"Tomaselli","given":"Gordon","non-dropping-particle":"","parse-names":false,"suffix":""},{"dropping-particle":"","family":"Tracy","given":"Cynthia","non-dropping-particle":"","parse-names":false,"suffix":""},{"dropping-particle":"","family":"Document Reviewers","given":"","non-dropping-particle":"","parse-names":false,"suffix":""},{"dropping-particle":"","family":"Ackerman","given":"Michael","non-dropping-particle":"","parse-names":false,"suffix":""},{"dropping-particle":"","family":"Belhassen","given":"Bernard","non-dropping-particle":"","parse-names":false,"suffix":""},{"dropping-particle":"","family":"Estes","given":"N A Mark","non-dropping-particle":"","parse-names":false,"suffix":""},{"dropping-particle":"","family":"Fatkin","given":"Diane","non-dropping-particle":"","parse-names":false,"suffix":""},{"dropping-particle":"","family":"Kalman","given":"Jonathan","non-dropping-particle":"","parse-names":false,"suffix":""},{"dropping-particle":"","family":"Kaufman","given":"Elizabeth","non-dropping-particle":"","parse-names":false,"suffix":""},{"dropping-particle":"","family":"Kirchhof","given":"Paulus","non-dropping-particle":"","parse-names":false,"suffix":""},{"dropping-particle":"","family":"Schulze-Bahr","given":"Eric","non-dropping-particle":"","parse-names":false,"suffix":""},{"dropping-particle":"","family":"Wolpert","given":"Christian","non-dropping-particle":"","parse-names":false,"suffix":""},{"dropping-particle":"","family":"Vohra","given":"Jitendra","non-dropping-particle":"","parse-names":false,"suffix":""},{"dropping-particle":"","family":"Refaat","given":"Marwan","non-dropping-particle":"","parse-names":false,"suffix":""},{"dropping-particle":"","family":"Etheridge","given":"Susan P","non-dropping-particle":"","parse-names":false,"suffix":""},{"dropping-particle":"","family":"Campbell","given":"Robert M","non-dropping-particle":"","parse-names":false,"suffix":""},{"dropping-particle":"","family":"Martin","given":"Edward T","non-dropping-particle":"","parse-names":false,"suffix":""},{"dropping-particle":"","family":"Quek","given":"Swee Chye","non-dropping-particle":"","parse-names":false,"suffix":""},{"dropping-particle":"","family":"Heart Rhythm Society","given":"","non-dropping-particle":"","parse-names":false,"suffix":""},{"dropping-particle":"","family":"European Heart Rhythm Association","given":"","non-dropping-particle":"","parse-names":false,"suffix":""},{"dropping-particle":"","family":"Asia Pacific Heart Rhythm Society","given":"","non-dropping-particle":"","parse-names":false,"suffix":""}],"container-title":"Europace : European pacing, arrhythmias, and cardiac electrophysiology : journal of the working groups on cardiac pacing, arrhythmias, and cardiac cellular electrophysiology of the European Society of Cardiology","id":"ITEM-1","issue":"10","issued":{"date-parts":[["2013","10"]]},"page":"1389-406","title":"Executive summary: HRS/EHRA/APHRS expert consensus statement on the diagnosis and management of patients with inherited primary arrhythmia syndromes.","type":"article-journal","volume":"15"},"uris":["http://www.mendeley.com/documents/?uuid=b8d43bcf-520a-4e86-999e-526801d482a3"]}],"mendeley":{"formattedCitation":"&lt;sup&gt;31&lt;/sup&gt;","plainTextFormattedCitation":"31","previouslyFormattedCitation":"&lt;sup&gt;31&lt;/sup&gt;"},"properties":{"noteIndex":0},"schema":"https://github.com/citation-style-language/schema/raw/master/csl-citation.json"}</w:instrText>
      </w:r>
      <w:r w:rsidR="00F202E0" w:rsidRPr="000F27B6">
        <w:rPr>
          <w:sz w:val="24"/>
          <w:szCs w:val="24"/>
        </w:rPr>
        <w:fldChar w:fldCharType="separate"/>
      </w:r>
      <w:r w:rsidR="00B0022F" w:rsidRPr="00B0022F">
        <w:rPr>
          <w:noProof/>
          <w:sz w:val="24"/>
          <w:szCs w:val="24"/>
          <w:vertAlign w:val="superscript"/>
        </w:rPr>
        <w:t>31</w:t>
      </w:r>
      <w:r w:rsidR="00F202E0" w:rsidRPr="000F27B6">
        <w:rPr>
          <w:sz w:val="24"/>
          <w:szCs w:val="24"/>
        </w:rPr>
        <w:fldChar w:fldCharType="end"/>
      </w:r>
      <w:r w:rsidR="002A5011" w:rsidRPr="000F27B6">
        <w:rPr>
          <w:sz w:val="24"/>
          <w:szCs w:val="24"/>
        </w:rPr>
        <w:t>. L</w:t>
      </w:r>
      <w:r w:rsidR="00F07AA4" w:rsidRPr="000F27B6">
        <w:rPr>
          <w:sz w:val="24"/>
          <w:szCs w:val="24"/>
        </w:rPr>
        <w:t xml:space="preserve">ong </w:t>
      </w:r>
      <w:r w:rsidR="002A5011" w:rsidRPr="000F27B6">
        <w:rPr>
          <w:sz w:val="24"/>
          <w:szCs w:val="24"/>
        </w:rPr>
        <w:t>QT</w:t>
      </w:r>
      <w:r w:rsidR="00F07AA4" w:rsidRPr="000F27B6">
        <w:rPr>
          <w:sz w:val="24"/>
          <w:szCs w:val="24"/>
        </w:rPr>
        <w:t xml:space="preserve"> syndrome</w:t>
      </w:r>
      <w:r w:rsidR="002A5011" w:rsidRPr="000F27B6">
        <w:rPr>
          <w:sz w:val="24"/>
          <w:szCs w:val="24"/>
        </w:rPr>
        <w:t xml:space="preserve"> was diagnosed according to the </w:t>
      </w:r>
      <w:r w:rsidR="00B37BCA">
        <w:rPr>
          <w:sz w:val="24"/>
          <w:szCs w:val="24"/>
        </w:rPr>
        <w:t>International</w:t>
      </w:r>
      <w:r w:rsidR="002A5011" w:rsidRPr="000F27B6">
        <w:rPr>
          <w:sz w:val="24"/>
          <w:szCs w:val="24"/>
        </w:rPr>
        <w:t xml:space="preserve"> criteria</w:t>
      </w:r>
      <w:r w:rsidR="00B37BCA">
        <w:rPr>
          <w:sz w:val="24"/>
          <w:szCs w:val="24"/>
        </w:rPr>
        <w:fldChar w:fldCharType="begin" w:fldLock="1"/>
      </w:r>
      <w:r w:rsidR="00B0022F">
        <w:rPr>
          <w:sz w:val="24"/>
          <w:szCs w:val="24"/>
        </w:rPr>
        <w:instrText>ADDIN CSL_CITATION {"citationItems":[{"id":"ITEM-1","itemData":{"DOI":"10.1161/CIRCEP.111.962019","ISSN":"1941-3149","author":[{"dropping-particle":"","family":"Schwartz","given":"P. J.","non-dropping-particle":"","parse-names":false,"suffix":""},{"dropping-particle":"","family":"Crotti","given":"L.","non-dropping-particle":"","parse-names":false,"suffix":""},{"dropping-particle":"","family":"Insolia","given":"R.","non-dropping-particle":"","parse-names":false,"suffix":""}],"container-title":"Circulation: Arrhythmia and Electrophysiology","id":"ITEM-1","issue":"4","issued":{"date-parts":[["2012"]]},"page":"868-877","title":"Long-QT Syndrome: From Genetics to Management","type":"article-journal","volume":"5"},"uris":["http://www.mendeley.com/documents/?uuid=35d94884-d270-4237-88fa-d2186e25d9ec"]},{"id":"ITEM-2","itemData":{"DOI":"10.1093/eurheartj/eht089","ISSN":"1522-9645","PMID":"23509228","abstract":"The mind-boggling progress in the understanding of the molecular mechanisms underlying the long QT syndrome (LQTS) has been the subject of many articles and reviews. Still, when it comes to the management of the patients affected by this life-threatening disorder, too many errors still take place, both in the diagnostic process and in the therapeutic choices. The price of these errors is paid by the patients and their families. This review is not directed to the relatively small number of LQTS experts who know what to do. It does not deal with genetics, with epidemiology, or with the well-known clinical manifestations. We have focused solely on the approach to diagnosis and therapy and we have directed this review to the average clinical cardiologist who, in his/her practice, sees occasionally patients affected or suspected to be affected by LQTS; the cardiologist who may know enough to manage them but not enough to be completely confident on his/her most critical choices. We have provided our personal views without making any attempt to blend differences whenever present. On most issues we agree fully but where we do not, we make it clear to the reader by indicating who is thinking what. The result may be unconventional, but it mirrors the challenges, often severe, that we all face in managing and protecting these patients from sudden death while also helping them live and thrive despite their diagnosis. We trust that this unabashed presentation of our clinical approach will be useful for both cardiologists and patients.","author":[{"dropping-particle":"","family":"Schwartz","given":"Peter J","non-dropping-particle":"","parse-names":false,"suffix":""},{"dropping-particle":"","family":"Ackerman","given":"Michael J","non-dropping-particle":"","parse-names":false,"suffix":""}],"container-title":"European heart journal","id":"ITEM-2","issue":"40","issued":{"date-parts":[["2013","10"]]},"page":"3109-16","title":"The long QT syndrome: a transatlantic clinical approach to diagnosis and therapy.","type":"article-journal","volume":"34"},"uris":["http://www.mendeley.com/documents/?uuid=a04f8202-da05-4b45-bafb-847d323a4f76"]},{"id":"ITEM-3","itemData":{"DOI":"10.1093/europace/eut272","ISSN":"1532-2092","PMID":"23994779","author":[{"dropping-particle":"","family":"Priori","given":"Silvia G","non-dropping-particle":"","parse-names":false,"suffix":""},{"dropping-particle":"","family":"Wilde","given":"Arthur A","non-dropping-particle":"","parse-names":false,"suffix":""},{"dropping-particle":"","family":"Horie","given":"Minoru","non-dropping-particle":"","parse-names":false,"suffix":""},{"dropping-particle":"","family":"Cho","given":"Yongkeun","non-dropping-particle":"","parse-names":false,"suffix":""},{"dropping-particle":"","family":"Behr","given":"Elijah R","non-dropping-particle":"","parse-names":false,"suffix":""},{"dropping-particle":"","family":"Berul","given":"Charles","non-dropping-particle":"","parse-names":false,"suffix":""},{"dropping-particle":"","family":"Blom","given":"Nico","non-dropping-particle":"","parse-names":false,"suffix":""},{"dropping-particle":"","family":"Brugada","given":"Josep","non-dropping-particle":"","parse-names":false,"suffix":""},{"dropping-particle":"","family":"Chiang","given":"Chern-En","non-dropping-particle":"","parse-names":false,"suffix":""},{"dropping-particle":"","family":"Huikuri","given":"Heikki","non-dropping-particle":"","parse-names":false,"suffix":""},{"dropping-particle":"","family":"Kannankeril","given":"Prince","non-dropping-particle":"","parse-names":false,"suffix":""},{"dropping-particle":"","family":"Krahn","given":"Andrew","non-dropping-particle":"","parse-names":false,"suffix":""},{"dropping-particle":"","family":"Leenhardt","given":"Antoine","non-dropping-particle":"","parse-names":false,"suffix":""},{"dropping-particle":"","family":"Moss","given":"Arthur","non-dropping-particle":"","parse-names":false,"suffix":""},{"dropping-particle":"","family":"Schwartz","given":"Peter J","non-dropping-particle":"","parse-names":false,"suffix":""},{"dropping-particle":"","family":"Shimizu","given":"Wataru","non-dropping-particle":"","parse-names":false,"suffix":""},{"dropping-particle":"","family":"Tomaselli","given":"Gordon","non-dropping-particle":"","parse-names":false,"suffix":""},{"dropping-particle":"","family":"Tracy","given":"Cynthia","non-dropping-particle":"","parse-names":false,"suffix":""},{"dropping-particle":"","family":"Document Reviewers","given":"","non-dropping-particle":"","parse-names":false,"suffix":""},{"dropping-particle":"","family":"Ackerman","given":"Michael","non-dropping-particle":"","parse-names":false,"suffix":""},{"dropping-particle":"","family":"Belhassen","given":"Bernard","non-dropping-particle":"","parse-names":false,"suffix":""},{"dropping-particle":"","family":"Estes","given":"N A Mark","non-dropping-particle":"","parse-names":false,"suffix":""},{"dropping-particle":"","family":"Fatkin","given":"Diane","non-dropping-particle":"","parse-names":false,"suffix":""},{"dropping-particle":"","family":"Kalman","given":"Jonathan","non-dropping-particle":"","parse-names":false,"suffix":""},{"dropping-particle":"","family":"Kaufman","given":"Elizabeth","non-dropping-particle":"","parse-names":false,"suffix":""},{"dropping-particle":"","family":"Kirchhof","given":"Paulus","non-dropping-particle":"","parse-names":false,"suffix":""},{"dropping-particle":"","family":"Schulze-Bahr","given":"Eric","non-dropping-particle":"","parse-names":false,"suffix":""},{"dropping-particle":"","family":"Wolpert","given":"Christian","non-dropping-particle":"","parse-names":false,"suffix":""},{"dropping-particle":"","family":"Vohra","given":"Jitendra","non-dropping-particle":"","parse-names":false,"suffix":""},{"dropping-particle":"","family":"Refaat","given":"Marwan","non-dropping-particle":"","parse-names":false,"suffix":""},{"dropping-particle":"","family":"Etheridge","given":"Susan P","non-dropping-particle":"","parse-names":false,"suffix":""},{"dropping-particle":"","family":"Campbell","given":"Robert M","non-dropping-particle":"","parse-names":false,"suffix":""},{"dropping-particle":"","family":"Martin","given":"Edward T","non-dropping-particle":"","parse-names":false,"suffix":""},{"dropping-particle":"","family":"Quek","given":"Swee Chye","non-dropping-particle":"","parse-names":false,"suffix":""},{"dropping-particle":"","family":"Heart Rhythm Society","given":"","non-dropping-particle":"","parse-names":false,"suffix":""},{"dropping-particle":"","family":"European Heart Rhythm Association","given":"","non-dropping-particle":"","parse-names":false,"suffix":""},{"dropping-particle":"","family":"Asia Pacific Heart Rhythm Society","given":"","non-dropping-particle":"","parse-names":false,"suffix":""}],"container-title":"Europace : European pacing, arrhythmias, and cardiac electrophysiology : journal of the working groups on cardiac pacing, arrhythmias, and cardiac cellular electrophysiology of the European Society of Cardiology","id":"ITEM-3","issue":"10","issued":{"date-parts":[["2013","10"]]},"page":"1389-406","title":"Executive summary: HRS/EHRA/APHRS expert consensus statement on the diagnosis and management of patients with inherited primary arrhythmia syndromes.","type":"article-journal","volume":"15"},"uris":["http://www.mendeley.com/documents/?uuid=b8d43bcf-520a-4e86-999e-526801d482a3"]}],"mendeley":{"formattedCitation":"&lt;sup&gt;31–33&lt;/sup&gt;","plainTextFormattedCitation":"31–33","previouslyFormattedCitation":"&lt;sup&gt;31–33&lt;/sup&gt;"},"properties":{"noteIndex":0},"schema":"https://github.com/citation-style-language/schema/raw/master/csl-citation.json"}</w:instrText>
      </w:r>
      <w:r w:rsidR="00B37BCA">
        <w:rPr>
          <w:sz w:val="24"/>
          <w:szCs w:val="24"/>
        </w:rPr>
        <w:fldChar w:fldCharType="separate"/>
      </w:r>
      <w:r w:rsidR="00B0022F" w:rsidRPr="00B0022F">
        <w:rPr>
          <w:noProof/>
          <w:sz w:val="24"/>
          <w:szCs w:val="24"/>
          <w:vertAlign w:val="superscript"/>
        </w:rPr>
        <w:t>31–33</w:t>
      </w:r>
      <w:r w:rsidR="00B37BCA">
        <w:rPr>
          <w:sz w:val="24"/>
          <w:szCs w:val="24"/>
        </w:rPr>
        <w:fldChar w:fldCharType="end"/>
      </w:r>
      <w:r w:rsidR="002A5011" w:rsidRPr="000F27B6">
        <w:rPr>
          <w:sz w:val="24"/>
          <w:szCs w:val="24"/>
        </w:rPr>
        <w:t xml:space="preserve">. Cases where the QT duration was borderline were subjected to an exercise tolerance test, as per the study protocol. </w:t>
      </w:r>
      <w:r w:rsidR="00C85DE9" w:rsidRPr="000F27B6">
        <w:rPr>
          <w:sz w:val="24"/>
          <w:szCs w:val="24"/>
        </w:rPr>
        <w:t>The d</w:t>
      </w:r>
      <w:r w:rsidR="002A5011" w:rsidRPr="000F27B6">
        <w:rPr>
          <w:sz w:val="24"/>
          <w:szCs w:val="24"/>
        </w:rPr>
        <w:t xml:space="preserve">iagnosis of CPVT </w:t>
      </w:r>
      <w:r w:rsidR="00C85DE9" w:rsidRPr="000F27B6">
        <w:rPr>
          <w:sz w:val="24"/>
          <w:szCs w:val="24"/>
        </w:rPr>
        <w:t>was considered following the</w:t>
      </w:r>
      <w:r w:rsidR="002A5011" w:rsidRPr="000F27B6">
        <w:rPr>
          <w:sz w:val="24"/>
          <w:szCs w:val="24"/>
        </w:rPr>
        <w:t xml:space="preserve"> documentation of polymorphic ventricular tachycardia (but not necessarily typical bidirectional VT with a beat-to-beat 180 degrees rotation of the QRS complex) during exertion and in the absence of ECG features suggestive of</w:t>
      </w:r>
      <w:r w:rsidR="00F202E0" w:rsidRPr="000F27B6">
        <w:rPr>
          <w:sz w:val="24"/>
          <w:szCs w:val="24"/>
        </w:rPr>
        <w:t xml:space="preserve"> an alternative diagnosis</w:t>
      </w:r>
      <w:r w:rsidR="00B37BCA">
        <w:rPr>
          <w:sz w:val="24"/>
          <w:szCs w:val="24"/>
        </w:rPr>
        <w:fldChar w:fldCharType="begin" w:fldLock="1"/>
      </w:r>
      <w:r w:rsidR="00B0022F">
        <w:rPr>
          <w:sz w:val="24"/>
          <w:szCs w:val="24"/>
        </w:rPr>
        <w:instrText>ADDIN CSL_CITATION {"citationItems":[{"id":"ITEM-1","itemData":{"DOI":"10.1093/europace/eut272","ISSN":"1532-2092","PMID":"23994779","author":[{"dropping-particle":"","family":"Priori","given":"Silvia G","non-dropping-particle":"","parse-names":false,"suffix":""},{"dropping-particle":"","family":"Wilde","given":"Arthur A","non-dropping-particle":"","parse-names":false,"suffix":""},{"dropping-particle":"","family":"Horie","given":"Minoru","non-dropping-particle":"","parse-names":false,"suffix":""},{"dropping-particle":"","family":"Cho","given":"Yongkeun","non-dropping-particle":"","parse-names":false,"suffix":""},{"dropping-particle":"","family":"Behr","given":"Elijah R","non-dropping-particle":"","parse-names":false,"suffix":""},{"dropping-particle":"","family":"Berul","given":"Charles","non-dropping-particle":"","parse-names":false,"suffix":""},{"dropping-particle":"","family":"Blom","given":"Nico","non-dropping-particle":"","parse-names":false,"suffix":""},{"dropping-particle":"","family":"Brugada","given":"Josep","non-dropping-particle":"","parse-names":false,"suffix":""},{"dropping-particle":"","family":"Chiang","given":"Chern-En","non-dropping-particle":"","parse-names":false,"suffix":""},{"dropping-particle":"","family":"Huikuri","given":"Heikki","non-dropping-particle":"","parse-names":false,"suffix":""},{"dropping-particle":"","family":"Kannankeril","given":"Prince","non-dropping-particle":"","parse-names":false,"suffix":""},{"dropping-particle":"","family":"Krahn","given":"Andrew","non-dropping-particle":"","parse-names":false,"suffix":""},{"dropping-particle":"","family":"Leenhardt","given":"Antoine","non-dropping-particle":"","parse-names":false,"suffix":""},{"dropping-particle":"","family":"Moss","given":"Arthur","non-dropping-particle":"","parse-names":false,"suffix":""},{"dropping-particle":"","family":"Schwartz","given":"Peter J","non-dropping-particle":"","parse-names":false,"suffix":""},{"dropping-particle":"","family":"Shimizu","given":"Wataru","non-dropping-particle":"","parse-names":false,"suffix":""},{"dropping-particle":"","family":"Tomaselli","given":"Gordon","non-dropping-particle":"","parse-names":false,"suffix":""},{"dropping-particle":"","family":"Tracy","given":"Cynthia","non-dropping-particle":"","parse-names":false,"suffix":""},{"dropping-particle":"","family":"Document Reviewers","given":"","non-dropping-particle":"","parse-names":false,"suffix":""},{"dropping-particle":"","family":"Ackerman","given":"Michael","non-dropping-particle":"","parse-names":false,"suffix":""},{"dropping-particle":"","family":"Belhassen","given":"Bernard","non-dropping-particle":"","parse-names":false,"suffix":""},{"dropping-particle":"","family":"Estes","given":"N A Mark","non-dropping-particle":"","parse-names":false,"suffix":""},{"dropping-particle":"","family":"Fatkin","given":"Diane","non-dropping-particle":"","parse-names":false,"suffix":""},{"dropping-particle":"","family":"Kalman","given":"Jonathan","non-dropping-particle":"","parse-names":false,"suffix":""},{"dropping-particle":"","family":"Kaufman","given":"Elizabeth","non-dropping-particle":"","parse-names":false,"suffix":""},{"dropping-particle":"","family":"Kirchhof","given":"Paulus","non-dropping-particle":"","parse-names":false,"suffix":""},{"dropping-particle":"","family":"Schulze-Bahr","given":"Eric","non-dropping-particle":"","parse-names":false,"suffix":""},{"dropping-particle":"","family":"Wolpert","given":"Christian","non-dropping-particle":"","parse-names":false,"suffix":""},{"dropping-particle":"","family":"Vohra","given":"Jitendra","non-dropping-particle":"","parse-names":false,"suffix":""},{"dropping-particle":"","family":"Refaat","given":"Marwan","non-dropping-particle":"","parse-names":false,"suffix":""},{"dropping-particle":"","family":"Etheridge","given":"Susan P","non-dropping-particle":"","parse-names":false,"suffix":""},{"dropping-particle":"","family":"Campbell","given":"Robert M","non-dropping-particle":"","parse-names":false,"suffix":""},{"dropping-particle":"","family":"Martin","given":"Edward T","non-dropping-particle":"","parse-names":false,"suffix":""},{"dropping-particle":"","family":"Quek","given":"Swee Chye","non-dropping-particle":"","parse-names":false,"suffix":""},{"dropping-particle":"","family":"Heart Rhythm Society","given":"","non-dropping-particle":"","parse-names":false,"suffix":""},{"dropping-particle":"","family":"European Heart Rhythm Association","given":"","non-dropping-particle":"","parse-names":false,"suffix":""},{"dropping-particle":"","family":"Asia Pacific Heart Rhythm Society","given":"","non-dropping-particle":"","parse-names":false,"suffix":""}],"container-title":"Europace : European pacing, arrhythmias, and cardiac electrophysiology : journal of the working groups on cardiac pacing, arrhythmias, and cardiac cellular electrophysiology of the European Society of Cardiology","id":"ITEM-1","issue":"10","issued":{"date-parts":[["2013","10"]]},"page":"1389-406","title":"Executive summary: HRS/EHRA/APHRS expert consensus statement on the diagnosis and management of patients with inherited primary arrhythmia syndromes.","type":"article-journal","volume":"15"},"uris":["http://www.mendeley.com/documents/?uuid=b8d43bcf-520a-4e86-999e-526801d482a3"]},{"id":"ITEM-2","itemData":{"ISSN":"1524-4539","PMID":"11401939","abstract":"BACKGROUND Catecholaminergic polymorphic ventricular tachycardia (PVT) is characterized by episodes of syncope, seizures, or sudden death in response to physiological or emotional stress. In 2 families with autosomal dominant inheritance, the disease gene was mapped to chromosome 1q42-43. The objectives of this study were to characterize the clinical features of the disease in a Bedouin tribe from Israel and to map the disease gene. METHODS AND RESULTS In this Bedouin tribe, 9 children (age, 7+/-4 years) from 7 related families have died suddenly during the past decade, and 12 other children suffered from recurrent syncope and seizures starting at the age of 6+/-3 years. Parents of affected individuals were asymptomatic and were all related (first-, second-, or third-degree cousins). Segregation analysis suggested autosomal recessive inheritance. All 12 symptomatic patients and 1 asymptomatic sibling (mean age, 13+/-7 years) were found to have a relative resting bradycardia (64+/-13 bpm, versus 93+/-12 bpm in the unaffected siblings), as well as PVT induced by treadmill or isoproterenol infusion and appearing at a mean sinus rate of 110+/-10 bpm. Patients responded favorably to treatment with beta-blockers. A genome-wide search using polymorphic DNA markers mapped the disease locus to a 16-megabase interval on chromosome 1p13-21. A maximal lod score of 8.24 was obtained with D1S189 at theta=0.00. Sequencing of KCND3, a gene that encodes an I(tO) potassium channel transporter, did not reveal any significant sequence alterations. CONCLUSIONS This unique form of autosomal recessive PVT affects young children and may be lethal if left untreated. Linkage analysis maps this disorder to chromosome 1p13-21.","author":[{"dropping-particle":"","family":"Lahat","given":"H","non-dropping-particle":"","parse-names":false,"suffix":""},{"dropping-particle":"","family":"Eldar","given":"M","non-dropping-particle":"","parse-names":false,"suffix":""},{"dropping-particle":"","family":"Levy-Nissenbaum","given":"E","non-dropping-particle":"","parse-names":false,"suffix":""},{"dropping-particle":"","family":"Bahan","given":"T","non-dropping-particle":"","parse-names":false,"suffix":""},{"dropping-particle":"","family":"Friedman","given":"E","non-dropping-particle":"","parse-names":false,"suffix":""},{"dropping-particle":"","family":"Khoury","given":"A","non-dropping-particle":"","parse-names":false,"suffix":""},{"dropping-particle":"","family":"Lorber","given":"A","non-dropping-particle":"","parse-names":false,"suffix":""},{"dropping-particle":"","family":"Kastner","given":"D L","non-dropping-particle":"","parse-names":false,"suffix":""},{"dropping-particle":"","family":"Goldman","given":"B","non-dropping-particle":"","parse-names":false,"suffix":""},{"dropping-particle":"","family":"Pras","given":"E","non-dropping-particle":"","parse-names":false,"suffix":""}],"container-title":"Circulation","id":"ITEM-2","issue":"23","issued":{"date-parts":[["2001","6","12"]]},"page":"2822-7","title":"Autosomal recessive catecholamine- or exercise-induced polymorphic ventricular tachycardia: clinical features and assignment of the disease gene to chromosome 1p13-21.","type":"article-journal","volume":"103"},"uris":["http://www.mendeley.com/documents/?uuid=326b8999-ddc8-451e-9c45-dbc73b295ff8"]}],"mendeley":{"formattedCitation":"&lt;sup&gt;31,34&lt;/sup&gt;","plainTextFormattedCitation":"31,34","previouslyFormattedCitation":"&lt;sup&gt;31,34&lt;/sup&gt;"},"properties":{"noteIndex":0},"schema":"https://github.com/citation-style-language/schema/raw/master/csl-citation.json"}</w:instrText>
      </w:r>
      <w:r w:rsidR="00B37BCA">
        <w:rPr>
          <w:sz w:val="24"/>
          <w:szCs w:val="24"/>
        </w:rPr>
        <w:fldChar w:fldCharType="separate"/>
      </w:r>
      <w:r w:rsidR="00B0022F" w:rsidRPr="00B0022F">
        <w:rPr>
          <w:noProof/>
          <w:sz w:val="24"/>
          <w:szCs w:val="24"/>
          <w:vertAlign w:val="superscript"/>
        </w:rPr>
        <w:t>31,34</w:t>
      </w:r>
      <w:r w:rsidR="00B37BCA">
        <w:rPr>
          <w:sz w:val="24"/>
          <w:szCs w:val="24"/>
        </w:rPr>
        <w:fldChar w:fldCharType="end"/>
      </w:r>
      <w:r w:rsidR="002A5011" w:rsidRPr="000F27B6">
        <w:rPr>
          <w:sz w:val="24"/>
          <w:szCs w:val="24"/>
        </w:rPr>
        <w:t xml:space="preserve">. </w:t>
      </w:r>
      <w:r w:rsidR="00C85DE9" w:rsidRPr="000F27B6">
        <w:rPr>
          <w:sz w:val="24"/>
          <w:szCs w:val="24"/>
        </w:rPr>
        <w:t>Wolff-Parkinson-White</w:t>
      </w:r>
      <w:r w:rsidR="002A5011" w:rsidRPr="000F27B6">
        <w:rPr>
          <w:sz w:val="24"/>
          <w:szCs w:val="24"/>
        </w:rPr>
        <w:t xml:space="preserve"> syndrome was </w:t>
      </w:r>
      <w:r w:rsidR="00496E4A" w:rsidRPr="000F27B6">
        <w:rPr>
          <w:sz w:val="24"/>
          <w:szCs w:val="24"/>
        </w:rPr>
        <w:t>diagnosed</w:t>
      </w:r>
      <w:r w:rsidR="002A5011" w:rsidRPr="000F27B6">
        <w:rPr>
          <w:sz w:val="24"/>
          <w:szCs w:val="24"/>
        </w:rPr>
        <w:t xml:space="preserve"> in presence of</w:t>
      </w:r>
      <w:r w:rsidR="003E61C8" w:rsidRPr="000F27B6">
        <w:rPr>
          <w:sz w:val="24"/>
          <w:szCs w:val="24"/>
        </w:rPr>
        <w:t xml:space="preserve"> a short PR interval and a</w:t>
      </w:r>
      <w:r w:rsidR="002A5011" w:rsidRPr="000F27B6">
        <w:rPr>
          <w:sz w:val="24"/>
          <w:szCs w:val="24"/>
        </w:rPr>
        <w:t xml:space="preserve"> delta wave (&lt; 120 </w:t>
      </w:r>
      <w:proofErr w:type="spellStart"/>
      <w:r w:rsidR="002A5011" w:rsidRPr="000F27B6">
        <w:rPr>
          <w:sz w:val="24"/>
          <w:szCs w:val="24"/>
        </w:rPr>
        <w:t>msec</w:t>
      </w:r>
      <w:proofErr w:type="spellEnd"/>
      <w:r w:rsidR="002A5011" w:rsidRPr="000F27B6">
        <w:rPr>
          <w:sz w:val="24"/>
          <w:szCs w:val="24"/>
        </w:rPr>
        <w:t xml:space="preserve">) and symptoms </w:t>
      </w:r>
      <w:r w:rsidR="0015092F" w:rsidRPr="000F27B6">
        <w:rPr>
          <w:sz w:val="24"/>
          <w:szCs w:val="24"/>
        </w:rPr>
        <w:t xml:space="preserve">of </w:t>
      </w:r>
      <w:r w:rsidR="002A5011" w:rsidRPr="000F27B6">
        <w:rPr>
          <w:sz w:val="24"/>
          <w:szCs w:val="24"/>
        </w:rPr>
        <w:t>palpitations or syncope. Pre-excitation was defined by</w:t>
      </w:r>
      <w:r w:rsidR="003E61C8" w:rsidRPr="000F27B6">
        <w:rPr>
          <w:sz w:val="24"/>
          <w:szCs w:val="24"/>
        </w:rPr>
        <w:t xml:space="preserve"> the same ECG changes</w:t>
      </w:r>
      <w:r w:rsidR="002A5011" w:rsidRPr="000F27B6">
        <w:rPr>
          <w:sz w:val="24"/>
          <w:szCs w:val="24"/>
        </w:rPr>
        <w:t xml:space="preserve">  in the absence of </w:t>
      </w:r>
      <w:r w:rsidR="0040727F" w:rsidRPr="000F27B6">
        <w:rPr>
          <w:sz w:val="24"/>
          <w:szCs w:val="24"/>
        </w:rPr>
        <w:t>palpitation</w:t>
      </w:r>
      <w:r w:rsidR="00CD34E1">
        <w:rPr>
          <w:sz w:val="24"/>
          <w:szCs w:val="24"/>
        </w:rPr>
        <w:t>s</w:t>
      </w:r>
      <w:r w:rsidR="0040727F" w:rsidRPr="000F27B6">
        <w:rPr>
          <w:sz w:val="24"/>
          <w:szCs w:val="24"/>
        </w:rPr>
        <w:t xml:space="preserve"> or syncope</w:t>
      </w:r>
      <w:r w:rsidR="00F6385F" w:rsidRPr="000F27B6">
        <w:rPr>
          <w:sz w:val="24"/>
          <w:szCs w:val="24"/>
        </w:rPr>
        <w:fldChar w:fldCharType="begin" w:fldLock="1"/>
      </w:r>
      <w:r w:rsidR="00B0022F">
        <w:rPr>
          <w:sz w:val="24"/>
          <w:szCs w:val="24"/>
        </w:rPr>
        <w:instrText>ADDIN CSL_CITATION {"citationItems":[{"id":"ITEM-1","itemData":{"ISSN":"0028-4793","PMID":"21011361","author":[{"dropping-particle":"","family":"BOYER","given":"N H","non-dropping-particle":"","parse-names":false,"suffix":""}],"container-title":"The New England journal of medicine","id":"ITEM-1","issued":{"date-parts":[["1946","1","24"]]},"page":"111-4","title":"The Wolff-Parkinson-White syndrome.","type":"article-journal","volume":"234"},"uris":["http://www.mendeley.com/documents/?uuid=10b8f48d-7dc3-4604-82d7-562809f6e63c","http://www.mendeley.com/documents/?uuid=74e188f0-5823-49ad-b66a-e6b1bb3b2c59"]}],"mendeley":{"formattedCitation":"&lt;sup&gt;35&lt;/sup&gt;","plainTextFormattedCitation":"35","previouslyFormattedCitation":"&lt;sup&gt;35&lt;/sup&gt;"},"properties":{"noteIndex":0},"schema":"https://github.com/citation-style-language/schema/raw/master/csl-citation.json"}</w:instrText>
      </w:r>
      <w:r w:rsidR="00F6385F" w:rsidRPr="000F27B6">
        <w:rPr>
          <w:sz w:val="24"/>
          <w:szCs w:val="24"/>
        </w:rPr>
        <w:fldChar w:fldCharType="separate"/>
      </w:r>
      <w:r w:rsidR="00B0022F" w:rsidRPr="00B0022F">
        <w:rPr>
          <w:noProof/>
          <w:sz w:val="24"/>
          <w:szCs w:val="24"/>
          <w:vertAlign w:val="superscript"/>
        </w:rPr>
        <w:t>35</w:t>
      </w:r>
      <w:r w:rsidR="00F6385F" w:rsidRPr="000F27B6">
        <w:rPr>
          <w:sz w:val="24"/>
          <w:szCs w:val="24"/>
        </w:rPr>
        <w:fldChar w:fldCharType="end"/>
      </w:r>
      <w:r w:rsidR="002A5011" w:rsidRPr="000F27B6">
        <w:rPr>
          <w:sz w:val="24"/>
          <w:szCs w:val="24"/>
        </w:rPr>
        <w:t>.</w:t>
      </w:r>
    </w:p>
    <w:p w14:paraId="14A4F39C" w14:textId="77777777" w:rsidR="00281480" w:rsidRPr="000F27B6" w:rsidRDefault="00281480" w:rsidP="00281480">
      <w:pPr>
        <w:spacing w:line="480" w:lineRule="auto"/>
        <w:rPr>
          <w:b/>
          <w:sz w:val="24"/>
          <w:szCs w:val="24"/>
        </w:rPr>
      </w:pPr>
      <w:r w:rsidRPr="000F27B6">
        <w:rPr>
          <w:b/>
          <w:sz w:val="24"/>
          <w:szCs w:val="24"/>
        </w:rPr>
        <w:t>Ethical approval</w:t>
      </w:r>
    </w:p>
    <w:p w14:paraId="17226D48" w14:textId="11CFBB4D" w:rsidR="00281480" w:rsidRPr="000F27B6" w:rsidRDefault="00281480" w:rsidP="00281480">
      <w:pPr>
        <w:spacing w:line="480" w:lineRule="auto"/>
        <w:rPr>
          <w:sz w:val="24"/>
          <w:szCs w:val="24"/>
        </w:rPr>
      </w:pPr>
      <w:r w:rsidRPr="000F27B6">
        <w:rPr>
          <w:sz w:val="24"/>
          <w:szCs w:val="24"/>
        </w:rPr>
        <w:t>Ethic</w:t>
      </w:r>
      <w:r w:rsidR="00DA5181" w:rsidRPr="000F27B6">
        <w:rPr>
          <w:sz w:val="24"/>
          <w:szCs w:val="24"/>
        </w:rPr>
        <w:t>al</w:t>
      </w:r>
      <w:r w:rsidRPr="000F27B6">
        <w:rPr>
          <w:sz w:val="24"/>
          <w:szCs w:val="24"/>
        </w:rPr>
        <w:t xml:space="preserve"> approval for this study was granted by the Fulham Research Committee</w:t>
      </w:r>
      <w:r w:rsidR="00DA5181" w:rsidRPr="000F27B6">
        <w:rPr>
          <w:sz w:val="24"/>
          <w:szCs w:val="24"/>
        </w:rPr>
        <w:t xml:space="preserve"> in London, UK (</w:t>
      </w:r>
      <w:r w:rsidRPr="000F27B6">
        <w:rPr>
          <w:sz w:val="24"/>
          <w:szCs w:val="24"/>
        </w:rPr>
        <w:t>REC reference is 15/LO//2074</w:t>
      </w:r>
      <w:r w:rsidR="00DA5181" w:rsidRPr="000F27B6">
        <w:rPr>
          <w:sz w:val="24"/>
          <w:szCs w:val="24"/>
        </w:rPr>
        <w:t>)</w:t>
      </w:r>
      <w:r w:rsidRPr="000F27B6">
        <w:rPr>
          <w:sz w:val="24"/>
          <w:szCs w:val="24"/>
        </w:rPr>
        <w:t>. The study protocol was approved by the St George’s NHS trust. All the patients signed a written consent and all data were handled in accordance with the Data Protection Act (1998).</w:t>
      </w:r>
    </w:p>
    <w:p w14:paraId="5B034540" w14:textId="77777777" w:rsidR="007B77EC" w:rsidRPr="000F27B6" w:rsidRDefault="007B77EC" w:rsidP="007B77EC">
      <w:pPr>
        <w:spacing w:line="480" w:lineRule="auto"/>
        <w:rPr>
          <w:b/>
          <w:sz w:val="24"/>
          <w:szCs w:val="24"/>
        </w:rPr>
      </w:pPr>
      <w:r w:rsidRPr="000F27B6">
        <w:rPr>
          <w:b/>
          <w:sz w:val="24"/>
          <w:szCs w:val="24"/>
        </w:rPr>
        <w:t>Statistical analysis</w:t>
      </w:r>
    </w:p>
    <w:p w14:paraId="2784846A" w14:textId="7346F267" w:rsidR="00DA5181" w:rsidRPr="000F27B6" w:rsidRDefault="007B77EC" w:rsidP="00984581">
      <w:pPr>
        <w:spacing w:line="480" w:lineRule="auto"/>
        <w:rPr>
          <w:sz w:val="24"/>
          <w:szCs w:val="24"/>
        </w:rPr>
      </w:pPr>
      <w:r w:rsidRPr="000F27B6">
        <w:rPr>
          <w:sz w:val="24"/>
          <w:szCs w:val="24"/>
          <w:lang w:val="en-US"/>
        </w:rPr>
        <w:lastRenderedPageBreak/>
        <w:t xml:space="preserve">Statistical analysis was performed using the PASW software (PASW 18.0 Inc, Chicago, IL). Results are expressed as mean ± standard deviation (SD) for continuous variables or as number of cases and percentage for categorical variables. Comparison of groups was performed using Student’s T-test for continuous variables with correction for unequal variance when necessary and Chi-square test or Fisher Exact Test, as appropriate for categorical variables. </w:t>
      </w:r>
      <w:r w:rsidR="000060F2" w:rsidRPr="000F27B6">
        <w:rPr>
          <w:sz w:val="24"/>
          <w:szCs w:val="24"/>
          <w:lang w:val="en-US"/>
        </w:rPr>
        <w:t>P</w:t>
      </w:r>
      <w:r w:rsidR="00083BBA" w:rsidRPr="000F27B6">
        <w:rPr>
          <w:sz w:val="24"/>
          <w:szCs w:val="24"/>
          <w:lang w:val="en-US"/>
        </w:rPr>
        <w:t xml:space="preserve"> values &lt;</w:t>
      </w:r>
      <w:r w:rsidR="000060F2" w:rsidRPr="000F27B6">
        <w:rPr>
          <w:sz w:val="24"/>
          <w:szCs w:val="24"/>
          <w:lang w:val="en-US"/>
        </w:rPr>
        <w:t xml:space="preserve"> </w:t>
      </w:r>
      <w:r w:rsidR="00083BBA" w:rsidRPr="000F27B6">
        <w:rPr>
          <w:sz w:val="24"/>
          <w:szCs w:val="24"/>
          <w:lang w:val="en-US"/>
        </w:rPr>
        <w:t>0.05 were considered statistically significant.</w:t>
      </w:r>
    </w:p>
    <w:p w14:paraId="21D89A05" w14:textId="77777777" w:rsidR="007B6F58" w:rsidRPr="000F27B6" w:rsidRDefault="007B6F58" w:rsidP="00984581">
      <w:pPr>
        <w:spacing w:line="480" w:lineRule="auto"/>
        <w:rPr>
          <w:b/>
          <w:sz w:val="24"/>
          <w:szCs w:val="24"/>
        </w:rPr>
      </w:pPr>
    </w:p>
    <w:p w14:paraId="0CA3882D" w14:textId="4EFE6F6A" w:rsidR="005F3F7A" w:rsidRPr="000F27B6" w:rsidRDefault="00547204" w:rsidP="00984581">
      <w:pPr>
        <w:spacing w:line="480" w:lineRule="auto"/>
        <w:rPr>
          <w:b/>
          <w:sz w:val="24"/>
          <w:szCs w:val="24"/>
        </w:rPr>
      </w:pPr>
      <w:r w:rsidRPr="000F27B6">
        <w:rPr>
          <w:b/>
          <w:sz w:val="24"/>
          <w:szCs w:val="24"/>
        </w:rPr>
        <w:t>RESULTS</w:t>
      </w:r>
    </w:p>
    <w:p w14:paraId="77B3D8E9" w14:textId="3A35BAAB" w:rsidR="00DF1B0F" w:rsidRPr="000F27B6" w:rsidRDefault="001B198D" w:rsidP="00984581">
      <w:pPr>
        <w:spacing w:line="480" w:lineRule="auto"/>
        <w:rPr>
          <w:b/>
          <w:sz w:val="24"/>
          <w:szCs w:val="24"/>
        </w:rPr>
      </w:pPr>
      <w:r w:rsidRPr="000F27B6">
        <w:rPr>
          <w:b/>
          <w:sz w:val="24"/>
          <w:szCs w:val="24"/>
        </w:rPr>
        <w:t xml:space="preserve">Demographic and </w:t>
      </w:r>
      <w:r w:rsidR="0040727F" w:rsidRPr="000F27B6">
        <w:rPr>
          <w:b/>
          <w:sz w:val="24"/>
          <w:szCs w:val="24"/>
        </w:rPr>
        <w:t>c</w:t>
      </w:r>
      <w:r w:rsidRPr="000F27B6">
        <w:rPr>
          <w:b/>
          <w:sz w:val="24"/>
          <w:szCs w:val="24"/>
        </w:rPr>
        <w:t xml:space="preserve">linical </w:t>
      </w:r>
      <w:r w:rsidR="0040727F" w:rsidRPr="000F27B6">
        <w:rPr>
          <w:b/>
          <w:sz w:val="24"/>
          <w:szCs w:val="24"/>
        </w:rPr>
        <w:t>c</w:t>
      </w:r>
      <w:r w:rsidR="005F3F7A" w:rsidRPr="000F27B6">
        <w:rPr>
          <w:b/>
          <w:sz w:val="24"/>
          <w:szCs w:val="24"/>
        </w:rPr>
        <w:t>haracteristi</w:t>
      </w:r>
      <w:r w:rsidR="00B8063E" w:rsidRPr="000F27B6">
        <w:rPr>
          <w:b/>
          <w:sz w:val="24"/>
          <w:szCs w:val="24"/>
        </w:rPr>
        <w:t xml:space="preserve">cs of </w:t>
      </w:r>
      <w:r w:rsidR="0040727F" w:rsidRPr="000F27B6">
        <w:rPr>
          <w:b/>
          <w:sz w:val="24"/>
          <w:szCs w:val="24"/>
        </w:rPr>
        <w:t>d</w:t>
      </w:r>
      <w:r w:rsidR="00B8063E" w:rsidRPr="000F27B6">
        <w:rPr>
          <w:b/>
          <w:sz w:val="24"/>
          <w:szCs w:val="24"/>
        </w:rPr>
        <w:t>ecedents with</w:t>
      </w:r>
      <w:r w:rsidR="00DF1B0F" w:rsidRPr="000F27B6">
        <w:rPr>
          <w:b/>
          <w:sz w:val="24"/>
          <w:szCs w:val="24"/>
        </w:rPr>
        <w:t xml:space="preserve"> </w:t>
      </w:r>
      <w:r w:rsidR="0040727F" w:rsidRPr="000F27B6">
        <w:rPr>
          <w:b/>
          <w:sz w:val="24"/>
          <w:szCs w:val="24"/>
        </w:rPr>
        <w:t>i</w:t>
      </w:r>
      <w:r w:rsidR="00DF1B0F" w:rsidRPr="000F27B6">
        <w:rPr>
          <w:b/>
          <w:sz w:val="24"/>
          <w:szCs w:val="24"/>
        </w:rPr>
        <w:t>diopathic LVH</w:t>
      </w:r>
    </w:p>
    <w:p w14:paraId="35668FE3" w14:textId="7ED32DA4" w:rsidR="009C6ECC" w:rsidRDefault="00547204" w:rsidP="00902C1C">
      <w:pPr>
        <w:spacing w:line="480" w:lineRule="auto"/>
        <w:rPr>
          <w:sz w:val="24"/>
          <w:szCs w:val="24"/>
        </w:rPr>
      </w:pPr>
      <w:r w:rsidRPr="000F27B6" w:rsidDel="00B8063E">
        <w:rPr>
          <w:sz w:val="24"/>
          <w:szCs w:val="24"/>
        </w:rPr>
        <w:t>The mean age</w:t>
      </w:r>
      <w:r w:rsidR="00337F04" w:rsidRPr="000F27B6" w:rsidDel="00B8063E">
        <w:rPr>
          <w:sz w:val="24"/>
          <w:szCs w:val="24"/>
        </w:rPr>
        <w:t xml:space="preserve"> at death</w:t>
      </w:r>
      <w:r w:rsidRPr="000F27B6" w:rsidDel="00B8063E">
        <w:rPr>
          <w:sz w:val="24"/>
          <w:szCs w:val="24"/>
        </w:rPr>
        <w:t xml:space="preserve"> was 33±14 years</w:t>
      </w:r>
      <w:r w:rsidR="000E23CA" w:rsidRPr="000F27B6">
        <w:rPr>
          <w:sz w:val="24"/>
          <w:szCs w:val="24"/>
        </w:rPr>
        <w:t>.</w:t>
      </w:r>
      <w:r w:rsidRPr="000F27B6" w:rsidDel="00B8063E">
        <w:rPr>
          <w:sz w:val="24"/>
          <w:szCs w:val="24"/>
        </w:rPr>
        <w:t xml:space="preserve"> </w:t>
      </w:r>
      <w:r w:rsidR="00710E97">
        <w:rPr>
          <w:sz w:val="24"/>
          <w:szCs w:val="24"/>
        </w:rPr>
        <w:t>T</w:t>
      </w:r>
      <w:r w:rsidR="0010118B">
        <w:rPr>
          <w:sz w:val="24"/>
          <w:szCs w:val="24"/>
        </w:rPr>
        <w:t xml:space="preserve">he majority of decedents were </w:t>
      </w:r>
      <w:r w:rsidRPr="000F27B6" w:rsidDel="00B8063E">
        <w:rPr>
          <w:sz w:val="24"/>
          <w:szCs w:val="24"/>
        </w:rPr>
        <w:t xml:space="preserve">male (n=40, 87%) and </w:t>
      </w:r>
      <w:r w:rsidR="0010118B">
        <w:rPr>
          <w:sz w:val="24"/>
          <w:szCs w:val="24"/>
        </w:rPr>
        <w:t>white</w:t>
      </w:r>
      <w:r w:rsidRPr="000F27B6" w:rsidDel="00B8063E">
        <w:rPr>
          <w:sz w:val="24"/>
          <w:szCs w:val="24"/>
        </w:rPr>
        <w:t xml:space="preserve"> (n=43, 93%)</w:t>
      </w:r>
      <w:r w:rsidR="00A112C7" w:rsidRPr="000F27B6">
        <w:rPr>
          <w:sz w:val="24"/>
          <w:szCs w:val="24"/>
        </w:rPr>
        <w:t xml:space="preserve"> (Table 1)</w:t>
      </w:r>
      <w:r w:rsidRPr="000F27B6" w:rsidDel="00B8063E">
        <w:rPr>
          <w:sz w:val="24"/>
          <w:szCs w:val="24"/>
        </w:rPr>
        <w:t xml:space="preserve">. </w:t>
      </w:r>
      <w:r w:rsidR="001B198D" w:rsidRPr="000F27B6" w:rsidDel="001055C3">
        <w:rPr>
          <w:sz w:val="24"/>
          <w:szCs w:val="24"/>
        </w:rPr>
        <w:t xml:space="preserve">Fourteen (30%) </w:t>
      </w:r>
      <w:r w:rsidR="000E23CA" w:rsidRPr="000F27B6">
        <w:rPr>
          <w:sz w:val="24"/>
          <w:szCs w:val="24"/>
        </w:rPr>
        <w:t xml:space="preserve">decedents </w:t>
      </w:r>
      <w:r w:rsidR="001B198D" w:rsidRPr="000F27B6" w:rsidDel="001055C3">
        <w:rPr>
          <w:sz w:val="24"/>
          <w:szCs w:val="24"/>
        </w:rPr>
        <w:t xml:space="preserve">were competitive athletes. </w:t>
      </w:r>
      <w:r w:rsidR="001B198D" w:rsidRPr="000F27B6">
        <w:rPr>
          <w:sz w:val="24"/>
          <w:szCs w:val="24"/>
        </w:rPr>
        <w:t xml:space="preserve">Two (4%) </w:t>
      </w:r>
      <w:r w:rsidR="00C924FC">
        <w:rPr>
          <w:sz w:val="24"/>
          <w:szCs w:val="24"/>
        </w:rPr>
        <w:t>decedent</w:t>
      </w:r>
      <w:r w:rsidR="001B198D" w:rsidRPr="000F27B6">
        <w:rPr>
          <w:sz w:val="24"/>
          <w:szCs w:val="24"/>
        </w:rPr>
        <w:t>s had a BMI &gt; 30</w:t>
      </w:r>
      <w:r w:rsidR="000E23CA" w:rsidRPr="000F27B6">
        <w:rPr>
          <w:sz w:val="24"/>
          <w:szCs w:val="24"/>
        </w:rPr>
        <w:t xml:space="preserve"> kg/m</w:t>
      </w:r>
      <w:r w:rsidR="000E23CA" w:rsidRPr="000F27B6">
        <w:rPr>
          <w:sz w:val="24"/>
          <w:szCs w:val="24"/>
          <w:vertAlign w:val="superscript"/>
        </w:rPr>
        <w:t>2</w:t>
      </w:r>
      <w:r w:rsidR="001B198D" w:rsidRPr="000F27B6">
        <w:rPr>
          <w:sz w:val="24"/>
          <w:szCs w:val="24"/>
        </w:rPr>
        <w:t xml:space="preserve"> </w:t>
      </w:r>
      <w:r w:rsidR="000E23CA" w:rsidRPr="000F27B6">
        <w:rPr>
          <w:sz w:val="24"/>
          <w:szCs w:val="24"/>
        </w:rPr>
        <w:t xml:space="preserve">but </w:t>
      </w:r>
      <w:r w:rsidR="00A112C7" w:rsidRPr="000F27B6">
        <w:rPr>
          <w:sz w:val="24"/>
          <w:szCs w:val="24"/>
        </w:rPr>
        <w:t xml:space="preserve">none &gt; </w:t>
      </w:r>
      <w:r w:rsidR="001B198D" w:rsidRPr="000F27B6">
        <w:rPr>
          <w:sz w:val="24"/>
          <w:szCs w:val="24"/>
        </w:rPr>
        <w:t>35</w:t>
      </w:r>
      <w:r w:rsidR="000E23CA" w:rsidRPr="000F27B6">
        <w:rPr>
          <w:sz w:val="24"/>
          <w:szCs w:val="24"/>
        </w:rPr>
        <w:t xml:space="preserve"> kg/m</w:t>
      </w:r>
      <w:r w:rsidR="000E23CA" w:rsidRPr="000F27B6">
        <w:rPr>
          <w:sz w:val="24"/>
          <w:szCs w:val="24"/>
          <w:vertAlign w:val="superscript"/>
        </w:rPr>
        <w:t>2</w:t>
      </w:r>
      <w:r w:rsidR="00A112C7" w:rsidRPr="000F27B6">
        <w:rPr>
          <w:sz w:val="24"/>
          <w:szCs w:val="24"/>
        </w:rPr>
        <w:t>.</w:t>
      </w:r>
      <w:r w:rsidR="001B198D" w:rsidRPr="000F27B6">
        <w:rPr>
          <w:sz w:val="24"/>
          <w:szCs w:val="24"/>
        </w:rPr>
        <w:t xml:space="preserve"> </w:t>
      </w:r>
      <w:r w:rsidR="0009020E" w:rsidRPr="000F27B6">
        <w:rPr>
          <w:sz w:val="24"/>
          <w:szCs w:val="24"/>
        </w:rPr>
        <w:t>Although m</w:t>
      </w:r>
      <w:r w:rsidRPr="000F27B6" w:rsidDel="00B8063E">
        <w:rPr>
          <w:sz w:val="24"/>
          <w:szCs w:val="24"/>
        </w:rPr>
        <w:t>ost</w:t>
      </w:r>
      <w:r w:rsidRPr="000F27B6">
        <w:rPr>
          <w:sz w:val="24"/>
          <w:szCs w:val="24"/>
        </w:rPr>
        <w:t xml:space="preserve"> </w:t>
      </w:r>
      <w:r w:rsidR="00DA5181" w:rsidRPr="000F27B6">
        <w:rPr>
          <w:sz w:val="24"/>
          <w:szCs w:val="24"/>
        </w:rPr>
        <w:t>deaths</w:t>
      </w:r>
      <w:r w:rsidR="00C85DE9" w:rsidRPr="000F27B6">
        <w:rPr>
          <w:sz w:val="24"/>
          <w:szCs w:val="24"/>
        </w:rPr>
        <w:t xml:space="preserve"> (n=30, 65%)</w:t>
      </w:r>
      <w:r w:rsidRPr="000F27B6">
        <w:rPr>
          <w:sz w:val="24"/>
          <w:szCs w:val="24"/>
        </w:rPr>
        <w:t xml:space="preserve"> occurred at rest</w:t>
      </w:r>
      <w:r w:rsidR="0009020E" w:rsidRPr="000F27B6">
        <w:rPr>
          <w:sz w:val="24"/>
          <w:szCs w:val="24"/>
        </w:rPr>
        <w:t>,</w:t>
      </w:r>
      <w:r w:rsidR="00A112C7" w:rsidRPr="000F27B6">
        <w:rPr>
          <w:sz w:val="24"/>
          <w:szCs w:val="24"/>
        </w:rPr>
        <w:t xml:space="preserve"> </w:t>
      </w:r>
      <w:r w:rsidR="0009020E" w:rsidRPr="000F27B6">
        <w:rPr>
          <w:sz w:val="24"/>
          <w:szCs w:val="24"/>
        </w:rPr>
        <w:t>a considerable proportion (</w:t>
      </w:r>
      <w:r w:rsidR="0010118B">
        <w:rPr>
          <w:sz w:val="24"/>
          <w:szCs w:val="24"/>
        </w:rPr>
        <w:t>n=</w:t>
      </w:r>
      <w:r w:rsidR="0009020E" w:rsidRPr="000F27B6">
        <w:rPr>
          <w:sz w:val="24"/>
          <w:szCs w:val="24"/>
        </w:rPr>
        <w:t xml:space="preserve">16; 35%) </w:t>
      </w:r>
      <w:r w:rsidRPr="000F27B6">
        <w:rPr>
          <w:sz w:val="24"/>
          <w:szCs w:val="24"/>
        </w:rPr>
        <w:t xml:space="preserve">died during exercise. </w:t>
      </w:r>
      <w:r w:rsidR="0009020E" w:rsidRPr="000F27B6">
        <w:rPr>
          <w:sz w:val="24"/>
          <w:szCs w:val="24"/>
        </w:rPr>
        <w:t xml:space="preserve">As far as we can ascertain from medical documents and interviews with relatives, none of the </w:t>
      </w:r>
      <w:r w:rsidR="000E23CA" w:rsidRPr="000F27B6">
        <w:rPr>
          <w:sz w:val="24"/>
          <w:szCs w:val="24"/>
        </w:rPr>
        <w:t>decedents</w:t>
      </w:r>
      <w:r w:rsidR="0009020E" w:rsidRPr="000F27B6">
        <w:rPr>
          <w:sz w:val="24"/>
          <w:szCs w:val="24"/>
        </w:rPr>
        <w:t xml:space="preserve"> reported premorbid cardiac symptoms</w:t>
      </w:r>
      <w:r w:rsidR="000966CE" w:rsidRPr="000F27B6">
        <w:rPr>
          <w:sz w:val="24"/>
          <w:szCs w:val="24"/>
        </w:rPr>
        <w:t xml:space="preserve"> or</w:t>
      </w:r>
      <w:r w:rsidR="00D4176D" w:rsidRPr="000F27B6">
        <w:rPr>
          <w:sz w:val="24"/>
          <w:szCs w:val="24"/>
        </w:rPr>
        <w:t xml:space="preserve"> had a</w:t>
      </w:r>
      <w:r w:rsidR="000966CE" w:rsidRPr="000F27B6">
        <w:rPr>
          <w:sz w:val="24"/>
          <w:szCs w:val="24"/>
        </w:rPr>
        <w:t xml:space="preserve"> history of hypertension</w:t>
      </w:r>
      <w:r w:rsidR="0009020E" w:rsidRPr="000F27B6">
        <w:rPr>
          <w:sz w:val="24"/>
          <w:szCs w:val="24"/>
        </w:rPr>
        <w:t xml:space="preserve">. </w:t>
      </w:r>
      <w:r w:rsidRPr="000F27B6">
        <w:rPr>
          <w:sz w:val="24"/>
          <w:szCs w:val="24"/>
        </w:rPr>
        <w:t>The average heart weight was 544</w:t>
      </w:r>
      <w:r w:rsidR="007D0E55" w:rsidRPr="000F27B6">
        <w:rPr>
          <w:sz w:val="24"/>
          <w:szCs w:val="24"/>
        </w:rPr>
        <w:t xml:space="preserve"> </w:t>
      </w:r>
      <w:r w:rsidRPr="000F27B6">
        <w:rPr>
          <w:sz w:val="24"/>
          <w:szCs w:val="24"/>
        </w:rPr>
        <w:t>±</w:t>
      </w:r>
      <w:r w:rsidR="007D0E55" w:rsidRPr="000F27B6">
        <w:rPr>
          <w:sz w:val="24"/>
          <w:szCs w:val="24"/>
        </w:rPr>
        <w:t xml:space="preserve"> </w:t>
      </w:r>
      <w:r w:rsidRPr="000F27B6">
        <w:rPr>
          <w:sz w:val="24"/>
          <w:szCs w:val="24"/>
        </w:rPr>
        <w:t>93 grams and LV fibrosis was detected in 14 (30%) cases</w:t>
      </w:r>
      <w:r w:rsidR="00A112C7" w:rsidRPr="000F27B6">
        <w:rPr>
          <w:sz w:val="24"/>
          <w:szCs w:val="24"/>
        </w:rPr>
        <w:t xml:space="preserve"> (</w:t>
      </w:r>
      <w:r w:rsidR="001B198D" w:rsidRPr="000F27B6">
        <w:rPr>
          <w:sz w:val="24"/>
          <w:szCs w:val="24"/>
        </w:rPr>
        <w:t>Table 1</w:t>
      </w:r>
      <w:r w:rsidR="00A112C7" w:rsidRPr="000F27B6">
        <w:rPr>
          <w:sz w:val="24"/>
          <w:szCs w:val="24"/>
        </w:rPr>
        <w:t>)</w:t>
      </w:r>
      <w:r w:rsidR="001B198D" w:rsidRPr="000F27B6">
        <w:rPr>
          <w:sz w:val="24"/>
          <w:szCs w:val="24"/>
        </w:rPr>
        <w:t>.</w:t>
      </w:r>
      <w:r w:rsidR="00962DEF">
        <w:rPr>
          <w:sz w:val="24"/>
          <w:szCs w:val="24"/>
        </w:rPr>
        <w:t xml:space="preserve"> </w:t>
      </w:r>
      <w:bookmarkStart w:id="7" w:name="_Hlk16072980"/>
      <w:r w:rsidR="00AC1E39" w:rsidRPr="009A569C">
        <w:rPr>
          <w:sz w:val="24"/>
          <w:szCs w:val="24"/>
        </w:rPr>
        <w:t>We were unable to identify a definitive association between athletic activity and prevalence of LV fibrosis</w:t>
      </w:r>
      <w:r w:rsidR="001A5048" w:rsidRPr="009A569C">
        <w:rPr>
          <w:sz w:val="24"/>
          <w:szCs w:val="24"/>
        </w:rPr>
        <w:t xml:space="preserve"> in the proband</w:t>
      </w:r>
      <w:r w:rsidR="00AC1E39" w:rsidRPr="009A569C">
        <w:rPr>
          <w:sz w:val="24"/>
          <w:szCs w:val="24"/>
        </w:rPr>
        <w:t xml:space="preserve"> (LV fibrosis in athletes (42%) and non-athletes (25%), p=0.41).</w:t>
      </w:r>
      <w:bookmarkEnd w:id="7"/>
    </w:p>
    <w:p w14:paraId="062014B9" w14:textId="19ADA383" w:rsidR="00902C1C" w:rsidRPr="000F27B6" w:rsidRDefault="00902C1C" w:rsidP="00902C1C">
      <w:pPr>
        <w:spacing w:line="480" w:lineRule="auto"/>
        <w:rPr>
          <w:b/>
          <w:sz w:val="24"/>
          <w:szCs w:val="24"/>
        </w:rPr>
      </w:pPr>
      <w:r w:rsidRPr="000F27B6">
        <w:rPr>
          <w:b/>
          <w:sz w:val="24"/>
          <w:szCs w:val="24"/>
        </w:rPr>
        <w:t>Families diagnosed with an inherited cardiac condition</w:t>
      </w:r>
    </w:p>
    <w:p w14:paraId="1E05E063" w14:textId="62E56CF5" w:rsidR="0031075A" w:rsidRPr="000F27B6" w:rsidRDefault="005F3F7A" w:rsidP="0031075A">
      <w:pPr>
        <w:spacing w:line="480" w:lineRule="auto"/>
        <w:rPr>
          <w:sz w:val="24"/>
          <w:szCs w:val="24"/>
        </w:rPr>
      </w:pPr>
      <w:r w:rsidRPr="000F27B6">
        <w:rPr>
          <w:sz w:val="24"/>
          <w:szCs w:val="24"/>
        </w:rPr>
        <w:t xml:space="preserve">We evaluated </w:t>
      </w:r>
      <w:r w:rsidR="00547204" w:rsidRPr="000F27B6">
        <w:rPr>
          <w:sz w:val="24"/>
          <w:szCs w:val="24"/>
        </w:rPr>
        <w:t xml:space="preserve">125 </w:t>
      </w:r>
      <w:r w:rsidR="00DA5181" w:rsidRPr="000F27B6">
        <w:rPr>
          <w:sz w:val="24"/>
          <w:szCs w:val="24"/>
        </w:rPr>
        <w:t>first-degree relatives</w:t>
      </w:r>
      <w:r w:rsidR="000439FC">
        <w:rPr>
          <w:sz w:val="24"/>
          <w:szCs w:val="24"/>
        </w:rPr>
        <w:t>.</w:t>
      </w:r>
      <w:r w:rsidR="00547204" w:rsidRPr="000F27B6">
        <w:rPr>
          <w:sz w:val="24"/>
          <w:szCs w:val="24"/>
        </w:rPr>
        <w:t xml:space="preserve"> </w:t>
      </w:r>
      <w:r w:rsidRPr="000F27B6">
        <w:rPr>
          <w:sz w:val="24"/>
          <w:szCs w:val="24"/>
        </w:rPr>
        <w:t xml:space="preserve">Their mean age </w:t>
      </w:r>
      <w:r w:rsidR="00547204" w:rsidRPr="000F27B6">
        <w:rPr>
          <w:sz w:val="24"/>
          <w:szCs w:val="24"/>
        </w:rPr>
        <w:t>was 41</w:t>
      </w:r>
      <w:r w:rsidR="007D0E55" w:rsidRPr="000F27B6">
        <w:rPr>
          <w:sz w:val="24"/>
          <w:szCs w:val="24"/>
        </w:rPr>
        <w:t xml:space="preserve"> </w:t>
      </w:r>
      <w:r w:rsidR="00547204" w:rsidRPr="000F27B6">
        <w:rPr>
          <w:sz w:val="24"/>
          <w:szCs w:val="24"/>
        </w:rPr>
        <w:t>±</w:t>
      </w:r>
      <w:r w:rsidR="007D0E55" w:rsidRPr="000F27B6">
        <w:rPr>
          <w:sz w:val="24"/>
          <w:szCs w:val="24"/>
        </w:rPr>
        <w:t xml:space="preserve"> </w:t>
      </w:r>
      <w:r w:rsidR="00547204" w:rsidRPr="000F27B6">
        <w:rPr>
          <w:sz w:val="24"/>
          <w:szCs w:val="24"/>
        </w:rPr>
        <w:t>17 years and 57 (46%) were male.</w:t>
      </w:r>
      <w:r w:rsidR="00902C1C" w:rsidRPr="000F27B6">
        <w:rPr>
          <w:sz w:val="24"/>
          <w:szCs w:val="24"/>
        </w:rPr>
        <w:t xml:space="preserve"> </w:t>
      </w:r>
      <w:r w:rsidR="008103BC" w:rsidRPr="000F27B6">
        <w:rPr>
          <w:sz w:val="24"/>
          <w:szCs w:val="24"/>
        </w:rPr>
        <w:t>A</w:t>
      </w:r>
      <w:r w:rsidR="00274E4C" w:rsidRPr="000F27B6">
        <w:rPr>
          <w:sz w:val="24"/>
          <w:szCs w:val="24"/>
        </w:rPr>
        <w:t xml:space="preserve"> potentially</w:t>
      </w:r>
      <w:r w:rsidR="008103BC" w:rsidRPr="000F27B6">
        <w:rPr>
          <w:sz w:val="24"/>
          <w:szCs w:val="24"/>
        </w:rPr>
        <w:t xml:space="preserve"> inherited cardiac condition was </w:t>
      </w:r>
      <w:r w:rsidR="00274E4C" w:rsidRPr="000F27B6">
        <w:rPr>
          <w:sz w:val="24"/>
          <w:szCs w:val="24"/>
        </w:rPr>
        <w:t>identified</w:t>
      </w:r>
      <w:r w:rsidR="008103BC" w:rsidRPr="000F27B6">
        <w:rPr>
          <w:sz w:val="24"/>
          <w:szCs w:val="24"/>
        </w:rPr>
        <w:t xml:space="preserve"> in 1</w:t>
      </w:r>
      <w:r w:rsidR="00274E4C" w:rsidRPr="000F27B6">
        <w:rPr>
          <w:sz w:val="24"/>
          <w:szCs w:val="24"/>
        </w:rPr>
        <w:t>4</w:t>
      </w:r>
      <w:r w:rsidR="008103BC" w:rsidRPr="000F27B6">
        <w:rPr>
          <w:sz w:val="24"/>
          <w:szCs w:val="24"/>
        </w:rPr>
        <w:t xml:space="preserve"> (3</w:t>
      </w:r>
      <w:r w:rsidR="00274E4C" w:rsidRPr="000F27B6">
        <w:rPr>
          <w:sz w:val="24"/>
          <w:szCs w:val="24"/>
        </w:rPr>
        <w:t>0</w:t>
      </w:r>
      <w:r w:rsidR="008103BC" w:rsidRPr="000F27B6">
        <w:rPr>
          <w:sz w:val="24"/>
          <w:szCs w:val="24"/>
        </w:rPr>
        <w:t xml:space="preserve">%) families </w:t>
      </w:r>
      <w:r w:rsidR="008103BC" w:rsidRPr="000F27B6">
        <w:rPr>
          <w:sz w:val="24"/>
          <w:szCs w:val="24"/>
        </w:rPr>
        <w:lastRenderedPageBreak/>
        <w:t>based on the presence of the respective phenotype in 1</w:t>
      </w:r>
      <w:r w:rsidR="00274E4C" w:rsidRPr="000F27B6">
        <w:rPr>
          <w:sz w:val="24"/>
          <w:szCs w:val="24"/>
        </w:rPr>
        <w:t>6</w:t>
      </w:r>
      <w:r w:rsidR="008103BC" w:rsidRPr="000F27B6">
        <w:rPr>
          <w:sz w:val="24"/>
          <w:szCs w:val="24"/>
        </w:rPr>
        <w:t xml:space="preserve"> relatives (Figure 2). </w:t>
      </w:r>
      <w:r w:rsidR="0031075A" w:rsidRPr="000F27B6">
        <w:rPr>
          <w:sz w:val="24"/>
          <w:szCs w:val="24"/>
        </w:rPr>
        <w:t>Of these, none demonstrated the HCM phenotype</w:t>
      </w:r>
      <w:r w:rsidR="003D1F54">
        <w:rPr>
          <w:sz w:val="24"/>
          <w:szCs w:val="24"/>
        </w:rPr>
        <w:t xml:space="preserve"> although 6 individuals</w:t>
      </w:r>
      <w:r w:rsidR="001302A9">
        <w:rPr>
          <w:sz w:val="24"/>
          <w:szCs w:val="24"/>
        </w:rPr>
        <w:t>,</w:t>
      </w:r>
      <w:r w:rsidR="003D1F54">
        <w:rPr>
          <w:sz w:val="24"/>
          <w:szCs w:val="24"/>
        </w:rPr>
        <w:t xml:space="preserve"> from 5 separate families</w:t>
      </w:r>
      <w:r w:rsidR="001302A9">
        <w:rPr>
          <w:sz w:val="24"/>
          <w:szCs w:val="24"/>
        </w:rPr>
        <w:t>,</w:t>
      </w:r>
      <w:r w:rsidR="003D1F54">
        <w:rPr>
          <w:sz w:val="24"/>
          <w:szCs w:val="24"/>
        </w:rPr>
        <w:t xml:space="preserve"> revealed mild LVH in the context of hypertension</w:t>
      </w:r>
      <w:r w:rsidR="001302A9">
        <w:rPr>
          <w:sz w:val="24"/>
          <w:szCs w:val="24"/>
        </w:rPr>
        <w:t xml:space="preserve"> but had no other ph</w:t>
      </w:r>
      <w:r w:rsidR="0010118B">
        <w:rPr>
          <w:sz w:val="24"/>
          <w:szCs w:val="24"/>
        </w:rPr>
        <w:t>enotypic features of HCM</w:t>
      </w:r>
      <w:r w:rsidR="001302A9">
        <w:rPr>
          <w:sz w:val="24"/>
          <w:szCs w:val="24"/>
        </w:rPr>
        <w:t xml:space="preserve"> following extensive investigation</w:t>
      </w:r>
      <w:r w:rsidR="0031075A" w:rsidRPr="000F27B6">
        <w:rPr>
          <w:sz w:val="24"/>
          <w:szCs w:val="24"/>
        </w:rPr>
        <w:t>. Channelopa</w:t>
      </w:r>
      <w:r w:rsidR="0010118B">
        <w:rPr>
          <w:sz w:val="24"/>
          <w:szCs w:val="24"/>
        </w:rPr>
        <w:t>thies accounted for most (80%)</w:t>
      </w:r>
      <w:r w:rsidR="0031075A" w:rsidRPr="000F27B6">
        <w:rPr>
          <w:sz w:val="24"/>
          <w:szCs w:val="24"/>
        </w:rPr>
        <w:t xml:space="preserve"> diagnoses. Brugada syndrome was the most common diagnosis (8 families; 9 relatives), followed by long QT syndrome (</w:t>
      </w:r>
      <w:r w:rsidR="005C7B44" w:rsidRPr="000F27B6">
        <w:rPr>
          <w:sz w:val="24"/>
          <w:szCs w:val="24"/>
        </w:rPr>
        <w:t>3</w:t>
      </w:r>
      <w:r w:rsidR="0031075A" w:rsidRPr="000F27B6">
        <w:rPr>
          <w:sz w:val="24"/>
          <w:szCs w:val="24"/>
        </w:rPr>
        <w:t xml:space="preserve"> families; </w:t>
      </w:r>
      <w:r w:rsidR="005C7B44" w:rsidRPr="000F27B6">
        <w:rPr>
          <w:sz w:val="24"/>
          <w:szCs w:val="24"/>
        </w:rPr>
        <w:t xml:space="preserve">4 </w:t>
      </w:r>
      <w:r w:rsidR="0031075A" w:rsidRPr="000F27B6">
        <w:rPr>
          <w:sz w:val="24"/>
          <w:szCs w:val="24"/>
        </w:rPr>
        <w:t>relatives)</w:t>
      </w:r>
      <w:r w:rsidR="00902C1C" w:rsidRPr="000F27B6">
        <w:rPr>
          <w:sz w:val="24"/>
          <w:szCs w:val="24"/>
        </w:rPr>
        <w:t xml:space="preserve"> and </w:t>
      </w:r>
      <w:r w:rsidR="0031075A" w:rsidRPr="000F27B6">
        <w:rPr>
          <w:sz w:val="24"/>
          <w:szCs w:val="24"/>
        </w:rPr>
        <w:t>dilated cardiomyopathy</w:t>
      </w:r>
      <w:r w:rsidR="00902C1C" w:rsidRPr="000F27B6">
        <w:rPr>
          <w:sz w:val="24"/>
          <w:szCs w:val="24"/>
        </w:rPr>
        <w:t xml:space="preserve">, </w:t>
      </w:r>
      <w:r w:rsidR="0031075A" w:rsidRPr="000F27B6">
        <w:rPr>
          <w:sz w:val="24"/>
          <w:szCs w:val="24"/>
        </w:rPr>
        <w:t xml:space="preserve">arrhythmogenic cardiomyopathy </w:t>
      </w:r>
      <w:r w:rsidR="00902C1C" w:rsidRPr="000F27B6">
        <w:rPr>
          <w:sz w:val="24"/>
          <w:szCs w:val="24"/>
        </w:rPr>
        <w:t xml:space="preserve">and </w:t>
      </w:r>
      <w:r w:rsidR="0031075A" w:rsidRPr="000F27B6">
        <w:rPr>
          <w:sz w:val="24"/>
          <w:szCs w:val="24"/>
        </w:rPr>
        <w:t>Wolff-Parkinson-White syndrome (1 family; 1 relative</w:t>
      </w:r>
      <w:r w:rsidR="00902C1C" w:rsidRPr="000F27B6">
        <w:rPr>
          <w:sz w:val="24"/>
          <w:szCs w:val="24"/>
        </w:rPr>
        <w:t xml:space="preserve"> each</w:t>
      </w:r>
      <w:r w:rsidR="0031075A" w:rsidRPr="000F27B6">
        <w:rPr>
          <w:sz w:val="24"/>
          <w:szCs w:val="24"/>
        </w:rPr>
        <w:t>)</w:t>
      </w:r>
      <w:r w:rsidR="00902C1C" w:rsidRPr="000F27B6">
        <w:rPr>
          <w:sz w:val="24"/>
          <w:szCs w:val="24"/>
        </w:rPr>
        <w:t xml:space="preserve"> (Figure 2, Table 2)</w:t>
      </w:r>
      <w:r w:rsidR="0031075A" w:rsidRPr="000F27B6">
        <w:rPr>
          <w:sz w:val="24"/>
          <w:szCs w:val="24"/>
        </w:rPr>
        <w:t xml:space="preserve">. Brugada syndrome was diagnosed in 4 out of the 6 families (66%) where the </w:t>
      </w:r>
      <w:r w:rsidR="00C924FC">
        <w:rPr>
          <w:sz w:val="24"/>
          <w:szCs w:val="24"/>
        </w:rPr>
        <w:t xml:space="preserve">decedent </w:t>
      </w:r>
      <w:r w:rsidR="0031075A" w:rsidRPr="000F27B6">
        <w:rPr>
          <w:sz w:val="24"/>
          <w:szCs w:val="24"/>
        </w:rPr>
        <w:t xml:space="preserve">died during sleep. </w:t>
      </w:r>
      <w:r w:rsidR="000D0E13">
        <w:rPr>
          <w:sz w:val="24"/>
          <w:szCs w:val="24"/>
        </w:rPr>
        <w:t xml:space="preserve">Decedents </w:t>
      </w:r>
      <w:r w:rsidR="0031075A" w:rsidRPr="000F27B6">
        <w:rPr>
          <w:sz w:val="24"/>
          <w:szCs w:val="24"/>
        </w:rPr>
        <w:t xml:space="preserve">where comprehensive family screening led to a diagnosis of an inherited heart disease were younger (27 ± 12 vs 36 ± 14 years, p=0.04) and less frequently exhibited LV fibrosis at autopsy (7% vs 41%, p=0.04) </w:t>
      </w:r>
      <w:r w:rsidR="00900E63">
        <w:rPr>
          <w:sz w:val="24"/>
          <w:szCs w:val="24"/>
        </w:rPr>
        <w:t xml:space="preserve">compared </w:t>
      </w:r>
      <w:r w:rsidR="0031075A" w:rsidRPr="000F27B6">
        <w:rPr>
          <w:sz w:val="24"/>
          <w:szCs w:val="24"/>
        </w:rPr>
        <w:t xml:space="preserve">with </w:t>
      </w:r>
      <w:r w:rsidR="00900E63">
        <w:rPr>
          <w:sz w:val="24"/>
          <w:szCs w:val="24"/>
        </w:rPr>
        <w:t>decedents</w:t>
      </w:r>
      <w:r w:rsidR="0031075A" w:rsidRPr="000F27B6">
        <w:rPr>
          <w:sz w:val="24"/>
          <w:szCs w:val="24"/>
        </w:rPr>
        <w:t xml:space="preserve"> where family screening revealed normal results.</w:t>
      </w:r>
    </w:p>
    <w:p w14:paraId="4285399B" w14:textId="1EF23453" w:rsidR="00962C94" w:rsidRPr="000F27B6" w:rsidRDefault="00962C94" w:rsidP="00900858">
      <w:pPr>
        <w:spacing w:line="480" w:lineRule="auto"/>
        <w:rPr>
          <w:b/>
          <w:sz w:val="24"/>
          <w:szCs w:val="24"/>
        </w:rPr>
      </w:pPr>
      <w:r w:rsidRPr="000F27B6">
        <w:rPr>
          <w:b/>
          <w:sz w:val="24"/>
          <w:szCs w:val="24"/>
        </w:rPr>
        <w:t xml:space="preserve">Molecular </w:t>
      </w:r>
      <w:r w:rsidR="001B1283" w:rsidRPr="000F27B6">
        <w:rPr>
          <w:b/>
          <w:sz w:val="24"/>
          <w:szCs w:val="24"/>
        </w:rPr>
        <w:t>a</w:t>
      </w:r>
      <w:r w:rsidRPr="000F27B6">
        <w:rPr>
          <w:b/>
          <w:sz w:val="24"/>
          <w:szCs w:val="24"/>
        </w:rPr>
        <w:t xml:space="preserve">utopsy </w:t>
      </w:r>
    </w:p>
    <w:p w14:paraId="04396ED7" w14:textId="77777777" w:rsidR="00261160" w:rsidRPr="00261160" w:rsidRDefault="002F7180" w:rsidP="000439FC">
      <w:pPr>
        <w:spacing w:line="480" w:lineRule="auto"/>
        <w:rPr>
          <w:sz w:val="24"/>
          <w:szCs w:val="24"/>
        </w:rPr>
      </w:pPr>
      <w:r w:rsidRPr="000F27B6">
        <w:rPr>
          <w:sz w:val="24"/>
          <w:szCs w:val="24"/>
        </w:rPr>
        <w:t xml:space="preserve">None of the </w:t>
      </w:r>
      <w:r w:rsidR="00A94961" w:rsidRPr="000F27B6">
        <w:rPr>
          <w:sz w:val="24"/>
          <w:szCs w:val="24"/>
        </w:rPr>
        <w:t>14 dec</w:t>
      </w:r>
      <w:r w:rsidR="00A94961" w:rsidRPr="009A569C">
        <w:rPr>
          <w:sz w:val="24"/>
          <w:szCs w:val="24"/>
        </w:rPr>
        <w:t xml:space="preserve">edents who underwent molecular autopsy </w:t>
      </w:r>
      <w:r w:rsidRPr="009A569C">
        <w:rPr>
          <w:sz w:val="24"/>
          <w:szCs w:val="24"/>
        </w:rPr>
        <w:t xml:space="preserve">showed </w:t>
      </w:r>
      <w:r w:rsidR="00752418" w:rsidRPr="009A569C">
        <w:rPr>
          <w:sz w:val="24"/>
          <w:szCs w:val="24"/>
        </w:rPr>
        <w:t>pathogenic or likely pathogenic variants</w:t>
      </w:r>
      <w:r w:rsidRPr="009A569C">
        <w:rPr>
          <w:sz w:val="24"/>
          <w:szCs w:val="24"/>
        </w:rPr>
        <w:t xml:space="preserve"> in genes encoding </w:t>
      </w:r>
      <w:proofErr w:type="spellStart"/>
      <w:r w:rsidRPr="009A569C">
        <w:rPr>
          <w:sz w:val="24"/>
          <w:szCs w:val="24"/>
        </w:rPr>
        <w:t>sarcomeric</w:t>
      </w:r>
      <w:proofErr w:type="spellEnd"/>
      <w:r w:rsidRPr="009A569C">
        <w:rPr>
          <w:sz w:val="24"/>
          <w:szCs w:val="24"/>
        </w:rPr>
        <w:t xml:space="preserve"> proteins implicated in HCM. </w:t>
      </w:r>
      <w:r w:rsidR="00962C94" w:rsidRPr="009A569C">
        <w:rPr>
          <w:sz w:val="24"/>
          <w:szCs w:val="24"/>
        </w:rPr>
        <w:t>Three</w:t>
      </w:r>
      <w:r w:rsidRPr="009A569C">
        <w:rPr>
          <w:sz w:val="24"/>
          <w:szCs w:val="24"/>
        </w:rPr>
        <w:t xml:space="preserve"> </w:t>
      </w:r>
      <w:r w:rsidR="00962C94" w:rsidRPr="009A569C">
        <w:rPr>
          <w:sz w:val="24"/>
          <w:szCs w:val="24"/>
        </w:rPr>
        <w:t xml:space="preserve">(21%) </w:t>
      </w:r>
      <w:r w:rsidR="00A94961" w:rsidRPr="009A569C">
        <w:rPr>
          <w:sz w:val="24"/>
          <w:szCs w:val="24"/>
        </w:rPr>
        <w:t xml:space="preserve">decedents </w:t>
      </w:r>
      <w:r w:rsidR="00962C94" w:rsidRPr="009A569C">
        <w:rPr>
          <w:sz w:val="24"/>
          <w:szCs w:val="24"/>
        </w:rPr>
        <w:t>revealed</w:t>
      </w:r>
      <w:r w:rsidR="00962C94" w:rsidRPr="000F27B6">
        <w:rPr>
          <w:sz w:val="24"/>
          <w:szCs w:val="24"/>
        </w:rPr>
        <w:t xml:space="preserve"> a pathogenic </w:t>
      </w:r>
      <w:r w:rsidR="00752418" w:rsidRPr="000F27B6">
        <w:rPr>
          <w:sz w:val="24"/>
          <w:szCs w:val="24"/>
        </w:rPr>
        <w:t>variant</w:t>
      </w:r>
      <w:r w:rsidR="00962C94" w:rsidRPr="000F27B6">
        <w:rPr>
          <w:sz w:val="24"/>
          <w:szCs w:val="24"/>
        </w:rPr>
        <w:t xml:space="preserve"> </w:t>
      </w:r>
      <w:r w:rsidR="00962C94" w:rsidRPr="00261160">
        <w:rPr>
          <w:sz w:val="24"/>
          <w:szCs w:val="24"/>
        </w:rPr>
        <w:t>and 11 (78%) revealed at least one variant of uncertain significance (VUS)</w:t>
      </w:r>
      <w:r w:rsidR="00B61E94" w:rsidRPr="00261160">
        <w:rPr>
          <w:sz w:val="24"/>
          <w:szCs w:val="24"/>
        </w:rPr>
        <w:t xml:space="preserve"> (</w:t>
      </w:r>
      <w:r w:rsidR="00290814" w:rsidRPr="00261160">
        <w:rPr>
          <w:sz w:val="24"/>
          <w:szCs w:val="24"/>
        </w:rPr>
        <w:t xml:space="preserve">Supplementary Table </w:t>
      </w:r>
      <w:r w:rsidR="00F24CA7" w:rsidRPr="00261160">
        <w:rPr>
          <w:sz w:val="24"/>
          <w:szCs w:val="24"/>
        </w:rPr>
        <w:t>2</w:t>
      </w:r>
      <w:r w:rsidR="00115128" w:rsidRPr="00261160">
        <w:rPr>
          <w:sz w:val="24"/>
          <w:szCs w:val="24"/>
        </w:rPr>
        <w:t>)</w:t>
      </w:r>
      <w:r w:rsidR="00962C94" w:rsidRPr="00261160">
        <w:rPr>
          <w:sz w:val="24"/>
          <w:szCs w:val="24"/>
        </w:rPr>
        <w:t xml:space="preserve">. </w:t>
      </w:r>
      <w:r w:rsidR="00774CDB" w:rsidRPr="00261160">
        <w:rPr>
          <w:sz w:val="24"/>
          <w:szCs w:val="24"/>
        </w:rPr>
        <w:t xml:space="preserve">Two </w:t>
      </w:r>
      <w:r w:rsidR="00A94961" w:rsidRPr="00261160">
        <w:rPr>
          <w:sz w:val="24"/>
          <w:szCs w:val="24"/>
        </w:rPr>
        <w:t xml:space="preserve">decedents </w:t>
      </w:r>
      <w:r w:rsidR="000423C6" w:rsidRPr="00261160">
        <w:rPr>
          <w:sz w:val="24"/>
          <w:szCs w:val="24"/>
        </w:rPr>
        <w:t xml:space="preserve">had </w:t>
      </w:r>
      <w:r w:rsidR="00774CDB" w:rsidRPr="00261160">
        <w:rPr>
          <w:sz w:val="24"/>
          <w:szCs w:val="24"/>
        </w:rPr>
        <w:t xml:space="preserve">pathogenic variants in </w:t>
      </w:r>
      <w:r w:rsidR="00B00E9A" w:rsidRPr="00261160">
        <w:rPr>
          <w:sz w:val="24"/>
          <w:szCs w:val="24"/>
        </w:rPr>
        <w:t xml:space="preserve">genes implicated in </w:t>
      </w:r>
      <w:r w:rsidR="00774CDB" w:rsidRPr="00261160">
        <w:rPr>
          <w:sz w:val="24"/>
          <w:szCs w:val="24"/>
        </w:rPr>
        <w:t>long</w:t>
      </w:r>
      <w:r w:rsidR="00101B81" w:rsidRPr="00261160">
        <w:rPr>
          <w:sz w:val="24"/>
          <w:szCs w:val="24"/>
        </w:rPr>
        <w:t xml:space="preserve"> </w:t>
      </w:r>
      <w:r w:rsidR="00774CDB" w:rsidRPr="00261160">
        <w:rPr>
          <w:sz w:val="24"/>
          <w:szCs w:val="24"/>
        </w:rPr>
        <w:t xml:space="preserve">QT syndrome, </w:t>
      </w:r>
      <w:r w:rsidR="0010118B" w:rsidRPr="00261160">
        <w:rPr>
          <w:sz w:val="24"/>
          <w:szCs w:val="24"/>
        </w:rPr>
        <w:t>which were also identified in</w:t>
      </w:r>
      <w:r w:rsidR="00B8043F" w:rsidRPr="00261160">
        <w:rPr>
          <w:sz w:val="24"/>
          <w:szCs w:val="24"/>
        </w:rPr>
        <w:t xml:space="preserve"> relatives with the long</w:t>
      </w:r>
      <w:r w:rsidR="00101B81" w:rsidRPr="00261160">
        <w:rPr>
          <w:sz w:val="24"/>
          <w:szCs w:val="24"/>
        </w:rPr>
        <w:t xml:space="preserve"> </w:t>
      </w:r>
      <w:r w:rsidR="00B8043F" w:rsidRPr="00261160">
        <w:rPr>
          <w:sz w:val="24"/>
          <w:szCs w:val="24"/>
        </w:rPr>
        <w:t>QT</w:t>
      </w:r>
      <w:r w:rsidR="00101B81" w:rsidRPr="00261160">
        <w:rPr>
          <w:sz w:val="24"/>
          <w:szCs w:val="24"/>
        </w:rPr>
        <w:t xml:space="preserve"> syndrome</w:t>
      </w:r>
      <w:r w:rsidR="00B8043F" w:rsidRPr="00261160">
        <w:rPr>
          <w:sz w:val="24"/>
          <w:szCs w:val="24"/>
        </w:rPr>
        <w:t xml:space="preserve"> phenotype</w:t>
      </w:r>
      <w:r w:rsidR="00476FC2" w:rsidRPr="00261160">
        <w:rPr>
          <w:sz w:val="24"/>
          <w:szCs w:val="24"/>
        </w:rPr>
        <w:t xml:space="preserve"> </w:t>
      </w:r>
      <w:r w:rsidR="00115128" w:rsidRPr="00261160">
        <w:rPr>
          <w:sz w:val="24"/>
          <w:szCs w:val="24"/>
        </w:rPr>
        <w:t xml:space="preserve">(Figure </w:t>
      </w:r>
      <w:r w:rsidR="00D124DB" w:rsidRPr="00261160">
        <w:rPr>
          <w:sz w:val="24"/>
          <w:szCs w:val="24"/>
        </w:rPr>
        <w:t>3</w:t>
      </w:r>
      <w:r w:rsidR="00115128" w:rsidRPr="00261160">
        <w:rPr>
          <w:sz w:val="24"/>
          <w:szCs w:val="24"/>
        </w:rPr>
        <w:t>)</w:t>
      </w:r>
      <w:r w:rsidR="00774CDB" w:rsidRPr="00261160">
        <w:rPr>
          <w:sz w:val="24"/>
          <w:szCs w:val="24"/>
        </w:rPr>
        <w:t>.</w:t>
      </w:r>
      <w:r w:rsidR="00B8043F" w:rsidRPr="00261160">
        <w:rPr>
          <w:sz w:val="24"/>
          <w:szCs w:val="24"/>
        </w:rPr>
        <w:t xml:space="preserve"> </w:t>
      </w:r>
      <w:r w:rsidR="0035166B" w:rsidRPr="00261160">
        <w:rPr>
          <w:sz w:val="24"/>
          <w:szCs w:val="24"/>
        </w:rPr>
        <w:t>The</w:t>
      </w:r>
      <w:r w:rsidR="0035166B" w:rsidRPr="000F27B6">
        <w:rPr>
          <w:sz w:val="24"/>
          <w:szCs w:val="24"/>
        </w:rPr>
        <w:t xml:space="preserve"> third</w:t>
      </w:r>
      <w:r w:rsidR="000423C6">
        <w:rPr>
          <w:sz w:val="24"/>
          <w:szCs w:val="24"/>
        </w:rPr>
        <w:t xml:space="preserve"> decedent with a pathogenic variant  had a</w:t>
      </w:r>
      <w:r w:rsidR="000423C6" w:rsidRPr="000F27B6">
        <w:rPr>
          <w:sz w:val="24"/>
          <w:szCs w:val="24"/>
        </w:rPr>
        <w:t xml:space="preserve"> large ~136kb deletion of band q24 of chromosome X which contained part of LAMP2 gene known to be causative of X-linked dominant Danon disease, a known HCM mimic.</w:t>
      </w:r>
      <w:r w:rsidR="000423C6">
        <w:rPr>
          <w:sz w:val="24"/>
          <w:szCs w:val="24"/>
        </w:rPr>
        <w:t xml:space="preserve"> She was </w:t>
      </w:r>
      <w:r w:rsidR="0035166B" w:rsidRPr="000F27B6">
        <w:rPr>
          <w:sz w:val="24"/>
          <w:szCs w:val="24"/>
        </w:rPr>
        <w:t>26 year</w:t>
      </w:r>
      <w:r w:rsidR="00E861C9" w:rsidRPr="000F27B6">
        <w:rPr>
          <w:sz w:val="24"/>
          <w:szCs w:val="24"/>
        </w:rPr>
        <w:t>s</w:t>
      </w:r>
      <w:r w:rsidR="0035166B" w:rsidRPr="000F27B6">
        <w:rPr>
          <w:sz w:val="24"/>
          <w:szCs w:val="24"/>
        </w:rPr>
        <w:t xml:space="preserve"> old </w:t>
      </w:r>
      <w:r w:rsidR="000423C6">
        <w:rPr>
          <w:sz w:val="24"/>
          <w:szCs w:val="24"/>
        </w:rPr>
        <w:t xml:space="preserve">and </w:t>
      </w:r>
      <w:r w:rsidR="0035166B" w:rsidRPr="000F27B6">
        <w:rPr>
          <w:sz w:val="24"/>
          <w:szCs w:val="24"/>
        </w:rPr>
        <w:t>died at rest whilst 28 weeks pregnant. She had a history of intellectual disability and atrial arrhythmias prior to her death</w:t>
      </w:r>
      <w:r w:rsidR="00B8043F" w:rsidRPr="000F27B6">
        <w:rPr>
          <w:sz w:val="24"/>
          <w:szCs w:val="24"/>
        </w:rPr>
        <w:t>.</w:t>
      </w:r>
      <w:r w:rsidR="00FA1FE3">
        <w:rPr>
          <w:sz w:val="24"/>
          <w:szCs w:val="24"/>
        </w:rPr>
        <w:t xml:space="preserve"> </w:t>
      </w:r>
      <w:bookmarkStart w:id="8" w:name="_Hlk26251327"/>
      <w:r w:rsidR="0010118B" w:rsidRPr="00261160">
        <w:rPr>
          <w:sz w:val="24"/>
          <w:szCs w:val="24"/>
        </w:rPr>
        <w:t xml:space="preserve">Typical changes of Danon </w:t>
      </w:r>
      <w:r w:rsidR="0010118B" w:rsidRPr="00261160">
        <w:rPr>
          <w:sz w:val="24"/>
          <w:szCs w:val="24"/>
        </w:rPr>
        <w:lastRenderedPageBreak/>
        <w:t xml:space="preserve">disease such as accumulation of autophagic material and glycogen in myocytes were not observed at autopsy. </w:t>
      </w:r>
      <w:r w:rsidR="00FA1FE3" w:rsidRPr="00261160">
        <w:rPr>
          <w:sz w:val="24"/>
          <w:szCs w:val="24"/>
        </w:rPr>
        <w:t>Subsequently three of her first-degree relatives were screened (mother, father and brother) and none showed evidence of disease</w:t>
      </w:r>
      <w:r w:rsidR="0010118B" w:rsidRPr="00261160">
        <w:rPr>
          <w:sz w:val="24"/>
          <w:szCs w:val="24"/>
        </w:rPr>
        <w:t xml:space="preserve"> phenotype. </w:t>
      </w:r>
      <w:r w:rsidR="00FA1FE3" w:rsidRPr="00261160">
        <w:rPr>
          <w:sz w:val="24"/>
          <w:szCs w:val="24"/>
        </w:rPr>
        <w:t xml:space="preserve"> </w:t>
      </w:r>
      <w:r w:rsidR="0010118B" w:rsidRPr="00261160">
        <w:rPr>
          <w:sz w:val="24"/>
          <w:szCs w:val="24"/>
        </w:rPr>
        <w:t>All 3 family members underwent cascade genetic testing and all were negative for the LAMP2 deletion</w:t>
      </w:r>
      <w:r w:rsidR="00746459" w:rsidRPr="00261160">
        <w:rPr>
          <w:sz w:val="24"/>
          <w:szCs w:val="24"/>
        </w:rPr>
        <w:t xml:space="preserve"> indicating that this pathogenic </w:t>
      </w:r>
      <w:r w:rsidR="00FA1FE3" w:rsidRPr="00261160">
        <w:rPr>
          <w:sz w:val="24"/>
          <w:szCs w:val="24"/>
        </w:rPr>
        <w:t>variant</w:t>
      </w:r>
      <w:r w:rsidR="00746459" w:rsidRPr="00261160">
        <w:rPr>
          <w:sz w:val="24"/>
          <w:szCs w:val="24"/>
        </w:rPr>
        <w:t xml:space="preserve"> occurred de novo</w:t>
      </w:r>
      <w:r w:rsidR="00FA1FE3" w:rsidRPr="00261160">
        <w:rPr>
          <w:i/>
          <w:sz w:val="24"/>
          <w:szCs w:val="24"/>
        </w:rPr>
        <w:t xml:space="preserve">. </w:t>
      </w:r>
      <w:bookmarkEnd w:id="8"/>
      <w:r w:rsidR="0035166B" w:rsidRPr="00261160">
        <w:rPr>
          <w:sz w:val="24"/>
          <w:szCs w:val="24"/>
        </w:rPr>
        <w:t>(Table 2).</w:t>
      </w:r>
      <w:r w:rsidR="00482562" w:rsidRPr="00261160">
        <w:rPr>
          <w:sz w:val="24"/>
          <w:szCs w:val="24"/>
        </w:rPr>
        <w:t xml:space="preserve"> </w:t>
      </w:r>
      <w:r w:rsidR="00FA1FE3" w:rsidRPr="00261160">
        <w:rPr>
          <w:sz w:val="24"/>
          <w:szCs w:val="24"/>
        </w:rPr>
        <w:t xml:space="preserve"> </w:t>
      </w:r>
    </w:p>
    <w:p w14:paraId="4F959F03" w14:textId="5D2F8CCD" w:rsidR="000439FC" w:rsidRPr="00B9138E" w:rsidRDefault="000439FC" w:rsidP="000439FC">
      <w:pPr>
        <w:spacing w:line="480" w:lineRule="auto"/>
        <w:rPr>
          <w:b/>
          <w:sz w:val="24"/>
          <w:szCs w:val="24"/>
        </w:rPr>
      </w:pPr>
      <w:r w:rsidRPr="00261160">
        <w:rPr>
          <w:b/>
          <w:sz w:val="24"/>
          <w:szCs w:val="24"/>
        </w:rPr>
        <w:t>Combined Yield</w:t>
      </w:r>
    </w:p>
    <w:p w14:paraId="62CF8E5E" w14:textId="7572FA16" w:rsidR="000439FC" w:rsidRPr="000F27B6" w:rsidRDefault="000439FC" w:rsidP="00984581">
      <w:pPr>
        <w:spacing w:line="480" w:lineRule="auto"/>
        <w:rPr>
          <w:sz w:val="24"/>
          <w:szCs w:val="24"/>
        </w:rPr>
      </w:pPr>
      <w:r>
        <w:rPr>
          <w:sz w:val="24"/>
          <w:szCs w:val="24"/>
        </w:rPr>
        <w:t xml:space="preserve">The combination of family screening and molecular autopsy led to a familial diagnosis of </w:t>
      </w:r>
      <w:r w:rsidR="00D2395A">
        <w:rPr>
          <w:sz w:val="24"/>
          <w:szCs w:val="24"/>
        </w:rPr>
        <w:t xml:space="preserve">an </w:t>
      </w:r>
      <w:r>
        <w:rPr>
          <w:sz w:val="24"/>
          <w:szCs w:val="24"/>
        </w:rPr>
        <w:t xml:space="preserve">inherited cardiac condition in </w:t>
      </w:r>
      <w:r w:rsidR="0024220A">
        <w:rPr>
          <w:sz w:val="24"/>
          <w:szCs w:val="24"/>
        </w:rPr>
        <w:t>15 families (33%)</w:t>
      </w:r>
    </w:p>
    <w:p w14:paraId="5EE8582F" w14:textId="7F75D05E" w:rsidR="007F3A42" w:rsidRDefault="009567B9" w:rsidP="00984581">
      <w:pPr>
        <w:spacing w:line="480" w:lineRule="auto"/>
        <w:rPr>
          <w:b/>
          <w:sz w:val="24"/>
          <w:szCs w:val="24"/>
        </w:rPr>
      </w:pPr>
      <w:r>
        <w:rPr>
          <w:b/>
          <w:sz w:val="24"/>
          <w:szCs w:val="24"/>
        </w:rPr>
        <w:t>Other diagnoses</w:t>
      </w:r>
    </w:p>
    <w:p w14:paraId="37009F8C" w14:textId="3CA734CA" w:rsidR="00F24CA7" w:rsidRPr="00E775E0" w:rsidRDefault="00F24CA7" w:rsidP="00F24CA7">
      <w:pPr>
        <w:spacing w:after="0" w:line="480" w:lineRule="auto"/>
        <w:rPr>
          <w:color w:val="000000" w:themeColor="text1"/>
          <w:sz w:val="24"/>
          <w:szCs w:val="24"/>
        </w:rPr>
      </w:pPr>
      <w:r w:rsidRPr="00261160">
        <w:rPr>
          <w:color w:val="000000" w:themeColor="text1"/>
          <w:sz w:val="24"/>
          <w:szCs w:val="24"/>
        </w:rPr>
        <w:t xml:space="preserve">Among 4 family members from 4 respective families, cardiac investigations led to uncertain findings which were not related to a specific disease process (Table 3). Additionally we identified hypertensive heart disease, coronary artery disease, atrial fibrillation or alcohol related cardiomyopathy in 12 individuals from  separate families. Specifically, </w:t>
      </w:r>
      <w:r w:rsidR="00D26D0D">
        <w:rPr>
          <w:color w:val="000000" w:themeColor="text1"/>
          <w:sz w:val="24"/>
          <w:szCs w:val="24"/>
        </w:rPr>
        <w:t>6</w:t>
      </w:r>
      <w:r w:rsidRPr="00261160">
        <w:rPr>
          <w:color w:val="000000" w:themeColor="text1"/>
          <w:sz w:val="24"/>
          <w:szCs w:val="24"/>
        </w:rPr>
        <w:t xml:space="preserve"> family members showed features of hypertensive heart disease with a wall thickness of</w:t>
      </w:r>
      <w:r w:rsidR="00D26D0D">
        <w:rPr>
          <w:color w:val="000000" w:themeColor="text1"/>
          <w:sz w:val="24"/>
          <w:szCs w:val="24"/>
        </w:rPr>
        <w:t xml:space="preserve"> up to</w:t>
      </w:r>
      <w:r w:rsidRPr="00261160">
        <w:rPr>
          <w:color w:val="000000" w:themeColor="text1"/>
          <w:sz w:val="24"/>
          <w:szCs w:val="24"/>
        </w:rPr>
        <w:t xml:space="preserve"> 13 mm at CMR, 4 had a past medical history of coronary artery disease or an ETT with inducible myocardial ischemia, </w:t>
      </w:r>
      <w:r w:rsidR="00D26D0D">
        <w:rPr>
          <w:color w:val="000000" w:themeColor="text1"/>
          <w:sz w:val="24"/>
          <w:szCs w:val="24"/>
        </w:rPr>
        <w:t>1</w:t>
      </w:r>
      <w:r w:rsidRPr="00261160">
        <w:rPr>
          <w:color w:val="000000" w:themeColor="text1"/>
          <w:sz w:val="24"/>
          <w:szCs w:val="24"/>
        </w:rPr>
        <w:t xml:space="preserve"> individual had atrial fibrillation and 1 showed compatible with alcohol induced cardiomyopathy.</w:t>
      </w:r>
    </w:p>
    <w:p w14:paraId="086A0166" w14:textId="77777777" w:rsidR="009567B9" w:rsidRPr="000F27B6" w:rsidRDefault="009567B9" w:rsidP="00984581">
      <w:pPr>
        <w:spacing w:line="480" w:lineRule="auto"/>
        <w:rPr>
          <w:b/>
          <w:sz w:val="24"/>
          <w:szCs w:val="24"/>
        </w:rPr>
      </w:pPr>
    </w:p>
    <w:p w14:paraId="64C53FC9" w14:textId="7ED9F2EA" w:rsidR="004F5975" w:rsidRPr="000F27B6" w:rsidRDefault="00547204" w:rsidP="008A271E">
      <w:pPr>
        <w:spacing w:line="480" w:lineRule="auto"/>
        <w:rPr>
          <w:b/>
          <w:sz w:val="24"/>
          <w:szCs w:val="24"/>
        </w:rPr>
      </w:pPr>
      <w:r w:rsidRPr="000F27B6">
        <w:rPr>
          <w:b/>
          <w:sz w:val="24"/>
          <w:szCs w:val="24"/>
        </w:rPr>
        <w:t>DISCUSSION</w:t>
      </w:r>
    </w:p>
    <w:p w14:paraId="43BC34CD" w14:textId="71BB887D" w:rsidR="007B6F58" w:rsidRPr="000F27B6" w:rsidRDefault="005E1552" w:rsidP="008A271E">
      <w:pPr>
        <w:spacing w:line="480" w:lineRule="auto"/>
        <w:rPr>
          <w:sz w:val="24"/>
          <w:szCs w:val="24"/>
        </w:rPr>
      </w:pPr>
      <w:r w:rsidRPr="000F27B6">
        <w:rPr>
          <w:sz w:val="24"/>
          <w:szCs w:val="24"/>
        </w:rPr>
        <w:t xml:space="preserve">Sudden cardiac death </w:t>
      </w:r>
      <w:r w:rsidR="003D1F54" w:rsidRPr="000F27B6">
        <w:rPr>
          <w:sz w:val="24"/>
          <w:szCs w:val="24"/>
        </w:rPr>
        <w:t xml:space="preserve">from a potentially inherited cardiac disorder </w:t>
      </w:r>
      <w:r w:rsidRPr="000F27B6">
        <w:rPr>
          <w:sz w:val="24"/>
          <w:szCs w:val="24"/>
        </w:rPr>
        <w:t>in young</w:t>
      </w:r>
      <w:r w:rsidR="003D1F54">
        <w:rPr>
          <w:sz w:val="24"/>
          <w:szCs w:val="24"/>
        </w:rPr>
        <w:t xml:space="preserve"> and</w:t>
      </w:r>
      <w:r w:rsidR="00E05BA7">
        <w:rPr>
          <w:sz w:val="24"/>
          <w:szCs w:val="24"/>
        </w:rPr>
        <w:t xml:space="preserve"> </w:t>
      </w:r>
      <w:r w:rsidRPr="000F27B6">
        <w:rPr>
          <w:sz w:val="24"/>
          <w:szCs w:val="24"/>
        </w:rPr>
        <w:t>previously healthy individuals</w:t>
      </w:r>
      <w:r w:rsidR="008F5762" w:rsidRPr="000F27B6">
        <w:rPr>
          <w:sz w:val="24"/>
          <w:szCs w:val="24"/>
        </w:rPr>
        <w:t xml:space="preserve"> </w:t>
      </w:r>
      <w:r w:rsidRPr="000F27B6">
        <w:rPr>
          <w:sz w:val="24"/>
          <w:szCs w:val="24"/>
        </w:rPr>
        <w:t>instigates cardiac evaluation of first-degree relatives</w:t>
      </w:r>
      <w:r w:rsidR="00167D2A" w:rsidRPr="000F27B6">
        <w:rPr>
          <w:sz w:val="24"/>
          <w:szCs w:val="24"/>
        </w:rPr>
        <w:t xml:space="preserve">. </w:t>
      </w:r>
      <w:r w:rsidR="00E269B5" w:rsidRPr="000F27B6">
        <w:rPr>
          <w:sz w:val="24"/>
          <w:szCs w:val="24"/>
        </w:rPr>
        <w:t xml:space="preserve">In a significant proportion of such deaths, the pathologist may observe findings that partially fulfil </w:t>
      </w:r>
      <w:r w:rsidR="00E269B5" w:rsidRPr="000F27B6">
        <w:rPr>
          <w:sz w:val="24"/>
          <w:szCs w:val="24"/>
        </w:rPr>
        <w:lastRenderedPageBreak/>
        <w:t>diagnostic criteria for structural cardiac disease, leaving uncertainty about causality and</w:t>
      </w:r>
      <w:r w:rsidR="008C6C20">
        <w:rPr>
          <w:sz w:val="24"/>
          <w:szCs w:val="24"/>
        </w:rPr>
        <w:t xml:space="preserve"> subsequent</w:t>
      </w:r>
      <w:r w:rsidR="00E269B5" w:rsidRPr="000F27B6">
        <w:rPr>
          <w:sz w:val="24"/>
          <w:szCs w:val="24"/>
        </w:rPr>
        <w:t xml:space="preserve"> </w:t>
      </w:r>
      <w:r w:rsidR="00EA1165" w:rsidRPr="000F27B6">
        <w:rPr>
          <w:sz w:val="24"/>
          <w:szCs w:val="24"/>
        </w:rPr>
        <w:t>investigation</w:t>
      </w:r>
      <w:r w:rsidR="00E269B5" w:rsidRPr="000F27B6">
        <w:rPr>
          <w:sz w:val="24"/>
          <w:szCs w:val="24"/>
        </w:rPr>
        <w:t xml:space="preserve"> of surviving relatives. Left ventricular hypertrophy in the absence of myocyte disarray </w:t>
      </w:r>
      <w:r w:rsidR="00EA1165" w:rsidRPr="000F27B6">
        <w:rPr>
          <w:sz w:val="24"/>
          <w:szCs w:val="24"/>
        </w:rPr>
        <w:t xml:space="preserve">is reported in up to 10% of deaths </w:t>
      </w:r>
      <w:r w:rsidR="008C6C20">
        <w:rPr>
          <w:sz w:val="24"/>
          <w:szCs w:val="24"/>
        </w:rPr>
        <w:t xml:space="preserve">in </w:t>
      </w:r>
      <w:r w:rsidR="00EA1165" w:rsidRPr="000F27B6">
        <w:rPr>
          <w:sz w:val="24"/>
          <w:szCs w:val="24"/>
        </w:rPr>
        <w:t xml:space="preserve"> young </w:t>
      </w:r>
      <w:r w:rsidR="00135199" w:rsidRPr="000F27B6">
        <w:rPr>
          <w:sz w:val="24"/>
          <w:szCs w:val="24"/>
        </w:rPr>
        <w:t>or</w:t>
      </w:r>
      <w:r w:rsidR="00EA1165" w:rsidRPr="000F27B6">
        <w:rPr>
          <w:sz w:val="24"/>
          <w:szCs w:val="24"/>
        </w:rPr>
        <w:t xml:space="preserve"> athletic individuals</w:t>
      </w:r>
      <w:r w:rsidR="00476FC2" w:rsidRPr="000F27B6">
        <w:rPr>
          <w:sz w:val="24"/>
          <w:szCs w:val="24"/>
        </w:rPr>
        <w:t xml:space="preserve"> and is described as idiopathic LVH</w:t>
      </w:r>
      <w:r w:rsidR="002A6F00" w:rsidRPr="000F27B6">
        <w:rPr>
          <w:sz w:val="24"/>
          <w:szCs w:val="24"/>
        </w:rPr>
        <w:fldChar w:fldCharType="begin" w:fldLock="1"/>
      </w:r>
      <w:r w:rsidR="002A6F00" w:rsidRPr="000F27B6">
        <w:rPr>
          <w:sz w:val="24"/>
          <w:szCs w:val="24"/>
        </w:rPr>
        <w:instrText>ADDIN CSL_CITATION {"citationItems":[{"id":"ITEM-1","itemData":{"DOI":"10.1016/j.jacc.2016.02.062","ISSN":"15583597 07351097","abstract":"© 2016 American College of Cardiology Foundation.Background Accurate knowledge of causes of sudden cardiac death (SCD) in athletes and its precipitating factors is necessary to establish preventative strategies. Objectives This study investigated causes of SCD and their association with intensive physical activity in a large cohort of athletes. Methods Between 1994 and 2014, 357 consecutive cases of athletes who died suddenly (mean 29 ± 11 years of age, 92% males, 76% Caucasian, 69% competitive) were referred to our cardiac pathology center. All subjects underwent detailed post-mortem evaluation, including histological analysis by an expert cardiac pathologist. Clinical information was obtained from referring coroners. Results Sudden arrhythmic death syndrome (SADS) was the most prevalent cause of death (n = 149 [42%]). Myocardial disease was detected in 40% of cases, including idiopathic left ventricular hypertrophy (LVH) and/or fibrosis (n = 59, 16%); arrhythmogenic right ventricular cardiomyopathy (ARVC) (13%); and hypertrophic cardiomyopathy (HCM) (6%). Coronary artery anomalies occurred in 5% of cases. SADS and coronary artery anomalies affected predominantly young athletes (≤ 35 years of age), whereas myocardial disease was more common in older individuals. SCD during intense exertion occurred in 61% of cases; ARVC and left ventricular fibrosis most strongly predicted SCD during exertion. Conclusions Conditions predisposing to SCD in sports demonstrate a significant age predilection. The strong association of ARVC and left ventricular fibrosis with exercise-induced SCD reinforces the need for early detection and abstinence from intense exercise. However, almost 40% of athletes die at rest, highlighting the need for complementary preventive strategies.","author":[{"dropping-particle":"","family":"Finocchiaro","given":"G.","non-dropping-particle":"","parse-names":false,"suffix":""},{"dropping-particle":"","family":"Papadakis","given":"M.","non-dropping-particle":"","parse-names":false,"suffix":""},{"dropping-particle":"","family":"Robertus","given":"J.-L.","non-dropping-particle":"","parse-names":false,"suffix":""},{"dropping-particle":"","family":"Dhutia","given":"H.","non-dropping-particle":"","parse-names":false,"suffix":""},{"dropping-particle":"","family":"Steriotis","given":"A.K.","non-dropping-particle":"","parse-names":false,"suffix":""},{"dropping-particle":"","family":"Tome","given":"M.","non-dropping-particle":"","parse-names":false,"suffix":""},{"dropping-particle":"","family":"Mellor","given":"G.","non-dropping-particle":"","parse-names":false,"suffix":""},{"dropping-particle":"","family":"Merghani","given":"A.","non-dropping-particle":"","parse-names":false,"suffix":""},{"dropping-particle":"","family":"Malhotra","given":"A.","non-dropping-particle":"","parse-names":false,"suffix":""},{"dropping-particle":"","family":"Behr","given":"E.","non-dropping-particle":"","parse-names":false,"suffix":""},{"dropping-particle":"","family":"Sharma","given":"S.","non-dropping-particle":"","parse-names":false,"suffix":""},{"dropping-particle":"","family":"Sheppard","given":"M.N.","non-dropping-particle":"","parse-names":false,"suffix":""}],"container-title":"Journal of the American College of Cardiology","id":"ITEM-1","issue":"18","issued":{"date-parts":[["2016"]]},"title":"Etiology of Sudden Death in Sports Insights from a United Kingdom Regional Registry","type":"article-journal","volume":"67"},"uris":["http://www.mendeley.com/documents/?uuid=33ca2651-b2a5-3026-809e-7a91e01e4d54"]}],"mendeley":{"formattedCitation":"&lt;sup&gt;2&lt;/sup&gt;","plainTextFormattedCitation":"2","previouslyFormattedCitation":"&lt;sup&gt;2&lt;/sup&gt;"},"properties":{"noteIndex":0},"schema":"https://github.com/citation-style-language/schema/raw/master/csl-citation.json"}</w:instrText>
      </w:r>
      <w:r w:rsidR="002A6F00" w:rsidRPr="000F27B6">
        <w:rPr>
          <w:sz w:val="24"/>
          <w:szCs w:val="24"/>
        </w:rPr>
        <w:fldChar w:fldCharType="separate"/>
      </w:r>
      <w:r w:rsidR="002A6F00" w:rsidRPr="000F27B6">
        <w:rPr>
          <w:noProof/>
          <w:sz w:val="24"/>
          <w:szCs w:val="24"/>
          <w:vertAlign w:val="superscript"/>
        </w:rPr>
        <w:t>2</w:t>
      </w:r>
      <w:r w:rsidR="002A6F00" w:rsidRPr="000F27B6">
        <w:rPr>
          <w:sz w:val="24"/>
          <w:szCs w:val="24"/>
        </w:rPr>
        <w:fldChar w:fldCharType="end"/>
      </w:r>
      <w:r w:rsidR="00EA1165" w:rsidRPr="000F27B6">
        <w:rPr>
          <w:sz w:val="24"/>
          <w:szCs w:val="24"/>
        </w:rPr>
        <w:t xml:space="preserve">. Although </w:t>
      </w:r>
      <w:r w:rsidR="00EA1165" w:rsidRPr="00EE24D4">
        <w:rPr>
          <w:sz w:val="24"/>
          <w:szCs w:val="24"/>
        </w:rPr>
        <w:t>myocyte disarray is</w:t>
      </w:r>
      <w:r w:rsidR="00167D2A" w:rsidRPr="00EE24D4">
        <w:rPr>
          <w:sz w:val="24"/>
          <w:szCs w:val="24"/>
        </w:rPr>
        <w:t xml:space="preserve"> a</w:t>
      </w:r>
      <w:r w:rsidR="00EA1165" w:rsidRPr="00EE24D4">
        <w:rPr>
          <w:sz w:val="24"/>
          <w:szCs w:val="24"/>
        </w:rPr>
        <w:t xml:space="preserve"> recognized histological hallmark of HCM due to</w:t>
      </w:r>
      <w:r w:rsidR="00746459" w:rsidRPr="00EE24D4">
        <w:rPr>
          <w:sz w:val="24"/>
          <w:szCs w:val="24"/>
        </w:rPr>
        <w:t xml:space="preserve"> pathogenic variants within genes encoding</w:t>
      </w:r>
      <w:r w:rsidR="00EA1165" w:rsidRPr="00EE24D4">
        <w:rPr>
          <w:sz w:val="24"/>
          <w:szCs w:val="24"/>
        </w:rPr>
        <w:t xml:space="preserve"> </w:t>
      </w:r>
      <w:proofErr w:type="spellStart"/>
      <w:r w:rsidR="00EA1165" w:rsidRPr="00EE24D4">
        <w:rPr>
          <w:sz w:val="24"/>
          <w:szCs w:val="24"/>
        </w:rPr>
        <w:t>sarcomeric</w:t>
      </w:r>
      <w:proofErr w:type="spellEnd"/>
      <w:r w:rsidR="00EA1165" w:rsidRPr="00EE24D4">
        <w:rPr>
          <w:sz w:val="24"/>
          <w:szCs w:val="24"/>
        </w:rPr>
        <w:t xml:space="preserve"> </w:t>
      </w:r>
      <w:r w:rsidR="00C204D3" w:rsidRPr="00EE24D4">
        <w:rPr>
          <w:sz w:val="24"/>
          <w:szCs w:val="24"/>
        </w:rPr>
        <w:t>protein</w:t>
      </w:r>
      <w:r w:rsidR="00746459" w:rsidRPr="00EE24D4">
        <w:rPr>
          <w:sz w:val="24"/>
          <w:szCs w:val="24"/>
        </w:rPr>
        <w:t>s</w:t>
      </w:r>
      <w:r w:rsidR="00EA1165" w:rsidRPr="000F27B6">
        <w:rPr>
          <w:sz w:val="24"/>
          <w:szCs w:val="24"/>
        </w:rPr>
        <w:t xml:space="preserve">, the heterogenic nature of the disease means that myocyte disarray </w:t>
      </w:r>
      <w:r w:rsidR="00476FC2" w:rsidRPr="000F27B6">
        <w:rPr>
          <w:sz w:val="24"/>
          <w:szCs w:val="24"/>
        </w:rPr>
        <w:t xml:space="preserve">may be </w:t>
      </w:r>
      <w:r w:rsidR="00EA1165" w:rsidRPr="000F27B6">
        <w:rPr>
          <w:sz w:val="24"/>
          <w:szCs w:val="24"/>
        </w:rPr>
        <w:t>minimal</w:t>
      </w:r>
      <w:r w:rsidR="00476FC2" w:rsidRPr="000F27B6">
        <w:rPr>
          <w:sz w:val="24"/>
          <w:szCs w:val="24"/>
        </w:rPr>
        <w:t xml:space="preserve"> in some cases and go undetected, therefore many such cases </w:t>
      </w:r>
      <w:r w:rsidR="00D2395A">
        <w:rPr>
          <w:sz w:val="24"/>
          <w:szCs w:val="24"/>
        </w:rPr>
        <w:t xml:space="preserve">could </w:t>
      </w:r>
      <w:r w:rsidR="00476FC2" w:rsidRPr="000F27B6">
        <w:rPr>
          <w:sz w:val="24"/>
          <w:szCs w:val="24"/>
        </w:rPr>
        <w:t>actually represent HCM</w:t>
      </w:r>
      <w:r w:rsidR="00EA1165" w:rsidRPr="000F27B6">
        <w:rPr>
          <w:sz w:val="24"/>
          <w:szCs w:val="24"/>
        </w:rPr>
        <w:t>. Given that HCM is inherited as an autosomal dominant trait</w:t>
      </w:r>
      <w:r w:rsidR="00D2395A">
        <w:rPr>
          <w:sz w:val="24"/>
          <w:szCs w:val="24"/>
        </w:rPr>
        <w:t>,</w:t>
      </w:r>
      <w:r w:rsidR="00EA1165" w:rsidRPr="000F27B6">
        <w:rPr>
          <w:sz w:val="24"/>
          <w:szCs w:val="24"/>
        </w:rPr>
        <w:t xml:space="preserve"> we sought to assess the diagnostic yield </w:t>
      </w:r>
      <w:r w:rsidR="00135199" w:rsidRPr="000F27B6">
        <w:rPr>
          <w:sz w:val="24"/>
          <w:szCs w:val="24"/>
        </w:rPr>
        <w:t xml:space="preserve">of </w:t>
      </w:r>
      <w:r w:rsidR="006138E3" w:rsidRPr="000F27B6">
        <w:rPr>
          <w:sz w:val="24"/>
          <w:szCs w:val="24"/>
        </w:rPr>
        <w:t>LVH</w:t>
      </w:r>
      <w:r w:rsidR="00EA1165" w:rsidRPr="000F27B6">
        <w:rPr>
          <w:sz w:val="24"/>
          <w:szCs w:val="24"/>
        </w:rPr>
        <w:t xml:space="preserve"> in first</w:t>
      </w:r>
      <w:r w:rsidR="002A6F00" w:rsidRPr="000F27B6">
        <w:rPr>
          <w:sz w:val="24"/>
          <w:szCs w:val="24"/>
        </w:rPr>
        <w:t>-</w:t>
      </w:r>
      <w:r w:rsidR="00EA1165" w:rsidRPr="000F27B6">
        <w:rPr>
          <w:sz w:val="24"/>
          <w:szCs w:val="24"/>
        </w:rPr>
        <w:t xml:space="preserve">degree relatives of decedents with </w:t>
      </w:r>
      <w:r w:rsidR="00361F17" w:rsidRPr="000F27B6">
        <w:rPr>
          <w:sz w:val="24"/>
          <w:szCs w:val="24"/>
        </w:rPr>
        <w:t xml:space="preserve">idiopathic </w:t>
      </w:r>
      <w:r w:rsidR="00EA1165" w:rsidRPr="000F27B6">
        <w:rPr>
          <w:sz w:val="24"/>
          <w:szCs w:val="24"/>
        </w:rPr>
        <w:t xml:space="preserve">LVH. We also had the opportunity to perform molecular autopsy in almost one third of the </w:t>
      </w:r>
      <w:r w:rsidR="00C924FC">
        <w:rPr>
          <w:sz w:val="24"/>
          <w:szCs w:val="24"/>
        </w:rPr>
        <w:t>decedent</w:t>
      </w:r>
      <w:r w:rsidR="00EA1165" w:rsidRPr="000F27B6">
        <w:rPr>
          <w:sz w:val="24"/>
          <w:szCs w:val="24"/>
        </w:rPr>
        <w:t xml:space="preserve">s using large gene panels </w:t>
      </w:r>
      <w:r w:rsidR="00135199" w:rsidRPr="000F27B6">
        <w:rPr>
          <w:sz w:val="24"/>
          <w:szCs w:val="24"/>
        </w:rPr>
        <w:t xml:space="preserve">which </w:t>
      </w:r>
      <w:r w:rsidR="00EA1165" w:rsidRPr="000F27B6">
        <w:rPr>
          <w:sz w:val="24"/>
          <w:szCs w:val="24"/>
        </w:rPr>
        <w:t>includ</w:t>
      </w:r>
      <w:r w:rsidR="00135199" w:rsidRPr="000F27B6">
        <w:rPr>
          <w:sz w:val="24"/>
          <w:szCs w:val="24"/>
        </w:rPr>
        <w:t>ed</w:t>
      </w:r>
      <w:r w:rsidR="00EA1165" w:rsidRPr="000F27B6">
        <w:rPr>
          <w:sz w:val="24"/>
          <w:szCs w:val="24"/>
        </w:rPr>
        <w:t xml:space="preserve"> numerous genes implicated in HCM.</w:t>
      </w:r>
    </w:p>
    <w:p w14:paraId="48D369C7" w14:textId="7F8D90B2" w:rsidR="00C802FF" w:rsidRPr="000F27B6" w:rsidRDefault="0059580B" w:rsidP="00AB2E80">
      <w:pPr>
        <w:spacing w:line="480" w:lineRule="auto"/>
        <w:rPr>
          <w:sz w:val="24"/>
          <w:szCs w:val="24"/>
        </w:rPr>
      </w:pPr>
      <w:r w:rsidRPr="000F27B6">
        <w:rPr>
          <w:sz w:val="24"/>
          <w:szCs w:val="24"/>
        </w:rPr>
        <w:t xml:space="preserve">Clinical evaluation of 125 first-degree relatives of 46 </w:t>
      </w:r>
      <w:r w:rsidR="00C924FC">
        <w:rPr>
          <w:sz w:val="24"/>
          <w:szCs w:val="24"/>
        </w:rPr>
        <w:t>decedent</w:t>
      </w:r>
      <w:r w:rsidRPr="000F27B6">
        <w:rPr>
          <w:sz w:val="24"/>
          <w:szCs w:val="24"/>
        </w:rPr>
        <w:t xml:space="preserve">s with idiopathic LVH </w:t>
      </w:r>
      <w:r w:rsidR="006138E3" w:rsidRPr="000F27B6">
        <w:rPr>
          <w:sz w:val="24"/>
          <w:szCs w:val="24"/>
        </w:rPr>
        <w:t>did not reveal</w:t>
      </w:r>
      <w:r w:rsidRPr="000F27B6">
        <w:rPr>
          <w:sz w:val="24"/>
          <w:szCs w:val="24"/>
        </w:rPr>
        <w:t xml:space="preserve"> a single case </w:t>
      </w:r>
      <w:r w:rsidR="006138E3" w:rsidRPr="000F27B6">
        <w:rPr>
          <w:sz w:val="24"/>
          <w:szCs w:val="24"/>
        </w:rPr>
        <w:t>of</w:t>
      </w:r>
      <w:r w:rsidRPr="000F27B6">
        <w:rPr>
          <w:sz w:val="24"/>
          <w:szCs w:val="24"/>
        </w:rPr>
        <w:t xml:space="preserve"> HCM</w:t>
      </w:r>
      <w:r w:rsidR="00583852" w:rsidRPr="000F27B6">
        <w:rPr>
          <w:sz w:val="24"/>
          <w:szCs w:val="24"/>
        </w:rPr>
        <w:t xml:space="preserve"> despite comprehensive clinical evaluation</w:t>
      </w:r>
      <w:r w:rsidRPr="000F27B6">
        <w:rPr>
          <w:sz w:val="24"/>
          <w:szCs w:val="24"/>
        </w:rPr>
        <w:t xml:space="preserve">, including </w:t>
      </w:r>
      <w:r w:rsidR="00053C1A" w:rsidRPr="000F27B6">
        <w:rPr>
          <w:sz w:val="24"/>
          <w:szCs w:val="24"/>
        </w:rPr>
        <w:t>CMR imaging</w:t>
      </w:r>
      <w:r w:rsidRPr="000F27B6">
        <w:rPr>
          <w:sz w:val="24"/>
          <w:szCs w:val="24"/>
        </w:rPr>
        <w:t>,</w:t>
      </w:r>
      <w:r w:rsidR="00583852" w:rsidRPr="000F27B6">
        <w:rPr>
          <w:sz w:val="24"/>
          <w:szCs w:val="24"/>
        </w:rPr>
        <w:t xml:space="preserve"> exercise testing and </w:t>
      </w:r>
      <w:r w:rsidR="006138E3" w:rsidRPr="000F27B6">
        <w:rPr>
          <w:sz w:val="24"/>
          <w:szCs w:val="24"/>
        </w:rPr>
        <w:t xml:space="preserve">prolonged </w:t>
      </w:r>
      <w:r w:rsidR="00583852" w:rsidRPr="000F27B6">
        <w:rPr>
          <w:sz w:val="24"/>
          <w:szCs w:val="24"/>
        </w:rPr>
        <w:t>ECG monitoring, which would</w:t>
      </w:r>
      <w:r w:rsidR="00167D2A" w:rsidRPr="000F27B6">
        <w:rPr>
          <w:sz w:val="24"/>
          <w:szCs w:val="24"/>
        </w:rPr>
        <w:t xml:space="preserve"> be expected to</w:t>
      </w:r>
      <w:r w:rsidR="00583852" w:rsidRPr="000F27B6">
        <w:rPr>
          <w:sz w:val="24"/>
          <w:szCs w:val="24"/>
        </w:rPr>
        <w:t xml:space="preserve"> identify </w:t>
      </w:r>
      <w:r w:rsidR="00FE48FC" w:rsidRPr="000F27B6">
        <w:rPr>
          <w:sz w:val="24"/>
          <w:szCs w:val="24"/>
        </w:rPr>
        <w:t xml:space="preserve">even </w:t>
      </w:r>
      <w:r w:rsidR="00583852" w:rsidRPr="000F27B6">
        <w:rPr>
          <w:sz w:val="24"/>
          <w:szCs w:val="24"/>
        </w:rPr>
        <w:t>milder phenotypes of HCM.</w:t>
      </w:r>
      <w:r w:rsidR="00972F51" w:rsidRPr="000F27B6">
        <w:rPr>
          <w:sz w:val="24"/>
          <w:szCs w:val="24"/>
        </w:rPr>
        <w:t xml:space="preserve"> </w:t>
      </w:r>
    </w:p>
    <w:p w14:paraId="6E0A2E09" w14:textId="0F4393DF" w:rsidR="00054EFC" w:rsidRPr="000F27B6" w:rsidRDefault="000F1C01" w:rsidP="00AB2E80">
      <w:pPr>
        <w:spacing w:line="480" w:lineRule="auto"/>
        <w:rPr>
          <w:sz w:val="24"/>
          <w:szCs w:val="24"/>
        </w:rPr>
      </w:pPr>
      <w:r w:rsidRPr="000F27B6">
        <w:rPr>
          <w:sz w:val="24"/>
          <w:szCs w:val="24"/>
        </w:rPr>
        <w:t>Molecular autopsy is increasingly used both in the clinical and research setting</w:t>
      </w:r>
      <w:r w:rsidRPr="000F27B6">
        <w:rPr>
          <w:sz w:val="24"/>
          <w:szCs w:val="24"/>
        </w:rPr>
        <w:fldChar w:fldCharType="begin" w:fldLock="1"/>
      </w:r>
      <w:r w:rsidR="00B0022F">
        <w:rPr>
          <w:sz w:val="24"/>
          <w:szCs w:val="24"/>
        </w:rPr>
        <w:instrText>ADDIN CSL_CITATION {"citationItems":[{"id":"ITEM-1","itemData":{"DOI":"10.1161/CIRCULATIONAHA.109.914838","ISSN":"0009-7322","author":[{"dropping-particle":"","family":"Tester","given":"D. J.","non-dropping-particle":"","parse-names":false,"suffix":""},{"dropping-particle":"","family":"Ackerman","given":"M. J.","non-dropping-particle":"","parse-names":false,"suffix":""}],"container-title":"Circulation","id":"ITEM-1","issue":"9","issued":{"date-parts":[["2011"]]},"page":"1021-1037","title":"Genetic Testing for Potentially Lethal, Highly Treatable Inherited Cardiomyopathies/Channelopathies in Clinical Practice","type":"article-journal","volume":"123"},"uris":["http://www.mendeley.com/documents/?uuid=391d3f91-ae1d-41d9-890f-fbc1c8174e74"]}],"mendeley":{"formattedCitation":"&lt;sup&gt;36&lt;/sup&gt;","plainTextFormattedCitation":"36","previouslyFormattedCitation":"&lt;sup&gt;36&lt;/sup&gt;"},"properties":{"noteIndex":0},"schema":"https://github.com/citation-style-language/schema/raw/master/csl-citation.json"}</w:instrText>
      </w:r>
      <w:r w:rsidRPr="000F27B6">
        <w:rPr>
          <w:sz w:val="24"/>
          <w:szCs w:val="24"/>
        </w:rPr>
        <w:fldChar w:fldCharType="separate"/>
      </w:r>
      <w:r w:rsidR="00B0022F" w:rsidRPr="00B0022F">
        <w:rPr>
          <w:noProof/>
          <w:sz w:val="24"/>
          <w:szCs w:val="24"/>
          <w:vertAlign w:val="superscript"/>
        </w:rPr>
        <w:t>36</w:t>
      </w:r>
      <w:r w:rsidRPr="000F27B6">
        <w:rPr>
          <w:sz w:val="24"/>
          <w:szCs w:val="24"/>
        </w:rPr>
        <w:fldChar w:fldCharType="end"/>
      </w:r>
      <w:r w:rsidRPr="000F27B6">
        <w:rPr>
          <w:sz w:val="24"/>
          <w:szCs w:val="24"/>
        </w:rPr>
        <w:t xml:space="preserve">. Studies on molecular autopsy in SADS have emphasised the dominant role of channelopathy genes </w:t>
      </w:r>
      <w:r w:rsidRPr="000F27B6">
        <w:rPr>
          <w:sz w:val="24"/>
          <w:szCs w:val="24"/>
        </w:rPr>
        <w:fldChar w:fldCharType="begin" w:fldLock="1"/>
      </w:r>
      <w:r w:rsidR="00B0022F">
        <w:rPr>
          <w:sz w:val="24"/>
          <w:szCs w:val="24"/>
        </w:rPr>
        <w:instrText>ADDIN CSL_CITATION {"citationItems":[{"id":"ITEM-1","itemData":{"ISSN":"0098-7484","PMID":"11710892","abstract":"CONTEXT Fatal arrhythmias from occult long QT syndrome may be responsible for some cases of sudden infant death syndrome (SIDS). Because patients who have long QT syndrome with sodium channel gene (SCN5A) defects have an increased frequency of cardiac events during sleep, and a recent case is reported of a sporadic SCN5A mutation in an infant with near SIDS, SCN5A has emerged as the leading candidate ion channel gene for SIDS. OBJECTIVE To determine the prevalence and functional properties of SCN5A mutations in SIDS. DESIGN, SETTING, AND SUBJECTS Postmortem molecular analysis of 93 cases of SIDS or undetermined infant death identified by the Medical Examiner's Office of the Arkansas State Crime Laboratory between September 1997 and August 1999. Genomic DNA was extracted from frozen myocardium and subjected to SCN5A mutational analyses. Missense mutations were incorporated into the human heart sodium channel alpha subunit by mutagenesis, transiently transfected into human embryonic kidney cells, and characterized electrophysiologically. MAIN OUTCOME MEASURES Molecular and functional characterization of SCN5A defects. RESULTS Two of the 93 cases of SIDS possessed SCN5A mutations: a 6-week-old white male with an A997S missense mutation in exon 17 and a 1-month old white male with an R1826H mutation in exon 28. These 2 distinct mutations occurred in highly conserved regions of the sodium channel and were absent in 400 control patients (800 alleles). Functionally, the A997S and R1826H mutant channels expressed a sodium current characterized by slower decay and a 2- to 3-fold increase in late sodium current. CONCLUSION Approximately 2% of this prospective, population-based cohort of SIDS cases had an identifiable SCN5A channel defect, suggesting that mutations in cardiac ion channels may provide a lethal arrhythmogenic substrate in some infants at risk for SIDS.","author":[{"dropping-particle":"","family":"Ackerman","given":"M J","non-dropping-particle":"","parse-names":false,"suffix":""},{"dropping-particle":"","family":"Siu","given":"B L","non-dropping-particle":"","parse-names":false,"suffix":""},{"dropping-particle":"","family":"Sturner","given":"W Q","non-dropping-particle":"","parse-names":false,"suffix":""},{"dropping-particle":"","family":"Tester","given":"D J","non-dropping-particle":"","parse-names":false,"suffix":""},{"dropping-particle":"","family":"Valdivia","given":"C R","non-dropping-particle":"","parse-names":false,"suffix":""},{"dropping-particle":"","family":"Makielski","given":"J C","non-dropping-particle":"","parse-names":false,"suffix":""},{"dropping-particle":"","family":"Towbin","given":"J A","non-dropping-particle":"","parse-names":false,"suffix":""}],"container-title":"JAMA","id":"ITEM-1","issue":"18","issued":{"date-parts":[["2001","11"]]},"page":"2264-9","title":"Postmortem molecular analysis of SCN5A defects in sudden infant death syndrome.","type":"article-journal","volume":"286"},"uris":["http://www.mendeley.com/documents/?uuid=f67f80d0-3909-48d0-92d0-6e67bbc0ddb2"]},{"id":"ITEM-2","itemData":{"DOI":"10.1016/j.mayocp.2012.02.017","ISSN":"1942-5546","PMID":"22677073","abstract":"OBJECTIVE To perform long QT syndrome and catecholaminergic polymorphic ventricular tachycardia cardiac channel postmortem genetic testing (molecular autopsy) for a large cohort of cases of autopsy-negative sudden unexplained death (SUD). METHODS From September 1, 1998, through October 31, 2010, 173 cases of SUD (106 males; mean ± SD age, 18.4 ± 12.9 years; age range, 1-69 years; 89% white) were referred by medical examiners or coroners for a cardiac channel molecular autopsy. Using polymerase chain reaction, denaturing high-performance liquid chromatography, and DNA sequencing, a comprehensive mutational analysis of the long QT syndrome susceptibility genes (KCNQ1, KCNH2, SCN5A, KCNE1, and KCNE2) and a targeted analysis of the catecholaminergic polymorphic ventricular tachycardia type 1-associated gene (RYR2) were conducted. RESULTS Overall, 45 putative pathogenic mutations absent in 400 to 700 controls were identified in 45 autopsy-negative SUD cases (26.0%). Females had a higher yield (26/67 [38.8%]) than males (19/106 [17.9%]; P&lt;.005). Among SUD cases with exercise-induced death, the yield trended higher among the 1- to 10-year-olds (8/12 [66.7%]) compared with the 11- to 20-year-olds (4/27 [14.8%]; P=.002). In contrast, for those who died during a period of sleep, the 11- to 20-year-olds had a higher yield (9/25 [36.0%]) than the 1- to 10-year-olds (1/24 [4.2%]; P=.01). CONCLUSION Cardiac channel molecular autopsy should be considered in the evaluation of autopsy-negative SUD. Several interesting genotype-phenotype observations may provide insight into the expected yields of postmortem genetic testing for SUD and assist in selecting cases with the greatest potential for mutation discovery and directing genetic testing efforts.","author":[{"dropping-particle":"","family":"Tester","given":"David J","non-dropping-particle":"","parse-names":false,"suffix":""},{"dropping-particle":"","family":"Medeiros-Domingo","given":"Argelia","non-dropping-particle":"","parse-names":false,"suffix":""},{"dropping-particle":"","family":"Will","given":"Melissa L","non-dropping-particle":"","parse-names":false,"suffix":""},{"dropping-particle":"","family":"Haglund","given":"Carla M","non-dropping-particle":"","parse-names":false,"suffix":""},{"dropping-particle":"","family":"Ackerman","given":"Michael J","non-dropping-particle":"","parse-names":false,"suffix":""}],"container-title":"Mayo Clinic proceedings","id":"ITEM-2","issue":"6","issued":{"date-parts":[["2012","6"]]},"page":"524-39","title":"Cardiac channel molecular autopsy: insights from 173 consecutive cases of autopsy-negative sudden unexplained death referred for postmortem genetic testing.","type":"article-journal","volume":"87"},"uris":["http://www.mendeley.com/documents/?uuid=d57fedb4-67a5-4212-9432-8c06ffa68d02"]}],"mendeley":{"formattedCitation":"&lt;sup&gt;37,38&lt;/sup&gt;","plainTextFormattedCitation":"37,38","previouslyFormattedCitation":"&lt;sup&gt;37,38&lt;/sup&gt;"},"properties":{"noteIndex":0},"schema":"https://github.com/citation-style-language/schema/raw/master/csl-citation.json"}</w:instrText>
      </w:r>
      <w:r w:rsidRPr="000F27B6">
        <w:rPr>
          <w:sz w:val="24"/>
          <w:szCs w:val="24"/>
        </w:rPr>
        <w:fldChar w:fldCharType="separate"/>
      </w:r>
      <w:r w:rsidR="00B0022F" w:rsidRPr="00B0022F">
        <w:rPr>
          <w:noProof/>
          <w:sz w:val="24"/>
          <w:szCs w:val="24"/>
          <w:vertAlign w:val="superscript"/>
        </w:rPr>
        <w:t>37,38</w:t>
      </w:r>
      <w:r w:rsidRPr="000F27B6">
        <w:rPr>
          <w:sz w:val="24"/>
          <w:szCs w:val="24"/>
        </w:rPr>
        <w:fldChar w:fldCharType="end"/>
      </w:r>
      <w:r w:rsidRPr="000F27B6">
        <w:rPr>
          <w:sz w:val="24"/>
          <w:szCs w:val="24"/>
        </w:rPr>
        <w:t xml:space="preserve">. Since cardiomyopathies are expected to be diagnosed at autopsy, systematic testing of genes associated with structural cardiac disease was rarely performed. </w:t>
      </w:r>
      <w:r w:rsidR="00BE640B" w:rsidRPr="000F27B6">
        <w:rPr>
          <w:sz w:val="24"/>
          <w:szCs w:val="24"/>
        </w:rPr>
        <w:t xml:space="preserve">However, among </w:t>
      </w:r>
      <w:r w:rsidR="00152F86" w:rsidRPr="000F27B6">
        <w:rPr>
          <w:sz w:val="24"/>
          <w:szCs w:val="24"/>
        </w:rPr>
        <w:t xml:space="preserve">one third of the </w:t>
      </w:r>
      <w:r w:rsidR="00C924FC">
        <w:rPr>
          <w:sz w:val="24"/>
          <w:szCs w:val="24"/>
        </w:rPr>
        <w:t>decedent</w:t>
      </w:r>
      <w:r w:rsidR="00152F86" w:rsidRPr="000F27B6">
        <w:rPr>
          <w:sz w:val="24"/>
          <w:szCs w:val="24"/>
        </w:rPr>
        <w:t>s with idiopathic LVH where DNA was available, m</w:t>
      </w:r>
      <w:r w:rsidR="0059580B" w:rsidRPr="000F27B6">
        <w:rPr>
          <w:sz w:val="24"/>
          <w:szCs w:val="24"/>
        </w:rPr>
        <w:t xml:space="preserve">olecular autopsy failed to </w:t>
      </w:r>
      <w:r w:rsidR="00C802FF" w:rsidRPr="000F27B6">
        <w:rPr>
          <w:sz w:val="24"/>
          <w:szCs w:val="24"/>
        </w:rPr>
        <w:t>identify</w:t>
      </w:r>
      <w:r w:rsidR="0059580B" w:rsidRPr="000F27B6">
        <w:rPr>
          <w:sz w:val="24"/>
          <w:szCs w:val="24"/>
        </w:rPr>
        <w:t xml:space="preserve"> pathogenic variants in </w:t>
      </w:r>
      <w:r w:rsidR="00C802FF" w:rsidRPr="000F27B6">
        <w:rPr>
          <w:sz w:val="24"/>
          <w:szCs w:val="24"/>
        </w:rPr>
        <w:t xml:space="preserve">any of the </w:t>
      </w:r>
      <w:r w:rsidR="0059580B" w:rsidRPr="000F27B6">
        <w:rPr>
          <w:sz w:val="24"/>
          <w:szCs w:val="24"/>
        </w:rPr>
        <w:t xml:space="preserve">genes encoding </w:t>
      </w:r>
      <w:proofErr w:type="spellStart"/>
      <w:r w:rsidR="0059580B" w:rsidRPr="000F27B6">
        <w:rPr>
          <w:sz w:val="24"/>
          <w:szCs w:val="24"/>
        </w:rPr>
        <w:t>sarcomeric</w:t>
      </w:r>
      <w:proofErr w:type="spellEnd"/>
      <w:r w:rsidR="0059580B" w:rsidRPr="000F27B6">
        <w:rPr>
          <w:sz w:val="24"/>
          <w:szCs w:val="24"/>
        </w:rPr>
        <w:t xml:space="preserve"> proteins</w:t>
      </w:r>
      <w:r w:rsidR="006138E3" w:rsidRPr="000F27B6">
        <w:rPr>
          <w:sz w:val="24"/>
          <w:szCs w:val="24"/>
        </w:rPr>
        <w:t xml:space="preserve"> implicated in HCM</w:t>
      </w:r>
      <w:r w:rsidR="0059580B" w:rsidRPr="000F27B6">
        <w:rPr>
          <w:sz w:val="24"/>
          <w:szCs w:val="24"/>
        </w:rPr>
        <w:t>.</w:t>
      </w:r>
      <w:r w:rsidR="00C802FF" w:rsidRPr="000F27B6">
        <w:rPr>
          <w:sz w:val="24"/>
          <w:szCs w:val="24"/>
        </w:rPr>
        <w:t xml:space="preserve"> This is in clear contrast </w:t>
      </w:r>
      <w:r w:rsidR="00C802FF" w:rsidRPr="00EE24D4">
        <w:rPr>
          <w:sz w:val="24"/>
          <w:szCs w:val="24"/>
        </w:rPr>
        <w:t xml:space="preserve">with existing literature in HCM where a pathogenic variant in </w:t>
      </w:r>
      <w:r w:rsidR="00746459" w:rsidRPr="00EE24D4">
        <w:rPr>
          <w:sz w:val="24"/>
          <w:szCs w:val="24"/>
        </w:rPr>
        <w:t xml:space="preserve">genes encoding </w:t>
      </w:r>
      <w:proofErr w:type="spellStart"/>
      <w:r w:rsidR="00C802FF" w:rsidRPr="00EE24D4">
        <w:rPr>
          <w:sz w:val="24"/>
          <w:szCs w:val="24"/>
        </w:rPr>
        <w:t>sarcomeric</w:t>
      </w:r>
      <w:proofErr w:type="spellEnd"/>
      <w:r w:rsidR="00C802FF" w:rsidRPr="00EE24D4">
        <w:rPr>
          <w:sz w:val="24"/>
          <w:szCs w:val="24"/>
        </w:rPr>
        <w:t xml:space="preserve"> protein</w:t>
      </w:r>
      <w:r w:rsidR="00746459" w:rsidRPr="00EE24D4">
        <w:rPr>
          <w:sz w:val="24"/>
          <w:szCs w:val="24"/>
        </w:rPr>
        <w:t>s</w:t>
      </w:r>
      <w:r w:rsidR="00054EFC" w:rsidRPr="00EE24D4">
        <w:rPr>
          <w:sz w:val="24"/>
          <w:szCs w:val="24"/>
        </w:rPr>
        <w:t xml:space="preserve"> is</w:t>
      </w:r>
      <w:r w:rsidR="00C802FF" w:rsidRPr="00EE24D4">
        <w:rPr>
          <w:sz w:val="24"/>
          <w:szCs w:val="24"/>
        </w:rPr>
        <w:t xml:space="preserve"> identified in</w:t>
      </w:r>
      <w:r w:rsidR="00784852" w:rsidRPr="00EE24D4">
        <w:rPr>
          <w:sz w:val="24"/>
          <w:szCs w:val="24"/>
        </w:rPr>
        <w:t xml:space="preserve"> 40</w:t>
      </w:r>
      <w:r w:rsidR="00C802FF" w:rsidRPr="00EE24D4">
        <w:rPr>
          <w:sz w:val="24"/>
          <w:szCs w:val="24"/>
        </w:rPr>
        <w:t xml:space="preserve"> to 72%</w:t>
      </w:r>
      <w:r w:rsidR="00C802FF" w:rsidRPr="000F27B6">
        <w:rPr>
          <w:sz w:val="24"/>
          <w:szCs w:val="24"/>
        </w:rPr>
        <w:t xml:space="preserve"> of </w:t>
      </w:r>
      <w:r w:rsidR="00C802FF" w:rsidRPr="000F27B6">
        <w:rPr>
          <w:sz w:val="24"/>
          <w:szCs w:val="24"/>
        </w:rPr>
        <w:lastRenderedPageBreak/>
        <w:t>clinically diagnosed cases</w:t>
      </w:r>
      <w:r w:rsidR="00784852">
        <w:rPr>
          <w:sz w:val="24"/>
          <w:szCs w:val="24"/>
        </w:rPr>
        <w:fldChar w:fldCharType="begin" w:fldLock="1"/>
      </w:r>
      <w:r w:rsidR="00784852">
        <w:rPr>
          <w:sz w:val="24"/>
          <w:szCs w:val="24"/>
        </w:rPr>
        <w:instrText>ADDIN CSL_CITATION {"citationItems":[{"id":"ITEM-1","itemData":{"author":[{"dropping-particle":"","family":"Elliott","given":"Perry M","non-dropping-particle":"","parse-names":false,"suffix":""},{"dropping-particle":"","family":"Anastasakis","given":"Aris","non-dropping-particle":"","parse-names":false,"suffix":""},{"dropping-particle":"","family":"Borger","given":"Michael A","non-dropping-particle":"","parse-names":false,"suffix":""},{"dropping-particle":"","family":"Borggrefe","given":"Martin","non-dropping-particle":"","parse-names":false,"suffix":""},{"dropping-particle":"","family":"Cecchi","given":"Franco","non-dropping-particle":"","parse-names":false,"suffix":""},{"dropping-particle":"","family":"Charron","given":"Philippe","non-dropping-particle":"","parse-names":false,"suffix":""},{"dropping-particle":"","family":"Hagege","given":"Albert Alain","non-dropping-particle":"","parse-names":false,"suffix":""},{"dropping-particle":"","family":"Lafont","given":"Antoine","non-dropping-particle":"","parse-names":false,"suffix":""},{"dropping-particle":"","family":"Limongelli","given":"Giuseppe","non-dropping-particle":"","parse-names":false,"suffix":""},{"dropping-particle":"","family":"Mahrholdt","given":"Heiko","non-dropping-particle":"","parse-names":false,"suffix":""},{"dropping-particle":"","family":"McKenna","given":"William J","non-dropping-particle":"","parse-names":false,"suffix":""},{"dropping-particle":"","family":"Mogensen","given":"Jens","non-dropping-particle":"","parse-names":false,"suffix":""},{"dropping-particle":"","family":"Nihoyannopoulos","given":"Petros","non-dropping-particle":"","parse-names":false,"suffix":""},{"dropping-particle":"","family":"Nistri","given":"Stefano","non-dropping-particle":"","parse-names":false,"suffix":""},{"dropping-particle":"","family":"Pieper","given":"Petronella G","non-dropping-particle":"","parse-names":false,"suffix":""},{"dropping-particle":"","family":"Pieske","given":"Burkert","non-dropping-particle":"","parse-names":false,"suffix":""},{"dropping-particle":"","family":"Rapezzi","given":"Claudio","non-dropping-particle":"","parse-names":false,"suffix":""},{"dropping-particle":"","family":"Rutten","given":"Frans H","non-dropping-particle":"","parse-names":false,"suffix":""},{"dropping-particle":"","family":"Tillmanns","given":"Christoph","non-dropping-particle":"","parse-names":false,"suffix":""},{"dropping-particle":"","family":"Watkins","given":"Hugh","non-dropping-particle":"","parse-names":false,"suffix":""}],"container-title":"European Heart Journal","id":"ITEM-1","issue":"39","issued":{"date-parts":[["2014"]]},"page":"2733-2779","title":"2014 ESC guidelines on diagnosis and management of hypertrophic cardiomyopathy","type":"article-journal","volume":"35"},"uris":["http://www.mendeley.com/documents/?uuid=85a18ec0-efd7-42bb-8578-60b6f020fc96"]},{"id":"ITEM-2","itemData":{"DOI":"10.1161/CIRCGEN.117.001896","ISSN":"2574-8300","PMID":"29661763","abstract":"BACKGROUND Contemporary hypertrophic cardiomyopathy (HCM) family screening includes clinical evaluation and genetic testing (GT). This screening strategy requires the identification of a pathogenic mutation in the proband. Our aim was to examine the results of this HCM screening strategy. METHODS Between 1985 and 2016, 777 relatives of 209 probands were assessed in the context of HCM screening. Genotype-positive (G+) relatives and relatives without genetic testing (GT) underwent repeated clinical evaluations. In genotype-negative (G-) relatives mortality was assessed during follow-up. RESULTS A pathogenic mutation was identified in 72% of probands. After counseling, GT was performed in 620 (80%) relatives: 264 (43%) were G+ (age 41±18 y) and 356 (57%) were G- (age 48±17 y). At first screening, HCM was diagnosed in 98 (37%) G+ relatives and 28 (17%) relatives without GT (p&lt;0.001). During 9 years follow-up of relatives diagnosed with HCM, 8 (6%) underwent septal reduction therapy, 16 (16%) received primary prevention ICDs, and cardiac mortality was 0.3%/year. During 7 years follow-up of relatives without HCM, 29 (16%) developed HCM. Survival at 5/10 years was 99%/95% in G+ relatives, 97%/94% in G- relatives (p=0.8), and 100%/100% in relatives without GT. CONCLUSIONS HCM was identified in 30% of relatives at first screening, and 16% developed HCM during 7 years of repeated evaluation. GT led to a discharge from clinical follow-up in 46% of the study population. Survival in the relatives was good.","author":[{"dropping-particle":"","family":"Velzen","given":"Hannah G","non-dropping-particle":"van","parse-names":false,"suffix":""},{"dropping-particle":"","family":"Schinkel","given":"Arend F L","non-dropping-particle":"","parse-names":false,"suffix":""},{"dropping-particle":"","family":"Baart","given":"Sara J","non-dropping-particle":"","parse-names":false,"suffix":""},{"dropping-particle":"","family":"Oldenburg","given":"Rogier A","non-dropping-particle":"","parse-names":false,"suffix":""},{"dropping-particle":"","family":"Frohn-Mulder","given":"Ingrid M E","non-dropping-particle":"","parse-names":false,"suffix":""},{"dropping-particle":"","family":"Slegtenhorst","given":"Marjon A","non-dropping-particle":"van","parse-names":false,"suffix":""},{"dropping-particle":"","family":"Michels","given":"Michelle","non-dropping-particle":"","parse-names":false,"suffix":""}],"container-title":"Circulation. Genomic and precision medicine","id":"ITEM-2","issue":"4","issued":{"date-parts":[["2018","4"]]},"page":"e001896","title":"Outcomes of Contemporary Family Screening in Hypertrophic Cardiomyopathy.","type":"article-journal","volume":"11"},"uris":["http://www.mendeley.com/documents/?uuid=2dc456a7-fd3b-4d99-bf19-40d34563f2df"]}],"mendeley":{"formattedCitation":"&lt;sup&gt;25,39&lt;/sup&gt;","plainTextFormattedCitation":"25,39","previouslyFormattedCitation":"&lt;sup&gt;39,40&lt;/sup&gt;"},"properties":{"noteIndex":0},"schema":"https://github.com/citation-style-language/schema/raw/master/csl-citation.json"}</w:instrText>
      </w:r>
      <w:r w:rsidR="00784852">
        <w:rPr>
          <w:sz w:val="24"/>
          <w:szCs w:val="24"/>
        </w:rPr>
        <w:fldChar w:fldCharType="separate"/>
      </w:r>
      <w:r w:rsidR="00784852" w:rsidRPr="00784852">
        <w:rPr>
          <w:noProof/>
          <w:sz w:val="24"/>
          <w:szCs w:val="24"/>
          <w:vertAlign w:val="superscript"/>
        </w:rPr>
        <w:t>25,39</w:t>
      </w:r>
      <w:r w:rsidR="00784852">
        <w:rPr>
          <w:sz w:val="24"/>
          <w:szCs w:val="24"/>
        </w:rPr>
        <w:fldChar w:fldCharType="end"/>
      </w:r>
      <w:r w:rsidR="00054EFC" w:rsidRPr="000F27B6">
        <w:rPr>
          <w:sz w:val="24"/>
          <w:szCs w:val="24"/>
        </w:rPr>
        <w:t xml:space="preserve">. </w:t>
      </w:r>
      <w:r w:rsidR="00152F86" w:rsidRPr="000F27B6">
        <w:rPr>
          <w:sz w:val="24"/>
          <w:szCs w:val="24"/>
        </w:rPr>
        <w:t>Eve</w:t>
      </w:r>
      <w:r w:rsidR="00746459">
        <w:rPr>
          <w:sz w:val="24"/>
          <w:szCs w:val="24"/>
        </w:rPr>
        <w:t>n among</w:t>
      </w:r>
      <w:r w:rsidR="00152F86" w:rsidRPr="000F27B6">
        <w:rPr>
          <w:sz w:val="24"/>
          <w:szCs w:val="24"/>
        </w:rPr>
        <w:t xml:space="preserve"> sporadic cases of HCM</w:t>
      </w:r>
      <w:r w:rsidR="00746459">
        <w:rPr>
          <w:sz w:val="24"/>
          <w:szCs w:val="24"/>
        </w:rPr>
        <w:t>,</w:t>
      </w:r>
      <w:r w:rsidR="00152F86" w:rsidRPr="000F27B6">
        <w:rPr>
          <w:sz w:val="24"/>
          <w:szCs w:val="24"/>
        </w:rPr>
        <w:t xml:space="preserve"> we would</w:t>
      </w:r>
      <w:r w:rsidR="00CF4B57" w:rsidRPr="000F27B6">
        <w:rPr>
          <w:sz w:val="24"/>
          <w:szCs w:val="24"/>
        </w:rPr>
        <w:t xml:space="preserve"> have</w:t>
      </w:r>
      <w:r w:rsidR="00152F86" w:rsidRPr="000F27B6">
        <w:rPr>
          <w:sz w:val="24"/>
          <w:szCs w:val="24"/>
        </w:rPr>
        <w:t xml:space="preserve"> expect</w:t>
      </w:r>
      <w:r w:rsidR="00CF4B57" w:rsidRPr="000F27B6">
        <w:rPr>
          <w:sz w:val="24"/>
          <w:szCs w:val="24"/>
        </w:rPr>
        <w:t>ed</w:t>
      </w:r>
      <w:r w:rsidR="00152F86" w:rsidRPr="000F27B6">
        <w:rPr>
          <w:sz w:val="24"/>
          <w:szCs w:val="24"/>
        </w:rPr>
        <w:t xml:space="preserve"> a genetic yield of </w:t>
      </w:r>
      <w:r w:rsidR="006138E3" w:rsidRPr="000F27B6">
        <w:rPr>
          <w:sz w:val="24"/>
          <w:szCs w:val="24"/>
        </w:rPr>
        <w:t xml:space="preserve">at least </w:t>
      </w:r>
      <w:r w:rsidR="00152F86" w:rsidRPr="000F27B6">
        <w:rPr>
          <w:sz w:val="24"/>
          <w:szCs w:val="24"/>
        </w:rPr>
        <w:t>20%</w:t>
      </w:r>
      <w:r w:rsidR="00361F17" w:rsidRPr="000F27B6">
        <w:rPr>
          <w:sz w:val="24"/>
          <w:szCs w:val="24"/>
        </w:rPr>
        <w:t>.</w:t>
      </w:r>
      <w:r w:rsidR="00152F86" w:rsidRPr="000F27B6">
        <w:rPr>
          <w:sz w:val="24"/>
          <w:szCs w:val="24"/>
        </w:rPr>
        <w:t xml:space="preserve"> </w:t>
      </w:r>
      <w:r w:rsidR="00053C1A" w:rsidRPr="00EE24D4">
        <w:rPr>
          <w:sz w:val="24"/>
          <w:szCs w:val="24"/>
        </w:rPr>
        <w:t>We identified a pathogenic variant in LAMP2 in a young woman who died suddenly in her sleep. LAMP2 is known to cause X-linked dominant Danon disease, a known HCM mimic</w:t>
      </w:r>
      <w:r w:rsidR="00053C1A" w:rsidRPr="00EE24D4">
        <w:rPr>
          <w:sz w:val="24"/>
          <w:szCs w:val="24"/>
        </w:rPr>
        <w:fldChar w:fldCharType="begin" w:fldLock="1"/>
      </w:r>
      <w:r w:rsidR="00784852" w:rsidRPr="00EE24D4">
        <w:rPr>
          <w:sz w:val="24"/>
          <w:szCs w:val="24"/>
        </w:rPr>
        <w:instrText>ADDIN CSL_CITATION {"citationItems":[{"id":"ITEM-1","itemData":{"DOI":"10.1056/NEJMoa033349","ISBN":"1533-4406 (Electronic) 0028-4793 (Linking)","ISSN":"1533-4406","PMID":"15673802","abstract":"BACKGROUND: Unexplained left ventricular hypertrophy often prompts the diagnosis of hypertrophic cardiomyopathy, a sarcomere-protein gene disorder. Because mutations in the gene for AMP-activated protein kinase gamma2 (PRKAG2) cause an accumulation of cardiac glycogen and left ventricular hypertrophy that mimics hypertrophic cardiomyopathy, we hypothesized that hypertrophic cardiomyopathy might also be clinically misdiagnosed in patients with other mutations in genes regulating glycogen metabolism. METHODS: Genetic analyses performed in 75 consecutive unrelated patients with hypertrophic cardiomyopathy detected 40 sarcomere-protein mutations. In the remaining 35 patients, PRKAG2, lysosome-associated membrane protein 2 (LAMP2), alpha-galactosidase (GLA), and acid alpha-1,4-glucosidase (GAA) genes were studied. RESULTS: Gene defects causing Fabry's disease (GLA) and Pompe's disease (GAA) were not found, but two LAMP2 and one PRKAG2 mutations were identified in probands with prominent hypertrophy and electrophysiological abnormalities. These results prompted the study of two additional, independent series of patients. Genetic analyses of 20 subjects with massive hypertrophy (left ventricular wall thickness, &gt; or =30 mm) but without electrophysiological abnormalities revealed mutations in neither LAMP2 nor PRKAG2. Genetic analyses of 24 subjects with increased left ventricular wall thickness and electrocardiograms suggesting ventricular preexcitation revealed four LAMP2 and seven PRKAG2 mutations. Clinical features associated with defects in LAMP2 included male sex, severe hypertrophy, early onset (at 8 to 17 years of age), ventricular preexcitation, and asymptomatic elevations of two serum proteins. CONCLUSIONS: LAMP2 mutations typically cause multisystem glycogen-storage disease (Danon's disease) but can also present as a primary cardiomyopathy. The glycogen-storage cardiomyopathy produced by LAMP2 or PRKAG2 mutations resembles hypertrophic cardiomyopathy but is distinguished by electrophysiological abnormalities, particularly ventricular preexcitation.","author":[{"dropping-particle":"","family":"Arad","given":"Michael","non-dropping-particle":"","parse-names":false,"suffix":""},{"dropping-particle":"","family":"Maron","given":"Barry J","non-dropping-particle":"","parse-names":false,"suffix":""},{"dropping-particle":"","family":"Gorham","given":"Joshua M","non-dropping-particle":"","parse-names":false,"suffix":""},{"dropping-particle":"","family":"Johnson","given":"Walter H","non-dropping-particle":"","parse-names":false,"suffix":""},{"dropping-particle":"","family":"Saul","given":"J Philip","non-dropping-particle":"","parse-names":false,"suffix":""},{"dropping-particle":"","family":"Perez-Atayde","given":"Antonio R","non-dropping-particle":"","parse-names":false,"suffix":""},{"dropping-particle":"","family":"Spirito","given":"Paolo","non-dropping-particle":"","parse-names":false,"suffix":""},{"dropping-particle":"","family":"Wright","given":"Gregory B","non-dropping-particle":"","parse-names":false,"suffix":""},{"dropping-particle":"","family":"Kanter","given":"Ronald J","non-dropping-particle":"","parse-names":false,"suffix":""},{"dropping-particle":"","family":"Seidman","given":"Christine E","non-dropping-particle":"","parse-names":false,"suffix":""},{"dropping-particle":"","family":"Seidman","given":"J G","non-dropping-particle":"","parse-names":false,"suffix":""}],"container-title":"The New England journal of medicine","id":"ITEM-1","issue":"4","issued":{"date-parts":[["2005"]]},"page":"362-372","title":"Glycogen storage diseases presenting as hypertrophic cardiomyopathy.","type":"article-journal","volume":"352"},"uris":["http://www.mendeley.com/documents/?uuid=2905e5a1-8644-4cc0-9717-835415ba8144"]}],"mendeley":{"formattedCitation":"&lt;sup&gt;40&lt;/sup&gt;","plainTextFormattedCitation":"40","previouslyFormattedCitation":"&lt;sup&gt;41&lt;/sup&gt;"},"properties":{"noteIndex":0},"schema":"https://github.com/citation-style-language/schema/raw/master/csl-citation.json"}</w:instrText>
      </w:r>
      <w:r w:rsidR="00053C1A" w:rsidRPr="00EE24D4">
        <w:rPr>
          <w:sz w:val="24"/>
          <w:szCs w:val="24"/>
        </w:rPr>
        <w:fldChar w:fldCharType="separate"/>
      </w:r>
      <w:r w:rsidR="00784852" w:rsidRPr="00EE24D4">
        <w:rPr>
          <w:noProof/>
          <w:sz w:val="24"/>
          <w:szCs w:val="24"/>
          <w:vertAlign w:val="superscript"/>
        </w:rPr>
        <w:t>40</w:t>
      </w:r>
      <w:r w:rsidR="00053C1A" w:rsidRPr="00EE24D4">
        <w:rPr>
          <w:sz w:val="24"/>
          <w:szCs w:val="24"/>
        </w:rPr>
        <w:fldChar w:fldCharType="end"/>
      </w:r>
      <w:r w:rsidR="00053C1A" w:rsidRPr="00EE24D4">
        <w:rPr>
          <w:sz w:val="24"/>
          <w:szCs w:val="24"/>
        </w:rPr>
        <w:t xml:space="preserve">. </w:t>
      </w:r>
      <w:r w:rsidR="00AF515D" w:rsidRPr="00EE24D4">
        <w:rPr>
          <w:sz w:val="24"/>
          <w:szCs w:val="24"/>
        </w:rPr>
        <w:t>Typical changes of Danon disease such as accumulation of autophagic material and glycogen in myocytes were not found at autopsy</w:t>
      </w:r>
      <w:r w:rsidR="00E36BE3">
        <w:rPr>
          <w:sz w:val="24"/>
          <w:szCs w:val="24"/>
        </w:rPr>
        <w:t>.</w:t>
      </w:r>
      <w:r w:rsidR="00AF515D" w:rsidRPr="00EE24D4">
        <w:rPr>
          <w:sz w:val="24"/>
          <w:szCs w:val="24"/>
        </w:rPr>
        <w:t xml:space="preserve"> </w:t>
      </w:r>
      <w:r w:rsidR="00B00E9A" w:rsidRPr="00EE24D4">
        <w:rPr>
          <w:sz w:val="24"/>
          <w:szCs w:val="24"/>
        </w:rPr>
        <w:t>None of her</w:t>
      </w:r>
      <w:r w:rsidR="00053C1A" w:rsidRPr="00EE24D4">
        <w:rPr>
          <w:sz w:val="24"/>
          <w:szCs w:val="24"/>
        </w:rPr>
        <w:t xml:space="preserve"> first-degree relatives show</w:t>
      </w:r>
      <w:r w:rsidR="003433B0" w:rsidRPr="00EE24D4">
        <w:rPr>
          <w:sz w:val="24"/>
          <w:szCs w:val="24"/>
        </w:rPr>
        <w:t>ed</w:t>
      </w:r>
      <w:r w:rsidR="00053C1A" w:rsidRPr="00EE24D4">
        <w:rPr>
          <w:sz w:val="24"/>
          <w:szCs w:val="24"/>
        </w:rPr>
        <w:t xml:space="preserve"> evidence of disease</w:t>
      </w:r>
      <w:r w:rsidR="00AF515D" w:rsidRPr="00EE24D4">
        <w:rPr>
          <w:sz w:val="24"/>
          <w:szCs w:val="24"/>
        </w:rPr>
        <w:t xml:space="preserve"> or the same pathogenic mutation.</w:t>
      </w:r>
      <w:r w:rsidR="00053C1A" w:rsidRPr="00EE24D4">
        <w:rPr>
          <w:sz w:val="24"/>
          <w:szCs w:val="24"/>
        </w:rPr>
        <w:t xml:space="preserve"> It is plausible that the young girl tragically developed a malignant arrhythmogenic phenotype of disease prior to developing overt cardiomyopathy.</w:t>
      </w:r>
      <w:r w:rsidR="00053C1A" w:rsidRPr="000F27B6">
        <w:rPr>
          <w:sz w:val="24"/>
          <w:szCs w:val="24"/>
        </w:rPr>
        <w:t xml:space="preserve"> </w:t>
      </w:r>
      <w:r w:rsidR="00E53E21" w:rsidRPr="000F27B6">
        <w:rPr>
          <w:sz w:val="24"/>
          <w:szCs w:val="24"/>
        </w:rPr>
        <w:t>We did not find any other mimics of HCM.</w:t>
      </w:r>
    </w:p>
    <w:p w14:paraId="1648CE58" w14:textId="77777777" w:rsidR="00053C1A" w:rsidRPr="000F27B6" w:rsidRDefault="00AA0B22" w:rsidP="008F66EC">
      <w:pPr>
        <w:spacing w:line="480" w:lineRule="auto"/>
        <w:rPr>
          <w:b/>
          <w:sz w:val="24"/>
          <w:szCs w:val="24"/>
        </w:rPr>
      </w:pPr>
      <w:r w:rsidRPr="000F27B6">
        <w:rPr>
          <w:b/>
          <w:sz w:val="24"/>
          <w:szCs w:val="24"/>
        </w:rPr>
        <w:t>Significance of idiopathic LVH</w:t>
      </w:r>
    </w:p>
    <w:p w14:paraId="4B3556EC" w14:textId="37D1DBE3" w:rsidR="008F66EC" w:rsidRPr="000F27B6" w:rsidRDefault="00053C1A" w:rsidP="008F66EC">
      <w:pPr>
        <w:spacing w:line="480" w:lineRule="auto"/>
        <w:rPr>
          <w:sz w:val="24"/>
          <w:szCs w:val="24"/>
        </w:rPr>
      </w:pPr>
      <w:r w:rsidRPr="000F27B6">
        <w:rPr>
          <w:sz w:val="24"/>
          <w:szCs w:val="24"/>
        </w:rPr>
        <w:t xml:space="preserve">Our observations suggest that idiopathic LVH is a separate entity from conventional HCM, which raises questions about the pathogenesis of idiopathic LVH. In contrast with </w:t>
      </w:r>
      <w:r w:rsidR="008C6C20">
        <w:rPr>
          <w:sz w:val="24"/>
          <w:szCs w:val="24"/>
        </w:rPr>
        <w:t>no</w:t>
      </w:r>
      <w:r w:rsidR="008B1C92">
        <w:rPr>
          <w:sz w:val="24"/>
          <w:szCs w:val="24"/>
        </w:rPr>
        <w:t>ne of the first-degree relatives being</w:t>
      </w:r>
      <w:r w:rsidR="008C6C20">
        <w:rPr>
          <w:sz w:val="24"/>
          <w:szCs w:val="24"/>
        </w:rPr>
        <w:t xml:space="preserve"> diagnose</w:t>
      </w:r>
      <w:r w:rsidR="008B1C92">
        <w:rPr>
          <w:sz w:val="24"/>
          <w:szCs w:val="24"/>
        </w:rPr>
        <w:t>d</w:t>
      </w:r>
      <w:r w:rsidR="008C6C20">
        <w:rPr>
          <w:sz w:val="24"/>
          <w:szCs w:val="24"/>
        </w:rPr>
        <w:t xml:space="preserve"> </w:t>
      </w:r>
      <w:r w:rsidR="008B1C92">
        <w:rPr>
          <w:sz w:val="24"/>
          <w:szCs w:val="24"/>
        </w:rPr>
        <w:t>with</w:t>
      </w:r>
      <w:r w:rsidR="008C6C20">
        <w:rPr>
          <w:sz w:val="24"/>
          <w:szCs w:val="24"/>
        </w:rPr>
        <w:t xml:space="preserve"> </w:t>
      </w:r>
      <w:r w:rsidRPr="000F27B6">
        <w:rPr>
          <w:sz w:val="24"/>
          <w:szCs w:val="24"/>
        </w:rPr>
        <w:t xml:space="preserve">HCM, we found a </w:t>
      </w:r>
      <w:r w:rsidR="00BF33B5" w:rsidRPr="000F27B6">
        <w:rPr>
          <w:sz w:val="24"/>
          <w:szCs w:val="24"/>
        </w:rPr>
        <w:t>2</w:t>
      </w:r>
      <w:r w:rsidRPr="000F27B6">
        <w:rPr>
          <w:sz w:val="24"/>
          <w:szCs w:val="24"/>
        </w:rPr>
        <w:t>3%</w:t>
      </w:r>
      <w:r w:rsidR="008B1C92">
        <w:rPr>
          <w:sz w:val="24"/>
          <w:szCs w:val="24"/>
        </w:rPr>
        <w:t xml:space="preserve"> clinical diagnostic</w:t>
      </w:r>
      <w:r w:rsidRPr="000F27B6">
        <w:rPr>
          <w:sz w:val="24"/>
          <w:szCs w:val="24"/>
        </w:rPr>
        <w:t xml:space="preserve"> yield of inherited arrhythmia syndromes in family members of decedents with idiopathic LVH and a 14% yield of pathogenic variants in genes encoding cardiac myocyte ion channels at molecular autopsy. </w:t>
      </w:r>
      <w:r w:rsidR="008F66EC" w:rsidRPr="000F27B6">
        <w:rPr>
          <w:sz w:val="24"/>
          <w:szCs w:val="24"/>
        </w:rPr>
        <w:t xml:space="preserve"> Specifically, Brugada syndrome was the</w:t>
      </w:r>
      <w:r w:rsidR="001302A9">
        <w:rPr>
          <w:sz w:val="24"/>
          <w:szCs w:val="24"/>
        </w:rPr>
        <w:t xml:space="preserve"> most</w:t>
      </w:r>
      <w:r w:rsidR="008F66EC" w:rsidRPr="000F27B6">
        <w:rPr>
          <w:sz w:val="24"/>
          <w:szCs w:val="24"/>
        </w:rPr>
        <w:t xml:space="preserve"> common diagnosis, followed by long QT syndrome. It is possible that idiopathic LVH may be a </w:t>
      </w:r>
      <w:r w:rsidR="0024220A">
        <w:rPr>
          <w:sz w:val="24"/>
          <w:szCs w:val="24"/>
        </w:rPr>
        <w:t>modifier of the risk</w:t>
      </w:r>
      <w:r w:rsidR="008F66EC" w:rsidRPr="000F27B6">
        <w:rPr>
          <w:sz w:val="24"/>
          <w:szCs w:val="24"/>
        </w:rPr>
        <w:t xml:space="preserve"> for fatal arrhythmias in the context of a </w:t>
      </w:r>
      <w:r w:rsidR="0024220A">
        <w:rPr>
          <w:sz w:val="24"/>
          <w:szCs w:val="24"/>
        </w:rPr>
        <w:t>channelopathy</w:t>
      </w:r>
      <w:r w:rsidR="008F66EC" w:rsidRPr="000F27B6">
        <w:rPr>
          <w:sz w:val="24"/>
          <w:szCs w:val="24"/>
        </w:rPr>
        <w:t xml:space="preserve"> by altering ion channel </w:t>
      </w:r>
      <w:r w:rsidR="0024220A">
        <w:rPr>
          <w:sz w:val="24"/>
          <w:szCs w:val="24"/>
        </w:rPr>
        <w:t>expression</w:t>
      </w:r>
      <w:r w:rsidR="008F66EC" w:rsidRPr="000F27B6">
        <w:rPr>
          <w:sz w:val="24"/>
          <w:szCs w:val="24"/>
        </w:rPr>
        <w:t xml:space="preserve"> or promoting QT dispersion and premature ventricular complexes</w:t>
      </w:r>
      <w:r w:rsidR="00DD5FC2" w:rsidRPr="000F27B6">
        <w:rPr>
          <w:sz w:val="24"/>
          <w:szCs w:val="24"/>
        </w:rPr>
        <w:fldChar w:fldCharType="begin" w:fldLock="1"/>
      </w:r>
      <w:r w:rsidR="00784852">
        <w:rPr>
          <w:sz w:val="24"/>
          <w:szCs w:val="24"/>
        </w:rPr>
        <w:instrText>ADDIN CSL_CITATION {"citationItems":[{"id":"ITEM-1","itemData":{"DOI":"10.1093/eurheartj/ehy247","ISSN":"1522-9645","PMID":"29718149","abstract":"Aims Management of patients with inherited cardiac ion channelopathy is hindered by variability in disease severity and sudden cardiac death (SCD) risk. Here, we investigated the modulatory role of hypertrophy on arrhythmia and SCD risk in sodium channelopathy. Methods and results Follow-up data was collected from 164 individuals positive for the SCN5A-1795insD founder mutation and 247 mutation-negative relatives. A total of 38 (obligate) mutation-positive patients died suddenly or suffered life-threatening ventricular arrhythmia. Of these, 18 were aged &gt;40 years, a high proportion of which had a clinical diagnosis of hypertension and/or cardiac hypertrophy. While pacemaker implantation was highly protective in preventing bradycardia-related SCD in young mutation-positive patients, seven of them aged &gt;40 experienced life-threatening arrhythmic events despite pacemaker treatment. Of these, six had a diagnosis of hypertension/hypertrophy, pointing to a modulatory role of this co-morbidity. Induction of hypertrophy in adult mice carrying the homologous mutation (Scn5a1798insD/+) caused SCD and excessive conduction disturbances, confirming a modulatory effect of hypertrophy in the setting of the mutation. The deleterious effects of the interaction between hypertrophy and the mutation were prevented by genetically impairing the pro-hypertrophic response and by pharmacological inhibition of the enhanced late sodium current associated with the mutation. Conclusion This study provides the first evidence for a modulatory effect of co-existing cardiac hypertrophy on arrhythmia risk and treatment efficacy in inherited sodium channelopathy. Our findings emphasize the need for continued assessment and rigorous treatment of this co-morbidity in SCN5A mutation-positive individuals.","author":[{"dropping-particle":"","family":"Rivaud","given":"Mathilde R","non-dropping-particle":"","parse-names":false,"suffix":""},{"dropping-particle":"","family":"Jansen","given":"John A","non-dropping-particle":"","parse-names":false,"suffix":""},{"dropping-particle":"","family":"Postema","given":"Pieter G","non-dropping-particle":"","parse-names":false,"suffix":""},{"dropping-particle":"","family":"Nannenberg","given":"Eline A","non-dropping-particle":"","parse-names":false,"suffix":""},{"dropping-particle":"","family":"Mizusawa","given":"Yuka","non-dropping-particle":"","parse-names":false,"suffix":""},{"dropping-particle":"","family":"Nagel","given":"Roel","non-dropping-particle":"van der","parse-names":false,"suffix":""},{"dropping-particle":"","family":"Wolswinkel","given":"Rianne","non-dropping-particle":"","parse-names":false,"suffix":""},{"dropping-particle":"","family":"Made","given":"Ingeborg","non-dropping-particle":"van der","parse-names":false,"suffix":""},{"dropping-particle":"","family":"Marchal","given":"Gerard A","non-dropping-particle":"","parse-names":false,"suffix":""},{"dropping-particle":"","family":"Rajamani","given":"Sridharan","non-dropping-particle":"","parse-names":false,"suffix":""},{"dropping-particle":"","family":"Belardinelli","given":"Luiz","non-dropping-particle":"","parse-names":false,"suffix":""},{"dropping-particle":"","family":"Tintelen","given":"J Peter","non-dropping-particle":"van","parse-names":false,"suffix":""},{"dropping-particle":"","family":"Tanck","given":"Michael W T","non-dropping-particle":"","parse-names":false,"suffix":""},{"dropping-particle":"","family":"Wal","given":"Allard C","non-dropping-particle":"van der","parse-names":false,"suffix":""},{"dropping-particle":"","family":"Bakker","given":"Jacques M T","non-dropping-particle":"de","parse-names":false,"suffix":""},{"dropping-particle":"V","family":"Rijen","given":"Harold","non-dropping-particle":"van","parse-names":false,"suffix":""},{"dropping-particle":"","family":"Creemers","given":"Esther E","non-dropping-particle":"","parse-names":false,"suffix":""},{"dropping-particle":"","family":"Wilde","given":"Arthur A M","non-dropping-particle":"","parse-names":false,"suffix":""},{"dropping-particle":"","family":"Berg","given":"Maarten P","non-dropping-particle":"van den","parse-names":false,"suffix":""},{"dropping-particle":"","family":"Veen","given":"Toon A B","non-dropping-particle":"van","parse-names":false,"suffix":""},{"dropping-particle":"","family":"Bezzina","given":"Connie R","non-dropping-particle":"","parse-names":false,"suffix":""},{"dropping-particle":"","family":"Remme","given":"Carol Ann","non-dropping-particle":"","parse-names":false,"suffix":""}],"container-title":"European heart journal","id":"ITEM-1","issue":"31","issued":{"date-parts":[["2018","8","14"]]},"page":"2898-2907","title":"A common co-morbidity modulates disease expression and treatment efficacy in inherited cardiac sodium channelopathy.","type":"article-journal","volume":"39"},"uris":["http://www.mendeley.com/documents/?uuid=f3bf0ab6-b0c4-4347-a548-25dba9ac8abd"]},{"id":"ITEM-2","itemData":{"ISSN":"0263-6352","PMID":"11593111","abstract":"OBJECTIVE In hypertensive patients, left ventricular hypertrophy (LVH) predicts increased mortality, in part due to an increased incidence of sudden death. Repolarization-related arrhythmogenesis may be an important mechanism of sudden death in hypertensive patients with LVH. Increased QT interval and QT dispersion are electrocardiographic (ECG) measures of ventricular repolarization, and also risk markers for ventricular tachyarrhythmias. We assessed the relation of QT intervals and QT dispersion to echocardiographically determined left ventricular (LV) mass and geometry in a large population of hypertensive patients with ECG evidence of LVH. METHODS QT intervals and QT dispersion were determined from baseline 12-lead ECGs in 577 (57% male; mean age 65 +/- 7 years) participants in the LIFE study. LV mass index (LVMI) and geometric pattern were determined by echocardiography and QT interval duration and QT dispersion were assessed in relation to gender-specific LVMI quartiles. RESULTS In both genders, increasing LVMI was associated with longer rate-adjusted QT intervals. QT dispersion measures showed a weaker association with LVMI quartiles. Both concentric and eccentric LVH were associated with increased QT interval duration and QT dispersion. These relations remained significant after controlling for relevant clinical variables. CONCLUSIONS In hypertensive patients with ECG evidence of LVH, increased LVMI and LVH are associated with a prolonged QT interval and increased QT dispersion. These findings suggest that an increased vulnerability to repolarization-related ventricular arrhythmias might in part explain the increased risk of sudden death in hypertensive patients with increased LV mass.","author":[{"dropping-particle":"","family":"Oikarinen","given":"L","non-dropping-particle":"","parse-names":false,"suffix":""},{"dropping-particle":"","family":"Nieminen","given":"M S","non-dropping-particle":"","parse-names":false,"suffix":""},{"dropping-particle":"","family":"Viitasalo","given":"M","non-dropping-particle":"","parse-names":false,"suffix":""},{"dropping-particle":"","family":"Toivonen","given":"L","non-dropping-particle":"","parse-names":false,"suffix":""},{"dropping-particle":"","family":"Wachtell","given":"K","non-dropping-particle":"","parse-names":false,"suffix":""},{"dropping-particle":"","family":"Papademetriou","given":"V","non-dropping-particle":"","parse-names":false,"suffix":""},{"dropping-particle":"","family":"Jern","given":"S","non-dropping-particle":"","parse-names":false,"suffix":""},{"dropping-particle":"","family":"Dahlöf","given":"B","non-dropping-particle":"","parse-names":false,"suffix":""},{"dropping-particle":"","family":"Devereux","given":"R B","non-dropping-particle":"","parse-names":false,"suffix":""},{"dropping-particle":"","family":"Okin","given":"P M","non-dropping-particle":"","parse-names":false,"suffix":""}],"container-title":"Journal of hypertension","id":"ITEM-2","issue":"10","issued":{"date-parts":[["2001","10"]]},"page":"1883-91","title":"Relation of QT interval and QT dispersion to echocardiographic left ventricular hypertrophy and geometric pattern in hypertensive patients. The LIFE study. The Losartan Intervention For Endpoint Reduction.","type":"article-journal","volume":"19"},"uris":["http://www.mendeley.com/documents/?uuid=47c095f3-afc2-40b7-bdbe-7cd3de0c56b2"]}],"mendeley":{"formattedCitation":"&lt;sup&gt;41,42&lt;/sup&gt;","plainTextFormattedCitation":"41,42","previouslyFormattedCitation":"&lt;sup&gt;42,43&lt;/sup&gt;"},"properties":{"noteIndex":0},"schema":"https://github.com/citation-style-language/schema/raw/master/csl-citation.json"}</w:instrText>
      </w:r>
      <w:r w:rsidR="00DD5FC2" w:rsidRPr="000F27B6">
        <w:rPr>
          <w:sz w:val="24"/>
          <w:szCs w:val="24"/>
        </w:rPr>
        <w:fldChar w:fldCharType="separate"/>
      </w:r>
      <w:r w:rsidR="00784852" w:rsidRPr="00784852">
        <w:rPr>
          <w:noProof/>
          <w:sz w:val="24"/>
          <w:szCs w:val="24"/>
          <w:vertAlign w:val="superscript"/>
        </w:rPr>
        <w:t>41,42</w:t>
      </w:r>
      <w:r w:rsidR="00DD5FC2" w:rsidRPr="000F27B6">
        <w:rPr>
          <w:sz w:val="24"/>
          <w:szCs w:val="24"/>
        </w:rPr>
        <w:fldChar w:fldCharType="end"/>
      </w:r>
      <w:r w:rsidR="008F66EC" w:rsidRPr="000F27B6">
        <w:rPr>
          <w:sz w:val="24"/>
          <w:szCs w:val="24"/>
        </w:rPr>
        <w:t xml:space="preserve">. A recent study showed that individuals harbouring a pathogenic </w:t>
      </w:r>
      <w:r w:rsidR="0024220A">
        <w:rPr>
          <w:sz w:val="24"/>
          <w:szCs w:val="24"/>
        </w:rPr>
        <w:t>variant</w:t>
      </w:r>
      <w:r w:rsidR="008F66EC" w:rsidRPr="000F27B6">
        <w:rPr>
          <w:sz w:val="24"/>
          <w:szCs w:val="24"/>
        </w:rPr>
        <w:t xml:space="preserve"> in the SCN5A gene were more likely to experience sudden death in the context of  hypertension and/or LVH, suggesting that myocardial hypertrophy </w:t>
      </w:r>
      <w:r w:rsidR="008B1C92">
        <w:rPr>
          <w:sz w:val="24"/>
          <w:szCs w:val="24"/>
        </w:rPr>
        <w:t>may</w:t>
      </w:r>
      <w:r w:rsidR="008F66EC" w:rsidRPr="000F27B6">
        <w:rPr>
          <w:sz w:val="24"/>
          <w:szCs w:val="24"/>
        </w:rPr>
        <w:t xml:space="preserve"> exert a  modulatory effect  on the risk of fatal arrhythmias </w:t>
      </w:r>
      <w:r w:rsidR="008F66EC" w:rsidRPr="000F27B6">
        <w:rPr>
          <w:sz w:val="24"/>
          <w:szCs w:val="24"/>
        </w:rPr>
        <w:fldChar w:fldCharType="begin" w:fldLock="1"/>
      </w:r>
      <w:r w:rsidR="00784852">
        <w:rPr>
          <w:sz w:val="24"/>
          <w:szCs w:val="24"/>
        </w:rPr>
        <w:instrText>ADDIN CSL_CITATION {"citationItems":[{"id":"ITEM-1","itemData":{"DOI":"10.1093/eurheartj/ehy247","ISSN":"1522-9645","PMID":"29718149","abstract":"Aims Management of patients with inherited cardiac ion channelopathy is hindered by variability in disease severity and sudden cardiac death (SCD) risk. Here, we investigated the modulatory role of hypertrophy on arrhythmia and SCD risk in sodium channelopathy. Methods and results Follow-up data was collected from 164 individuals positive for the SCN5A-1795insD founder mutation and 247 mutation-negative relatives. A total of 38 (obligate) mutation-positive patients died suddenly or suffered life-threatening ventricular arrhythmia. Of these, 18 were aged &gt;40 years, a high proportion of which had a clinical diagnosis of hypertension and/or cardiac hypertrophy. While pacemaker implantation was highly protective in preventing bradycardia-related SCD in young mutation-positive patients, seven of them aged &gt;40 experienced life-threatening arrhythmic events despite pacemaker treatment. Of these, six had a diagnosis of hypertension/hypertrophy, pointing to a modulatory role of this co-morbidity. Induction of hypertrophy in adult mice carrying the homologous mutation (Scn5a1798insD/+) caused SCD and excessive conduction disturbances, confirming a modulatory effect of hypertrophy in the setting of the mutation. The deleterious effects of the interaction between hypertrophy and the mutation were prevented by genetically impairing the pro-hypertrophic response and by pharmacological inhibition of the enhanced late sodium current associated with the mutation. Conclusion This study provides the first evidence for a modulatory effect of co-existing cardiac hypertrophy on arrhythmia risk and treatment efficacy in inherited sodium channelopathy. Our findings emphasize the need for continued assessment and rigorous treatment of this co-morbidity in SCN5A mutation-positive individuals.","author":[{"dropping-particle":"","family":"Rivaud","given":"Mathilde R","non-dropping-particle":"","parse-names":false,"suffix":""},{"dropping-particle":"","family":"Jansen","given":"John A","non-dropping-particle":"","parse-names":false,"suffix":""},{"dropping-particle":"","family":"Postema","given":"Pieter G","non-dropping-particle":"","parse-names":false,"suffix":""},{"dropping-particle":"","family":"Nannenberg","given":"Eline A","non-dropping-particle":"","parse-names":false,"suffix":""},{"dropping-particle":"","family":"Mizusawa","given":"Yuka","non-dropping-particle":"","parse-names":false,"suffix":""},{"dropping-particle":"","family":"Nagel","given":"Roel","non-dropping-particle":"van der","parse-names":false,"suffix":""},{"dropping-particle":"","family":"Wolswinkel","given":"Rianne","non-dropping-particle":"","parse-names":false,"suffix":""},{"dropping-particle":"","family":"Made","given":"Ingeborg","non-dropping-particle":"van der","parse-names":false,"suffix":""},{"dropping-particle":"","family":"Marchal","given":"Gerard A","non-dropping-particle":"","parse-names":false,"suffix":""},{"dropping-particle":"","family":"Rajamani","given":"Sridharan","non-dropping-particle":"","parse-names":false,"suffix":""},{"dropping-particle":"","family":"Belardinelli","given":"Luiz","non-dropping-particle":"","parse-names":false,"suffix":""},{"dropping-particle":"","family":"Tintelen","given":"J Peter","non-dropping-particle":"van","parse-names":false,"suffix":""},{"dropping-particle":"","family":"Tanck","given":"Michael W T","non-dropping-particle":"","parse-names":false,"suffix":""},{"dropping-particle":"","family":"Wal","given":"Allard C","non-dropping-particle":"van der","parse-names":false,"suffix":""},{"dropping-particle":"","family":"Bakker","given":"Jacques M T","non-dropping-particle":"de","parse-names":false,"suffix":""},{"dropping-particle":"V","family":"Rijen","given":"Harold","non-dropping-particle":"van","parse-names":false,"suffix":""},{"dropping-particle":"","family":"Creemers","given":"Esther E","non-dropping-particle":"","parse-names":false,"suffix":""},{"dropping-particle":"","family":"Wilde","given":"Arthur A M","non-dropping-particle":"","parse-names":false,"suffix":""},{"dropping-particle":"","family":"Berg","given":"Maarten P","non-dropping-particle":"van den","parse-names":false,"suffix":""},{"dropping-particle":"","family":"Veen","given":"Toon A B","non-dropping-particle":"van","parse-names":false,"suffix":""},{"dropping-particle":"","family":"Bezzina","given":"Connie R","non-dropping-particle":"","parse-names":false,"suffix":""},{"dropping-particle":"","family":"Remme","given":"Carol Ann","non-dropping-particle":"","parse-names":false,"suffix":""}],"container-title":"European heart journal","id":"ITEM-1","issue":"31","issued":{"date-parts":[["2018","8","14"]]},"page":"2898-2907","title":"A common co-morbidity modulates disease expression and treatment efficacy in inherited cardiac sodium channelopathy.","type":"article-journal","volume":"39"},"uris":["http://www.mendeley.com/documents/?uuid=f3bf0ab6-b0c4-4347-a548-25dba9ac8abd"]}],"mendeley":{"formattedCitation":"&lt;sup&gt;41&lt;/sup&gt;","plainTextFormattedCitation":"41","previouslyFormattedCitation":"&lt;sup&gt;42&lt;/sup&gt;"},"properties":{"noteIndex":0},"schema":"https://github.com/citation-style-language/schema/raw/master/csl-citation.json"}</w:instrText>
      </w:r>
      <w:r w:rsidR="008F66EC" w:rsidRPr="000F27B6">
        <w:rPr>
          <w:sz w:val="24"/>
          <w:szCs w:val="24"/>
        </w:rPr>
        <w:fldChar w:fldCharType="separate"/>
      </w:r>
      <w:r w:rsidR="00784852" w:rsidRPr="00784852">
        <w:rPr>
          <w:noProof/>
          <w:sz w:val="24"/>
          <w:szCs w:val="24"/>
          <w:vertAlign w:val="superscript"/>
        </w:rPr>
        <w:t>41</w:t>
      </w:r>
      <w:r w:rsidR="008F66EC" w:rsidRPr="000F27B6">
        <w:rPr>
          <w:sz w:val="24"/>
          <w:szCs w:val="24"/>
        </w:rPr>
        <w:fldChar w:fldCharType="end"/>
      </w:r>
      <w:r w:rsidR="008F66EC" w:rsidRPr="000F27B6">
        <w:rPr>
          <w:sz w:val="24"/>
          <w:szCs w:val="24"/>
        </w:rPr>
        <w:t xml:space="preserve">. </w:t>
      </w:r>
    </w:p>
    <w:p w14:paraId="3E7BF561" w14:textId="5855613D" w:rsidR="008F66EC" w:rsidRPr="000F27B6" w:rsidRDefault="006B5D1A" w:rsidP="008F66EC">
      <w:pPr>
        <w:spacing w:line="480" w:lineRule="auto"/>
        <w:rPr>
          <w:sz w:val="24"/>
          <w:szCs w:val="24"/>
        </w:rPr>
      </w:pPr>
      <w:r w:rsidRPr="000F27B6">
        <w:rPr>
          <w:sz w:val="24"/>
          <w:szCs w:val="24"/>
        </w:rPr>
        <w:lastRenderedPageBreak/>
        <w:t xml:space="preserve">We were unable to identify monogenic </w:t>
      </w:r>
      <w:r>
        <w:rPr>
          <w:sz w:val="24"/>
          <w:szCs w:val="24"/>
        </w:rPr>
        <w:t>disease</w:t>
      </w:r>
      <w:r w:rsidRPr="000F27B6">
        <w:rPr>
          <w:sz w:val="24"/>
          <w:szCs w:val="24"/>
        </w:rPr>
        <w:t>s in 70% of families suggesting that idiopathic LVH</w:t>
      </w:r>
      <w:r>
        <w:rPr>
          <w:sz w:val="24"/>
          <w:szCs w:val="24"/>
        </w:rPr>
        <w:t xml:space="preserve"> may also be</w:t>
      </w:r>
      <w:r w:rsidRPr="000F27B6">
        <w:rPr>
          <w:sz w:val="24"/>
          <w:szCs w:val="24"/>
        </w:rPr>
        <w:t xml:space="preserve"> acquired</w:t>
      </w:r>
      <w:r w:rsidR="008B1C92">
        <w:rPr>
          <w:sz w:val="24"/>
          <w:szCs w:val="24"/>
        </w:rPr>
        <w:t>, or,</w:t>
      </w:r>
      <w:r w:rsidRPr="000F27B6">
        <w:rPr>
          <w:sz w:val="24"/>
          <w:szCs w:val="24"/>
        </w:rPr>
        <w:t xml:space="preserve"> result from an interplay between </w:t>
      </w:r>
      <w:r>
        <w:rPr>
          <w:sz w:val="24"/>
          <w:szCs w:val="24"/>
        </w:rPr>
        <w:t>a polygenic genetic background</w:t>
      </w:r>
      <w:r w:rsidRPr="000F27B6">
        <w:rPr>
          <w:sz w:val="24"/>
          <w:szCs w:val="24"/>
        </w:rPr>
        <w:t xml:space="preserve"> and environmental factors</w:t>
      </w:r>
      <w:r w:rsidR="004E6043" w:rsidRPr="000F27B6">
        <w:rPr>
          <w:sz w:val="24"/>
          <w:szCs w:val="24"/>
        </w:rPr>
        <w:t xml:space="preserve">. </w:t>
      </w:r>
      <w:r w:rsidR="008F66EC" w:rsidRPr="000F27B6">
        <w:rPr>
          <w:sz w:val="24"/>
          <w:szCs w:val="24"/>
        </w:rPr>
        <w:t xml:space="preserve">Almost one third of our </w:t>
      </w:r>
      <w:r w:rsidR="00194593" w:rsidRPr="000F27B6">
        <w:rPr>
          <w:sz w:val="24"/>
          <w:szCs w:val="24"/>
        </w:rPr>
        <w:t>decedents</w:t>
      </w:r>
      <w:r w:rsidR="008F66EC" w:rsidRPr="000F27B6">
        <w:rPr>
          <w:sz w:val="24"/>
          <w:szCs w:val="24"/>
        </w:rPr>
        <w:t xml:space="preserve"> were competitive athletes. Long-standing vigorous exercise may result in pathological</w:t>
      </w:r>
      <w:r w:rsidR="005C5412">
        <w:rPr>
          <w:sz w:val="24"/>
          <w:szCs w:val="24"/>
        </w:rPr>
        <w:t xml:space="preserve"> remodelling of</w:t>
      </w:r>
      <w:r w:rsidR="008F66EC" w:rsidRPr="000F27B6">
        <w:rPr>
          <w:sz w:val="24"/>
          <w:szCs w:val="24"/>
        </w:rPr>
        <w:t xml:space="preserve">  the heart</w:t>
      </w:r>
      <w:r w:rsidR="005C5412">
        <w:rPr>
          <w:sz w:val="24"/>
          <w:szCs w:val="24"/>
        </w:rPr>
        <w:t>.</w:t>
      </w:r>
      <w:r w:rsidR="008F66EC" w:rsidRPr="000F27B6">
        <w:rPr>
          <w:sz w:val="24"/>
          <w:szCs w:val="24"/>
        </w:rPr>
        <w:t xml:space="preserve"> </w:t>
      </w:r>
      <w:r w:rsidR="005C5412">
        <w:rPr>
          <w:sz w:val="24"/>
          <w:szCs w:val="24"/>
        </w:rPr>
        <w:t>R</w:t>
      </w:r>
      <w:r w:rsidR="008F66EC" w:rsidRPr="000F27B6">
        <w:rPr>
          <w:sz w:val="24"/>
          <w:szCs w:val="24"/>
        </w:rPr>
        <w:t>epeated bouts of life-long endurance exercise</w:t>
      </w:r>
      <w:r w:rsidR="005C5412">
        <w:rPr>
          <w:sz w:val="24"/>
          <w:szCs w:val="24"/>
        </w:rPr>
        <w:t xml:space="preserve"> have</w:t>
      </w:r>
      <w:r w:rsidR="008F66EC" w:rsidRPr="000F27B6">
        <w:rPr>
          <w:sz w:val="24"/>
          <w:szCs w:val="24"/>
        </w:rPr>
        <w:t xml:space="preserve">  be</w:t>
      </w:r>
      <w:r w:rsidR="005C5412">
        <w:rPr>
          <w:sz w:val="24"/>
          <w:szCs w:val="24"/>
        </w:rPr>
        <w:t>en</w:t>
      </w:r>
      <w:r w:rsidR="008F66EC" w:rsidRPr="000F27B6">
        <w:rPr>
          <w:sz w:val="24"/>
          <w:szCs w:val="24"/>
        </w:rPr>
        <w:t xml:space="preserve"> associated </w:t>
      </w:r>
      <w:r w:rsidR="005C5412">
        <w:rPr>
          <w:sz w:val="24"/>
          <w:szCs w:val="24"/>
        </w:rPr>
        <w:t>myocardial fibrosis within the left ventricle and may predispose to  fatal arrhythmias</w:t>
      </w:r>
      <w:r w:rsidR="00DC009D">
        <w:rPr>
          <w:sz w:val="24"/>
          <w:szCs w:val="24"/>
        </w:rPr>
        <w:fldChar w:fldCharType="begin" w:fldLock="1"/>
      </w:r>
      <w:r w:rsidR="00784852">
        <w:rPr>
          <w:sz w:val="24"/>
          <w:szCs w:val="24"/>
        </w:rPr>
        <w:instrText>ADDIN CSL_CITATION {"citationItems":[{"id":"ITEM-1","itemData":{"DOI":"10.1016/j.jcmg.2017.09.016","ISSN":"1876-7591","PMID":"29248656","abstract":"OBJECTIVES This study analyzed the presence of myocardial fibrosis detected by late gadolinium-enhancement (LGE) cardiac magnetic resonance (CMR) in correlation with the performance of competitive triathletes objectified by an exercise test and individual competition history. BACKGROUND Myocardial fibrosis detected by LGE CMR has been reported to occur in 0% to 50% of asymptomatic athletes. However, the cause and mechanisms of myocardial fibrosis are unclear. METHODS Eighty-three asymptomatic triathletes undergoing &gt;10 training h per week (43 ± 10 years of age; 65% male) and 36 sedentary controls were studied by using LGE and extracellular volume (ECV) CMR. Parameters of physical fitness were measured by spiroergometry. Triathletes reported their lifetime competition results. RESULTS LGE CMR revealed focal nonischemic myocardial fibrosis in 9 of 54 (17%) male triathletes (LGE+) but in none of the female triathletes (p &lt; 0.05). LGE+ triathletes had higher peak exercise systolic blood pressure (213 ± 24 mm Hg) than LGE- triathletes (194 ± 26 mm Hg; p &lt; 0.05). Furthermore, left ventricular mass index was higher in LGE+ triathletes (93 ± 7 g/m2) than in LGE- triathletes (84 ± 11 g/m2; p &lt; 0.05). ECV in LGE- myocardium was higher in LGE+ triathletes (26.3 ± 1.8%) than in LGE- triathletes (24.4 ± 2.2%; p &lt; 0.05). LGE+ triathletes completed longer cumulative distances in swimming and cycling races and participated more often in middle and Iron Man distances than LGE- triathletes. A cycling race distance of &gt;1,880 km completed during competition had the highest accuracy to predict LGE, with an area under the curve value of 0.876 (p &lt; 0.0001), resulting in high sensitivity (89%) and specificity (79%). Multivariate analysis identified peak exercise systolic blood pressure (p &lt; 0.05) and the swimming race distance (p &lt; 0.01) as independent predictors of LGE presence. CONCLUSIONS Myocardial fibrosis in asymptomatic triathletes seems to be associated with exercise-induced hypertension and the race distances. There appears to be a safe upper limit, beyond which exercise may result in myocardial fibrosis.","author":[{"dropping-particle":"","family":"Tahir","given":"Enver","non-dropping-particle":"","parse-names":false,"suffix":""},{"dropping-particle":"","family":"Starekova","given":"Jitka","non-dropping-particle":"","parse-names":false,"suffix":""},{"dropping-particle":"","family":"Muellerleile","given":"Kai","non-dropping-particle":"","parse-names":false,"suffix":""},{"dropping-particle":"","family":"Stritzky","given":"Alexandra","non-dropping-particle":"von","parse-names":false,"suffix":""},{"dropping-particle":"","family":"Münch","given":"Julia","non-dropping-particle":"","parse-names":false,"suffix":""},{"dropping-particle":"","family":"Avanesov","given":"Maxim","non-dropping-particle":"","parse-names":false,"suffix":""},{"dropping-particle":"","family":"Weinrich","given":"Julius M","non-dropping-particle":"","parse-names":false,"suffix":""},{"dropping-particle":"","family":"Stehning","given":"Christian","non-dropping-particle":"","parse-names":false,"suffix":""},{"dropping-particle":"","family":"Bohnen","given":"Sebastian","non-dropping-particle":"","parse-names":false,"suffix":""},{"dropping-particle":"","family":"Radunski","given":"Ulf K","non-dropping-particle":"","parse-names":false,"suffix":""},{"dropping-particle":"","family":"Freiwald","given":"Eric","non-dropping-particle":"","parse-names":false,"suffix":""},{"dropping-particle":"","family":"Blankenberg","given":"Stefan","non-dropping-particle":"","parse-names":false,"suffix":""},{"dropping-particle":"","family":"Adam","given":"Gerhard","non-dropping-particle":"","parse-names":false,"suffix":""},{"dropping-particle":"","family":"Pressler","given":"Axel","non-dropping-particle":"","parse-names":false,"suffix":""},{"dropping-particle":"","family":"Patten","given":"Monica","non-dropping-particle":"","parse-names":false,"suffix":""},{"dropping-particle":"","family":"Lund","given":"Gunnar K","non-dropping-particle":"","parse-names":false,"suffix":""}],"container-title":"JACC. Cardiovascular imaging","id":"ITEM-1","issued":{"date-parts":[["2017","12","8"]]},"title":"Myocardial Fibrosis in Competitive Triathletes Detected by Contrast-Enhanced CMR Correlates With Exercise-Induced Hypertension and Competition History.","type":"article-journal"},"uris":["http://www.mendeley.com/documents/?uuid=8927431a-4f28-490c-8329-6fa620547b85"]},{"id":"ITEM-2","itemData":{"DOI":"10.1161/CIRCULATIONAHA.116.026964","ISSN":"1524-4539","PMID":"28465287","abstract":"BACKGROUND Studies in middle-age and older (masters) athletes with atherosclerotic risk factors for coronary artery disease report higher coronary artery calcium (CAC) scores compared with sedentary individuals. Few studies have assessed the prevalence of coronary artery disease in masters athletes with a low atherosclerotic risk profile. METHODS We assessed 152 masters athletes 54.4±8.5 years of age (70% male) and 92 controls of similar age, sex, and low Framingham 10-year coronary artery disease risk scores with an echocardiogram, exercise stress test, computerized tomographic coronary angiogram, and cardiovascular magnetic resonance imaging with late gadolinium enhancement and a 24-hour Holter. Athletes had participated in endurance exercise for an average of 31±12.6 years. The majority (77%) were runners, with a median of 13 marathon runs per athlete. RESULTS Most athletes (60%) and controls (63%) had a normal CAC score. Male athletes had a higher prevalence of atherosclerotic plaques of any luminal irregularity (44.3% versus 22.2%; P=0.009) compared with sedentary males, and only male athletes showed a CAC ≥300 Agatston units (11.3%) and a luminal stenosis ≥50% (7.5%). Male athletes demonstrated predominantly calcific plaques (72.7%), whereas sedentary males showed predominantly mixed morphology plaques (61.5%). The number of years of training was the only independent variable associated with increased risk of CAC &gt;70th percentile for age or luminal stenosis ≥50% in male athletes (odds ratio, 1.08; 95% confidence interval, 1.01-1.15; P=0.016); 15 (14%) male athletes but none of the controls revealed late gadolinium enhancement on cardiovascular magnetic resonance imaging. Of these athletes, 7 had a pattern consistent with previous myocardial infarction, including 3(42%) with a luminal stenosis ≥50% in the corresponding artery. CONCLUSIONS Most lifelong masters endurance athletes with a low atherosclerotic risk profile have normal CAC scores. Male athletes are more likely to have a CAC score &gt;300 Agatston units or coronary plaques compared with sedentary males with a similar risk profile. The significance of these observations is uncertain, but the predominantly calcific morphology of the plaques in athletes indicates potentially different pathophysiological mechanisms for plaque formation in athletic versus sedentary men. Coronary plaques are more abundant in athletes, whereas their stable nature could mitigate the risk of plaque rupture and acute …","author":[{"dropping-particle":"","family":"Merghani","given":"Ahmed","non-dropping-particle":"","parse-names":false,"suffix":""},{"dropping-particle":"","family":"Maestrini","given":"Viviana","non-dropping-particle":"","parse-names":false,"suffix":""},{"dropping-particle":"","family":"Rosmini","given":"Stefania","non-dropping-particle":"","parse-names":false,"suffix":""},{"dropping-particle":"","family":"Cox","given":"Andrew T","non-dropping-particle":"","parse-names":false,"suffix":""},{"dropping-particle":"","family":"Dhutia","given":"Harshil","non-dropping-particle":"","parse-names":false,"suffix":""},{"dropping-particle":"","family":"Bastiaenan","given":"Rachel","non-dropping-particle":"","parse-names":false,"suffix":""},{"dropping-particle":"","family":"David","given":"Sarojini","non-dropping-particle":"","parse-names":false,"suffix":""},{"dropping-particle":"","family":"Yeo","given":"Tee Joo","non-dropping-particle":"","parse-names":false,"suffix":""},{"dropping-particle":"","family":"Narain","given":"Rajay","non-dropping-particle":"","parse-names":false,"suffix":""},{"dropping-particle":"","family":"Malhotra","given":"Aneil","non-dropping-particle":"","parse-names":false,"suffix":""},{"dropping-particle":"","family":"Papadakis","given":"Michael","non-dropping-particle":"","parse-names":false,"suffix":""},{"dropping-particle":"","family":"Wilson","given":"Mathew G","non-dropping-particle":"","parse-names":false,"suffix":""},{"dropping-particle":"","family":"Tome","given":"Maite","non-dropping-particle":"","parse-names":false,"suffix":""},{"dropping-particle":"","family":"AlFakih","given":"Khaled","non-dropping-particle":"","parse-names":false,"suffix":""},{"dropping-particle":"","family":"Moon","given":"James C","non-dropping-particle":"","parse-names":false,"suffix":""},{"dropping-particle":"","family":"Sharma","given":"Sanjay","non-dropping-particle":"","parse-names":false,"suffix":""}],"container-title":"Circulation","id":"ITEM-2","issue":"2","issued":{"date-parts":[["2017","7","11"]]},"page":"126-137","title":"Prevalence of Subclinical Coronary Artery Disease in Masters Endurance Athletes With a Low Atherosclerotic Risk Profile.","type":"article-journal","volume":"136"},"uris":["http://www.mendeley.com/documents/?uuid=a1294e24-7af4-4e14-94a0-51dfd6ef7325"]}],"mendeley":{"formattedCitation":"&lt;sup&gt;43,44&lt;/sup&gt;","plainTextFormattedCitation":"43,44","previouslyFormattedCitation":"&lt;sup&gt;44,45&lt;/sup&gt;"},"properties":{"noteIndex":0},"schema":"https://github.com/citation-style-language/schema/raw/master/csl-citation.json"}</w:instrText>
      </w:r>
      <w:r w:rsidR="00DC009D">
        <w:rPr>
          <w:sz w:val="24"/>
          <w:szCs w:val="24"/>
        </w:rPr>
        <w:fldChar w:fldCharType="separate"/>
      </w:r>
      <w:r w:rsidR="00784852" w:rsidRPr="00784852">
        <w:rPr>
          <w:noProof/>
          <w:sz w:val="24"/>
          <w:szCs w:val="24"/>
          <w:vertAlign w:val="superscript"/>
        </w:rPr>
        <w:t>43,44</w:t>
      </w:r>
      <w:r w:rsidR="00DC009D">
        <w:rPr>
          <w:sz w:val="24"/>
          <w:szCs w:val="24"/>
        </w:rPr>
        <w:fldChar w:fldCharType="end"/>
      </w:r>
      <w:r w:rsidR="008F66EC" w:rsidRPr="000F27B6">
        <w:rPr>
          <w:sz w:val="24"/>
          <w:szCs w:val="24"/>
        </w:rPr>
        <w:t>. I</w:t>
      </w:r>
      <w:r w:rsidR="005C5412">
        <w:rPr>
          <w:sz w:val="24"/>
          <w:szCs w:val="24"/>
        </w:rPr>
        <w:t>t is also possible</w:t>
      </w:r>
      <w:r w:rsidR="008F66EC" w:rsidRPr="000F27B6">
        <w:rPr>
          <w:sz w:val="24"/>
          <w:szCs w:val="24"/>
        </w:rPr>
        <w:t xml:space="preserve"> that some athletes may develop pathological</w:t>
      </w:r>
      <w:r w:rsidR="005C5412">
        <w:rPr>
          <w:sz w:val="24"/>
          <w:szCs w:val="24"/>
        </w:rPr>
        <w:t xml:space="preserve"> LVH in response to</w:t>
      </w:r>
      <w:r w:rsidR="008F66EC" w:rsidRPr="000F27B6">
        <w:rPr>
          <w:sz w:val="24"/>
          <w:szCs w:val="24"/>
        </w:rPr>
        <w:t xml:space="preserve">  vigorous exercise</w:t>
      </w:r>
      <w:r w:rsidR="00AC19F1">
        <w:rPr>
          <w:sz w:val="24"/>
          <w:szCs w:val="24"/>
        </w:rPr>
        <w:t xml:space="preserve"> which may be driven by environmental influences and/or</w:t>
      </w:r>
      <w:r w:rsidR="00DC009D">
        <w:rPr>
          <w:sz w:val="24"/>
          <w:szCs w:val="24"/>
        </w:rPr>
        <w:t xml:space="preserve"> </w:t>
      </w:r>
      <w:r w:rsidR="00AC19F1">
        <w:rPr>
          <w:sz w:val="24"/>
          <w:szCs w:val="24"/>
        </w:rPr>
        <w:t>confounding genetic factors</w:t>
      </w:r>
      <w:r w:rsidR="005C5412">
        <w:rPr>
          <w:sz w:val="24"/>
          <w:szCs w:val="24"/>
        </w:rPr>
        <w:t>.</w:t>
      </w:r>
    </w:p>
    <w:p w14:paraId="6593EE59" w14:textId="32FD12C7" w:rsidR="003F2B6F" w:rsidRPr="000F27B6" w:rsidRDefault="003F2B6F" w:rsidP="00AB2E80">
      <w:pPr>
        <w:spacing w:line="480" w:lineRule="auto"/>
        <w:rPr>
          <w:b/>
          <w:sz w:val="24"/>
          <w:szCs w:val="24"/>
        </w:rPr>
      </w:pPr>
      <w:r w:rsidRPr="000F27B6">
        <w:rPr>
          <w:b/>
          <w:sz w:val="24"/>
          <w:szCs w:val="24"/>
        </w:rPr>
        <w:t>The role of the expert cardiac pathologist</w:t>
      </w:r>
    </w:p>
    <w:p w14:paraId="2C95AD57" w14:textId="29F88CF5" w:rsidR="004118D9" w:rsidRPr="000F27B6" w:rsidRDefault="003F2B6F" w:rsidP="00984581">
      <w:pPr>
        <w:spacing w:line="480" w:lineRule="auto"/>
        <w:rPr>
          <w:sz w:val="24"/>
          <w:szCs w:val="24"/>
        </w:rPr>
      </w:pPr>
      <w:r w:rsidRPr="000F27B6">
        <w:rPr>
          <w:sz w:val="24"/>
          <w:szCs w:val="24"/>
        </w:rPr>
        <w:t>Idiopathic LVH may be easily confused with HCM in the absence of a thorough macroscopic and microscopic inspection of the heart. Indeed, some SCD series in athletes have categorised such deaths as probable</w:t>
      </w:r>
      <w:r w:rsidR="009912A7" w:rsidRPr="000F27B6">
        <w:rPr>
          <w:sz w:val="24"/>
          <w:szCs w:val="24"/>
        </w:rPr>
        <w:t xml:space="preserve"> </w:t>
      </w:r>
      <w:r w:rsidRPr="000F27B6">
        <w:rPr>
          <w:sz w:val="24"/>
          <w:szCs w:val="24"/>
        </w:rPr>
        <w:t>HCM deaths</w:t>
      </w:r>
      <w:r w:rsidR="0066024E">
        <w:rPr>
          <w:sz w:val="24"/>
          <w:szCs w:val="24"/>
        </w:rPr>
        <w:fldChar w:fldCharType="begin" w:fldLock="1"/>
      </w:r>
      <w:r w:rsidR="00784852">
        <w:rPr>
          <w:sz w:val="24"/>
          <w:szCs w:val="24"/>
        </w:rPr>
        <w:instrText>ADDIN CSL_CITATION {"citationItems":[{"id":"ITEM-1","itemData":{"DOI":"10.1161/CIRCULATIONAHA.108.804617","ISBN":"1524-4539 (Electronic)\\n0009-7322 (Linking)","ISSN":"0009-7322","PMID":"19221222","abstract":"Background— Sudden deaths in young competitive athletes are highly visible events with substantial impact on the physician and lay communities. However, the magnitude of this public health issue has become a source of controversy.\\nMethods and Results— To estimate the absolute number of sudden deaths in US competitive athletes, we have assembled a large registry over a 27-year period using systematic identification and tracking strategies. A total of 1866 athletes who died suddenly (or survived cardiac arrest), 19±6 years of age, were identified throughout the United States from 1980 to 2006 in 38 diverse sports. Reports were less common during 1980 to 1993 (576 [31%]) than during 1994 to 2006 (1290 [69%], P&lt;0.001) and increased at a rate of 6% per year. Sudden deaths were predominantly due to cardiovascular disease (1049 [56%]), but causes also included blunt trauma that caused structural damage (416 [22%]), commotio cordis (65 [3%]), and heat stroke (46 [2%]). Among the 1049 cardiovascular deaths, the highest number of events in a single year was 76 (2005 and 2006), with an average of 66 deaths per year (range 50 to 76) over the last 6 years; 29% occurred in blacks, 54% in high school students, and 82% with physical exertion during competition/training, whereas only 11% occurred in females (although this increased with time; P=0.023). The most common cardiovascular causes were hypertrophic cardiomyopathy (36%) and congenital coronary artery anomalies (17%).\\nConclusions— In this national registry, the absolute number of cardiovascular sudden deaths in young US athletes was somewhat higher than previous estimates but relatively low nevertheless, with a rate of &lt;100 per year. These data are relevant to the current debate surrounding preparticipation screening programs with ECGs and also suggest the need for systematic and mandatory reporting of athlete sudden deaths to a national registry.","author":[{"dropping-particle":"","family":"Maron","given":"Barry J.","non-dropping-particle":"","parse-names":false,"suffix":""},{"dropping-particle":"","family":"Doerer","given":"Joseph J.","non-dropping-particle":"","parse-names":false,"suffix":""},{"dropping-particle":"","family":"Haas","given":"Tammy S.","non-dropping-particle":"","parse-names":false,"suffix":""},{"dropping-particle":"","family":"Tierney","given":"David M.","non-dropping-particle":"","parse-names":false,"suffix":""},{"dropping-particle":"","family":"Mueller","given":"Frederick O.","non-dropping-particle":"","parse-names":false,"suffix":""}],"container-title":"Circulation","id":"ITEM-1","issue":"8","issued":{"date-parts":[["2009"]]},"page":"1085-1092","title":"Sudden Deaths in Young Competitive Athletes: Analysis of 1866 Deaths in the United States, 1980-2006","type":"article-journal","volume":"119"},"uris":["http://www.mendeley.com/documents/?uuid=95a81f0b-2a77-4f10-8e13-cbb1b8855bed"]},{"id":"ITEM-2","itemData":{"DOI":"10.1097/JSM.0000000000000598","ISSN":"1536-3724","PMID":"29634652","abstract":"OBJECTIVE To determine the etiology of sudden cardiac arrest and death (SCA/D) in competitive athletes through a prospective national surveillance program. DESIGN Sudden cardiac arrest and death cases in middle school, high school, college, and professional athletes were identified from July 2014 to June 2016 through traditional and social media searches, reporting to the National Center for Catastrophic Sports Injury Research, communication with state and national high school associations, review of the Parent Heart Watch database, and search of student-athlete deaths on the NCAA Resolutions List. Autopsy reports and medical records were reviewed by a multidisciplinary panel to determine the underlying cause. SETTING AND PARTICIPANTS US competitive athletes with SCA/D. MAIN OUTCOME MEASURES Etiology of SCA/D. RESULTS A total of 179 cases of SCA/D were identified (74 arrests with survival, 105 deaths): average age 16.6 years (range 11-29), 149 (83.2%) men, 94 (52.5%) whites, and 54 (30.2%) African American. One hundred seventeen (65.4%) had an adjudicated diagnosis, including 83 deaths and 34 survivors. The most common etiologies included hypertrophic cardiomyopathy (19, 16.2%), coronary artery anomalies (16, 13.7%), idiopathic left ventricular hypertrophy/possible cardiomyopathy (13, 11.1%), autopsy-negative sudden unexplained death (8, 6.8%), Wolff-Parkinson-White (8, 6.8%), and long QT syndrome (7, 6.0%). Hypertrophic cardiomyopathy was more common in male basketball (23.3%), football (25%), and African American athletes (30.3%). An estimated 56.4% of cases would likely demonstrate abnormalities on an electrocardiogram. CONCLUSIONS The etiology of SCA/D in competitive athletes involves a wide range of clinical disorders. More robust reporting mechanisms, standardized autopsy protocols, and accurate etiology data are needed to better inform prevention strategies.","author":[{"dropping-particle":"","family":"Peterson","given":"Danielle F","non-dropping-particle":"","parse-names":false,"suffix":""},{"dropping-particle":"","family":"Siebert","given":"David M","non-dropping-particle":"","parse-names":false,"suffix":""},{"dropping-particle":"","family":"Kucera","given":"Kristen L","non-dropping-particle":"","parse-names":false,"suffix":""},{"dropping-particle":"","family":"Thomas","given":"Leah Cox","non-dropping-particle":"","parse-names":false,"suffix":""},{"dropping-particle":"","family":"Maleszewski","given":"Joseph J","non-dropping-particle":"","parse-names":false,"suffix":""},{"dropping-particle":"","family":"Lopez-Anderson","given":"Martha","non-dropping-particle":"","parse-names":false,"suffix":""},{"dropping-particle":"","family":"Suchsland","given":"Monica Z","non-dropping-particle":"","parse-names":false,"suffix":""},{"dropping-particle":"","family":"Harmon","given":"Kimberly G","non-dropping-particle":"","parse-names":false,"suffix":""},{"dropping-particle":"","family":"Drezner","given":"Jonathan A","non-dropping-particle":"","parse-names":false,"suffix":""}],"container-title":"Clinical journal of sport medicine : official journal of the Canadian Academy of Sport Medicine","id":"ITEM-2","issued":{"date-parts":[["2018","4","9"]]},"title":"Etiology of Sudden Cardiac Arrest and Death in US Competitive Athletes: A 2-Year Prospective Surveillance Study.","type":"article-journal"},"uris":["http://www.mendeley.com/documents/?uuid=c944eda5-fd81-49c0-886c-c37009bcf09d"]}],"mendeley":{"formattedCitation":"&lt;sup&gt;45,46&lt;/sup&gt;","plainTextFormattedCitation":"45,46","previouslyFormattedCitation":"&lt;sup&gt;46,47&lt;/sup&gt;"},"properties":{"noteIndex":0},"schema":"https://github.com/citation-style-language/schema/raw/master/csl-citation.json"}</w:instrText>
      </w:r>
      <w:r w:rsidR="0066024E">
        <w:rPr>
          <w:sz w:val="24"/>
          <w:szCs w:val="24"/>
        </w:rPr>
        <w:fldChar w:fldCharType="separate"/>
      </w:r>
      <w:r w:rsidR="00784852" w:rsidRPr="00784852">
        <w:rPr>
          <w:noProof/>
          <w:sz w:val="24"/>
          <w:szCs w:val="24"/>
          <w:vertAlign w:val="superscript"/>
        </w:rPr>
        <w:t>45,46</w:t>
      </w:r>
      <w:r w:rsidR="0066024E">
        <w:rPr>
          <w:sz w:val="24"/>
          <w:szCs w:val="24"/>
        </w:rPr>
        <w:fldChar w:fldCharType="end"/>
      </w:r>
      <w:r w:rsidRPr="000F27B6">
        <w:rPr>
          <w:sz w:val="24"/>
          <w:szCs w:val="24"/>
        </w:rPr>
        <w:t>.</w:t>
      </w:r>
      <w:r w:rsidR="000F1C01" w:rsidRPr="000F27B6">
        <w:rPr>
          <w:sz w:val="24"/>
          <w:szCs w:val="24"/>
        </w:rPr>
        <w:t xml:space="preserve"> </w:t>
      </w:r>
      <w:r w:rsidRPr="000F27B6">
        <w:rPr>
          <w:sz w:val="24"/>
          <w:szCs w:val="24"/>
        </w:rPr>
        <w:t>Our cases were diagnosed by an expert cardiac pathologist using stringent criteria which included a thorough histopathological assessment with quantification of myocardial disarray in all cases.</w:t>
      </w:r>
    </w:p>
    <w:p w14:paraId="5EDA5B96" w14:textId="0994CD53" w:rsidR="00547204" w:rsidRPr="000F27B6" w:rsidRDefault="00547204" w:rsidP="00984581">
      <w:pPr>
        <w:spacing w:line="480" w:lineRule="auto"/>
        <w:rPr>
          <w:b/>
          <w:sz w:val="24"/>
          <w:szCs w:val="24"/>
        </w:rPr>
      </w:pPr>
      <w:r w:rsidRPr="000F27B6">
        <w:rPr>
          <w:b/>
          <w:sz w:val="24"/>
          <w:szCs w:val="24"/>
        </w:rPr>
        <w:t>Limitations</w:t>
      </w:r>
    </w:p>
    <w:p w14:paraId="37301B7C" w14:textId="506AA3FE" w:rsidR="001C249B" w:rsidRDefault="00547204" w:rsidP="00BA2723">
      <w:pPr>
        <w:spacing w:after="0" w:line="480" w:lineRule="auto"/>
        <w:rPr>
          <w:sz w:val="24"/>
          <w:szCs w:val="24"/>
        </w:rPr>
      </w:pPr>
      <w:r w:rsidRPr="000F27B6">
        <w:rPr>
          <w:sz w:val="24"/>
          <w:szCs w:val="24"/>
        </w:rPr>
        <w:t xml:space="preserve">Our study has </w:t>
      </w:r>
      <w:r w:rsidR="00F82891" w:rsidRPr="000F27B6">
        <w:rPr>
          <w:sz w:val="24"/>
          <w:szCs w:val="24"/>
        </w:rPr>
        <w:t>s</w:t>
      </w:r>
      <w:r w:rsidR="009774F1" w:rsidRPr="000F27B6">
        <w:rPr>
          <w:sz w:val="24"/>
          <w:szCs w:val="24"/>
        </w:rPr>
        <w:t>ome</w:t>
      </w:r>
      <w:r w:rsidRPr="000F27B6">
        <w:rPr>
          <w:sz w:val="24"/>
          <w:szCs w:val="24"/>
        </w:rPr>
        <w:t xml:space="preserve"> limitations. </w:t>
      </w:r>
      <w:r w:rsidR="003433B0" w:rsidRPr="000F27B6">
        <w:rPr>
          <w:sz w:val="24"/>
          <w:szCs w:val="24"/>
        </w:rPr>
        <w:t xml:space="preserve">Although a history of hypertension or valvular heart disease were exclusion criteria for idiopathic LVH, we cannot exclude that some </w:t>
      </w:r>
      <w:r w:rsidR="00194593" w:rsidRPr="000F27B6">
        <w:rPr>
          <w:sz w:val="24"/>
          <w:szCs w:val="24"/>
        </w:rPr>
        <w:t xml:space="preserve">decedents </w:t>
      </w:r>
      <w:r w:rsidR="003433B0" w:rsidRPr="000F27B6">
        <w:rPr>
          <w:sz w:val="24"/>
          <w:szCs w:val="24"/>
        </w:rPr>
        <w:t>had undiagnosed hypertension or other subclinical non-cardiac causes of pressure and volume overload</w:t>
      </w:r>
      <w:r w:rsidR="00F82891" w:rsidRPr="000F27B6">
        <w:rPr>
          <w:sz w:val="24"/>
          <w:szCs w:val="24"/>
        </w:rPr>
        <w:t>.</w:t>
      </w:r>
      <w:r w:rsidR="00F6385F" w:rsidRPr="000F27B6">
        <w:rPr>
          <w:sz w:val="24"/>
          <w:szCs w:val="24"/>
        </w:rPr>
        <w:t xml:space="preserve"> </w:t>
      </w:r>
      <w:r w:rsidR="007A7DD0">
        <w:rPr>
          <w:sz w:val="24"/>
          <w:szCs w:val="24"/>
        </w:rPr>
        <w:t>However, c</w:t>
      </w:r>
      <w:r w:rsidR="00094A50" w:rsidRPr="000F27B6">
        <w:rPr>
          <w:sz w:val="24"/>
          <w:szCs w:val="24"/>
        </w:rPr>
        <w:t>onsidering</w:t>
      </w:r>
      <w:r w:rsidR="00F6385F" w:rsidRPr="000F27B6">
        <w:rPr>
          <w:sz w:val="24"/>
          <w:szCs w:val="24"/>
        </w:rPr>
        <w:t xml:space="preserve"> the young age of SCD victims and relatively low prevalence of hypertension</w:t>
      </w:r>
      <w:r w:rsidR="00DD4545" w:rsidRPr="000F27B6">
        <w:rPr>
          <w:sz w:val="24"/>
          <w:szCs w:val="24"/>
        </w:rPr>
        <w:t xml:space="preserve"> </w:t>
      </w:r>
      <w:r w:rsidR="00F6385F" w:rsidRPr="000F27B6">
        <w:rPr>
          <w:sz w:val="24"/>
          <w:szCs w:val="24"/>
        </w:rPr>
        <w:t>in the first 4 decades of life, we believe</w:t>
      </w:r>
      <w:r w:rsidR="007A7DD0">
        <w:rPr>
          <w:sz w:val="24"/>
          <w:szCs w:val="24"/>
        </w:rPr>
        <w:t xml:space="preserve"> this is an unlikely explanation for most of our </w:t>
      </w:r>
      <w:r w:rsidR="00F6385F" w:rsidRPr="000F27B6">
        <w:rPr>
          <w:sz w:val="24"/>
          <w:szCs w:val="24"/>
        </w:rPr>
        <w:t xml:space="preserve"> cases.</w:t>
      </w:r>
      <w:r w:rsidR="00BD41F9" w:rsidRPr="000F27B6">
        <w:rPr>
          <w:sz w:val="24"/>
          <w:szCs w:val="24"/>
        </w:rPr>
        <w:t xml:space="preserve"> </w:t>
      </w:r>
      <w:r w:rsidR="0064719F">
        <w:rPr>
          <w:sz w:val="24"/>
          <w:szCs w:val="24"/>
        </w:rPr>
        <w:t xml:space="preserve">We were </w:t>
      </w:r>
      <w:r w:rsidR="008C6C20">
        <w:rPr>
          <w:sz w:val="24"/>
          <w:szCs w:val="24"/>
        </w:rPr>
        <w:t>un</w:t>
      </w:r>
      <w:r w:rsidRPr="000F27B6">
        <w:rPr>
          <w:sz w:val="24"/>
          <w:szCs w:val="24"/>
        </w:rPr>
        <w:t xml:space="preserve">able to screen all the </w:t>
      </w:r>
      <w:r w:rsidR="0062736A" w:rsidRPr="000F27B6">
        <w:rPr>
          <w:sz w:val="24"/>
          <w:szCs w:val="24"/>
        </w:rPr>
        <w:t>first-</w:t>
      </w:r>
      <w:r w:rsidRPr="000F27B6">
        <w:rPr>
          <w:sz w:val="24"/>
          <w:szCs w:val="24"/>
        </w:rPr>
        <w:t xml:space="preserve">degree family members of all the families recruited, as some individuals were not available or refused to be investigated. This </w:t>
      </w:r>
      <w:r w:rsidRPr="000F27B6">
        <w:rPr>
          <w:sz w:val="24"/>
          <w:szCs w:val="24"/>
        </w:rPr>
        <w:lastRenderedPageBreak/>
        <w:t>may have led to</w:t>
      </w:r>
      <w:r w:rsidR="00F82891" w:rsidRPr="000F27B6">
        <w:rPr>
          <w:sz w:val="24"/>
          <w:szCs w:val="24"/>
        </w:rPr>
        <w:t xml:space="preserve"> an underestimation of</w:t>
      </w:r>
      <w:r w:rsidRPr="000F27B6">
        <w:rPr>
          <w:sz w:val="24"/>
          <w:szCs w:val="24"/>
        </w:rPr>
        <w:t xml:space="preserve"> the prevalence of cardiac disease in families</w:t>
      </w:r>
      <w:r w:rsidR="006B727A" w:rsidRPr="000F27B6">
        <w:rPr>
          <w:sz w:val="24"/>
          <w:szCs w:val="24"/>
        </w:rPr>
        <w:t xml:space="preserve"> of </w:t>
      </w:r>
      <w:r w:rsidR="00C924FC">
        <w:rPr>
          <w:sz w:val="24"/>
          <w:szCs w:val="24"/>
        </w:rPr>
        <w:t>decedents</w:t>
      </w:r>
      <w:r w:rsidR="00130D67" w:rsidRPr="000F27B6">
        <w:rPr>
          <w:sz w:val="24"/>
          <w:szCs w:val="24"/>
        </w:rPr>
        <w:t xml:space="preserve"> </w:t>
      </w:r>
      <w:r w:rsidR="006B727A" w:rsidRPr="000F27B6">
        <w:rPr>
          <w:sz w:val="24"/>
          <w:szCs w:val="24"/>
        </w:rPr>
        <w:t>with idiopathic LVH</w:t>
      </w:r>
      <w:r w:rsidRPr="000F27B6">
        <w:rPr>
          <w:sz w:val="24"/>
          <w:szCs w:val="24"/>
        </w:rPr>
        <w:t xml:space="preserve">. </w:t>
      </w:r>
      <w:bookmarkStart w:id="9" w:name="_Hlk16331595"/>
      <w:r w:rsidR="00F6385F" w:rsidRPr="000F27B6">
        <w:rPr>
          <w:sz w:val="24"/>
          <w:szCs w:val="24"/>
        </w:rPr>
        <w:t xml:space="preserve">Finally, </w:t>
      </w:r>
      <w:r w:rsidR="00194593" w:rsidRPr="000F27B6">
        <w:rPr>
          <w:sz w:val="24"/>
          <w:szCs w:val="24"/>
        </w:rPr>
        <w:t xml:space="preserve">we could only perform </w:t>
      </w:r>
      <w:r w:rsidR="00DD4545" w:rsidRPr="000F27B6">
        <w:rPr>
          <w:sz w:val="24"/>
          <w:szCs w:val="24"/>
        </w:rPr>
        <w:t>molecular autopsy</w:t>
      </w:r>
      <w:r w:rsidR="00B00147" w:rsidRPr="000F27B6">
        <w:rPr>
          <w:sz w:val="24"/>
          <w:szCs w:val="24"/>
        </w:rPr>
        <w:t xml:space="preserve"> </w:t>
      </w:r>
      <w:r w:rsidR="001B2109" w:rsidRPr="000F27B6">
        <w:rPr>
          <w:sz w:val="24"/>
          <w:szCs w:val="24"/>
        </w:rPr>
        <w:t xml:space="preserve">in </w:t>
      </w:r>
      <w:r w:rsidR="00B00147" w:rsidRPr="000F27B6">
        <w:rPr>
          <w:sz w:val="24"/>
          <w:szCs w:val="24"/>
        </w:rPr>
        <w:t xml:space="preserve">less than </w:t>
      </w:r>
      <w:r w:rsidR="006B727A" w:rsidRPr="000F27B6">
        <w:rPr>
          <w:sz w:val="24"/>
          <w:szCs w:val="24"/>
        </w:rPr>
        <w:t>one third</w:t>
      </w:r>
      <w:r w:rsidR="00B00147" w:rsidRPr="000F27B6">
        <w:rPr>
          <w:sz w:val="24"/>
          <w:szCs w:val="24"/>
        </w:rPr>
        <w:t xml:space="preserve"> of the </w:t>
      </w:r>
      <w:r w:rsidR="00DD4545" w:rsidRPr="000F27B6">
        <w:rPr>
          <w:sz w:val="24"/>
          <w:szCs w:val="24"/>
        </w:rPr>
        <w:t>decedents</w:t>
      </w:r>
      <w:r w:rsidR="00194593" w:rsidRPr="000F27B6">
        <w:rPr>
          <w:sz w:val="24"/>
          <w:szCs w:val="24"/>
        </w:rPr>
        <w:t xml:space="preserve">, however we feel that </w:t>
      </w:r>
      <w:r w:rsidR="00034C4D" w:rsidRPr="000F27B6">
        <w:rPr>
          <w:sz w:val="24"/>
          <w:szCs w:val="24"/>
        </w:rPr>
        <w:t>t</w:t>
      </w:r>
      <w:r w:rsidR="00194593" w:rsidRPr="000F27B6">
        <w:rPr>
          <w:sz w:val="24"/>
          <w:szCs w:val="24"/>
        </w:rPr>
        <w:t>his number is sufficient in relation to investigation for HCM</w:t>
      </w:r>
      <w:r w:rsidR="00034C4D" w:rsidRPr="000F27B6">
        <w:rPr>
          <w:sz w:val="24"/>
          <w:szCs w:val="24"/>
        </w:rPr>
        <w:t>.</w:t>
      </w:r>
      <w:r w:rsidR="00130D67" w:rsidRPr="000F27B6">
        <w:rPr>
          <w:sz w:val="24"/>
          <w:szCs w:val="24"/>
        </w:rPr>
        <w:t xml:space="preserve"> </w:t>
      </w:r>
      <w:bookmarkEnd w:id="9"/>
      <w:r w:rsidR="00BA2723" w:rsidRPr="00BA2723">
        <w:rPr>
          <w:sz w:val="24"/>
          <w:szCs w:val="24"/>
        </w:rPr>
        <w:t>Moreover, although several studies have investigated the role of molecular autopsy in the setting of SADS, there is limited knowledge concerning the role of molecular autopsy in decedents exhibiting features of idiopathic LVH according to our stringent criteria (macroscopic and microscopic examination in all cases, exclusion of secondary causes of LVH).</w:t>
      </w:r>
    </w:p>
    <w:p w14:paraId="209A97C4" w14:textId="3B4F076E" w:rsidR="00547204" w:rsidRPr="009C6ECC" w:rsidRDefault="001C249B" w:rsidP="00984581">
      <w:pPr>
        <w:spacing w:line="480" w:lineRule="auto"/>
        <w:rPr>
          <w:rFonts w:asciiTheme="minorHAnsi" w:hAnsiTheme="minorHAnsi" w:cstheme="minorHAnsi"/>
          <w:b/>
          <w:sz w:val="24"/>
          <w:szCs w:val="24"/>
        </w:rPr>
      </w:pPr>
      <w:bookmarkStart w:id="10" w:name="_Hlk16022760"/>
      <w:r w:rsidRPr="009C6ECC">
        <w:rPr>
          <w:rFonts w:asciiTheme="minorHAnsi" w:hAnsiTheme="minorHAnsi" w:cstheme="minorHAnsi"/>
          <w:b/>
          <w:sz w:val="24"/>
          <w:szCs w:val="24"/>
        </w:rPr>
        <w:t>Clinical impact</w:t>
      </w:r>
    </w:p>
    <w:p w14:paraId="2C0053A3" w14:textId="4D7E435D" w:rsidR="009C6ECC" w:rsidRDefault="00BA2723" w:rsidP="00F310D1">
      <w:pPr>
        <w:spacing w:line="480" w:lineRule="auto"/>
        <w:rPr>
          <w:sz w:val="24"/>
          <w:szCs w:val="24"/>
        </w:rPr>
      </w:pPr>
      <w:r w:rsidRPr="00EE24D4">
        <w:rPr>
          <w:sz w:val="24"/>
          <w:szCs w:val="24"/>
        </w:rPr>
        <w:t xml:space="preserve">The significance of idiopathic LVH in decedents of sudden death is unknown. </w:t>
      </w:r>
      <w:bookmarkStart w:id="11" w:name="_Hlk26633455"/>
      <w:r w:rsidR="00C13173" w:rsidRPr="00EE24D4">
        <w:rPr>
          <w:sz w:val="24"/>
          <w:szCs w:val="24"/>
        </w:rPr>
        <w:t>Unexplained LVH in this context may be attributed to HCM.</w:t>
      </w:r>
      <w:bookmarkEnd w:id="11"/>
      <w:r w:rsidRPr="00EE24D4">
        <w:rPr>
          <w:sz w:val="24"/>
          <w:szCs w:val="24"/>
        </w:rPr>
        <w:t xml:space="preserve"> We investigated first degree relatives of decedents with idiopathic LVH and could not identify phenotypic features of HCM in any of them. Molecular autopsy was also performed in 30% of decedents using a comprehensive gene panel which failed to identify pathogenic variants in </w:t>
      </w:r>
      <w:proofErr w:type="spellStart"/>
      <w:r w:rsidRPr="00EE24D4">
        <w:rPr>
          <w:sz w:val="24"/>
          <w:szCs w:val="24"/>
        </w:rPr>
        <w:t>sarcomeric</w:t>
      </w:r>
      <w:proofErr w:type="spellEnd"/>
      <w:r w:rsidRPr="00EE24D4">
        <w:rPr>
          <w:sz w:val="24"/>
          <w:szCs w:val="24"/>
        </w:rPr>
        <w:t xml:space="preserve"> genes. Our study suggests that idiopathic LVH and HCM are separate disease entities.  </w:t>
      </w:r>
      <w:bookmarkStart w:id="12" w:name="_Hlk26251966"/>
      <w:r w:rsidRPr="00EE24D4">
        <w:rPr>
          <w:sz w:val="24"/>
          <w:szCs w:val="24"/>
        </w:rPr>
        <w:t>Indeed, we identified</w:t>
      </w:r>
      <w:r w:rsidR="008B1C92" w:rsidRPr="00EE24D4">
        <w:rPr>
          <w:sz w:val="24"/>
          <w:szCs w:val="24"/>
        </w:rPr>
        <w:t xml:space="preserve"> ion channel disease</w:t>
      </w:r>
      <w:r w:rsidRPr="00EE24D4">
        <w:rPr>
          <w:sz w:val="24"/>
          <w:szCs w:val="24"/>
        </w:rPr>
        <w:t xml:space="preserve"> in almost one</w:t>
      </w:r>
      <w:r w:rsidRPr="00BA2723">
        <w:rPr>
          <w:sz w:val="24"/>
          <w:szCs w:val="24"/>
        </w:rPr>
        <w:t xml:space="preserve"> third of cases</w:t>
      </w:r>
      <w:bookmarkEnd w:id="12"/>
      <w:r w:rsidRPr="00BA2723">
        <w:rPr>
          <w:sz w:val="24"/>
          <w:szCs w:val="24"/>
        </w:rPr>
        <w:t>, suggesting that the investigation of first</w:t>
      </w:r>
      <w:r w:rsidR="008B1C92">
        <w:rPr>
          <w:sz w:val="24"/>
          <w:szCs w:val="24"/>
        </w:rPr>
        <w:t>-</w:t>
      </w:r>
      <w:r w:rsidRPr="00BA2723">
        <w:rPr>
          <w:sz w:val="24"/>
          <w:szCs w:val="24"/>
        </w:rPr>
        <w:t>degree relatives of decedents with idiopathic LVH should encompass a wide spectrum of inherited heart disease, including channelopathies.</w:t>
      </w:r>
      <w:bookmarkEnd w:id="10"/>
    </w:p>
    <w:p w14:paraId="327E90DE" w14:textId="77777777" w:rsidR="009C6ECC" w:rsidRDefault="009C6ECC" w:rsidP="00F310D1">
      <w:pPr>
        <w:spacing w:line="480" w:lineRule="auto"/>
        <w:rPr>
          <w:sz w:val="24"/>
          <w:szCs w:val="24"/>
        </w:rPr>
      </w:pPr>
    </w:p>
    <w:p w14:paraId="46ECFAF9" w14:textId="2395522F" w:rsidR="00034C4D" w:rsidRPr="000F27B6" w:rsidRDefault="00547204" w:rsidP="00F310D1">
      <w:pPr>
        <w:spacing w:line="480" w:lineRule="auto"/>
        <w:rPr>
          <w:b/>
          <w:sz w:val="24"/>
          <w:szCs w:val="24"/>
        </w:rPr>
      </w:pPr>
      <w:r w:rsidRPr="000F27B6">
        <w:rPr>
          <w:b/>
          <w:sz w:val="24"/>
          <w:szCs w:val="24"/>
        </w:rPr>
        <w:t>CONCLUSIONS</w:t>
      </w:r>
    </w:p>
    <w:p w14:paraId="0C5F5F81" w14:textId="24B12F65" w:rsidR="00610D5B" w:rsidRPr="000F27B6" w:rsidRDefault="00F310D1" w:rsidP="00F310D1">
      <w:pPr>
        <w:spacing w:line="480" w:lineRule="auto"/>
        <w:rPr>
          <w:sz w:val="24"/>
          <w:szCs w:val="24"/>
        </w:rPr>
      </w:pPr>
      <w:r w:rsidRPr="000F27B6">
        <w:rPr>
          <w:sz w:val="24"/>
          <w:szCs w:val="24"/>
        </w:rPr>
        <w:t>In this study, n</w:t>
      </w:r>
      <w:r w:rsidR="00547204" w:rsidRPr="000F27B6">
        <w:rPr>
          <w:sz w:val="24"/>
          <w:szCs w:val="24"/>
        </w:rPr>
        <w:t>one of the famil</w:t>
      </w:r>
      <w:r w:rsidR="00BA181C" w:rsidRPr="000F27B6">
        <w:rPr>
          <w:sz w:val="24"/>
          <w:szCs w:val="24"/>
        </w:rPr>
        <w:t xml:space="preserve">y members of </w:t>
      </w:r>
      <w:r w:rsidR="00130D67" w:rsidRPr="000F27B6">
        <w:rPr>
          <w:sz w:val="24"/>
          <w:szCs w:val="24"/>
        </w:rPr>
        <w:t>decedents</w:t>
      </w:r>
      <w:r w:rsidR="00BA181C" w:rsidRPr="000F27B6">
        <w:rPr>
          <w:sz w:val="24"/>
          <w:szCs w:val="24"/>
        </w:rPr>
        <w:t xml:space="preserve"> with </w:t>
      </w:r>
      <w:r w:rsidR="006B727A" w:rsidRPr="000F27B6">
        <w:rPr>
          <w:sz w:val="24"/>
          <w:szCs w:val="24"/>
        </w:rPr>
        <w:t xml:space="preserve">idiopathic LVH </w:t>
      </w:r>
      <w:r w:rsidR="00547204" w:rsidRPr="000F27B6">
        <w:rPr>
          <w:sz w:val="24"/>
          <w:szCs w:val="24"/>
        </w:rPr>
        <w:t>showed phenotypic features of HCM</w:t>
      </w:r>
      <w:r w:rsidR="002B55A9" w:rsidRPr="000F27B6">
        <w:rPr>
          <w:sz w:val="24"/>
          <w:szCs w:val="24"/>
        </w:rPr>
        <w:t xml:space="preserve"> following comprehensive cardiovascular evaluation</w:t>
      </w:r>
      <w:r w:rsidR="00547204" w:rsidRPr="000F27B6">
        <w:rPr>
          <w:sz w:val="24"/>
          <w:szCs w:val="24"/>
        </w:rPr>
        <w:t xml:space="preserve">. </w:t>
      </w:r>
      <w:r w:rsidR="006B727A" w:rsidRPr="000F27B6">
        <w:rPr>
          <w:sz w:val="24"/>
          <w:szCs w:val="24"/>
        </w:rPr>
        <w:t>Similarly</w:t>
      </w:r>
      <w:r w:rsidR="003768E7" w:rsidRPr="000F27B6">
        <w:rPr>
          <w:sz w:val="24"/>
          <w:szCs w:val="24"/>
        </w:rPr>
        <w:t>,</w:t>
      </w:r>
      <w:r w:rsidR="006B727A" w:rsidRPr="000F27B6">
        <w:rPr>
          <w:sz w:val="24"/>
          <w:szCs w:val="24"/>
        </w:rPr>
        <w:t xml:space="preserve"> </w:t>
      </w:r>
      <w:r w:rsidR="006B727A" w:rsidRPr="000F27B6">
        <w:rPr>
          <w:sz w:val="24"/>
          <w:szCs w:val="24"/>
        </w:rPr>
        <w:lastRenderedPageBreak/>
        <w:t xml:space="preserve">molecular autopsy in 14 </w:t>
      </w:r>
      <w:r w:rsidR="00A32097" w:rsidRPr="000F27B6">
        <w:rPr>
          <w:sz w:val="24"/>
          <w:szCs w:val="24"/>
        </w:rPr>
        <w:t xml:space="preserve">decedents </w:t>
      </w:r>
      <w:r w:rsidR="006B727A" w:rsidRPr="000F27B6">
        <w:rPr>
          <w:sz w:val="24"/>
          <w:szCs w:val="24"/>
        </w:rPr>
        <w:t>failed to reveal pathogenic variants in genes</w:t>
      </w:r>
      <w:r w:rsidR="00A32097" w:rsidRPr="000F27B6">
        <w:rPr>
          <w:sz w:val="24"/>
          <w:szCs w:val="24"/>
        </w:rPr>
        <w:t xml:space="preserve"> encoding </w:t>
      </w:r>
      <w:proofErr w:type="spellStart"/>
      <w:r w:rsidR="00A32097" w:rsidRPr="000F27B6">
        <w:rPr>
          <w:sz w:val="24"/>
          <w:szCs w:val="24"/>
        </w:rPr>
        <w:t>sarcomeric</w:t>
      </w:r>
      <w:proofErr w:type="spellEnd"/>
      <w:r w:rsidR="00A32097" w:rsidRPr="000F27B6">
        <w:rPr>
          <w:sz w:val="24"/>
          <w:szCs w:val="24"/>
        </w:rPr>
        <w:t xml:space="preserve"> proteins which are commonly</w:t>
      </w:r>
      <w:r w:rsidR="002B55A9" w:rsidRPr="000F27B6">
        <w:rPr>
          <w:sz w:val="24"/>
          <w:szCs w:val="24"/>
        </w:rPr>
        <w:t xml:space="preserve"> implicated in</w:t>
      </w:r>
      <w:r w:rsidR="00A32097" w:rsidRPr="000F27B6">
        <w:rPr>
          <w:sz w:val="24"/>
          <w:szCs w:val="24"/>
        </w:rPr>
        <w:t xml:space="preserve"> </w:t>
      </w:r>
      <w:r w:rsidR="006B727A" w:rsidRPr="000F27B6">
        <w:rPr>
          <w:sz w:val="24"/>
          <w:szCs w:val="24"/>
        </w:rPr>
        <w:t>HCM. Therefore, i</w:t>
      </w:r>
      <w:r w:rsidR="00547204" w:rsidRPr="000F27B6">
        <w:rPr>
          <w:sz w:val="24"/>
          <w:szCs w:val="24"/>
        </w:rPr>
        <w:t xml:space="preserve">diopathic LVH and HCM </w:t>
      </w:r>
      <w:r w:rsidR="008338AC" w:rsidRPr="000F27B6">
        <w:rPr>
          <w:sz w:val="24"/>
          <w:szCs w:val="24"/>
        </w:rPr>
        <w:t xml:space="preserve">are </w:t>
      </w:r>
      <w:r w:rsidR="00547204" w:rsidRPr="000F27B6">
        <w:rPr>
          <w:sz w:val="24"/>
          <w:szCs w:val="24"/>
        </w:rPr>
        <w:t xml:space="preserve">likely </w:t>
      </w:r>
      <w:r w:rsidR="008338AC" w:rsidRPr="000F27B6">
        <w:rPr>
          <w:sz w:val="24"/>
          <w:szCs w:val="24"/>
        </w:rPr>
        <w:t xml:space="preserve">to </w:t>
      </w:r>
      <w:r w:rsidR="00547204" w:rsidRPr="000F27B6">
        <w:rPr>
          <w:sz w:val="24"/>
          <w:szCs w:val="24"/>
        </w:rPr>
        <w:t xml:space="preserve">represent two </w:t>
      </w:r>
      <w:r w:rsidR="008338AC" w:rsidRPr="000F27B6">
        <w:rPr>
          <w:sz w:val="24"/>
          <w:szCs w:val="24"/>
        </w:rPr>
        <w:t>distinct</w:t>
      </w:r>
      <w:r w:rsidR="00547204" w:rsidRPr="000F27B6">
        <w:rPr>
          <w:sz w:val="24"/>
          <w:szCs w:val="24"/>
        </w:rPr>
        <w:t xml:space="preserve"> pathological entities</w:t>
      </w:r>
      <w:r w:rsidR="007D2AD9" w:rsidRPr="000F27B6">
        <w:rPr>
          <w:sz w:val="24"/>
          <w:szCs w:val="24"/>
        </w:rPr>
        <w:t>. The familial diagnosis of</w:t>
      </w:r>
      <w:r w:rsidR="002B55A9" w:rsidRPr="000F27B6">
        <w:rPr>
          <w:sz w:val="24"/>
          <w:szCs w:val="24"/>
        </w:rPr>
        <w:t xml:space="preserve"> other</w:t>
      </w:r>
      <w:r w:rsidR="007D2AD9" w:rsidRPr="000F27B6">
        <w:rPr>
          <w:sz w:val="24"/>
          <w:szCs w:val="24"/>
        </w:rPr>
        <w:t xml:space="preserve"> cardiomyopathies</w:t>
      </w:r>
      <w:r w:rsidR="002B55A9" w:rsidRPr="000F27B6">
        <w:rPr>
          <w:sz w:val="24"/>
          <w:szCs w:val="24"/>
        </w:rPr>
        <w:t xml:space="preserve"> and channelopathies in some families</w:t>
      </w:r>
      <w:r w:rsidR="007D2AD9" w:rsidRPr="000F27B6">
        <w:rPr>
          <w:sz w:val="24"/>
          <w:szCs w:val="24"/>
        </w:rPr>
        <w:t xml:space="preserve"> suggests that the presence of idiopathic LVH should prompt comprehensive assessment of families </w:t>
      </w:r>
      <w:r w:rsidR="009C1129" w:rsidRPr="000F27B6">
        <w:rPr>
          <w:sz w:val="24"/>
          <w:szCs w:val="24"/>
        </w:rPr>
        <w:t xml:space="preserve">to encompass the broader spectrum of inherited </w:t>
      </w:r>
      <w:r w:rsidR="002B55A9" w:rsidRPr="000F27B6">
        <w:rPr>
          <w:sz w:val="24"/>
          <w:szCs w:val="24"/>
        </w:rPr>
        <w:t xml:space="preserve">structural heart disease and </w:t>
      </w:r>
      <w:r w:rsidR="009C1129" w:rsidRPr="000F27B6">
        <w:rPr>
          <w:sz w:val="24"/>
          <w:szCs w:val="24"/>
        </w:rPr>
        <w:t>channelopathies.</w:t>
      </w:r>
    </w:p>
    <w:p w14:paraId="280828A7" w14:textId="77777777" w:rsidR="00825A47" w:rsidRPr="000F27B6" w:rsidRDefault="00825A47" w:rsidP="00984581">
      <w:pPr>
        <w:spacing w:line="480" w:lineRule="auto"/>
        <w:rPr>
          <w:b/>
          <w:sz w:val="24"/>
          <w:szCs w:val="24"/>
        </w:rPr>
      </w:pPr>
    </w:p>
    <w:p w14:paraId="2CB32970" w14:textId="136CA707" w:rsidR="0008399E" w:rsidRDefault="003E157C" w:rsidP="0008399E">
      <w:pPr>
        <w:spacing w:line="480" w:lineRule="auto"/>
        <w:rPr>
          <w:sz w:val="24"/>
          <w:szCs w:val="24"/>
        </w:rPr>
      </w:pPr>
      <w:r w:rsidRPr="000F27B6">
        <w:rPr>
          <w:b/>
          <w:sz w:val="24"/>
          <w:szCs w:val="24"/>
        </w:rPr>
        <w:t xml:space="preserve">Funding: </w:t>
      </w:r>
      <w:r w:rsidR="009774F1" w:rsidRPr="000F27B6">
        <w:rPr>
          <w:sz w:val="24"/>
          <w:szCs w:val="24"/>
        </w:rPr>
        <w:t>GF</w:t>
      </w:r>
      <w:r w:rsidRPr="000F27B6">
        <w:rPr>
          <w:sz w:val="24"/>
          <w:szCs w:val="24"/>
        </w:rPr>
        <w:t xml:space="preserve"> is funded by </w:t>
      </w:r>
      <w:r w:rsidR="005B4422" w:rsidRPr="000F27B6">
        <w:rPr>
          <w:sz w:val="24"/>
          <w:szCs w:val="24"/>
        </w:rPr>
        <w:t>the Charles Wolfson Charitable Trust and Cardiac Risk in the Young (CRY).</w:t>
      </w:r>
      <w:r w:rsidR="005B7526">
        <w:rPr>
          <w:sz w:val="24"/>
          <w:szCs w:val="24"/>
        </w:rPr>
        <w:t xml:space="preserve"> </w:t>
      </w:r>
      <w:r w:rsidR="005B7526" w:rsidRPr="005B7526">
        <w:rPr>
          <w:sz w:val="24"/>
          <w:szCs w:val="24"/>
        </w:rPr>
        <w:t>CM is funded by the British Heart Foundation (BHF Clinical Research Training Fellowship FS/18/28/33549)</w:t>
      </w:r>
      <w:r w:rsidR="005B7526">
        <w:rPr>
          <w:sz w:val="24"/>
          <w:szCs w:val="24"/>
        </w:rPr>
        <w:t>.</w:t>
      </w:r>
    </w:p>
    <w:p w14:paraId="4A507835" w14:textId="58D34445" w:rsidR="002E7DA6" w:rsidRPr="000F27B6" w:rsidRDefault="002E7DA6" w:rsidP="0008399E">
      <w:pPr>
        <w:spacing w:line="480" w:lineRule="auto"/>
        <w:rPr>
          <w:sz w:val="24"/>
          <w:szCs w:val="24"/>
        </w:rPr>
      </w:pPr>
      <w:r w:rsidRPr="002E7DA6">
        <w:rPr>
          <w:b/>
          <w:sz w:val="24"/>
          <w:szCs w:val="24"/>
        </w:rPr>
        <w:t>Conflict of Interest:</w:t>
      </w:r>
      <w:r w:rsidRPr="002E7DA6">
        <w:rPr>
          <w:sz w:val="24"/>
          <w:szCs w:val="24"/>
        </w:rPr>
        <w:t xml:space="preserve"> none declared</w:t>
      </w:r>
      <w:r>
        <w:rPr>
          <w:sz w:val="24"/>
          <w:szCs w:val="24"/>
        </w:rPr>
        <w:t>.</w:t>
      </w:r>
    </w:p>
    <w:p w14:paraId="4F06A18B" w14:textId="77777777" w:rsidR="0008399E" w:rsidRPr="000F27B6" w:rsidRDefault="0008399E">
      <w:pPr>
        <w:spacing w:after="0" w:line="240" w:lineRule="auto"/>
        <w:rPr>
          <w:sz w:val="24"/>
          <w:szCs w:val="24"/>
        </w:rPr>
      </w:pPr>
      <w:r w:rsidRPr="000F27B6">
        <w:rPr>
          <w:sz w:val="24"/>
          <w:szCs w:val="24"/>
        </w:rPr>
        <w:br w:type="page"/>
      </w:r>
    </w:p>
    <w:p w14:paraId="4E9F8576" w14:textId="4C703154" w:rsidR="00F916E6" w:rsidRPr="000F27B6" w:rsidRDefault="000A641D" w:rsidP="0008399E">
      <w:pPr>
        <w:spacing w:line="480" w:lineRule="auto"/>
        <w:rPr>
          <w:sz w:val="24"/>
          <w:szCs w:val="24"/>
        </w:rPr>
      </w:pPr>
      <w:r w:rsidRPr="000F27B6">
        <w:rPr>
          <w:b/>
          <w:sz w:val="24"/>
          <w:szCs w:val="24"/>
        </w:rPr>
        <w:lastRenderedPageBreak/>
        <w:t>REFERENCES</w:t>
      </w:r>
    </w:p>
    <w:p w14:paraId="58CFD9A1" w14:textId="77777777" w:rsidR="00C86D5E" w:rsidRPr="000F27B6" w:rsidRDefault="00C86D5E" w:rsidP="009774F1">
      <w:pPr>
        <w:spacing w:line="480" w:lineRule="auto"/>
        <w:rPr>
          <w:b/>
          <w:sz w:val="24"/>
          <w:szCs w:val="24"/>
        </w:rPr>
      </w:pPr>
    </w:p>
    <w:p w14:paraId="2529D0C0" w14:textId="3A9760B1" w:rsidR="00784852" w:rsidRPr="00784852" w:rsidRDefault="009265FB" w:rsidP="00784852">
      <w:pPr>
        <w:widowControl w:val="0"/>
        <w:autoSpaceDE w:val="0"/>
        <w:autoSpaceDN w:val="0"/>
        <w:adjustRightInd w:val="0"/>
        <w:spacing w:after="140" w:line="480" w:lineRule="auto"/>
        <w:ind w:left="640" w:hanging="640"/>
        <w:rPr>
          <w:rFonts w:cs="Calibri"/>
          <w:noProof/>
          <w:sz w:val="24"/>
          <w:szCs w:val="24"/>
        </w:rPr>
      </w:pPr>
      <w:r w:rsidRPr="000F27B6">
        <w:rPr>
          <w:b/>
          <w:sz w:val="24"/>
          <w:szCs w:val="24"/>
        </w:rPr>
        <w:fldChar w:fldCharType="begin" w:fldLock="1"/>
      </w:r>
      <w:r w:rsidRPr="000F27B6">
        <w:rPr>
          <w:b/>
          <w:sz w:val="24"/>
          <w:szCs w:val="24"/>
        </w:rPr>
        <w:instrText xml:space="preserve">ADDIN Mendeley Bibliography CSL_BIBLIOGRAPHY </w:instrText>
      </w:r>
      <w:r w:rsidRPr="000F27B6">
        <w:rPr>
          <w:b/>
          <w:sz w:val="24"/>
          <w:szCs w:val="24"/>
        </w:rPr>
        <w:fldChar w:fldCharType="separate"/>
      </w:r>
      <w:r w:rsidR="00784852" w:rsidRPr="00784852">
        <w:rPr>
          <w:rFonts w:cs="Calibri"/>
          <w:noProof/>
          <w:sz w:val="24"/>
          <w:szCs w:val="24"/>
        </w:rPr>
        <w:t xml:space="preserve">1. </w:t>
      </w:r>
      <w:r w:rsidR="00784852" w:rsidRPr="00784852">
        <w:rPr>
          <w:rFonts w:cs="Calibri"/>
          <w:noProof/>
          <w:sz w:val="24"/>
          <w:szCs w:val="24"/>
        </w:rPr>
        <w:tab/>
        <w:t xml:space="preserve">Bagnall RD, Weintraub RG, Ingles J, Duflou J, Yeates L, Lam L, </w:t>
      </w:r>
      <w:r w:rsidR="00784852" w:rsidRPr="00784852">
        <w:rPr>
          <w:rFonts w:cs="Calibri"/>
          <w:i/>
          <w:iCs/>
          <w:noProof/>
          <w:sz w:val="24"/>
          <w:szCs w:val="24"/>
        </w:rPr>
        <w:t>et al.</w:t>
      </w:r>
      <w:r w:rsidR="00784852" w:rsidRPr="00784852">
        <w:rPr>
          <w:rFonts w:cs="Calibri"/>
          <w:noProof/>
          <w:sz w:val="24"/>
          <w:szCs w:val="24"/>
        </w:rPr>
        <w:t xml:space="preserve"> A Prospective Study of Sudden Cardiac Death among Children and Young Adults. </w:t>
      </w:r>
      <w:r w:rsidR="00784852" w:rsidRPr="00784852">
        <w:rPr>
          <w:rFonts w:cs="Calibri"/>
          <w:i/>
          <w:iCs/>
          <w:noProof/>
          <w:sz w:val="24"/>
          <w:szCs w:val="24"/>
        </w:rPr>
        <w:t>N Engl J Med</w:t>
      </w:r>
      <w:r w:rsidR="00784852" w:rsidRPr="00784852">
        <w:rPr>
          <w:rFonts w:cs="Calibri"/>
          <w:noProof/>
          <w:sz w:val="24"/>
          <w:szCs w:val="24"/>
        </w:rPr>
        <w:t xml:space="preserve"> 2016;</w:t>
      </w:r>
      <w:r w:rsidR="00784852" w:rsidRPr="00784852">
        <w:rPr>
          <w:rFonts w:cs="Calibri"/>
          <w:b/>
          <w:bCs/>
          <w:noProof/>
          <w:sz w:val="24"/>
          <w:szCs w:val="24"/>
        </w:rPr>
        <w:t>374</w:t>
      </w:r>
      <w:r w:rsidR="00784852" w:rsidRPr="00784852">
        <w:rPr>
          <w:rFonts w:cs="Calibri"/>
          <w:noProof/>
          <w:sz w:val="24"/>
          <w:szCs w:val="24"/>
        </w:rPr>
        <w:t xml:space="preserve">:2441–52. </w:t>
      </w:r>
    </w:p>
    <w:p w14:paraId="503A2579" w14:textId="77777777" w:rsidR="00784852" w:rsidRPr="00784852" w:rsidRDefault="00784852" w:rsidP="00784852">
      <w:pPr>
        <w:widowControl w:val="0"/>
        <w:autoSpaceDE w:val="0"/>
        <w:autoSpaceDN w:val="0"/>
        <w:adjustRightInd w:val="0"/>
        <w:spacing w:after="140" w:line="480" w:lineRule="auto"/>
        <w:ind w:left="640" w:hanging="640"/>
        <w:rPr>
          <w:rFonts w:cs="Calibri"/>
          <w:noProof/>
          <w:sz w:val="24"/>
          <w:szCs w:val="24"/>
        </w:rPr>
      </w:pPr>
      <w:r w:rsidRPr="00784852">
        <w:rPr>
          <w:rFonts w:cs="Calibri"/>
          <w:noProof/>
          <w:sz w:val="24"/>
          <w:szCs w:val="24"/>
        </w:rPr>
        <w:t xml:space="preserve">2. </w:t>
      </w:r>
      <w:r w:rsidRPr="00784852">
        <w:rPr>
          <w:rFonts w:cs="Calibri"/>
          <w:noProof/>
          <w:sz w:val="24"/>
          <w:szCs w:val="24"/>
        </w:rPr>
        <w:tab/>
        <w:t xml:space="preserve">Finocchiaro G, Papadakis M, Robertus J-L, Dhutia H, Steriotis AK, Tome M, </w:t>
      </w:r>
      <w:r w:rsidRPr="00784852">
        <w:rPr>
          <w:rFonts w:cs="Calibri"/>
          <w:i/>
          <w:iCs/>
          <w:noProof/>
          <w:sz w:val="24"/>
          <w:szCs w:val="24"/>
        </w:rPr>
        <w:t>et al.</w:t>
      </w:r>
      <w:r w:rsidRPr="00784852">
        <w:rPr>
          <w:rFonts w:cs="Calibri"/>
          <w:noProof/>
          <w:sz w:val="24"/>
          <w:szCs w:val="24"/>
        </w:rPr>
        <w:t xml:space="preserve"> Etiology of Sudden Death in Sports Insights from a United Kingdom Regional Registry. </w:t>
      </w:r>
      <w:r w:rsidRPr="00784852">
        <w:rPr>
          <w:rFonts w:cs="Calibri"/>
          <w:i/>
          <w:iCs/>
          <w:noProof/>
          <w:sz w:val="24"/>
          <w:szCs w:val="24"/>
        </w:rPr>
        <w:t>J Am Coll Cardiol</w:t>
      </w:r>
      <w:r w:rsidRPr="00784852">
        <w:rPr>
          <w:rFonts w:cs="Calibri"/>
          <w:noProof/>
          <w:sz w:val="24"/>
          <w:szCs w:val="24"/>
        </w:rPr>
        <w:t xml:space="preserve"> 2016;</w:t>
      </w:r>
      <w:r w:rsidRPr="00784852">
        <w:rPr>
          <w:rFonts w:cs="Calibri"/>
          <w:b/>
          <w:bCs/>
          <w:noProof/>
          <w:sz w:val="24"/>
          <w:szCs w:val="24"/>
        </w:rPr>
        <w:t>67</w:t>
      </w:r>
      <w:r w:rsidRPr="00784852">
        <w:rPr>
          <w:rFonts w:cs="Calibri"/>
          <w:noProof/>
          <w:sz w:val="24"/>
          <w:szCs w:val="24"/>
        </w:rPr>
        <w:t xml:space="preserve">. </w:t>
      </w:r>
    </w:p>
    <w:p w14:paraId="61BC76FC" w14:textId="77777777" w:rsidR="00784852" w:rsidRPr="00784852" w:rsidRDefault="00784852" w:rsidP="00784852">
      <w:pPr>
        <w:widowControl w:val="0"/>
        <w:autoSpaceDE w:val="0"/>
        <w:autoSpaceDN w:val="0"/>
        <w:adjustRightInd w:val="0"/>
        <w:spacing w:after="140" w:line="480" w:lineRule="auto"/>
        <w:ind w:left="640" w:hanging="640"/>
        <w:rPr>
          <w:rFonts w:cs="Calibri"/>
          <w:noProof/>
          <w:sz w:val="24"/>
          <w:szCs w:val="24"/>
        </w:rPr>
      </w:pPr>
      <w:r w:rsidRPr="00784852">
        <w:rPr>
          <w:rFonts w:cs="Calibri"/>
          <w:noProof/>
          <w:sz w:val="24"/>
          <w:szCs w:val="24"/>
        </w:rPr>
        <w:t xml:space="preserve">3. </w:t>
      </w:r>
      <w:r w:rsidRPr="00784852">
        <w:rPr>
          <w:rFonts w:cs="Calibri"/>
          <w:noProof/>
          <w:sz w:val="24"/>
          <w:szCs w:val="24"/>
        </w:rPr>
        <w:tab/>
        <w:t xml:space="preserve">Papadakis M, Raju H, Behr ER, Noronha S V. De, Spath N, Kouloubinis A, </w:t>
      </w:r>
      <w:r w:rsidRPr="00784852">
        <w:rPr>
          <w:rFonts w:cs="Calibri"/>
          <w:i/>
          <w:iCs/>
          <w:noProof/>
          <w:sz w:val="24"/>
          <w:szCs w:val="24"/>
        </w:rPr>
        <w:t>et al.</w:t>
      </w:r>
      <w:r w:rsidRPr="00784852">
        <w:rPr>
          <w:rFonts w:cs="Calibri"/>
          <w:noProof/>
          <w:sz w:val="24"/>
          <w:szCs w:val="24"/>
        </w:rPr>
        <w:t xml:space="preserve"> Sudden cardiac death with autopsy findings of uncertain significance: Potential for erroneous interpretation. </w:t>
      </w:r>
      <w:r w:rsidRPr="00784852">
        <w:rPr>
          <w:rFonts w:cs="Calibri"/>
          <w:i/>
          <w:iCs/>
          <w:noProof/>
          <w:sz w:val="24"/>
          <w:szCs w:val="24"/>
        </w:rPr>
        <w:t>Circ Arrhythmia Electrophysiol</w:t>
      </w:r>
      <w:r w:rsidRPr="00784852">
        <w:rPr>
          <w:rFonts w:cs="Calibri"/>
          <w:noProof/>
          <w:sz w:val="24"/>
          <w:szCs w:val="24"/>
        </w:rPr>
        <w:t xml:space="preserve"> 2013;</w:t>
      </w:r>
      <w:r w:rsidRPr="00784852">
        <w:rPr>
          <w:rFonts w:cs="Calibri"/>
          <w:b/>
          <w:bCs/>
          <w:noProof/>
          <w:sz w:val="24"/>
          <w:szCs w:val="24"/>
        </w:rPr>
        <w:t>6</w:t>
      </w:r>
      <w:r w:rsidRPr="00784852">
        <w:rPr>
          <w:rFonts w:cs="Calibri"/>
          <w:noProof/>
          <w:sz w:val="24"/>
          <w:szCs w:val="24"/>
        </w:rPr>
        <w:t xml:space="preserve">:588–96. </w:t>
      </w:r>
    </w:p>
    <w:p w14:paraId="162D8E32" w14:textId="77777777" w:rsidR="00784852" w:rsidRPr="00784852" w:rsidRDefault="00784852" w:rsidP="00784852">
      <w:pPr>
        <w:widowControl w:val="0"/>
        <w:autoSpaceDE w:val="0"/>
        <w:autoSpaceDN w:val="0"/>
        <w:adjustRightInd w:val="0"/>
        <w:spacing w:after="140" w:line="480" w:lineRule="auto"/>
        <w:ind w:left="640" w:hanging="640"/>
        <w:rPr>
          <w:rFonts w:cs="Calibri"/>
          <w:noProof/>
          <w:sz w:val="24"/>
          <w:szCs w:val="24"/>
        </w:rPr>
      </w:pPr>
      <w:r w:rsidRPr="00784852">
        <w:rPr>
          <w:rFonts w:cs="Calibri"/>
          <w:noProof/>
          <w:sz w:val="24"/>
          <w:szCs w:val="24"/>
        </w:rPr>
        <w:t xml:space="preserve">4. </w:t>
      </w:r>
      <w:r w:rsidRPr="00784852">
        <w:rPr>
          <w:rFonts w:cs="Calibri"/>
          <w:noProof/>
          <w:sz w:val="24"/>
          <w:szCs w:val="24"/>
        </w:rPr>
        <w:tab/>
        <w:t xml:space="preserve">Raju H, Parsons S, Thompson TN, Morgan N, Zentner D, Trainer AH, </w:t>
      </w:r>
      <w:r w:rsidRPr="00784852">
        <w:rPr>
          <w:rFonts w:cs="Calibri"/>
          <w:i/>
          <w:iCs/>
          <w:noProof/>
          <w:sz w:val="24"/>
          <w:szCs w:val="24"/>
        </w:rPr>
        <w:t>et al.</w:t>
      </w:r>
      <w:r w:rsidRPr="00784852">
        <w:rPr>
          <w:rFonts w:cs="Calibri"/>
          <w:noProof/>
          <w:sz w:val="24"/>
          <w:szCs w:val="24"/>
        </w:rPr>
        <w:t xml:space="preserve"> Insights into sudden cardiac death: exploring the potential relevance of non-diagnostic autopsy findings. </w:t>
      </w:r>
      <w:r w:rsidRPr="00784852">
        <w:rPr>
          <w:rFonts w:cs="Calibri"/>
          <w:i/>
          <w:iCs/>
          <w:noProof/>
          <w:sz w:val="24"/>
          <w:szCs w:val="24"/>
        </w:rPr>
        <w:t>Eur Heart J</w:t>
      </w:r>
      <w:r w:rsidRPr="00784852">
        <w:rPr>
          <w:rFonts w:cs="Calibri"/>
          <w:noProof/>
          <w:sz w:val="24"/>
          <w:szCs w:val="24"/>
        </w:rPr>
        <w:t xml:space="preserve"> 2018; </w:t>
      </w:r>
    </w:p>
    <w:p w14:paraId="6CB4D62C" w14:textId="77777777" w:rsidR="00784852" w:rsidRPr="00784852" w:rsidRDefault="00784852" w:rsidP="00784852">
      <w:pPr>
        <w:widowControl w:val="0"/>
        <w:autoSpaceDE w:val="0"/>
        <w:autoSpaceDN w:val="0"/>
        <w:adjustRightInd w:val="0"/>
        <w:spacing w:after="140" w:line="480" w:lineRule="auto"/>
        <w:ind w:left="640" w:hanging="640"/>
        <w:rPr>
          <w:rFonts w:cs="Calibri"/>
          <w:noProof/>
          <w:sz w:val="24"/>
          <w:szCs w:val="24"/>
        </w:rPr>
      </w:pPr>
      <w:r w:rsidRPr="00784852">
        <w:rPr>
          <w:rFonts w:cs="Calibri"/>
          <w:noProof/>
          <w:sz w:val="24"/>
          <w:szCs w:val="24"/>
        </w:rPr>
        <w:t xml:space="preserve">5. </w:t>
      </w:r>
      <w:r w:rsidRPr="00784852">
        <w:rPr>
          <w:rFonts w:cs="Calibri"/>
          <w:noProof/>
          <w:sz w:val="24"/>
          <w:szCs w:val="24"/>
        </w:rPr>
        <w:tab/>
        <w:t xml:space="preserve">Harmon KG, Asif IM, Maleszewski JJ, Owens DS, Prutkin JM, Salerno JC, </w:t>
      </w:r>
      <w:r w:rsidRPr="00784852">
        <w:rPr>
          <w:rFonts w:cs="Calibri"/>
          <w:i/>
          <w:iCs/>
          <w:noProof/>
          <w:sz w:val="24"/>
          <w:szCs w:val="24"/>
        </w:rPr>
        <w:t>et al.</w:t>
      </w:r>
      <w:r w:rsidRPr="00784852">
        <w:rPr>
          <w:rFonts w:cs="Calibri"/>
          <w:noProof/>
          <w:sz w:val="24"/>
          <w:szCs w:val="24"/>
        </w:rPr>
        <w:t xml:space="preserve"> Incidence, Cause, and Comparative Frequency of Sudden Cardiac Death in National Collegiate Athletic Association Athletes: A Decade in Review. </w:t>
      </w:r>
      <w:r w:rsidRPr="00784852">
        <w:rPr>
          <w:rFonts w:cs="Calibri"/>
          <w:i/>
          <w:iCs/>
          <w:noProof/>
          <w:sz w:val="24"/>
          <w:szCs w:val="24"/>
        </w:rPr>
        <w:t>Circulation</w:t>
      </w:r>
      <w:r w:rsidRPr="00784852">
        <w:rPr>
          <w:rFonts w:cs="Calibri"/>
          <w:noProof/>
          <w:sz w:val="24"/>
          <w:szCs w:val="24"/>
        </w:rPr>
        <w:t xml:space="preserve"> 2015;</w:t>
      </w:r>
      <w:r w:rsidRPr="00784852">
        <w:rPr>
          <w:rFonts w:cs="Calibri"/>
          <w:b/>
          <w:bCs/>
          <w:noProof/>
          <w:sz w:val="24"/>
          <w:szCs w:val="24"/>
        </w:rPr>
        <w:t>132</w:t>
      </w:r>
      <w:r w:rsidRPr="00784852">
        <w:rPr>
          <w:rFonts w:cs="Calibri"/>
          <w:noProof/>
          <w:sz w:val="24"/>
          <w:szCs w:val="24"/>
        </w:rPr>
        <w:t xml:space="preserve">:10–9. </w:t>
      </w:r>
    </w:p>
    <w:p w14:paraId="70895728" w14:textId="77777777" w:rsidR="00784852" w:rsidRPr="00784852" w:rsidRDefault="00784852" w:rsidP="00784852">
      <w:pPr>
        <w:widowControl w:val="0"/>
        <w:autoSpaceDE w:val="0"/>
        <w:autoSpaceDN w:val="0"/>
        <w:adjustRightInd w:val="0"/>
        <w:spacing w:after="140" w:line="480" w:lineRule="auto"/>
        <w:ind w:left="640" w:hanging="640"/>
        <w:rPr>
          <w:rFonts w:cs="Calibri"/>
          <w:noProof/>
          <w:sz w:val="24"/>
          <w:szCs w:val="24"/>
        </w:rPr>
      </w:pPr>
      <w:r w:rsidRPr="00784852">
        <w:rPr>
          <w:rFonts w:cs="Calibri"/>
          <w:noProof/>
          <w:sz w:val="24"/>
          <w:szCs w:val="24"/>
        </w:rPr>
        <w:t xml:space="preserve">6. </w:t>
      </w:r>
      <w:r w:rsidRPr="00784852">
        <w:rPr>
          <w:rFonts w:cs="Calibri"/>
          <w:noProof/>
          <w:sz w:val="24"/>
          <w:szCs w:val="24"/>
        </w:rPr>
        <w:tab/>
        <w:t xml:space="preserve">Noronha S V de, Behr ER, Papadakis M, Ohta-Ogo K, Banya W, Wells J, </w:t>
      </w:r>
      <w:r w:rsidRPr="00784852">
        <w:rPr>
          <w:rFonts w:cs="Calibri"/>
          <w:i/>
          <w:iCs/>
          <w:noProof/>
          <w:sz w:val="24"/>
          <w:szCs w:val="24"/>
        </w:rPr>
        <w:t>et al.</w:t>
      </w:r>
      <w:r w:rsidRPr="00784852">
        <w:rPr>
          <w:rFonts w:cs="Calibri"/>
          <w:noProof/>
          <w:sz w:val="24"/>
          <w:szCs w:val="24"/>
        </w:rPr>
        <w:t xml:space="preserve"> The importance of specialist cardiac histopathological examination in the investigation of young sudden cardiac deaths. </w:t>
      </w:r>
      <w:r w:rsidRPr="00784852">
        <w:rPr>
          <w:rFonts w:cs="Calibri"/>
          <w:i/>
          <w:iCs/>
          <w:noProof/>
          <w:sz w:val="24"/>
          <w:szCs w:val="24"/>
        </w:rPr>
        <w:t>Europace</w:t>
      </w:r>
      <w:r w:rsidRPr="00784852">
        <w:rPr>
          <w:rFonts w:cs="Calibri"/>
          <w:noProof/>
          <w:sz w:val="24"/>
          <w:szCs w:val="24"/>
        </w:rPr>
        <w:t xml:space="preserve"> 2014;</w:t>
      </w:r>
      <w:r w:rsidRPr="00784852">
        <w:rPr>
          <w:rFonts w:cs="Calibri"/>
          <w:b/>
          <w:bCs/>
          <w:noProof/>
          <w:sz w:val="24"/>
          <w:szCs w:val="24"/>
        </w:rPr>
        <w:t>16</w:t>
      </w:r>
      <w:r w:rsidRPr="00784852">
        <w:rPr>
          <w:rFonts w:cs="Calibri"/>
          <w:noProof/>
          <w:sz w:val="24"/>
          <w:szCs w:val="24"/>
        </w:rPr>
        <w:t xml:space="preserve">:899–907. </w:t>
      </w:r>
    </w:p>
    <w:p w14:paraId="5FE19F6D" w14:textId="77777777" w:rsidR="00784852" w:rsidRPr="00784852" w:rsidRDefault="00784852" w:rsidP="00784852">
      <w:pPr>
        <w:widowControl w:val="0"/>
        <w:autoSpaceDE w:val="0"/>
        <w:autoSpaceDN w:val="0"/>
        <w:adjustRightInd w:val="0"/>
        <w:spacing w:after="140" w:line="480" w:lineRule="auto"/>
        <w:ind w:left="640" w:hanging="640"/>
        <w:rPr>
          <w:rFonts w:cs="Calibri"/>
          <w:noProof/>
          <w:sz w:val="24"/>
          <w:szCs w:val="24"/>
        </w:rPr>
      </w:pPr>
      <w:r w:rsidRPr="00784852">
        <w:rPr>
          <w:rFonts w:cs="Calibri"/>
          <w:noProof/>
          <w:sz w:val="24"/>
          <w:szCs w:val="24"/>
        </w:rPr>
        <w:t xml:space="preserve">7. </w:t>
      </w:r>
      <w:r w:rsidRPr="00784852">
        <w:rPr>
          <w:rFonts w:cs="Calibri"/>
          <w:noProof/>
          <w:sz w:val="24"/>
          <w:szCs w:val="24"/>
        </w:rPr>
        <w:tab/>
        <w:t xml:space="preserve">Kitzman DW, Scholz DG, Hagen PT, Ilstrup DM, Edwards WD. Age-related changes in </w:t>
      </w:r>
      <w:r w:rsidRPr="00784852">
        <w:rPr>
          <w:rFonts w:cs="Calibri"/>
          <w:noProof/>
          <w:sz w:val="24"/>
          <w:szCs w:val="24"/>
        </w:rPr>
        <w:lastRenderedPageBreak/>
        <w:t xml:space="preserve">normal human hearts during the first 10 decades of life. Part II (Maturity): A quantitative anatomic study of 765 specimens from subjects 20 to 99 years old. </w:t>
      </w:r>
      <w:r w:rsidRPr="00784852">
        <w:rPr>
          <w:rFonts w:cs="Calibri"/>
          <w:i/>
          <w:iCs/>
          <w:noProof/>
          <w:sz w:val="24"/>
          <w:szCs w:val="24"/>
        </w:rPr>
        <w:t>Mayo Clin Proc</w:t>
      </w:r>
      <w:r w:rsidRPr="00784852">
        <w:rPr>
          <w:rFonts w:cs="Calibri"/>
          <w:noProof/>
          <w:sz w:val="24"/>
          <w:szCs w:val="24"/>
        </w:rPr>
        <w:t xml:space="preserve"> 1988;</w:t>
      </w:r>
      <w:r w:rsidRPr="00784852">
        <w:rPr>
          <w:rFonts w:cs="Calibri"/>
          <w:b/>
          <w:bCs/>
          <w:noProof/>
          <w:sz w:val="24"/>
          <w:szCs w:val="24"/>
        </w:rPr>
        <w:t>63</w:t>
      </w:r>
      <w:r w:rsidRPr="00784852">
        <w:rPr>
          <w:rFonts w:cs="Calibri"/>
          <w:noProof/>
          <w:sz w:val="24"/>
          <w:szCs w:val="24"/>
        </w:rPr>
        <w:t xml:space="preserve">:137–46. </w:t>
      </w:r>
    </w:p>
    <w:p w14:paraId="6DAE0936" w14:textId="77777777" w:rsidR="00784852" w:rsidRPr="00784852" w:rsidRDefault="00784852" w:rsidP="00784852">
      <w:pPr>
        <w:widowControl w:val="0"/>
        <w:autoSpaceDE w:val="0"/>
        <w:autoSpaceDN w:val="0"/>
        <w:adjustRightInd w:val="0"/>
        <w:spacing w:after="140" w:line="480" w:lineRule="auto"/>
        <w:ind w:left="640" w:hanging="640"/>
        <w:rPr>
          <w:rFonts w:cs="Calibri"/>
          <w:noProof/>
          <w:sz w:val="24"/>
          <w:szCs w:val="24"/>
        </w:rPr>
      </w:pPr>
      <w:r w:rsidRPr="00784852">
        <w:rPr>
          <w:rFonts w:cs="Calibri"/>
          <w:noProof/>
          <w:sz w:val="24"/>
          <w:szCs w:val="24"/>
        </w:rPr>
        <w:t xml:space="preserve">8. </w:t>
      </w:r>
      <w:r w:rsidRPr="00784852">
        <w:rPr>
          <w:rFonts w:cs="Calibri"/>
          <w:noProof/>
          <w:sz w:val="24"/>
          <w:szCs w:val="24"/>
        </w:rPr>
        <w:tab/>
        <w:t xml:space="preserve">Wingren CJ, Ottosson A. Postmortem heart weight modelled using piecewise linear regression in 27,645 medicolegal autopsy cases. </w:t>
      </w:r>
      <w:r w:rsidRPr="00784852">
        <w:rPr>
          <w:rFonts w:cs="Calibri"/>
          <w:i/>
          <w:iCs/>
          <w:noProof/>
          <w:sz w:val="24"/>
          <w:szCs w:val="24"/>
        </w:rPr>
        <w:t>Forensic Sci Int</w:t>
      </w:r>
      <w:r w:rsidRPr="00784852">
        <w:rPr>
          <w:rFonts w:cs="Calibri"/>
          <w:noProof/>
          <w:sz w:val="24"/>
          <w:szCs w:val="24"/>
        </w:rPr>
        <w:t xml:space="preserve"> 2015;</w:t>
      </w:r>
      <w:r w:rsidRPr="00784852">
        <w:rPr>
          <w:rFonts w:cs="Calibri"/>
          <w:b/>
          <w:bCs/>
          <w:noProof/>
          <w:sz w:val="24"/>
          <w:szCs w:val="24"/>
        </w:rPr>
        <w:t>252</w:t>
      </w:r>
      <w:r w:rsidRPr="00784852">
        <w:rPr>
          <w:rFonts w:cs="Calibri"/>
          <w:noProof/>
          <w:sz w:val="24"/>
          <w:szCs w:val="24"/>
        </w:rPr>
        <w:t xml:space="preserve">:157–62. </w:t>
      </w:r>
    </w:p>
    <w:p w14:paraId="48A45D0B" w14:textId="77777777" w:rsidR="00784852" w:rsidRPr="00784852" w:rsidRDefault="00784852" w:rsidP="00784852">
      <w:pPr>
        <w:widowControl w:val="0"/>
        <w:autoSpaceDE w:val="0"/>
        <w:autoSpaceDN w:val="0"/>
        <w:adjustRightInd w:val="0"/>
        <w:spacing w:after="140" w:line="480" w:lineRule="auto"/>
        <w:ind w:left="640" w:hanging="640"/>
        <w:rPr>
          <w:rFonts w:cs="Calibri"/>
          <w:noProof/>
          <w:sz w:val="24"/>
          <w:szCs w:val="24"/>
        </w:rPr>
      </w:pPr>
      <w:r w:rsidRPr="00784852">
        <w:rPr>
          <w:rFonts w:cs="Calibri"/>
          <w:noProof/>
          <w:sz w:val="24"/>
          <w:szCs w:val="24"/>
        </w:rPr>
        <w:t xml:space="preserve">9. </w:t>
      </w:r>
      <w:r w:rsidRPr="00784852">
        <w:rPr>
          <w:rFonts w:cs="Calibri"/>
          <w:noProof/>
          <w:sz w:val="24"/>
          <w:szCs w:val="24"/>
        </w:rPr>
        <w:tab/>
        <w:t xml:space="preserve">Osborn M, Lowe J, Sheppard MN SS. Guidelines on autopsy practice: sudden death with likely cardiac pathology. </w:t>
      </w:r>
      <w:r w:rsidRPr="00784852">
        <w:rPr>
          <w:rFonts w:cs="Calibri"/>
          <w:i/>
          <w:iCs/>
          <w:noProof/>
          <w:sz w:val="24"/>
          <w:szCs w:val="24"/>
        </w:rPr>
        <w:t>R Coll Pathol</w:t>
      </w:r>
      <w:r w:rsidRPr="00784852">
        <w:rPr>
          <w:rFonts w:cs="Calibri"/>
          <w:noProof/>
          <w:sz w:val="24"/>
          <w:szCs w:val="24"/>
        </w:rPr>
        <w:t xml:space="preserve"> 2015;</w:t>
      </w:r>
      <w:r w:rsidRPr="00784852">
        <w:rPr>
          <w:rFonts w:cs="Calibri"/>
          <w:b/>
          <w:bCs/>
          <w:noProof/>
          <w:sz w:val="24"/>
          <w:szCs w:val="24"/>
        </w:rPr>
        <w:t>G145</w:t>
      </w:r>
      <w:r w:rsidRPr="00784852">
        <w:rPr>
          <w:rFonts w:cs="Calibri"/>
          <w:noProof/>
          <w:sz w:val="24"/>
          <w:szCs w:val="24"/>
        </w:rPr>
        <w:t xml:space="preserve">. </w:t>
      </w:r>
    </w:p>
    <w:p w14:paraId="649255B9" w14:textId="77777777" w:rsidR="00784852" w:rsidRPr="00784852" w:rsidRDefault="00784852" w:rsidP="00784852">
      <w:pPr>
        <w:widowControl w:val="0"/>
        <w:autoSpaceDE w:val="0"/>
        <w:autoSpaceDN w:val="0"/>
        <w:adjustRightInd w:val="0"/>
        <w:spacing w:after="140" w:line="480" w:lineRule="auto"/>
        <w:ind w:left="640" w:hanging="640"/>
        <w:rPr>
          <w:rFonts w:cs="Calibri"/>
          <w:noProof/>
          <w:sz w:val="24"/>
          <w:szCs w:val="24"/>
        </w:rPr>
      </w:pPr>
      <w:r w:rsidRPr="00784852">
        <w:rPr>
          <w:rFonts w:cs="Calibri"/>
          <w:noProof/>
          <w:sz w:val="24"/>
          <w:szCs w:val="24"/>
        </w:rPr>
        <w:t xml:space="preserve">10. </w:t>
      </w:r>
      <w:r w:rsidRPr="00784852">
        <w:rPr>
          <w:rFonts w:cs="Calibri"/>
          <w:noProof/>
          <w:sz w:val="24"/>
          <w:szCs w:val="24"/>
        </w:rPr>
        <w:tab/>
        <w:t xml:space="preserve">Basso C, Aguilera B, Banner J, Cohle S, D’Amati G, Gouveia RH de, </w:t>
      </w:r>
      <w:r w:rsidRPr="00784852">
        <w:rPr>
          <w:rFonts w:cs="Calibri"/>
          <w:i/>
          <w:iCs/>
          <w:noProof/>
          <w:sz w:val="24"/>
          <w:szCs w:val="24"/>
        </w:rPr>
        <w:t>et al.</w:t>
      </w:r>
      <w:r w:rsidRPr="00784852">
        <w:rPr>
          <w:rFonts w:cs="Calibri"/>
          <w:noProof/>
          <w:sz w:val="24"/>
          <w:szCs w:val="24"/>
        </w:rPr>
        <w:t xml:space="preserve"> Guidelines for autopsy investigation of sudden cardiac death: 2017 update from the Association for European Cardiovascular Pathology. </w:t>
      </w:r>
      <w:r w:rsidRPr="00784852">
        <w:rPr>
          <w:rFonts w:cs="Calibri"/>
          <w:i/>
          <w:iCs/>
          <w:noProof/>
          <w:sz w:val="24"/>
          <w:szCs w:val="24"/>
        </w:rPr>
        <w:t>Virchows Arch</w:t>
      </w:r>
      <w:r w:rsidRPr="00784852">
        <w:rPr>
          <w:rFonts w:cs="Calibri"/>
          <w:noProof/>
          <w:sz w:val="24"/>
          <w:szCs w:val="24"/>
        </w:rPr>
        <w:t xml:space="preserve"> 2017;</w:t>
      </w:r>
      <w:r w:rsidRPr="00784852">
        <w:rPr>
          <w:rFonts w:cs="Calibri"/>
          <w:b/>
          <w:bCs/>
          <w:noProof/>
          <w:sz w:val="24"/>
          <w:szCs w:val="24"/>
        </w:rPr>
        <w:t>471</w:t>
      </w:r>
      <w:r w:rsidRPr="00784852">
        <w:rPr>
          <w:rFonts w:cs="Calibri"/>
          <w:noProof/>
          <w:sz w:val="24"/>
          <w:szCs w:val="24"/>
        </w:rPr>
        <w:t xml:space="preserve">:691–705. </w:t>
      </w:r>
    </w:p>
    <w:p w14:paraId="5CEF752B" w14:textId="77777777" w:rsidR="00784852" w:rsidRPr="00784852" w:rsidRDefault="00784852" w:rsidP="00784852">
      <w:pPr>
        <w:widowControl w:val="0"/>
        <w:autoSpaceDE w:val="0"/>
        <w:autoSpaceDN w:val="0"/>
        <w:adjustRightInd w:val="0"/>
        <w:spacing w:after="140" w:line="480" w:lineRule="auto"/>
        <w:ind w:left="640" w:hanging="640"/>
        <w:rPr>
          <w:rFonts w:cs="Calibri"/>
          <w:noProof/>
          <w:sz w:val="24"/>
          <w:szCs w:val="24"/>
        </w:rPr>
      </w:pPr>
      <w:r w:rsidRPr="00784852">
        <w:rPr>
          <w:rFonts w:cs="Calibri"/>
          <w:noProof/>
          <w:sz w:val="24"/>
          <w:szCs w:val="24"/>
        </w:rPr>
        <w:t xml:space="preserve">11. </w:t>
      </w:r>
      <w:r w:rsidRPr="00784852">
        <w:rPr>
          <w:rFonts w:cs="Calibri"/>
          <w:noProof/>
          <w:sz w:val="24"/>
          <w:szCs w:val="24"/>
        </w:rPr>
        <w:tab/>
        <w:t xml:space="preserve">Priori SG, Blomström-Lundqvist C, Mazzanti A, Blom N, Borggrefe M, Camm J, </w:t>
      </w:r>
      <w:r w:rsidRPr="00784852">
        <w:rPr>
          <w:rFonts w:cs="Calibri"/>
          <w:i/>
          <w:iCs/>
          <w:noProof/>
          <w:sz w:val="24"/>
          <w:szCs w:val="24"/>
        </w:rPr>
        <w:t>et al.</w:t>
      </w:r>
      <w:r w:rsidRPr="00784852">
        <w:rPr>
          <w:rFonts w:cs="Calibri"/>
          <w:noProof/>
          <w:sz w:val="24"/>
          <w:szCs w:val="24"/>
        </w:rPr>
        <w:t xml:space="preserve"> 2015 ESC Guidelines for the management of patients with ventricular arrhythmias and the prevention of sudden cardiac death: The Task Force for the Management of Patients with Ventricular Arrhythmias and the Prevention of Sudden Cardiac Death of the Europe. </w:t>
      </w:r>
      <w:r w:rsidRPr="00784852">
        <w:rPr>
          <w:rFonts w:cs="Calibri"/>
          <w:i/>
          <w:iCs/>
          <w:noProof/>
          <w:sz w:val="24"/>
          <w:szCs w:val="24"/>
        </w:rPr>
        <w:t>Eur Heart J</w:t>
      </w:r>
      <w:r w:rsidRPr="00784852">
        <w:rPr>
          <w:rFonts w:cs="Calibri"/>
          <w:noProof/>
          <w:sz w:val="24"/>
          <w:szCs w:val="24"/>
        </w:rPr>
        <w:t xml:space="preserve"> 2015;</w:t>
      </w:r>
      <w:r w:rsidRPr="00784852">
        <w:rPr>
          <w:rFonts w:cs="Calibri"/>
          <w:b/>
          <w:bCs/>
          <w:noProof/>
          <w:sz w:val="24"/>
          <w:szCs w:val="24"/>
        </w:rPr>
        <w:t>36</w:t>
      </w:r>
      <w:r w:rsidRPr="00784852">
        <w:rPr>
          <w:rFonts w:cs="Calibri"/>
          <w:noProof/>
          <w:sz w:val="24"/>
          <w:szCs w:val="24"/>
        </w:rPr>
        <w:t xml:space="preserve">:2793–867. </w:t>
      </w:r>
    </w:p>
    <w:p w14:paraId="696EE017" w14:textId="77777777" w:rsidR="00784852" w:rsidRPr="00784852" w:rsidRDefault="00784852" w:rsidP="00784852">
      <w:pPr>
        <w:widowControl w:val="0"/>
        <w:autoSpaceDE w:val="0"/>
        <w:autoSpaceDN w:val="0"/>
        <w:adjustRightInd w:val="0"/>
        <w:spacing w:after="140" w:line="480" w:lineRule="auto"/>
        <w:ind w:left="640" w:hanging="640"/>
        <w:rPr>
          <w:rFonts w:cs="Calibri"/>
          <w:noProof/>
          <w:sz w:val="24"/>
          <w:szCs w:val="24"/>
        </w:rPr>
      </w:pPr>
      <w:r w:rsidRPr="00784852">
        <w:rPr>
          <w:rFonts w:cs="Calibri"/>
          <w:noProof/>
          <w:sz w:val="24"/>
          <w:szCs w:val="24"/>
        </w:rPr>
        <w:t xml:space="preserve">12. </w:t>
      </w:r>
      <w:r w:rsidRPr="00784852">
        <w:rPr>
          <w:rFonts w:cs="Calibri"/>
          <w:noProof/>
          <w:sz w:val="24"/>
          <w:szCs w:val="24"/>
        </w:rPr>
        <w:tab/>
        <w:t xml:space="preserve">EINTHOVEN W, FAHR G, WAART A DE. On the direction and manifest size of the variations of potential in the human heart and on the influence of the position of the heart on the form of the electrocardiogram. </w:t>
      </w:r>
      <w:r w:rsidRPr="00784852">
        <w:rPr>
          <w:rFonts w:cs="Calibri"/>
          <w:i/>
          <w:iCs/>
          <w:noProof/>
          <w:sz w:val="24"/>
          <w:szCs w:val="24"/>
        </w:rPr>
        <w:t>Am Heart J</w:t>
      </w:r>
      <w:r w:rsidRPr="00784852">
        <w:rPr>
          <w:rFonts w:cs="Calibri"/>
          <w:noProof/>
          <w:sz w:val="24"/>
          <w:szCs w:val="24"/>
        </w:rPr>
        <w:t xml:space="preserve"> 1950;</w:t>
      </w:r>
      <w:r w:rsidRPr="00784852">
        <w:rPr>
          <w:rFonts w:cs="Calibri"/>
          <w:b/>
          <w:bCs/>
          <w:noProof/>
          <w:sz w:val="24"/>
          <w:szCs w:val="24"/>
        </w:rPr>
        <w:t>40</w:t>
      </w:r>
      <w:r w:rsidRPr="00784852">
        <w:rPr>
          <w:rFonts w:cs="Calibri"/>
          <w:noProof/>
          <w:sz w:val="24"/>
          <w:szCs w:val="24"/>
        </w:rPr>
        <w:t xml:space="preserve">:163–211. </w:t>
      </w:r>
    </w:p>
    <w:p w14:paraId="5D97BAA7" w14:textId="77777777" w:rsidR="00784852" w:rsidRPr="00784852" w:rsidRDefault="00784852" w:rsidP="00784852">
      <w:pPr>
        <w:widowControl w:val="0"/>
        <w:autoSpaceDE w:val="0"/>
        <w:autoSpaceDN w:val="0"/>
        <w:adjustRightInd w:val="0"/>
        <w:spacing w:after="140" w:line="480" w:lineRule="auto"/>
        <w:ind w:left="640" w:hanging="640"/>
        <w:rPr>
          <w:rFonts w:cs="Calibri"/>
          <w:noProof/>
          <w:sz w:val="24"/>
          <w:szCs w:val="24"/>
        </w:rPr>
      </w:pPr>
      <w:r w:rsidRPr="00784852">
        <w:rPr>
          <w:rFonts w:cs="Calibri"/>
          <w:noProof/>
          <w:sz w:val="24"/>
          <w:szCs w:val="24"/>
        </w:rPr>
        <w:t xml:space="preserve">13. </w:t>
      </w:r>
      <w:r w:rsidRPr="00784852">
        <w:rPr>
          <w:rFonts w:cs="Calibri"/>
          <w:noProof/>
          <w:sz w:val="24"/>
          <w:szCs w:val="24"/>
        </w:rPr>
        <w:tab/>
        <w:t xml:space="preserve">Lang RM, Badano LP, Mor-Avi V, Afilalo J, Armstrong A, Ernande L, </w:t>
      </w:r>
      <w:r w:rsidRPr="00784852">
        <w:rPr>
          <w:rFonts w:cs="Calibri"/>
          <w:i/>
          <w:iCs/>
          <w:noProof/>
          <w:sz w:val="24"/>
          <w:szCs w:val="24"/>
        </w:rPr>
        <w:t>et al.</w:t>
      </w:r>
      <w:r w:rsidRPr="00784852">
        <w:rPr>
          <w:rFonts w:cs="Calibri"/>
          <w:noProof/>
          <w:sz w:val="24"/>
          <w:szCs w:val="24"/>
        </w:rPr>
        <w:t xml:space="preserve"> Recommendations for cardiac chamber quantification by echocardiography in adults: an update from the American Society of Echocardiography and the European Association of Cardiovascular Imaging. </w:t>
      </w:r>
      <w:r w:rsidRPr="00784852">
        <w:rPr>
          <w:rFonts w:cs="Calibri"/>
          <w:i/>
          <w:iCs/>
          <w:noProof/>
          <w:sz w:val="24"/>
          <w:szCs w:val="24"/>
        </w:rPr>
        <w:t>Eur Heart J Cardiovasc Imaging</w:t>
      </w:r>
      <w:r w:rsidRPr="00784852">
        <w:rPr>
          <w:rFonts w:cs="Calibri"/>
          <w:noProof/>
          <w:sz w:val="24"/>
          <w:szCs w:val="24"/>
        </w:rPr>
        <w:t xml:space="preserve"> 2015;</w:t>
      </w:r>
      <w:r w:rsidRPr="00784852">
        <w:rPr>
          <w:rFonts w:cs="Calibri"/>
          <w:b/>
          <w:bCs/>
          <w:noProof/>
          <w:sz w:val="24"/>
          <w:szCs w:val="24"/>
        </w:rPr>
        <w:t>16</w:t>
      </w:r>
      <w:r w:rsidRPr="00784852">
        <w:rPr>
          <w:rFonts w:cs="Calibri"/>
          <w:noProof/>
          <w:sz w:val="24"/>
          <w:szCs w:val="24"/>
        </w:rPr>
        <w:t>:233–</w:t>
      </w:r>
      <w:r w:rsidRPr="00784852">
        <w:rPr>
          <w:rFonts w:cs="Calibri"/>
          <w:noProof/>
          <w:sz w:val="24"/>
          <w:szCs w:val="24"/>
        </w:rPr>
        <w:lastRenderedPageBreak/>
        <w:t xml:space="preserve">70. </w:t>
      </w:r>
    </w:p>
    <w:p w14:paraId="20E092E1" w14:textId="77777777" w:rsidR="00784852" w:rsidRPr="00784852" w:rsidRDefault="00784852" w:rsidP="00784852">
      <w:pPr>
        <w:widowControl w:val="0"/>
        <w:autoSpaceDE w:val="0"/>
        <w:autoSpaceDN w:val="0"/>
        <w:adjustRightInd w:val="0"/>
        <w:spacing w:after="140" w:line="480" w:lineRule="auto"/>
        <w:ind w:left="640" w:hanging="640"/>
        <w:rPr>
          <w:rFonts w:cs="Calibri"/>
          <w:noProof/>
          <w:sz w:val="24"/>
          <w:szCs w:val="24"/>
        </w:rPr>
      </w:pPr>
      <w:r w:rsidRPr="00784852">
        <w:rPr>
          <w:rFonts w:cs="Calibri"/>
          <w:noProof/>
          <w:sz w:val="24"/>
          <w:szCs w:val="24"/>
        </w:rPr>
        <w:t xml:space="preserve">14. </w:t>
      </w:r>
      <w:r w:rsidRPr="00784852">
        <w:rPr>
          <w:rFonts w:cs="Calibri"/>
          <w:noProof/>
          <w:sz w:val="24"/>
          <w:szCs w:val="24"/>
        </w:rPr>
        <w:tab/>
        <w:t xml:space="preserve">Finocchiaro G, Haddad F, Pavlovic A, Magavern E, Sinagra G, Knowles JW, </w:t>
      </w:r>
      <w:r w:rsidRPr="00784852">
        <w:rPr>
          <w:rFonts w:cs="Calibri"/>
          <w:i/>
          <w:iCs/>
          <w:noProof/>
          <w:sz w:val="24"/>
          <w:szCs w:val="24"/>
        </w:rPr>
        <w:t>et al.</w:t>
      </w:r>
      <w:r w:rsidRPr="00784852">
        <w:rPr>
          <w:rFonts w:cs="Calibri"/>
          <w:noProof/>
          <w:sz w:val="24"/>
          <w:szCs w:val="24"/>
        </w:rPr>
        <w:t xml:space="preserve"> How does morphology impact on diastolic function in hypertrophic cardiomyopathy? A single centre experience. </w:t>
      </w:r>
      <w:r w:rsidRPr="00784852">
        <w:rPr>
          <w:rFonts w:cs="Calibri"/>
          <w:i/>
          <w:iCs/>
          <w:noProof/>
          <w:sz w:val="24"/>
          <w:szCs w:val="24"/>
        </w:rPr>
        <w:t>BMJ Open</w:t>
      </w:r>
      <w:r w:rsidRPr="00784852">
        <w:rPr>
          <w:rFonts w:cs="Calibri"/>
          <w:noProof/>
          <w:sz w:val="24"/>
          <w:szCs w:val="24"/>
        </w:rPr>
        <w:t xml:space="preserve"> 2014;</w:t>
      </w:r>
      <w:r w:rsidRPr="00784852">
        <w:rPr>
          <w:rFonts w:cs="Calibri"/>
          <w:b/>
          <w:bCs/>
          <w:noProof/>
          <w:sz w:val="24"/>
          <w:szCs w:val="24"/>
        </w:rPr>
        <w:t>4</w:t>
      </w:r>
      <w:r w:rsidRPr="00784852">
        <w:rPr>
          <w:rFonts w:cs="Calibri"/>
          <w:noProof/>
          <w:sz w:val="24"/>
          <w:szCs w:val="24"/>
        </w:rPr>
        <w:t xml:space="preserve">. </w:t>
      </w:r>
    </w:p>
    <w:p w14:paraId="626F7F07" w14:textId="77777777" w:rsidR="00784852" w:rsidRPr="00784852" w:rsidRDefault="00784852" w:rsidP="00784852">
      <w:pPr>
        <w:widowControl w:val="0"/>
        <w:autoSpaceDE w:val="0"/>
        <w:autoSpaceDN w:val="0"/>
        <w:adjustRightInd w:val="0"/>
        <w:spacing w:after="140" w:line="480" w:lineRule="auto"/>
        <w:ind w:left="640" w:hanging="640"/>
        <w:rPr>
          <w:rFonts w:cs="Calibri"/>
          <w:noProof/>
          <w:sz w:val="24"/>
          <w:szCs w:val="24"/>
        </w:rPr>
      </w:pPr>
      <w:r w:rsidRPr="00784852">
        <w:rPr>
          <w:rFonts w:cs="Calibri"/>
          <w:noProof/>
          <w:sz w:val="24"/>
          <w:szCs w:val="24"/>
        </w:rPr>
        <w:t xml:space="preserve">15. </w:t>
      </w:r>
      <w:r w:rsidRPr="00784852">
        <w:rPr>
          <w:rFonts w:cs="Calibri"/>
          <w:noProof/>
          <w:sz w:val="24"/>
          <w:szCs w:val="24"/>
        </w:rPr>
        <w:tab/>
        <w:t xml:space="preserve">Maron BJ, Maron MS. The Remarkable 50 Years of Imaging in HCM and How it Has Changed Diagnosis and Management: From M-Mode Echocardiography to CMR. </w:t>
      </w:r>
      <w:r w:rsidRPr="00784852">
        <w:rPr>
          <w:rFonts w:cs="Calibri"/>
          <w:i/>
          <w:iCs/>
          <w:noProof/>
          <w:sz w:val="24"/>
          <w:szCs w:val="24"/>
        </w:rPr>
        <w:t>JACC Cardiovasc Imaging</w:t>
      </w:r>
      <w:r w:rsidRPr="00784852">
        <w:rPr>
          <w:rFonts w:cs="Calibri"/>
          <w:noProof/>
          <w:sz w:val="24"/>
          <w:szCs w:val="24"/>
        </w:rPr>
        <w:t xml:space="preserve"> 2016;</w:t>
      </w:r>
      <w:r w:rsidRPr="00784852">
        <w:rPr>
          <w:rFonts w:cs="Calibri"/>
          <w:b/>
          <w:bCs/>
          <w:noProof/>
          <w:sz w:val="24"/>
          <w:szCs w:val="24"/>
        </w:rPr>
        <w:t>9</w:t>
      </w:r>
      <w:r w:rsidRPr="00784852">
        <w:rPr>
          <w:rFonts w:cs="Calibri"/>
          <w:noProof/>
          <w:sz w:val="24"/>
          <w:szCs w:val="24"/>
        </w:rPr>
        <w:t xml:space="preserve">:858–72. </w:t>
      </w:r>
    </w:p>
    <w:p w14:paraId="6A691FB5" w14:textId="77777777" w:rsidR="00784852" w:rsidRPr="00784852" w:rsidRDefault="00784852" w:rsidP="00784852">
      <w:pPr>
        <w:widowControl w:val="0"/>
        <w:autoSpaceDE w:val="0"/>
        <w:autoSpaceDN w:val="0"/>
        <w:adjustRightInd w:val="0"/>
        <w:spacing w:after="140" w:line="480" w:lineRule="auto"/>
        <w:ind w:left="640" w:hanging="640"/>
        <w:rPr>
          <w:rFonts w:cs="Calibri"/>
          <w:noProof/>
          <w:sz w:val="24"/>
          <w:szCs w:val="24"/>
        </w:rPr>
      </w:pPr>
      <w:r w:rsidRPr="00784852">
        <w:rPr>
          <w:rFonts w:cs="Calibri"/>
          <w:noProof/>
          <w:sz w:val="24"/>
          <w:szCs w:val="24"/>
        </w:rPr>
        <w:t xml:space="preserve">16. </w:t>
      </w:r>
      <w:r w:rsidRPr="00784852">
        <w:rPr>
          <w:rFonts w:cs="Calibri"/>
          <w:noProof/>
          <w:sz w:val="24"/>
          <w:szCs w:val="24"/>
        </w:rPr>
        <w:tab/>
        <w:t xml:space="preserve">George KP, Birch KM, Pennell DJ, Myerson SG. Magnetic-resonance-imaging-derived indices for the normalization of left ventricular morphology by body size. </w:t>
      </w:r>
      <w:r w:rsidRPr="00784852">
        <w:rPr>
          <w:rFonts w:cs="Calibri"/>
          <w:i/>
          <w:iCs/>
          <w:noProof/>
          <w:sz w:val="24"/>
          <w:szCs w:val="24"/>
        </w:rPr>
        <w:t>Magn Reson Imaging</w:t>
      </w:r>
      <w:r w:rsidRPr="00784852">
        <w:rPr>
          <w:rFonts w:cs="Calibri"/>
          <w:noProof/>
          <w:sz w:val="24"/>
          <w:szCs w:val="24"/>
        </w:rPr>
        <w:t xml:space="preserve"> Elsevier Inc.; 2009;</w:t>
      </w:r>
      <w:r w:rsidRPr="00784852">
        <w:rPr>
          <w:rFonts w:cs="Calibri"/>
          <w:b/>
          <w:bCs/>
          <w:noProof/>
          <w:sz w:val="24"/>
          <w:szCs w:val="24"/>
        </w:rPr>
        <w:t>27</w:t>
      </w:r>
      <w:r w:rsidRPr="00784852">
        <w:rPr>
          <w:rFonts w:cs="Calibri"/>
          <w:noProof/>
          <w:sz w:val="24"/>
          <w:szCs w:val="24"/>
        </w:rPr>
        <w:t xml:space="preserve">:207–13. </w:t>
      </w:r>
    </w:p>
    <w:p w14:paraId="5DF25FBC" w14:textId="77777777" w:rsidR="00784852" w:rsidRPr="00784852" w:rsidRDefault="00784852" w:rsidP="00784852">
      <w:pPr>
        <w:widowControl w:val="0"/>
        <w:autoSpaceDE w:val="0"/>
        <w:autoSpaceDN w:val="0"/>
        <w:adjustRightInd w:val="0"/>
        <w:spacing w:after="140" w:line="480" w:lineRule="auto"/>
        <w:ind w:left="640" w:hanging="640"/>
        <w:rPr>
          <w:rFonts w:cs="Calibri"/>
          <w:noProof/>
          <w:sz w:val="24"/>
          <w:szCs w:val="24"/>
        </w:rPr>
      </w:pPr>
      <w:r w:rsidRPr="00784852">
        <w:rPr>
          <w:rFonts w:cs="Calibri"/>
          <w:noProof/>
          <w:sz w:val="24"/>
          <w:szCs w:val="24"/>
        </w:rPr>
        <w:t xml:space="preserve">17. </w:t>
      </w:r>
      <w:r w:rsidRPr="00784852">
        <w:rPr>
          <w:rFonts w:cs="Calibri"/>
          <w:noProof/>
          <w:sz w:val="24"/>
          <w:szCs w:val="24"/>
        </w:rPr>
        <w:tab/>
        <w:t xml:space="preserve">Mewton N, Liu CY, Croisille P, Bluemke D, Lima J a C. Assessment of myocardial fibrosis with cardiovascular magnetic resonance. </w:t>
      </w:r>
      <w:r w:rsidRPr="00784852">
        <w:rPr>
          <w:rFonts w:cs="Calibri"/>
          <w:i/>
          <w:iCs/>
          <w:noProof/>
          <w:sz w:val="24"/>
          <w:szCs w:val="24"/>
        </w:rPr>
        <w:t>J Am Coll Cardiol</w:t>
      </w:r>
      <w:r w:rsidRPr="00784852">
        <w:rPr>
          <w:rFonts w:cs="Calibri"/>
          <w:noProof/>
          <w:sz w:val="24"/>
          <w:szCs w:val="24"/>
        </w:rPr>
        <w:t xml:space="preserve"> Elsevier Inc.; 2011;</w:t>
      </w:r>
      <w:r w:rsidRPr="00784852">
        <w:rPr>
          <w:rFonts w:cs="Calibri"/>
          <w:b/>
          <w:bCs/>
          <w:noProof/>
          <w:sz w:val="24"/>
          <w:szCs w:val="24"/>
        </w:rPr>
        <w:t>57</w:t>
      </w:r>
      <w:r w:rsidRPr="00784852">
        <w:rPr>
          <w:rFonts w:cs="Calibri"/>
          <w:noProof/>
          <w:sz w:val="24"/>
          <w:szCs w:val="24"/>
        </w:rPr>
        <w:t xml:space="preserve">:891–903. </w:t>
      </w:r>
    </w:p>
    <w:p w14:paraId="364F883D" w14:textId="77777777" w:rsidR="00784852" w:rsidRPr="00784852" w:rsidRDefault="00784852" w:rsidP="00784852">
      <w:pPr>
        <w:widowControl w:val="0"/>
        <w:autoSpaceDE w:val="0"/>
        <w:autoSpaceDN w:val="0"/>
        <w:adjustRightInd w:val="0"/>
        <w:spacing w:after="140" w:line="480" w:lineRule="auto"/>
        <w:ind w:left="640" w:hanging="640"/>
        <w:rPr>
          <w:rFonts w:cs="Calibri"/>
          <w:noProof/>
          <w:sz w:val="24"/>
          <w:szCs w:val="24"/>
        </w:rPr>
      </w:pPr>
      <w:r w:rsidRPr="00784852">
        <w:rPr>
          <w:rFonts w:cs="Calibri"/>
          <w:noProof/>
          <w:sz w:val="24"/>
          <w:szCs w:val="24"/>
        </w:rPr>
        <w:t xml:space="preserve">18. </w:t>
      </w:r>
      <w:r w:rsidRPr="00784852">
        <w:rPr>
          <w:rFonts w:cs="Calibri"/>
          <w:noProof/>
          <w:sz w:val="24"/>
          <w:szCs w:val="24"/>
        </w:rPr>
        <w:tab/>
        <w:t xml:space="preserve">BRUCE RA, LOVEJOY FW. Normal respiratory and circulatory pathways of adaptation in exercise. </w:t>
      </w:r>
      <w:r w:rsidRPr="00784852">
        <w:rPr>
          <w:rFonts w:cs="Calibri"/>
          <w:i/>
          <w:iCs/>
          <w:noProof/>
          <w:sz w:val="24"/>
          <w:szCs w:val="24"/>
        </w:rPr>
        <w:t>J Clin Invest</w:t>
      </w:r>
      <w:r w:rsidRPr="00784852">
        <w:rPr>
          <w:rFonts w:cs="Calibri"/>
          <w:noProof/>
          <w:sz w:val="24"/>
          <w:szCs w:val="24"/>
        </w:rPr>
        <w:t xml:space="preserve"> 1949;</w:t>
      </w:r>
      <w:r w:rsidRPr="00784852">
        <w:rPr>
          <w:rFonts w:cs="Calibri"/>
          <w:b/>
          <w:bCs/>
          <w:noProof/>
          <w:sz w:val="24"/>
          <w:szCs w:val="24"/>
        </w:rPr>
        <w:t>28</w:t>
      </w:r>
      <w:r w:rsidRPr="00784852">
        <w:rPr>
          <w:rFonts w:cs="Calibri"/>
          <w:noProof/>
          <w:sz w:val="24"/>
          <w:szCs w:val="24"/>
        </w:rPr>
        <w:t xml:space="preserve">:1423–30. </w:t>
      </w:r>
    </w:p>
    <w:p w14:paraId="242A56F1" w14:textId="77777777" w:rsidR="00784852" w:rsidRPr="00784852" w:rsidRDefault="00784852" w:rsidP="00784852">
      <w:pPr>
        <w:widowControl w:val="0"/>
        <w:autoSpaceDE w:val="0"/>
        <w:autoSpaceDN w:val="0"/>
        <w:adjustRightInd w:val="0"/>
        <w:spacing w:after="140" w:line="480" w:lineRule="auto"/>
        <w:ind w:left="640" w:hanging="640"/>
        <w:rPr>
          <w:rFonts w:cs="Calibri"/>
          <w:noProof/>
          <w:sz w:val="24"/>
          <w:szCs w:val="24"/>
        </w:rPr>
      </w:pPr>
      <w:r w:rsidRPr="00784852">
        <w:rPr>
          <w:rFonts w:cs="Calibri"/>
          <w:noProof/>
          <w:sz w:val="24"/>
          <w:szCs w:val="24"/>
        </w:rPr>
        <w:t xml:space="preserve">19. </w:t>
      </w:r>
      <w:r w:rsidRPr="00784852">
        <w:rPr>
          <w:rFonts w:cs="Calibri"/>
          <w:noProof/>
          <w:sz w:val="24"/>
          <w:szCs w:val="24"/>
        </w:rPr>
        <w:tab/>
        <w:t xml:space="preserve">Govindan M, Batchvarov VN, Raju H, Shanmugam N, Bizrah M, Bastiaenen R, </w:t>
      </w:r>
      <w:r w:rsidRPr="00784852">
        <w:rPr>
          <w:rFonts w:cs="Calibri"/>
          <w:i/>
          <w:iCs/>
          <w:noProof/>
          <w:sz w:val="24"/>
          <w:szCs w:val="24"/>
        </w:rPr>
        <w:t>et al.</w:t>
      </w:r>
      <w:r w:rsidRPr="00784852">
        <w:rPr>
          <w:rFonts w:cs="Calibri"/>
          <w:noProof/>
          <w:sz w:val="24"/>
          <w:szCs w:val="24"/>
        </w:rPr>
        <w:t xml:space="preserve"> Utility of high and standard right precordial leads during ajmaline testing for the diagnosis of Brugada syndrome. </w:t>
      </w:r>
      <w:r w:rsidRPr="00784852">
        <w:rPr>
          <w:rFonts w:cs="Calibri"/>
          <w:i/>
          <w:iCs/>
          <w:noProof/>
          <w:sz w:val="24"/>
          <w:szCs w:val="24"/>
        </w:rPr>
        <w:t>Heart</w:t>
      </w:r>
      <w:r w:rsidRPr="00784852">
        <w:rPr>
          <w:rFonts w:cs="Calibri"/>
          <w:noProof/>
          <w:sz w:val="24"/>
          <w:szCs w:val="24"/>
        </w:rPr>
        <w:t xml:space="preserve"> 2010;</w:t>
      </w:r>
      <w:r w:rsidRPr="00784852">
        <w:rPr>
          <w:rFonts w:cs="Calibri"/>
          <w:b/>
          <w:bCs/>
          <w:noProof/>
          <w:sz w:val="24"/>
          <w:szCs w:val="24"/>
        </w:rPr>
        <w:t>96</w:t>
      </w:r>
      <w:r w:rsidRPr="00784852">
        <w:rPr>
          <w:rFonts w:cs="Calibri"/>
          <w:noProof/>
          <w:sz w:val="24"/>
          <w:szCs w:val="24"/>
        </w:rPr>
        <w:t xml:space="preserve">:1904–8. </w:t>
      </w:r>
    </w:p>
    <w:p w14:paraId="075619AC" w14:textId="77777777" w:rsidR="00784852" w:rsidRPr="00784852" w:rsidRDefault="00784852" w:rsidP="00784852">
      <w:pPr>
        <w:widowControl w:val="0"/>
        <w:autoSpaceDE w:val="0"/>
        <w:autoSpaceDN w:val="0"/>
        <w:adjustRightInd w:val="0"/>
        <w:spacing w:after="140" w:line="480" w:lineRule="auto"/>
        <w:ind w:left="640" w:hanging="640"/>
        <w:rPr>
          <w:rFonts w:cs="Calibri"/>
          <w:noProof/>
          <w:sz w:val="24"/>
          <w:szCs w:val="24"/>
        </w:rPr>
      </w:pPr>
      <w:r w:rsidRPr="00784852">
        <w:rPr>
          <w:rFonts w:cs="Calibri"/>
          <w:noProof/>
          <w:sz w:val="24"/>
          <w:szCs w:val="24"/>
        </w:rPr>
        <w:t xml:space="preserve">20. </w:t>
      </w:r>
      <w:r w:rsidRPr="00784852">
        <w:rPr>
          <w:rFonts w:cs="Calibri"/>
          <w:noProof/>
          <w:sz w:val="24"/>
          <w:szCs w:val="24"/>
        </w:rPr>
        <w:tab/>
        <w:t xml:space="preserve">Papadakis M, Papatheodorou E, Mellor G, Raju H, Bastiaenen R, Wijeyeratne Y, </w:t>
      </w:r>
      <w:r w:rsidRPr="00784852">
        <w:rPr>
          <w:rFonts w:cs="Calibri"/>
          <w:i/>
          <w:iCs/>
          <w:noProof/>
          <w:sz w:val="24"/>
          <w:szCs w:val="24"/>
        </w:rPr>
        <w:t>et al.</w:t>
      </w:r>
      <w:r w:rsidRPr="00784852">
        <w:rPr>
          <w:rFonts w:cs="Calibri"/>
          <w:noProof/>
          <w:sz w:val="24"/>
          <w:szCs w:val="24"/>
        </w:rPr>
        <w:t xml:space="preserve"> The Diagnostic Yield of Brugada Syndrome After Sudden Death With Normal Autopsy. </w:t>
      </w:r>
      <w:r w:rsidRPr="00784852">
        <w:rPr>
          <w:rFonts w:cs="Calibri"/>
          <w:i/>
          <w:iCs/>
          <w:noProof/>
          <w:sz w:val="24"/>
          <w:szCs w:val="24"/>
        </w:rPr>
        <w:t>J Am Coll Cardiol</w:t>
      </w:r>
      <w:r w:rsidRPr="00784852">
        <w:rPr>
          <w:rFonts w:cs="Calibri"/>
          <w:noProof/>
          <w:sz w:val="24"/>
          <w:szCs w:val="24"/>
        </w:rPr>
        <w:t xml:space="preserve"> 2018;</w:t>
      </w:r>
      <w:r w:rsidRPr="00784852">
        <w:rPr>
          <w:rFonts w:cs="Calibri"/>
          <w:b/>
          <w:bCs/>
          <w:noProof/>
          <w:sz w:val="24"/>
          <w:szCs w:val="24"/>
        </w:rPr>
        <w:t>71</w:t>
      </w:r>
      <w:r w:rsidRPr="00784852">
        <w:rPr>
          <w:rFonts w:cs="Calibri"/>
          <w:noProof/>
          <w:sz w:val="24"/>
          <w:szCs w:val="24"/>
        </w:rPr>
        <w:t xml:space="preserve">. </w:t>
      </w:r>
    </w:p>
    <w:p w14:paraId="0D237EDB" w14:textId="77777777" w:rsidR="00784852" w:rsidRPr="00784852" w:rsidRDefault="00784852" w:rsidP="00784852">
      <w:pPr>
        <w:widowControl w:val="0"/>
        <w:autoSpaceDE w:val="0"/>
        <w:autoSpaceDN w:val="0"/>
        <w:adjustRightInd w:val="0"/>
        <w:spacing w:after="140" w:line="480" w:lineRule="auto"/>
        <w:ind w:left="640" w:hanging="640"/>
        <w:rPr>
          <w:rFonts w:cs="Calibri"/>
          <w:noProof/>
          <w:sz w:val="24"/>
          <w:szCs w:val="24"/>
        </w:rPr>
      </w:pPr>
      <w:r w:rsidRPr="00784852">
        <w:rPr>
          <w:rFonts w:cs="Calibri"/>
          <w:noProof/>
          <w:sz w:val="24"/>
          <w:szCs w:val="24"/>
        </w:rPr>
        <w:t xml:space="preserve">21. </w:t>
      </w:r>
      <w:r w:rsidRPr="00784852">
        <w:rPr>
          <w:rFonts w:cs="Calibri"/>
          <w:noProof/>
          <w:sz w:val="24"/>
          <w:szCs w:val="24"/>
        </w:rPr>
        <w:tab/>
        <w:t xml:space="preserve">Pua CJ, Bhalshankar J, Miao K, Walsh R, John S, Lim SQ, </w:t>
      </w:r>
      <w:r w:rsidRPr="00784852">
        <w:rPr>
          <w:rFonts w:cs="Calibri"/>
          <w:i/>
          <w:iCs/>
          <w:noProof/>
          <w:sz w:val="24"/>
          <w:szCs w:val="24"/>
        </w:rPr>
        <w:t>et al.</w:t>
      </w:r>
      <w:r w:rsidRPr="00784852">
        <w:rPr>
          <w:rFonts w:cs="Calibri"/>
          <w:noProof/>
          <w:sz w:val="24"/>
          <w:szCs w:val="24"/>
        </w:rPr>
        <w:t xml:space="preserve"> Development of a </w:t>
      </w:r>
      <w:r w:rsidRPr="00784852">
        <w:rPr>
          <w:rFonts w:cs="Calibri"/>
          <w:noProof/>
          <w:sz w:val="24"/>
          <w:szCs w:val="24"/>
        </w:rPr>
        <w:lastRenderedPageBreak/>
        <w:t xml:space="preserve">Comprehensive Sequencing Assay for Inherited Cardiac Condition Genes. </w:t>
      </w:r>
      <w:r w:rsidRPr="00784852">
        <w:rPr>
          <w:rFonts w:cs="Calibri"/>
          <w:i/>
          <w:iCs/>
          <w:noProof/>
          <w:sz w:val="24"/>
          <w:szCs w:val="24"/>
        </w:rPr>
        <w:t>J Cardiovasc Transl Res</w:t>
      </w:r>
      <w:r w:rsidRPr="00784852">
        <w:rPr>
          <w:rFonts w:cs="Calibri"/>
          <w:noProof/>
          <w:sz w:val="24"/>
          <w:szCs w:val="24"/>
        </w:rPr>
        <w:t xml:space="preserve"> 2016;</w:t>
      </w:r>
      <w:r w:rsidRPr="00784852">
        <w:rPr>
          <w:rFonts w:cs="Calibri"/>
          <w:b/>
          <w:bCs/>
          <w:noProof/>
          <w:sz w:val="24"/>
          <w:szCs w:val="24"/>
        </w:rPr>
        <w:t>9</w:t>
      </w:r>
      <w:r w:rsidRPr="00784852">
        <w:rPr>
          <w:rFonts w:cs="Calibri"/>
          <w:noProof/>
          <w:sz w:val="24"/>
          <w:szCs w:val="24"/>
        </w:rPr>
        <w:t xml:space="preserve">:3–11. </w:t>
      </w:r>
    </w:p>
    <w:p w14:paraId="25C640D9" w14:textId="77777777" w:rsidR="00784852" w:rsidRPr="00784852" w:rsidRDefault="00784852" w:rsidP="00784852">
      <w:pPr>
        <w:widowControl w:val="0"/>
        <w:autoSpaceDE w:val="0"/>
        <w:autoSpaceDN w:val="0"/>
        <w:adjustRightInd w:val="0"/>
        <w:spacing w:after="140" w:line="480" w:lineRule="auto"/>
        <w:ind w:left="640" w:hanging="640"/>
        <w:rPr>
          <w:rFonts w:cs="Calibri"/>
          <w:noProof/>
          <w:sz w:val="24"/>
          <w:szCs w:val="24"/>
        </w:rPr>
      </w:pPr>
      <w:r w:rsidRPr="00784852">
        <w:rPr>
          <w:rFonts w:cs="Calibri"/>
          <w:noProof/>
          <w:sz w:val="24"/>
          <w:szCs w:val="24"/>
        </w:rPr>
        <w:t xml:space="preserve">22. </w:t>
      </w:r>
      <w:r w:rsidRPr="00784852">
        <w:rPr>
          <w:rFonts w:cs="Calibri"/>
          <w:noProof/>
          <w:sz w:val="24"/>
          <w:szCs w:val="24"/>
        </w:rPr>
        <w:tab/>
        <w:t xml:space="preserve">About Exome Aggregation Consortium (ExAC). Available at: http://exac.broadinstitute.org/about. </w:t>
      </w:r>
    </w:p>
    <w:p w14:paraId="41B27B88" w14:textId="77777777" w:rsidR="00784852" w:rsidRPr="00784852" w:rsidRDefault="00784852" w:rsidP="00784852">
      <w:pPr>
        <w:widowControl w:val="0"/>
        <w:autoSpaceDE w:val="0"/>
        <w:autoSpaceDN w:val="0"/>
        <w:adjustRightInd w:val="0"/>
        <w:spacing w:after="140" w:line="480" w:lineRule="auto"/>
        <w:ind w:left="640" w:hanging="640"/>
        <w:rPr>
          <w:rFonts w:cs="Calibri"/>
          <w:noProof/>
          <w:sz w:val="24"/>
          <w:szCs w:val="24"/>
        </w:rPr>
      </w:pPr>
      <w:r w:rsidRPr="00784852">
        <w:rPr>
          <w:rFonts w:cs="Calibri"/>
          <w:noProof/>
          <w:sz w:val="24"/>
          <w:szCs w:val="24"/>
        </w:rPr>
        <w:t xml:space="preserve">23. </w:t>
      </w:r>
      <w:r w:rsidRPr="00784852">
        <w:rPr>
          <w:rFonts w:cs="Calibri"/>
          <w:noProof/>
          <w:sz w:val="24"/>
          <w:szCs w:val="24"/>
        </w:rPr>
        <w:tab/>
        <w:t xml:space="preserve">Herman DS, Lam L, Taylor MRG, Wang L, Teekakirikul P, Christodoulou D, </w:t>
      </w:r>
      <w:r w:rsidRPr="00784852">
        <w:rPr>
          <w:rFonts w:cs="Calibri"/>
          <w:i/>
          <w:iCs/>
          <w:noProof/>
          <w:sz w:val="24"/>
          <w:szCs w:val="24"/>
        </w:rPr>
        <w:t>et al.</w:t>
      </w:r>
      <w:r w:rsidRPr="00784852">
        <w:rPr>
          <w:rFonts w:cs="Calibri"/>
          <w:noProof/>
          <w:sz w:val="24"/>
          <w:szCs w:val="24"/>
        </w:rPr>
        <w:t xml:space="preserve"> Truncations of Titin Causing Dilated Cardiomyopathy. </w:t>
      </w:r>
      <w:r w:rsidRPr="00784852">
        <w:rPr>
          <w:rFonts w:cs="Calibri"/>
          <w:i/>
          <w:iCs/>
          <w:noProof/>
          <w:sz w:val="24"/>
          <w:szCs w:val="24"/>
        </w:rPr>
        <w:t>N Engl J Med</w:t>
      </w:r>
      <w:r w:rsidRPr="00784852">
        <w:rPr>
          <w:rFonts w:cs="Calibri"/>
          <w:noProof/>
          <w:sz w:val="24"/>
          <w:szCs w:val="24"/>
        </w:rPr>
        <w:t xml:space="preserve"> 2012;</w:t>
      </w:r>
      <w:r w:rsidRPr="00784852">
        <w:rPr>
          <w:rFonts w:cs="Calibri"/>
          <w:b/>
          <w:bCs/>
          <w:noProof/>
          <w:sz w:val="24"/>
          <w:szCs w:val="24"/>
        </w:rPr>
        <w:t>366</w:t>
      </w:r>
      <w:r w:rsidRPr="00784852">
        <w:rPr>
          <w:rFonts w:cs="Calibri"/>
          <w:noProof/>
          <w:sz w:val="24"/>
          <w:szCs w:val="24"/>
        </w:rPr>
        <w:t xml:space="preserve">:619–28. </w:t>
      </w:r>
    </w:p>
    <w:p w14:paraId="7739DACF" w14:textId="77777777" w:rsidR="00784852" w:rsidRPr="00784852" w:rsidRDefault="00784852" w:rsidP="00784852">
      <w:pPr>
        <w:widowControl w:val="0"/>
        <w:autoSpaceDE w:val="0"/>
        <w:autoSpaceDN w:val="0"/>
        <w:adjustRightInd w:val="0"/>
        <w:spacing w:after="140" w:line="480" w:lineRule="auto"/>
        <w:ind w:left="640" w:hanging="640"/>
        <w:rPr>
          <w:rFonts w:cs="Calibri"/>
          <w:noProof/>
          <w:sz w:val="24"/>
          <w:szCs w:val="24"/>
        </w:rPr>
      </w:pPr>
      <w:r w:rsidRPr="00784852">
        <w:rPr>
          <w:rFonts w:cs="Calibri"/>
          <w:noProof/>
          <w:sz w:val="24"/>
          <w:szCs w:val="24"/>
        </w:rPr>
        <w:t xml:space="preserve">24. </w:t>
      </w:r>
      <w:r w:rsidRPr="00784852">
        <w:rPr>
          <w:rFonts w:cs="Calibri"/>
          <w:noProof/>
          <w:sz w:val="24"/>
          <w:szCs w:val="24"/>
        </w:rPr>
        <w:tab/>
        <w:t xml:space="preserve">Richards S, Aziz N, Bale S, Bick D, Das S, Gastier-Foster J, </w:t>
      </w:r>
      <w:r w:rsidRPr="00784852">
        <w:rPr>
          <w:rFonts w:cs="Calibri"/>
          <w:i/>
          <w:iCs/>
          <w:noProof/>
          <w:sz w:val="24"/>
          <w:szCs w:val="24"/>
        </w:rPr>
        <w:t>et al.</w:t>
      </w:r>
      <w:r w:rsidRPr="00784852">
        <w:rPr>
          <w:rFonts w:cs="Calibri"/>
          <w:noProof/>
          <w:sz w:val="24"/>
          <w:szCs w:val="24"/>
        </w:rPr>
        <w:t xml:space="preserve"> Standards and guidelines for the interpretation of sequence variants: a joint consensus recommendation of the American College of Medical Genetics and Genomics and the Association for Molecular Pathology. </w:t>
      </w:r>
      <w:r w:rsidRPr="00784852">
        <w:rPr>
          <w:rFonts w:cs="Calibri"/>
          <w:i/>
          <w:iCs/>
          <w:noProof/>
          <w:sz w:val="24"/>
          <w:szCs w:val="24"/>
        </w:rPr>
        <w:t>Genet Med</w:t>
      </w:r>
      <w:r w:rsidRPr="00784852">
        <w:rPr>
          <w:rFonts w:cs="Calibri"/>
          <w:noProof/>
          <w:sz w:val="24"/>
          <w:szCs w:val="24"/>
        </w:rPr>
        <w:t xml:space="preserve"> 2015;</w:t>
      </w:r>
      <w:r w:rsidRPr="00784852">
        <w:rPr>
          <w:rFonts w:cs="Calibri"/>
          <w:b/>
          <w:bCs/>
          <w:noProof/>
          <w:sz w:val="24"/>
          <w:szCs w:val="24"/>
        </w:rPr>
        <w:t>17</w:t>
      </w:r>
      <w:r w:rsidRPr="00784852">
        <w:rPr>
          <w:rFonts w:cs="Calibri"/>
          <w:noProof/>
          <w:sz w:val="24"/>
          <w:szCs w:val="24"/>
        </w:rPr>
        <w:t xml:space="preserve">:405–24. </w:t>
      </w:r>
    </w:p>
    <w:p w14:paraId="018C1F34" w14:textId="77777777" w:rsidR="00784852" w:rsidRPr="00784852" w:rsidRDefault="00784852" w:rsidP="00784852">
      <w:pPr>
        <w:widowControl w:val="0"/>
        <w:autoSpaceDE w:val="0"/>
        <w:autoSpaceDN w:val="0"/>
        <w:adjustRightInd w:val="0"/>
        <w:spacing w:after="140" w:line="480" w:lineRule="auto"/>
        <w:ind w:left="640" w:hanging="640"/>
        <w:rPr>
          <w:rFonts w:cs="Calibri"/>
          <w:noProof/>
          <w:sz w:val="24"/>
          <w:szCs w:val="24"/>
        </w:rPr>
      </w:pPr>
      <w:r w:rsidRPr="00784852">
        <w:rPr>
          <w:rFonts w:cs="Calibri"/>
          <w:noProof/>
          <w:sz w:val="24"/>
          <w:szCs w:val="24"/>
        </w:rPr>
        <w:t xml:space="preserve">25. </w:t>
      </w:r>
      <w:r w:rsidRPr="00784852">
        <w:rPr>
          <w:rFonts w:cs="Calibri"/>
          <w:noProof/>
          <w:sz w:val="24"/>
          <w:szCs w:val="24"/>
        </w:rPr>
        <w:tab/>
        <w:t xml:space="preserve">Elliott PM, Anastasakis A, Borger MA, Borggrefe M, Cecchi F, Charron P, </w:t>
      </w:r>
      <w:r w:rsidRPr="00784852">
        <w:rPr>
          <w:rFonts w:cs="Calibri"/>
          <w:i/>
          <w:iCs/>
          <w:noProof/>
          <w:sz w:val="24"/>
          <w:szCs w:val="24"/>
        </w:rPr>
        <w:t>et al.</w:t>
      </w:r>
      <w:r w:rsidRPr="00784852">
        <w:rPr>
          <w:rFonts w:cs="Calibri"/>
          <w:noProof/>
          <w:sz w:val="24"/>
          <w:szCs w:val="24"/>
        </w:rPr>
        <w:t xml:space="preserve"> 2014 ESC guidelines on diagnosis and management of hypertrophic cardiomyopathy. </w:t>
      </w:r>
      <w:r w:rsidRPr="00784852">
        <w:rPr>
          <w:rFonts w:cs="Calibri"/>
          <w:i/>
          <w:iCs/>
          <w:noProof/>
          <w:sz w:val="24"/>
          <w:szCs w:val="24"/>
        </w:rPr>
        <w:t>Eur Heart J</w:t>
      </w:r>
      <w:r w:rsidRPr="00784852">
        <w:rPr>
          <w:rFonts w:cs="Calibri"/>
          <w:noProof/>
          <w:sz w:val="24"/>
          <w:szCs w:val="24"/>
        </w:rPr>
        <w:t xml:space="preserve"> 2014;</w:t>
      </w:r>
      <w:r w:rsidRPr="00784852">
        <w:rPr>
          <w:rFonts w:cs="Calibri"/>
          <w:b/>
          <w:bCs/>
          <w:noProof/>
          <w:sz w:val="24"/>
          <w:szCs w:val="24"/>
        </w:rPr>
        <w:t>35</w:t>
      </w:r>
      <w:r w:rsidRPr="00784852">
        <w:rPr>
          <w:rFonts w:cs="Calibri"/>
          <w:noProof/>
          <w:sz w:val="24"/>
          <w:szCs w:val="24"/>
        </w:rPr>
        <w:t xml:space="preserve">:2733–79. </w:t>
      </w:r>
    </w:p>
    <w:p w14:paraId="7795C5DC" w14:textId="77777777" w:rsidR="00784852" w:rsidRPr="00784852" w:rsidRDefault="00784852" w:rsidP="00784852">
      <w:pPr>
        <w:widowControl w:val="0"/>
        <w:autoSpaceDE w:val="0"/>
        <w:autoSpaceDN w:val="0"/>
        <w:adjustRightInd w:val="0"/>
        <w:spacing w:after="140" w:line="480" w:lineRule="auto"/>
        <w:ind w:left="640" w:hanging="640"/>
        <w:rPr>
          <w:rFonts w:cs="Calibri"/>
          <w:noProof/>
          <w:sz w:val="24"/>
          <w:szCs w:val="24"/>
        </w:rPr>
      </w:pPr>
      <w:r w:rsidRPr="00784852">
        <w:rPr>
          <w:rFonts w:cs="Calibri"/>
          <w:noProof/>
          <w:sz w:val="24"/>
          <w:szCs w:val="24"/>
        </w:rPr>
        <w:t xml:space="preserve">26. </w:t>
      </w:r>
      <w:r w:rsidRPr="00784852">
        <w:rPr>
          <w:rFonts w:cs="Calibri"/>
          <w:noProof/>
          <w:sz w:val="24"/>
          <w:szCs w:val="24"/>
        </w:rPr>
        <w:tab/>
        <w:t xml:space="preserve">Marcus FI, McKenna WJ, Sherrill D, Basso C, Bauce B, Bluemke D a., </w:t>
      </w:r>
      <w:r w:rsidRPr="00784852">
        <w:rPr>
          <w:rFonts w:cs="Calibri"/>
          <w:i/>
          <w:iCs/>
          <w:noProof/>
          <w:sz w:val="24"/>
          <w:szCs w:val="24"/>
        </w:rPr>
        <w:t>et al.</w:t>
      </w:r>
      <w:r w:rsidRPr="00784852">
        <w:rPr>
          <w:rFonts w:cs="Calibri"/>
          <w:noProof/>
          <w:sz w:val="24"/>
          <w:szCs w:val="24"/>
        </w:rPr>
        <w:t xml:space="preserve"> Diagnosis of Arrhythmogenic Right Ventricular Cardiomyopathy/Dysplasia: Proposed Modification of the Task Force Criteria. </w:t>
      </w:r>
      <w:r w:rsidRPr="00784852">
        <w:rPr>
          <w:rFonts w:cs="Calibri"/>
          <w:i/>
          <w:iCs/>
          <w:noProof/>
          <w:sz w:val="24"/>
          <w:szCs w:val="24"/>
        </w:rPr>
        <w:t>Circulation</w:t>
      </w:r>
      <w:r w:rsidRPr="00784852">
        <w:rPr>
          <w:rFonts w:cs="Calibri"/>
          <w:noProof/>
          <w:sz w:val="24"/>
          <w:szCs w:val="24"/>
        </w:rPr>
        <w:t xml:space="preserve"> 2010;</w:t>
      </w:r>
      <w:r w:rsidRPr="00784852">
        <w:rPr>
          <w:rFonts w:cs="Calibri"/>
          <w:b/>
          <w:bCs/>
          <w:noProof/>
          <w:sz w:val="24"/>
          <w:szCs w:val="24"/>
        </w:rPr>
        <w:t>121</w:t>
      </w:r>
      <w:r w:rsidRPr="00784852">
        <w:rPr>
          <w:rFonts w:cs="Calibri"/>
          <w:noProof/>
          <w:sz w:val="24"/>
          <w:szCs w:val="24"/>
        </w:rPr>
        <w:t xml:space="preserve">:1533–41. </w:t>
      </w:r>
    </w:p>
    <w:p w14:paraId="47D47D10" w14:textId="77777777" w:rsidR="00784852" w:rsidRPr="00784852" w:rsidRDefault="00784852" w:rsidP="00784852">
      <w:pPr>
        <w:widowControl w:val="0"/>
        <w:autoSpaceDE w:val="0"/>
        <w:autoSpaceDN w:val="0"/>
        <w:adjustRightInd w:val="0"/>
        <w:spacing w:after="140" w:line="480" w:lineRule="auto"/>
        <w:ind w:left="640" w:hanging="640"/>
        <w:rPr>
          <w:rFonts w:cs="Calibri"/>
          <w:noProof/>
          <w:sz w:val="24"/>
          <w:szCs w:val="24"/>
        </w:rPr>
      </w:pPr>
      <w:r w:rsidRPr="00784852">
        <w:rPr>
          <w:rFonts w:cs="Calibri"/>
          <w:noProof/>
          <w:sz w:val="24"/>
          <w:szCs w:val="24"/>
        </w:rPr>
        <w:t xml:space="preserve">27. </w:t>
      </w:r>
      <w:r w:rsidRPr="00784852">
        <w:rPr>
          <w:rFonts w:cs="Calibri"/>
          <w:noProof/>
          <w:sz w:val="24"/>
          <w:szCs w:val="24"/>
        </w:rPr>
        <w:tab/>
        <w:t xml:space="preserve">McNally EM, Mestroni L. Dilated Cardiomyopathy: Genetic Determinants and Mechanisms. </w:t>
      </w:r>
      <w:r w:rsidRPr="00784852">
        <w:rPr>
          <w:rFonts w:cs="Calibri"/>
          <w:i/>
          <w:iCs/>
          <w:noProof/>
          <w:sz w:val="24"/>
          <w:szCs w:val="24"/>
        </w:rPr>
        <w:t>Circ Res</w:t>
      </w:r>
      <w:r w:rsidRPr="00784852">
        <w:rPr>
          <w:rFonts w:cs="Calibri"/>
          <w:noProof/>
          <w:sz w:val="24"/>
          <w:szCs w:val="24"/>
        </w:rPr>
        <w:t xml:space="preserve"> 2017;</w:t>
      </w:r>
      <w:r w:rsidRPr="00784852">
        <w:rPr>
          <w:rFonts w:cs="Calibri"/>
          <w:b/>
          <w:bCs/>
          <w:noProof/>
          <w:sz w:val="24"/>
          <w:szCs w:val="24"/>
        </w:rPr>
        <w:t>121</w:t>
      </w:r>
      <w:r w:rsidRPr="00784852">
        <w:rPr>
          <w:rFonts w:cs="Calibri"/>
          <w:noProof/>
          <w:sz w:val="24"/>
          <w:szCs w:val="24"/>
        </w:rPr>
        <w:t xml:space="preserve">:731–48. </w:t>
      </w:r>
    </w:p>
    <w:p w14:paraId="3DCEA2A8" w14:textId="77777777" w:rsidR="00784852" w:rsidRPr="00784852" w:rsidRDefault="00784852" w:rsidP="00784852">
      <w:pPr>
        <w:widowControl w:val="0"/>
        <w:autoSpaceDE w:val="0"/>
        <w:autoSpaceDN w:val="0"/>
        <w:adjustRightInd w:val="0"/>
        <w:spacing w:after="140" w:line="480" w:lineRule="auto"/>
        <w:ind w:left="640" w:hanging="640"/>
        <w:rPr>
          <w:rFonts w:cs="Calibri"/>
          <w:noProof/>
          <w:sz w:val="24"/>
          <w:szCs w:val="24"/>
        </w:rPr>
      </w:pPr>
      <w:r w:rsidRPr="00784852">
        <w:rPr>
          <w:rFonts w:cs="Calibri"/>
          <w:noProof/>
          <w:sz w:val="24"/>
          <w:szCs w:val="24"/>
        </w:rPr>
        <w:t xml:space="preserve">28. </w:t>
      </w:r>
      <w:r w:rsidRPr="00784852">
        <w:rPr>
          <w:rFonts w:cs="Calibri"/>
          <w:noProof/>
          <w:sz w:val="24"/>
          <w:szCs w:val="24"/>
        </w:rPr>
        <w:tab/>
        <w:t xml:space="preserve">Chin TK, Perloff JK, Williams RG, Jue K, Mohrmann R. Isolated noncompaction of left ventricular myocardium. A study of eight cases. </w:t>
      </w:r>
      <w:r w:rsidRPr="00784852">
        <w:rPr>
          <w:rFonts w:cs="Calibri"/>
          <w:i/>
          <w:iCs/>
          <w:noProof/>
          <w:sz w:val="24"/>
          <w:szCs w:val="24"/>
        </w:rPr>
        <w:t>Circulation</w:t>
      </w:r>
      <w:r w:rsidRPr="00784852">
        <w:rPr>
          <w:rFonts w:cs="Calibri"/>
          <w:noProof/>
          <w:sz w:val="24"/>
          <w:szCs w:val="24"/>
        </w:rPr>
        <w:t xml:space="preserve"> 1990;</w:t>
      </w:r>
      <w:r w:rsidRPr="00784852">
        <w:rPr>
          <w:rFonts w:cs="Calibri"/>
          <w:b/>
          <w:bCs/>
          <w:noProof/>
          <w:sz w:val="24"/>
          <w:szCs w:val="24"/>
        </w:rPr>
        <w:t>82</w:t>
      </w:r>
      <w:r w:rsidRPr="00784852">
        <w:rPr>
          <w:rFonts w:cs="Calibri"/>
          <w:noProof/>
          <w:sz w:val="24"/>
          <w:szCs w:val="24"/>
        </w:rPr>
        <w:t xml:space="preserve">:507–13. </w:t>
      </w:r>
    </w:p>
    <w:p w14:paraId="3B42EAB0" w14:textId="77777777" w:rsidR="00784852" w:rsidRPr="00784852" w:rsidRDefault="00784852" w:rsidP="00784852">
      <w:pPr>
        <w:widowControl w:val="0"/>
        <w:autoSpaceDE w:val="0"/>
        <w:autoSpaceDN w:val="0"/>
        <w:adjustRightInd w:val="0"/>
        <w:spacing w:after="140" w:line="480" w:lineRule="auto"/>
        <w:ind w:left="640" w:hanging="640"/>
        <w:rPr>
          <w:rFonts w:cs="Calibri"/>
          <w:noProof/>
          <w:sz w:val="24"/>
          <w:szCs w:val="24"/>
        </w:rPr>
      </w:pPr>
      <w:r w:rsidRPr="00784852">
        <w:rPr>
          <w:rFonts w:cs="Calibri"/>
          <w:noProof/>
          <w:sz w:val="24"/>
          <w:szCs w:val="24"/>
        </w:rPr>
        <w:t xml:space="preserve">29. </w:t>
      </w:r>
      <w:r w:rsidRPr="00784852">
        <w:rPr>
          <w:rFonts w:cs="Calibri"/>
          <w:noProof/>
          <w:sz w:val="24"/>
          <w:szCs w:val="24"/>
        </w:rPr>
        <w:tab/>
        <w:t xml:space="preserve">Jenni R, Oechslin E, Schneider J, Attenhofer Jost C, Kaufmann PA. Echocardiographic and pathoanatomical characteristics of isolated left ventricular non-compaction: a </w:t>
      </w:r>
      <w:r w:rsidRPr="00784852">
        <w:rPr>
          <w:rFonts w:cs="Calibri"/>
          <w:noProof/>
          <w:sz w:val="24"/>
          <w:szCs w:val="24"/>
        </w:rPr>
        <w:lastRenderedPageBreak/>
        <w:t xml:space="preserve">step towards classification as a distinct cardiomyopathy. </w:t>
      </w:r>
      <w:r w:rsidRPr="00784852">
        <w:rPr>
          <w:rFonts w:cs="Calibri"/>
          <w:i/>
          <w:iCs/>
          <w:noProof/>
          <w:sz w:val="24"/>
          <w:szCs w:val="24"/>
        </w:rPr>
        <w:t>Heart</w:t>
      </w:r>
      <w:r w:rsidRPr="00784852">
        <w:rPr>
          <w:rFonts w:cs="Calibri"/>
          <w:noProof/>
          <w:sz w:val="24"/>
          <w:szCs w:val="24"/>
        </w:rPr>
        <w:t xml:space="preserve"> 2001;</w:t>
      </w:r>
      <w:r w:rsidRPr="00784852">
        <w:rPr>
          <w:rFonts w:cs="Calibri"/>
          <w:b/>
          <w:bCs/>
          <w:noProof/>
          <w:sz w:val="24"/>
          <w:szCs w:val="24"/>
        </w:rPr>
        <w:t>86</w:t>
      </w:r>
      <w:r w:rsidRPr="00784852">
        <w:rPr>
          <w:rFonts w:cs="Calibri"/>
          <w:noProof/>
          <w:sz w:val="24"/>
          <w:szCs w:val="24"/>
        </w:rPr>
        <w:t xml:space="preserve">:666–71. </w:t>
      </w:r>
    </w:p>
    <w:p w14:paraId="11322BBF" w14:textId="77777777" w:rsidR="00784852" w:rsidRPr="00784852" w:rsidRDefault="00784852" w:rsidP="00784852">
      <w:pPr>
        <w:widowControl w:val="0"/>
        <w:autoSpaceDE w:val="0"/>
        <w:autoSpaceDN w:val="0"/>
        <w:adjustRightInd w:val="0"/>
        <w:spacing w:after="140" w:line="480" w:lineRule="auto"/>
        <w:ind w:left="640" w:hanging="640"/>
        <w:rPr>
          <w:rFonts w:cs="Calibri"/>
          <w:noProof/>
          <w:sz w:val="24"/>
          <w:szCs w:val="24"/>
        </w:rPr>
      </w:pPr>
      <w:r w:rsidRPr="00784852">
        <w:rPr>
          <w:rFonts w:cs="Calibri"/>
          <w:noProof/>
          <w:sz w:val="24"/>
          <w:szCs w:val="24"/>
        </w:rPr>
        <w:t xml:space="preserve">30. </w:t>
      </w:r>
      <w:r w:rsidRPr="00784852">
        <w:rPr>
          <w:rFonts w:cs="Calibri"/>
          <w:noProof/>
          <w:sz w:val="24"/>
          <w:szCs w:val="24"/>
        </w:rPr>
        <w:tab/>
        <w:t xml:space="preserve">Petersen SE, Selvanayagam JB, Wiesmann F, Robson MD, Francis JM, Anderson RH, </w:t>
      </w:r>
      <w:r w:rsidRPr="00784852">
        <w:rPr>
          <w:rFonts w:cs="Calibri"/>
          <w:i/>
          <w:iCs/>
          <w:noProof/>
          <w:sz w:val="24"/>
          <w:szCs w:val="24"/>
        </w:rPr>
        <w:t>et al.</w:t>
      </w:r>
      <w:r w:rsidRPr="00784852">
        <w:rPr>
          <w:rFonts w:cs="Calibri"/>
          <w:noProof/>
          <w:sz w:val="24"/>
          <w:szCs w:val="24"/>
        </w:rPr>
        <w:t xml:space="preserve"> Left ventricular non-compaction: insights from cardiovascular magnetic resonance imaging. </w:t>
      </w:r>
      <w:r w:rsidRPr="00784852">
        <w:rPr>
          <w:rFonts w:cs="Calibri"/>
          <w:i/>
          <w:iCs/>
          <w:noProof/>
          <w:sz w:val="24"/>
          <w:szCs w:val="24"/>
        </w:rPr>
        <w:t>J Am Coll Cardiol</w:t>
      </w:r>
      <w:r w:rsidRPr="00784852">
        <w:rPr>
          <w:rFonts w:cs="Calibri"/>
          <w:noProof/>
          <w:sz w:val="24"/>
          <w:szCs w:val="24"/>
        </w:rPr>
        <w:t xml:space="preserve"> 2005;</w:t>
      </w:r>
      <w:r w:rsidRPr="00784852">
        <w:rPr>
          <w:rFonts w:cs="Calibri"/>
          <w:b/>
          <w:bCs/>
          <w:noProof/>
          <w:sz w:val="24"/>
          <w:szCs w:val="24"/>
        </w:rPr>
        <w:t>46</w:t>
      </w:r>
      <w:r w:rsidRPr="00784852">
        <w:rPr>
          <w:rFonts w:cs="Calibri"/>
          <w:noProof/>
          <w:sz w:val="24"/>
          <w:szCs w:val="24"/>
        </w:rPr>
        <w:t xml:space="preserve">:101–5. </w:t>
      </w:r>
    </w:p>
    <w:p w14:paraId="4CC4EEA4" w14:textId="77777777" w:rsidR="00784852" w:rsidRPr="00784852" w:rsidRDefault="00784852" w:rsidP="00784852">
      <w:pPr>
        <w:widowControl w:val="0"/>
        <w:autoSpaceDE w:val="0"/>
        <w:autoSpaceDN w:val="0"/>
        <w:adjustRightInd w:val="0"/>
        <w:spacing w:after="140" w:line="480" w:lineRule="auto"/>
        <w:ind w:left="640" w:hanging="640"/>
        <w:rPr>
          <w:rFonts w:cs="Calibri"/>
          <w:noProof/>
          <w:sz w:val="24"/>
          <w:szCs w:val="24"/>
        </w:rPr>
      </w:pPr>
      <w:r w:rsidRPr="00784852">
        <w:rPr>
          <w:rFonts w:cs="Calibri"/>
          <w:noProof/>
          <w:sz w:val="24"/>
          <w:szCs w:val="24"/>
        </w:rPr>
        <w:t xml:space="preserve">31. </w:t>
      </w:r>
      <w:r w:rsidRPr="00784852">
        <w:rPr>
          <w:rFonts w:cs="Calibri"/>
          <w:noProof/>
          <w:sz w:val="24"/>
          <w:szCs w:val="24"/>
        </w:rPr>
        <w:tab/>
        <w:t xml:space="preserve">Priori SG, Wilde AA, Horie M, Cho Y, Behr ER, Berul C, </w:t>
      </w:r>
      <w:r w:rsidRPr="00784852">
        <w:rPr>
          <w:rFonts w:cs="Calibri"/>
          <w:i/>
          <w:iCs/>
          <w:noProof/>
          <w:sz w:val="24"/>
          <w:szCs w:val="24"/>
        </w:rPr>
        <w:t>et al.</w:t>
      </w:r>
      <w:r w:rsidRPr="00784852">
        <w:rPr>
          <w:rFonts w:cs="Calibri"/>
          <w:noProof/>
          <w:sz w:val="24"/>
          <w:szCs w:val="24"/>
        </w:rPr>
        <w:t xml:space="preserve"> Executive summary: HRS/EHRA/APHRS expert consensus statement on the diagnosis and management of patients with inherited primary arrhythmia syndromes. </w:t>
      </w:r>
      <w:r w:rsidRPr="00784852">
        <w:rPr>
          <w:rFonts w:cs="Calibri"/>
          <w:i/>
          <w:iCs/>
          <w:noProof/>
          <w:sz w:val="24"/>
          <w:szCs w:val="24"/>
        </w:rPr>
        <w:t>Europace</w:t>
      </w:r>
      <w:r w:rsidRPr="00784852">
        <w:rPr>
          <w:rFonts w:cs="Calibri"/>
          <w:noProof/>
          <w:sz w:val="24"/>
          <w:szCs w:val="24"/>
        </w:rPr>
        <w:t xml:space="preserve"> 2013;</w:t>
      </w:r>
      <w:r w:rsidRPr="00784852">
        <w:rPr>
          <w:rFonts w:cs="Calibri"/>
          <w:b/>
          <w:bCs/>
          <w:noProof/>
          <w:sz w:val="24"/>
          <w:szCs w:val="24"/>
        </w:rPr>
        <w:t>15</w:t>
      </w:r>
      <w:r w:rsidRPr="00784852">
        <w:rPr>
          <w:rFonts w:cs="Calibri"/>
          <w:noProof/>
          <w:sz w:val="24"/>
          <w:szCs w:val="24"/>
        </w:rPr>
        <w:t xml:space="preserve">:1389–406. </w:t>
      </w:r>
    </w:p>
    <w:p w14:paraId="3A03E285" w14:textId="77777777" w:rsidR="00784852" w:rsidRPr="00784852" w:rsidRDefault="00784852" w:rsidP="00784852">
      <w:pPr>
        <w:widowControl w:val="0"/>
        <w:autoSpaceDE w:val="0"/>
        <w:autoSpaceDN w:val="0"/>
        <w:adjustRightInd w:val="0"/>
        <w:spacing w:after="140" w:line="480" w:lineRule="auto"/>
        <w:ind w:left="640" w:hanging="640"/>
        <w:rPr>
          <w:rFonts w:cs="Calibri"/>
          <w:noProof/>
          <w:sz w:val="24"/>
          <w:szCs w:val="24"/>
        </w:rPr>
      </w:pPr>
      <w:r w:rsidRPr="00784852">
        <w:rPr>
          <w:rFonts w:cs="Calibri"/>
          <w:noProof/>
          <w:sz w:val="24"/>
          <w:szCs w:val="24"/>
        </w:rPr>
        <w:t xml:space="preserve">32. </w:t>
      </w:r>
      <w:r w:rsidRPr="00784852">
        <w:rPr>
          <w:rFonts w:cs="Calibri"/>
          <w:noProof/>
          <w:sz w:val="24"/>
          <w:szCs w:val="24"/>
        </w:rPr>
        <w:tab/>
        <w:t xml:space="preserve">Schwartz PJ, Crotti L, Insolia R. Long-QT Syndrome: From Genetics to Management. </w:t>
      </w:r>
      <w:r w:rsidRPr="00784852">
        <w:rPr>
          <w:rFonts w:cs="Calibri"/>
          <w:i/>
          <w:iCs/>
          <w:noProof/>
          <w:sz w:val="24"/>
          <w:szCs w:val="24"/>
        </w:rPr>
        <w:t>Circ Arrhythmia Electrophysiol</w:t>
      </w:r>
      <w:r w:rsidRPr="00784852">
        <w:rPr>
          <w:rFonts w:cs="Calibri"/>
          <w:noProof/>
          <w:sz w:val="24"/>
          <w:szCs w:val="24"/>
        </w:rPr>
        <w:t xml:space="preserve"> 2012;</w:t>
      </w:r>
      <w:r w:rsidRPr="00784852">
        <w:rPr>
          <w:rFonts w:cs="Calibri"/>
          <w:b/>
          <w:bCs/>
          <w:noProof/>
          <w:sz w:val="24"/>
          <w:szCs w:val="24"/>
        </w:rPr>
        <w:t>5</w:t>
      </w:r>
      <w:r w:rsidRPr="00784852">
        <w:rPr>
          <w:rFonts w:cs="Calibri"/>
          <w:noProof/>
          <w:sz w:val="24"/>
          <w:szCs w:val="24"/>
        </w:rPr>
        <w:t xml:space="preserve">:868–77. </w:t>
      </w:r>
    </w:p>
    <w:p w14:paraId="4215D318" w14:textId="77777777" w:rsidR="00784852" w:rsidRPr="00784852" w:rsidRDefault="00784852" w:rsidP="00784852">
      <w:pPr>
        <w:widowControl w:val="0"/>
        <w:autoSpaceDE w:val="0"/>
        <w:autoSpaceDN w:val="0"/>
        <w:adjustRightInd w:val="0"/>
        <w:spacing w:after="140" w:line="480" w:lineRule="auto"/>
        <w:ind w:left="640" w:hanging="640"/>
        <w:rPr>
          <w:rFonts w:cs="Calibri"/>
          <w:noProof/>
          <w:sz w:val="24"/>
          <w:szCs w:val="24"/>
        </w:rPr>
      </w:pPr>
      <w:r w:rsidRPr="00784852">
        <w:rPr>
          <w:rFonts w:cs="Calibri"/>
          <w:noProof/>
          <w:sz w:val="24"/>
          <w:szCs w:val="24"/>
        </w:rPr>
        <w:t xml:space="preserve">33. </w:t>
      </w:r>
      <w:r w:rsidRPr="00784852">
        <w:rPr>
          <w:rFonts w:cs="Calibri"/>
          <w:noProof/>
          <w:sz w:val="24"/>
          <w:szCs w:val="24"/>
        </w:rPr>
        <w:tab/>
        <w:t xml:space="preserve">Schwartz PJ, Ackerman MJ. The long QT syndrome: a transatlantic clinical approach to diagnosis and therapy. </w:t>
      </w:r>
      <w:r w:rsidRPr="00784852">
        <w:rPr>
          <w:rFonts w:cs="Calibri"/>
          <w:i/>
          <w:iCs/>
          <w:noProof/>
          <w:sz w:val="24"/>
          <w:szCs w:val="24"/>
        </w:rPr>
        <w:t>Eur Heart J</w:t>
      </w:r>
      <w:r w:rsidRPr="00784852">
        <w:rPr>
          <w:rFonts w:cs="Calibri"/>
          <w:noProof/>
          <w:sz w:val="24"/>
          <w:szCs w:val="24"/>
        </w:rPr>
        <w:t xml:space="preserve"> 2013;</w:t>
      </w:r>
      <w:r w:rsidRPr="00784852">
        <w:rPr>
          <w:rFonts w:cs="Calibri"/>
          <w:b/>
          <w:bCs/>
          <w:noProof/>
          <w:sz w:val="24"/>
          <w:szCs w:val="24"/>
        </w:rPr>
        <w:t>34</w:t>
      </w:r>
      <w:r w:rsidRPr="00784852">
        <w:rPr>
          <w:rFonts w:cs="Calibri"/>
          <w:noProof/>
          <w:sz w:val="24"/>
          <w:szCs w:val="24"/>
        </w:rPr>
        <w:t xml:space="preserve">:3109–16. </w:t>
      </w:r>
    </w:p>
    <w:p w14:paraId="5A502432" w14:textId="77777777" w:rsidR="00784852" w:rsidRPr="00784852" w:rsidRDefault="00784852" w:rsidP="00784852">
      <w:pPr>
        <w:widowControl w:val="0"/>
        <w:autoSpaceDE w:val="0"/>
        <w:autoSpaceDN w:val="0"/>
        <w:adjustRightInd w:val="0"/>
        <w:spacing w:after="140" w:line="480" w:lineRule="auto"/>
        <w:ind w:left="640" w:hanging="640"/>
        <w:rPr>
          <w:rFonts w:cs="Calibri"/>
          <w:noProof/>
          <w:sz w:val="24"/>
          <w:szCs w:val="24"/>
        </w:rPr>
      </w:pPr>
      <w:r w:rsidRPr="00784852">
        <w:rPr>
          <w:rFonts w:cs="Calibri"/>
          <w:noProof/>
          <w:sz w:val="24"/>
          <w:szCs w:val="24"/>
        </w:rPr>
        <w:t xml:space="preserve">34. </w:t>
      </w:r>
      <w:r w:rsidRPr="00784852">
        <w:rPr>
          <w:rFonts w:cs="Calibri"/>
          <w:noProof/>
          <w:sz w:val="24"/>
          <w:szCs w:val="24"/>
        </w:rPr>
        <w:tab/>
        <w:t xml:space="preserve">Lahat H, Eldar M, Levy-Nissenbaum E, Bahan T, Friedman E, Khoury A, </w:t>
      </w:r>
      <w:r w:rsidRPr="00784852">
        <w:rPr>
          <w:rFonts w:cs="Calibri"/>
          <w:i/>
          <w:iCs/>
          <w:noProof/>
          <w:sz w:val="24"/>
          <w:szCs w:val="24"/>
        </w:rPr>
        <w:t>et al.</w:t>
      </w:r>
      <w:r w:rsidRPr="00784852">
        <w:rPr>
          <w:rFonts w:cs="Calibri"/>
          <w:noProof/>
          <w:sz w:val="24"/>
          <w:szCs w:val="24"/>
        </w:rPr>
        <w:t xml:space="preserve"> Autosomal recessive catecholamine- or exercise-induced polymorphic ventricular tachycardia: clinical features and assignment of the disease gene to chromosome 1p13-21. </w:t>
      </w:r>
      <w:r w:rsidRPr="00784852">
        <w:rPr>
          <w:rFonts w:cs="Calibri"/>
          <w:i/>
          <w:iCs/>
          <w:noProof/>
          <w:sz w:val="24"/>
          <w:szCs w:val="24"/>
        </w:rPr>
        <w:t>Circulation</w:t>
      </w:r>
      <w:r w:rsidRPr="00784852">
        <w:rPr>
          <w:rFonts w:cs="Calibri"/>
          <w:noProof/>
          <w:sz w:val="24"/>
          <w:szCs w:val="24"/>
        </w:rPr>
        <w:t xml:space="preserve"> 2001;</w:t>
      </w:r>
      <w:r w:rsidRPr="00784852">
        <w:rPr>
          <w:rFonts w:cs="Calibri"/>
          <w:b/>
          <w:bCs/>
          <w:noProof/>
          <w:sz w:val="24"/>
          <w:szCs w:val="24"/>
        </w:rPr>
        <w:t>103</w:t>
      </w:r>
      <w:r w:rsidRPr="00784852">
        <w:rPr>
          <w:rFonts w:cs="Calibri"/>
          <w:noProof/>
          <w:sz w:val="24"/>
          <w:szCs w:val="24"/>
        </w:rPr>
        <w:t xml:space="preserve">:2822–7. </w:t>
      </w:r>
    </w:p>
    <w:p w14:paraId="4F898242" w14:textId="77777777" w:rsidR="00784852" w:rsidRPr="00784852" w:rsidRDefault="00784852" w:rsidP="00784852">
      <w:pPr>
        <w:widowControl w:val="0"/>
        <w:autoSpaceDE w:val="0"/>
        <w:autoSpaceDN w:val="0"/>
        <w:adjustRightInd w:val="0"/>
        <w:spacing w:after="140" w:line="480" w:lineRule="auto"/>
        <w:ind w:left="640" w:hanging="640"/>
        <w:rPr>
          <w:rFonts w:cs="Calibri"/>
          <w:noProof/>
          <w:sz w:val="24"/>
          <w:szCs w:val="24"/>
        </w:rPr>
      </w:pPr>
      <w:r w:rsidRPr="00784852">
        <w:rPr>
          <w:rFonts w:cs="Calibri"/>
          <w:noProof/>
          <w:sz w:val="24"/>
          <w:szCs w:val="24"/>
        </w:rPr>
        <w:t xml:space="preserve">35. </w:t>
      </w:r>
      <w:r w:rsidRPr="00784852">
        <w:rPr>
          <w:rFonts w:cs="Calibri"/>
          <w:noProof/>
          <w:sz w:val="24"/>
          <w:szCs w:val="24"/>
        </w:rPr>
        <w:tab/>
        <w:t xml:space="preserve">BOYER NH. The Wolff-Parkinson-White syndrome. </w:t>
      </w:r>
      <w:r w:rsidRPr="00784852">
        <w:rPr>
          <w:rFonts w:cs="Calibri"/>
          <w:i/>
          <w:iCs/>
          <w:noProof/>
          <w:sz w:val="24"/>
          <w:szCs w:val="24"/>
        </w:rPr>
        <w:t>N Engl J Med</w:t>
      </w:r>
      <w:r w:rsidRPr="00784852">
        <w:rPr>
          <w:rFonts w:cs="Calibri"/>
          <w:noProof/>
          <w:sz w:val="24"/>
          <w:szCs w:val="24"/>
        </w:rPr>
        <w:t xml:space="preserve"> 1946;</w:t>
      </w:r>
      <w:r w:rsidRPr="00784852">
        <w:rPr>
          <w:rFonts w:cs="Calibri"/>
          <w:b/>
          <w:bCs/>
          <w:noProof/>
          <w:sz w:val="24"/>
          <w:szCs w:val="24"/>
        </w:rPr>
        <w:t>234</w:t>
      </w:r>
      <w:r w:rsidRPr="00784852">
        <w:rPr>
          <w:rFonts w:cs="Calibri"/>
          <w:noProof/>
          <w:sz w:val="24"/>
          <w:szCs w:val="24"/>
        </w:rPr>
        <w:t xml:space="preserve">:111–4. </w:t>
      </w:r>
    </w:p>
    <w:p w14:paraId="6956EDA0" w14:textId="77777777" w:rsidR="00784852" w:rsidRPr="00784852" w:rsidRDefault="00784852" w:rsidP="00784852">
      <w:pPr>
        <w:widowControl w:val="0"/>
        <w:autoSpaceDE w:val="0"/>
        <w:autoSpaceDN w:val="0"/>
        <w:adjustRightInd w:val="0"/>
        <w:spacing w:after="140" w:line="480" w:lineRule="auto"/>
        <w:ind w:left="640" w:hanging="640"/>
        <w:rPr>
          <w:rFonts w:cs="Calibri"/>
          <w:noProof/>
          <w:sz w:val="24"/>
          <w:szCs w:val="24"/>
        </w:rPr>
      </w:pPr>
      <w:r w:rsidRPr="00784852">
        <w:rPr>
          <w:rFonts w:cs="Calibri"/>
          <w:noProof/>
          <w:sz w:val="24"/>
          <w:szCs w:val="24"/>
        </w:rPr>
        <w:t xml:space="preserve">36. </w:t>
      </w:r>
      <w:r w:rsidRPr="00784852">
        <w:rPr>
          <w:rFonts w:cs="Calibri"/>
          <w:noProof/>
          <w:sz w:val="24"/>
          <w:szCs w:val="24"/>
        </w:rPr>
        <w:tab/>
        <w:t xml:space="preserve">Tester DJ, Ackerman MJ. Genetic Testing for Potentially Lethal, Highly Treatable Inherited Cardiomyopathies/Channelopathies in Clinical Practice. </w:t>
      </w:r>
      <w:r w:rsidRPr="00784852">
        <w:rPr>
          <w:rFonts w:cs="Calibri"/>
          <w:i/>
          <w:iCs/>
          <w:noProof/>
          <w:sz w:val="24"/>
          <w:szCs w:val="24"/>
        </w:rPr>
        <w:t>Circulation</w:t>
      </w:r>
      <w:r w:rsidRPr="00784852">
        <w:rPr>
          <w:rFonts w:cs="Calibri"/>
          <w:noProof/>
          <w:sz w:val="24"/>
          <w:szCs w:val="24"/>
        </w:rPr>
        <w:t xml:space="preserve"> 2011;</w:t>
      </w:r>
      <w:r w:rsidRPr="00784852">
        <w:rPr>
          <w:rFonts w:cs="Calibri"/>
          <w:b/>
          <w:bCs/>
          <w:noProof/>
          <w:sz w:val="24"/>
          <w:szCs w:val="24"/>
        </w:rPr>
        <w:t>123</w:t>
      </w:r>
      <w:r w:rsidRPr="00784852">
        <w:rPr>
          <w:rFonts w:cs="Calibri"/>
          <w:noProof/>
          <w:sz w:val="24"/>
          <w:szCs w:val="24"/>
        </w:rPr>
        <w:t xml:space="preserve">:1021–37. </w:t>
      </w:r>
    </w:p>
    <w:p w14:paraId="46E6F030" w14:textId="77777777" w:rsidR="00784852" w:rsidRPr="00784852" w:rsidRDefault="00784852" w:rsidP="00784852">
      <w:pPr>
        <w:widowControl w:val="0"/>
        <w:autoSpaceDE w:val="0"/>
        <w:autoSpaceDN w:val="0"/>
        <w:adjustRightInd w:val="0"/>
        <w:spacing w:after="140" w:line="480" w:lineRule="auto"/>
        <w:ind w:left="640" w:hanging="640"/>
        <w:rPr>
          <w:rFonts w:cs="Calibri"/>
          <w:noProof/>
          <w:sz w:val="24"/>
          <w:szCs w:val="24"/>
        </w:rPr>
      </w:pPr>
      <w:r w:rsidRPr="00784852">
        <w:rPr>
          <w:rFonts w:cs="Calibri"/>
          <w:noProof/>
          <w:sz w:val="24"/>
          <w:szCs w:val="24"/>
        </w:rPr>
        <w:t xml:space="preserve">37. </w:t>
      </w:r>
      <w:r w:rsidRPr="00784852">
        <w:rPr>
          <w:rFonts w:cs="Calibri"/>
          <w:noProof/>
          <w:sz w:val="24"/>
          <w:szCs w:val="24"/>
        </w:rPr>
        <w:tab/>
        <w:t xml:space="preserve">Ackerman MJ, Siu BL, Sturner WQ, Tester DJ, Valdivia CR, Makielski JC, </w:t>
      </w:r>
      <w:r w:rsidRPr="00784852">
        <w:rPr>
          <w:rFonts w:cs="Calibri"/>
          <w:i/>
          <w:iCs/>
          <w:noProof/>
          <w:sz w:val="24"/>
          <w:szCs w:val="24"/>
        </w:rPr>
        <w:t>et al.</w:t>
      </w:r>
      <w:r w:rsidRPr="00784852">
        <w:rPr>
          <w:rFonts w:cs="Calibri"/>
          <w:noProof/>
          <w:sz w:val="24"/>
          <w:szCs w:val="24"/>
        </w:rPr>
        <w:t xml:space="preserve"> Postmortem molecular analysis of SCN5A defects in sudden infant death syndrome. </w:t>
      </w:r>
      <w:r w:rsidRPr="00784852">
        <w:rPr>
          <w:rFonts w:cs="Calibri"/>
          <w:i/>
          <w:iCs/>
          <w:noProof/>
          <w:sz w:val="24"/>
          <w:szCs w:val="24"/>
        </w:rPr>
        <w:t>JAMA</w:t>
      </w:r>
      <w:r w:rsidRPr="00784852">
        <w:rPr>
          <w:rFonts w:cs="Calibri"/>
          <w:noProof/>
          <w:sz w:val="24"/>
          <w:szCs w:val="24"/>
        </w:rPr>
        <w:t xml:space="preserve"> 2001;</w:t>
      </w:r>
      <w:r w:rsidRPr="00784852">
        <w:rPr>
          <w:rFonts w:cs="Calibri"/>
          <w:b/>
          <w:bCs/>
          <w:noProof/>
          <w:sz w:val="24"/>
          <w:szCs w:val="24"/>
        </w:rPr>
        <w:t>286</w:t>
      </w:r>
      <w:r w:rsidRPr="00784852">
        <w:rPr>
          <w:rFonts w:cs="Calibri"/>
          <w:noProof/>
          <w:sz w:val="24"/>
          <w:szCs w:val="24"/>
        </w:rPr>
        <w:t xml:space="preserve">:2264–9. </w:t>
      </w:r>
    </w:p>
    <w:p w14:paraId="24992BD8" w14:textId="77777777" w:rsidR="00784852" w:rsidRPr="00784852" w:rsidRDefault="00784852" w:rsidP="00784852">
      <w:pPr>
        <w:widowControl w:val="0"/>
        <w:autoSpaceDE w:val="0"/>
        <w:autoSpaceDN w:val="0"/>
        <w:adjustRightInd w:val="0"/>
        <w:spacing w:after="140" w:line="480" w:lineRule="auto"/>
        <w:ind w:left="640" w:hanging="640"/>
        <w:rPr>
          <w:rFonts w:cs="Calibri"/>
          <w:noProof/>
          <w:sz w:val="24"/>
          <w:szCs w:val="24"/>
        </w:rPr>
      </w:pPr>
      <w:r w:rsidRPr="00784852">
        <w:rPr>
          <w:rFonts w:cs="Calibri"/>
          <w:noProof/>
          <w:sz w:val="24"/>
          <w:szCs w:val="24"/>
        </w:rPr>
        <w:lastRenderedPageBreak/>
        <w:t xml:space="preserve">38. </w:t>
      </w:r>
      <w:r w:rsidRPr="00784852">
        <w:rPr>
          <w:rFonts w:cs="Calibri"/>
          <w:noProof/>
          <w:sz w:val="24"/>
          <w:szCs w:val="24"/>
        </w:rPr>
        <w:tab/>
        <w:t xml:space="preserve">Tester DJ, Medeiros-Domingo A, Will ML, Haglund CM, Ackerman MJ. Cardiac channel molecular autopsy: insights from 173 consecutive cases of autopsy-negative sudden unexplained death referred for postmortem genetic testing. </w:t>
      </w:r>
      <w:r w:rsidRPr="00784852">
        <w:rPr>
          <w:rFonts w:cs="Calibri"/>
          <w:i/>
          <w:iCs/>
          <w:noProof/>
          <w:sz w:val="24"/>
          <w:szCs w:val="24"/>
        </w:rPr>
        <w:t>Mayo Clin Proc</w:t>
      </w:r>
      <w:r w:rsidRPr="00784852">
        <w:rPr>
          <w:rFonts w:cs="Calibri"/>
          <w:noProof/>
          <w:sz w:val="24"/>
          <w:szCs w:val="24"/>
        </w:rPr>
        <w:t xml:space="preserve"> 2012;</w:t>
      </w:r>
      <w:r w:rsidRPr="00784852">
        <w:rPr>
          <w:rFonts w:cs="Calibri"/>
          <w:b/>
          <w:bCs/>
          <w:noProof/>
          <w:sz w:val="24"/>
          <w:szCs w:val="24"/>
        </w:rPr>
        <w:t>87</w:t>
      </w:r>
      <w:r w:rsidRPr="00784852">
        <w:rPr>
          <w:rFonts w:cs="Calibri"/>
          <w:noProof/>
          <w:sz w:val="24"/>
          <w:szCs w:val="24"/>
        </w:rPr>
        <w:t xml:space="preserve">:524–39. </w:t>
      </w:r>
    </w:p>
    <w:p w14:paraId="2333BF1C" w14:textId="77777777" w:rsidR="00784852" w:rsidRPr="00784852" w:rsidRDefault="00784852" w:rsidP="00784852">
      <w:pPr>
        <w:widowControl w:val="0"/>
        <w:autoSpaceDE w:val="0"/>
        <w:autoSpaceDN w:val="0"/>
        <w:adjustRightInd w:val="0"/>
        <w:spacing w:after="140" w:line="480" w:lineRule="auto"/>
        <w:ind w:left="640" w:hanging="640"/>
        <w:rPr>
          <w:rFonts w:cs="Calibri"/>
          <w:noProof/>
          <w:sz w:val="24"/>
          <w:szCs w:val="24"/>
        </w:rPr>
      </w:pPr>
      <w:r w:rsidRPr="00784852">
        <w:rPr>
          <w:rFonts w:cs="Calibri"/>
          <w:noProof/>
          <w:sz w:val="24"/>
          <w:szCs w:val="24"/>
        </w:rPr>
        <w:t xml:space="preserve">39. </w:t>
      </w:r>
      <w:r w:rsidRPr="00784852">
        <w:rPr>
          <w:rFonts w:cs="Calibri"/>
          <w:noProof/>
          <w:sz w:val="24"/>
          <w:szCs w:val="24"/>
        </w:rPr>
        <w:tab/>
        <w:t xml:space="preserve">Velzen HG van, Schinkel AFL, Baart SJ, Oldenburg RA, Frohn-Mulder IME, Slegtenhorst MA van, </w:t>
      </w:r>
      <w:r w:rsidRPr="00784852">
        <w:rPr>
          <w:rFonts w:cs="Calibri"/>
          <w:i/>
          <w:iCs/>
          <w:noProof/>
          <w:sz w:val="24"/>
          <w:szCs w:val="24"/>
        </w:rPr>
        <w:t>et al.</w:t>
      </w:r>
      <w:r w:rsidRPr="00784852">
        <w:rPr>
          <w:rFonts w:cs="Calibri"/>
          <w:noProof/>
          <w:sz w:val="24"/>
          <w:szCs w:val="24"/>
        </w:rPr>
        <w:t xml:space="preserve"> Outcomes of Contemporary Family Screening in Hypertrophic Cardiomyopathy. </w:t>
      </w:r>
      <w:r w:rsidRPr="00784852">
        <w:rPr>
          <w:rFonts w:cs="Calibri"/>
          <w:i/>
          <w:iCs/>
          <w:noProof/>
          <w:sz w:val="24"/>
          <w:szCs w:val="24"/>
        </w:rPr>
        <w:t>Circ Genomic Precis Med</w:t>
      </w:r>
      <w:r w:rsidRPr="00784852">
        <w:rPr>
          <w:rFonts w:cs="Calibri"/>
          <w:noProof/>
          <w:sz w:val="24"/>
          <w:szCs w:val="24"/>
        </w:rPr>
        <w:t xml:space="preserve"> 2018;</w:t>
      </w:r>
      <w:r w:rsidRPr="00784852">
        <w:rPr>
          <w:rFonts w:cs="Calibri"/>
          <w:b/>
          <w:bCs/>
          <w:noProof/>
          <w:sz w:val="24"/>
          <w:szCs w:val="24"/>
        </w:rPr>
        <w:t>11</w:t>
      </w:r>
      <w:r w:rsidRPr="00784852">
        <w:rPr>
          <w:rFonts w:cs="Calibri"/>
          <w:noProof/>
          <w:sz w:val="24"/>
          <w:szCs w:val="24"/>
        </w:rPr>
        <w:t xml:space="preserve">:e001896. </w:t>
      </w:r>
    </w:p>
    <w:p w14:paraId="13374D25" w14:textId="77777777" w:rsidR="00784852" w:rsidRPr="00784852" w:rsidRDefault="00784852" w:rsidP="00784852">
      <w:pPr>
        <w:widowControl w:val="0"/>
        <w:autoSpaceDE w:val="0"/>
        <w:autoSpaceDN w:val="0"/>
        <w:adjustRightInd w:val="0"/>
        <w:spacing w:after="140" w:line="480" w:lineRule="auto"/>
        <w:ind w:left="640" w:hanging="640"/>
        <w:rPr>
          <w:rFonts w:cs="Calibri"/>
          <w:noProof/>
          <w:sz w:val="24"/>
          <w:szCs w:val="24"/>
        </w:rPr>
      </w:pPr>
      <w:r w:rsidRPr="00784852">
        <w:rPr>
          <w:rFonts w:cs="Calibri"/>
          <w:noProof/>
          <w:sz w:val="24"/>
          <w:szCs w:val="24"/>
        </w:rPr>
        <w:t xml:space="preserve">40. </w:t>
      </w:r>
      <w:r w:rsidRPr="00784852">
        <w:rPr>
          <w:rFonts w:cs="Calibri"/>
          <w:noProof/>
          <w:sz w:val="24"/>
          <w:szCs w:val="24"/>
        </w:rPr>
        <w:tab/>
        <w:t xml:space="preserve">Arad M, Maron BJ, Gorham JM, Johnson WH, Saul JP, Perez-Atayde AR, </w:t>
      </w:r>
      <w:r w:rsidRPr="00784852">
        <w:rPr>
          <w:rFonts w:cs="Calibri"/>
          <w:i/>
          <w:iCs/>
          <w:noProof/>
          <w:sz w:val="24"/>
          <w:szCs w:val="24"/>
        </w:rPr>
        <w:t>et al.</w:t>
      </w:r>
      <w:r w:rsidRPr="00784852">
        <w:rPr>
          <w:rFonts w:cs="Calibri"/>
          <w:noProof/>
          <w:sz w:val="24"/>
          <w:szCs w:val="24"/>
        </w:rPr>
        <w:t xml:space="preserve"> Glycogen storage diseases presenting as hypertrophic cardiomyopathy. </w:t>
      </w:r>
      <w:r w:rsidRPr="00784852">
        <w:rPr>
          <w:rFonts w:cs="Calibri"/>
          <w:i/>
          <w:iCs/>
          <w:noProof/>
          <w:sz w:val="24"/>
          <w:szCs w:val="24"/>
        </w:rPr>
        <w:t>N Engl J Med</w:t>
      </w:r>
      <w:r w:rsidRPr="00784852">
        <w:rPr>
          <w:rFonts w:cs="Calibri"/>
          <w:noProof/>
          <w:sz w:val="24"/>
          <w:szCs w:val="24"/>
        </w:rPr>
        <w:t xml:space="preserve"> 2005;</w:t>
      </w:r>
      <w:r w:rsidRPr="00784852">
        <w:rPr>
          <w:rFonts w:cs="Calibri"/>
          <w:b/>
          <w:bCs/>
          <w:noProof/>
          <w:sz w:val="24"/>
          <w:szCs w:val="24"/>
        </w:rPr>
        <w:t>352</w:t>
      </w:r>
      <w:r w:rsidRPr="00784852">
        <w:rPr>
          <w:rFonts w:cs="Calibri"/>
          <w:noProof/>
          <w:sz w:val="24"/>
          <w:szCs w:val="24"/>
        </w:rPr>
        <w:t xml:space="preserve">:362–72. </w:t>
      </w:r>
    </w:p>
    <w:p w14:paraId="4B975237" w14:textId="77777777" w:rsidR="00784852" w:rsidRPr="00784852" w:rsidRDefault="00784852" w:rsidP="00784852">
      <w:pPr>
        <w:widowControl w:val="0"/>
        <w:autoSpaceDE w:val="0"/>
        <w:autoSpaceDN w:val="0"/>
        <w:adjustRightInd w:val="0"/>
        <w:spacing w:after="140" w:line="480" w:lineRule="auto"/>
        <w:ind w:left="640" w:hanging="640"/>
        <w:rPr>
          <w:rFonts w:cs="Calibri"/>
          <w:noProof/>
          <w:sz w:val="24"/>
          <w:szCs w:val="24"/>
        </w:rPr>
      </w:pPr>
      <w:r w:rsidRPr="00784852">
        <w:rPr>
          <w:rFonts w:cs="Calibri"/>
          <w:noProof/>
          <w:sz w:val="24"/>
          <w:szCs w:val="24"/>
        </w:rPr>
        <w:t xml:space="preserve">41. </w:t>
      </w:r>
      <w:r w:rsidRPr="00784852">
        <w:rPr>
          <w:rFonts w:cs="Calibri"/>
          <w:noProof/>
          <w:sz w:val="24"/>
          <w:szCs w:val="24"/>
        </w:rPr>
        <w:tab/>
        <w:t xml:space="preserve">Rivaud MR, Jansen JA, Postema PG, Nannenberg EA, Mizusawa Y, Nagel R van der, </w:t>
      </w:r>
      <w:r w:rsidRPr="00784852">
        <w:rPr>
          <w:rFonts w:cs="Calibri"/>
          <w:i/>
          <w:iCs/>
          <w:noProof/>
          <w:sz w:val="24"/>
          <w:szCs w:val="24"/>
        </w:rPr>
        <w:t>et al.</w:t>
      </w:r>
      <w:r w:rsidRPr="00784852">
        <w:rPr>
          <w:rFonts w:cs="Calibri"/>
          <w:noProof/>
          <w:sz w:val="24"/>
          <w:szCs w:val="24"/>
        </w:rPr>
        <w:t xml:space="preserve"> A common co-morbidity modulates disease expression and treatment efficacy in inherited cardiac sodium channelopathy. </w:t>
      </w:r>
      <w:r w:rsidRPr="00784852">
        <w:rPr>
          <w:rFonts w:cs="Calibri"/>
          <w:i/>
          <w:iCs/>
          <w:noProof/>
          <w:sz w:val="24"/>
          <w:szCs w:val="24"/>
        </w:rPr>
        <w:t>Eur Heart J</w:t>
      </w:r>
      <w:r w:rsidRPr="00784852">
        <w:rPr>
          <w:rFonts w:cs="Calibri"/>
          <w:noProof/>
          <w:sz w:val="24"/>
          <w:szCs w:val="24"/>
        </w:rPr>
        <w:t xml:space="preserve"> 2018;</w:t>
      </w:r>
      <w:r w:rsidRPr="00784852">
        <w:rPr>
          <w:rFonts w:cs="Calibri"/>
          <w:b/>
          <w:bCs/>
          <w:noProof/>
          <w:sz w:val="24"/>
          <w:szCs w:val="24"/>
        </w:rPr>
        <w:t>39</w:t>
      </w:r>
      <w:r w:rsidRPr="00784852">
        <w:rPr>
          <w:rFonts w:cs="Calibri"/>
          <w:noProof/>
          <w:sz w:val="24"/>
          <w:szCs w:val="24"/>
        </w:rPr>
        <w:t xml:space="preserve">:2898–907. </w:t>
      </w:r>
    </w:p>
    <w:p w14:paraId="0739F6A7" w14:textId="77777777" w:rsidR="00784852" w:rsidRPr="00784852" w:rsidRDefault="00784852" w:rsidP="00784852">
      <w:pPr>
        <w:widowControl w:val="0"/>
        <w:autoSpaceDE w:val="0"/>
        <w:autoSpaceDN w:val="0"/>
        <w:adjustRightInd w:val="0"/>
        <w:spacing w:after="140" w:line="480" w:lineRule="auto"/>
        <w:ind w:left="640" w:hanging="640"/>
        <w:rPr>
          <w:rFonts w:cs="Calibri"/>
          <w:noProof/>
          <w:sz w:val="24"/>
          <w:szCs w:val="24"/>
        </w:rPr>
      </w:pPr>
      <w:r w:rsidRPr="00784852">
        <w:rPr>
          <w:rFonts w:cs="Calibri"/>
          <w:noProof/>
          <w:sz w:val="24"/>
          <w:szCs w:val="24"/>
        </w:rPr>
        <w:t xml:space="preserve">42. </w:t>
      </w:r>
      <w:r w:rsidRPr="00784852">
        <w:rPr>
          <w:rFonts w:cs="Calibri"/>
          <w:noProof/>
          <w:sz w:val="24"/>
          <w:szCs w:val="24"/>
        </w:rPr>
        <w:tab/>
        <w:t xml:space="preserve">Oikarinen L, Nieminen MS, Viitasalo M, Toivonen L, Wachtell K, Papademetriou V, </w:t>
      </w:r>
      <w:r w:rsidRPr="00784852">
        <w:rPr>
          <w:rFonts w:cs="Calibri"/>
          <w:i/>
          <w:iCs/>
          <w:noProof/>
          <w:sz w:val="24"/>
          <w:szCs w:val="24"/>
        </w:rPr>
        <w:t>et al.</w:t>
      </w:r>
      <w:r w:rsidRPr="00784852">
        <w:rPr>
          <w:rFonts w:cs="Calibri"/>
          <w:noProof/>
          <w:sz w:val="24"/>
          <w:szCs w:val="24"/>
        </w:rPr>
        <w:t xml:space="preserve"> Relation of QT interval and QT dispersion to echocardiographic left ventricular hypertrophy and geometric pattern in hypertensive patients. The LIFE study. The Losartan Intervention For Endpoint Reduction. </w:t>
      </w:r>
      <w:r w:rsidRPr="00784852">
        <w:rPr>
          <w:rFonts w:cs="Calibri"/>
          <w:i/>
          <w:iCs/>
          <w:noProof/>
          <w:sz w:val="24"/>
          <w:szCs w:val="24"/>
        </w:rPr>
        <w:t>J Hypertens</w:t>
      </w:r>
      <w:r w:rsidRPr="00784852">
        <w:rPr>
          <w:rFonts w:cs="Calibri"/>
          <w:noProof/>
          <w:sz w:val="24"/>
          <w:szCs w:val="24"/>
        </w:rPr>
        <w:t xml:space="preserve"> 2001;</w:t>
      </w:r>
      <w:r w:rsidRPr="00784852">
        <w:rPr>
          <w:rFonts w:cs="Calibri"/>
          <w:b/>
          <w:bCs/>
          <w:noProof/>
          <w:sz w:val="24"/>
          <w:szCs w:val="24"/>
        </w:rPr>
        <w:t>19</w:t>
      </w:r>
      <w:r w:rsidRPr="00784852">
        <w:rPr>
          <w:rFonts w:cs="Calibri"/>
          <w:noProof/>
          <w:sz w:val="24"/>
          <w:szCs w:val="24"/>
        </w:rPr>
        <w:t xml:space="preserve">:1883–91. </w:t>
      </w:r>
    </w:p>
    <w:p w14:paraId="55B82302" w14:textId="77777777" w:rsidR="00784852" w:rsidRPr="00784852" w:rsidRDefault="00784852" w:rsidP="00784852">
      <w:pPr>
        <w:widowControl w:val="0"/>
        <w:autoSpaceDE w:val="0"/>
        <w:autoSpaceDN w:val="0"/>
        <w:adjustRightInd w:val="0"/>
        <w:spacing w:after="140" w:line="480" w:lineRule="auto"/>
        <w:ind w:left="640" w:hanging="640"/>
        <w:rPr>
          <w:rFonts w:cs="Calibri"/>
          <w:noProof/>
          <w:sz w:val="24"/>
          <w:szCs w:val="24"/>
        </w:rPr>
      </w:pPr>
      <w:r w:rsidRPr="009A569C">
        <w:rPr>
          <w:rFonts w:cs="Calibri"/>
          <w:noProof/>
          <w:sz w:val="24"/>
          <w:szCs w:val="24"/>
          <w:lang w:val="it-IT"/>
        </w:rPr>
        <w:t xml:space="preserve">43. </w:t>
      </w:r>
      <w:r w:rsidRPr="009A569C">
        <w:rPr>
          <w:rFonts w:cs="Calibri"/>
          <w:noProof/>
          <w:sz w:val="24"/>
          <w:szCs w:val="24"/>
          <w:lang w:val="it-IT"/>
        </w:rPr>
        <w:tab/>
        <w:t xml:space="preserve">Tahir E, Starekova J, Muellerleile K, Stritzky A von, Münch J, Avanesov M, </w:t>
      </w:r>
      <w:r w:rsidRPr="009A569C">
        <w:rPr>
          <w:rFonts w:cs="Calibri"/>
          <w:i/>
          <w:iCs/>
          <w:noProof/>
          <w:sz w:val="24"/>
          <w:szCs w:val="24"/>
          <w:lang w:val="it-IT"/>
        </w:rPr>
        <w:t>et al.</w:t>
      </w:r>
      <w:r w:rsidRPr="009A569C">
        <w:rPr>
          <w:rFonts w:cs="Calibri"/>
          <w:noProof/>
          <w:sz w:val="24"/>
          <w:szCs w:val="24"/>
          <w:lang w:val="it-IT"/>
        </w:rPr>
        <w:t xml:space="preserve"> </w:t>
      </w:r>
      <w:r w:rsidRPr="00784852">
        <w:rPr>
          <w:rFonts w:cs="Calibri"/>
          <w:noProof/>
          <w:sz w:val="24"/>
          <w:szCs w:val="24"/>
        </w:rPr>
        <w:t xml:space="preserve">Myocardial Fibrosis in Competitive Triathletes Detected by Contrast-Enhanced CMR Correlates With Exercise-Induced Hypertension and Competition History. </w:t>
      </w:r>
      <w:r w:rsidRPr="00784852">
        <w:rPr>
          <w:rFonts w:cs="Calibri"/>
          <w:i/>
          <w:iCs/>
          <w:noProof/>
          <w:sz w:val="24"/>
          <w:szCs w:val="24"/>
        </w:rPr>
        <w:t>JACC Cardiovasc Imaging</w:t>
      </w:r>
      <w:r w:rsidRPr="00784852">
        <w:rPr>
          <w:rFonts w:cs="Calibri"/>
          <w:noProof/>
          <w:sz w:val="24"/>
          <w:szCs w:val="24"/>
        </w:rPr>
        <w:t xml:space="preserve"> 2017; </w:t>
      </w:r>
    </w:p>
    <w:p w14:paraId="1423E25D" w14:textId="77777777" w:rsidR="00784852" w:rsidRPr="00784852" w:rsidRDefault="00784852" w:rsidP="00784852">
      <w:pPr>
        <w:widowControl w:val="0"/>
        <w:autoSpaceDE w:val="0"/>
        <w:autoSpaceDN w:val="0"/>
        <w:adjustRightInd w:val="0"/>
        <w:spacing w:after="140" w:line="480" w:lineRule="auto"/>
        <w:ind w:left="640" w:hanging="640"/>
        <w:rPr>
          <w:rFonts w:cs="Calibri"/>
          <w:noProof/>
          <w:sz w:val="24"/>
          <w:szCs w:val="24"/>
        </w:rPr>
      </w:pPr>
      <w:r w:rsidRPr="00784852">
        <w:rPr>
          <w:rFonts w:cs="Calibri"/>
          <w:noProof/>
          <w:sz w:val="24"/>
          <w:szCs w:val="24"/>
        </w:rPr>
        <w:t xml:space="preserve">44. </w:t>
      </w:r>
      <w:r w:rsidRPr="00784852">
        <w:rPr>
          <w:rFonts w:cs="Calibri"/>
          <w:noProof/>
          <w:sz w:val="24"/>
          <w:szCs w:val="24"/>
        </w:rPr>
        <w:tab/>
        <w:t xml:space="preserve">Merghani A, Maestrini V, Rosmini S, Cox AT, Dhutia H, Bastiaenan R, </w:t>
      </w:r>
      <w:r w:rsidRPr="00784852">
        <w:rPr>
          <w:rFonts w:cs="Calibri"/>
          <w:i/>
          <w:iCs/>
          <w:noProof/>
          <w:sz w:val="24"/>
          <w:szCs w:val="24"/>
        </w:rPr>
        <w:t>et al.</w:t>
      </w:r>
      <w:r w:rsidRPr="00784852">
        <w:rPr>
          <w:rFonts w:cs="Calibri"/>
          <w:noProof/>
          <w:sz w:val="24"/>
          <w:szCs w:val="24"/>
        </w:rPr>
        <w:t xml:space="preserve"> Prevalence </w:t>
      </w:r>
      <w:r w:rsidRPr="00784852">
        <w:rPr>
          <w:rFonts w:cs="Calibri"/>
          <w:noProof/>
          <w:sz w:val="24"/>
          <w:szCs w:val="24"/>
        </w:rPr>
        <w:lastRenderedPageBreak/>
        <w:t xml:space="preserve">of Subclinical Coronary Artery Disease in Masters Endurance Athletes With a Low Atherosclerotic Risk Profile. </w:t>
      </w:r>
      <w:r w:rsidRPr="00784852">
        <w:rPr>
          <w:rFonts w:cs="Calibri"/>
          <w:i/>
          <w:iCs/>
          <w:noProof/>
          <w:sz w:val="24"/>
          <w:szCs w:val="24"/>
        </w:rPr>
        <w:t>Circulation</w:t>
      </w:r>
      <w:r w:rsidRPr="00784852">
        <w:rPr>
          <w:rFonts w:cs="Calibri"/>
          <w:noProof/>
          <w:sz w:val="24"/>
          <w:szCs w:val="24"/>
        </w:rPr>
        <w:t xml:space="preserve"> 2017;</w:t>
      </w:r>
      <w:r w:rsidRPr="00784852">
        <w:rPr>
          <w:rFonts w:cs="Calibri"/>
          <w:b/>
          <w:bCs/>
          <w:noProof/>
          <w:sz w:val="24"/>
          <w:szCs w:val="24"/>
        </w:rPr>
        <w:t>136</w:t>
      </w:r>
      <w:r w:rsidRPr="00784852">
        <w:rPr>
          <w:rFonts w:cs="Calibri"/>
          <w:noProof/>
          <w:sz w:val="24"/>
          <w:szCs w:val="24"/>
        </w:rPr>
        <w:t xml:space="preserve">:126–37. </w:t>
      </w:r>
    </w:p>
    <w:p w14:paraId="3FAFCD12" w14:textId="77777777" w:rsidR="00784852" w:rsidRPr="00784852" w:rsidRDefault="00784852" w:rsidP="00784852">
      <w:pPr>
        <w:widowControl w:val="0"/>
        <w:autoSpaceDE w:val="0"/>
        <w:autoSpaceDN w:val="0"/>
        <w:adjustRightInd w:val="0"/>
        <w:spacing w:after="140" w:line="480" w:lineRule="auto"/>
        <w:ind w:left="640" w:hanging="640"/>
        <w:rPr>
          <w:rFonts w:cs="Calibri"/>
          <w:noProof/>
          <w:sz w:val="24"/>
          <w:szCs w:val="24"/>
        </w:rPr>
      </w:pPr>
      <w:r w:rsidRPr="00784852">
        <w:rPr>
          <w:rFonts w:cs="Calibri"/>
          <w:noProof/>
          <w:sz w:val="24"/>
          <w:szCs w:val="24"/>
        </w:rPr>
        <w:t xml:space="preserve">45. </w:t>
      </w:r>
      <w:r w:rsidRPr="00784852">
        <w:rPr>
          <w:rFonts w:cs="Calibri"/>
          <w:noProof/>
          <w:sz w:val="24"/>
          <w:szCs w:val="24"/>
        </w:rPr>
        <w:tab/>
        <w:t xml:space="preserve">Maron BJ, Doerer JJ, Haas TS, Tierney DM, Mueller FO. Sudden Deaths in Young Competitive Athletes: Analysis of 1866 Deaths in the United States, 1980-2006. </w:t>
      </w:r>
      <w:r w:rsidRPr="00784852">
        <w:rPr>
          <w:rFonts w:cs="Calibri"/>
          <w:i/>
          <w:iCs/>
          <w:noProof/>
          <w:sz w:val="24"/>
          <w:szCs w:val="24"/>
        </w:rPr>
        <w:t>Circulation</w:t>
      </w:r>
      <w:r w:rsidRPr="00784852">
        <w:rPr>
          <w:rFonts w:cs="Calibri"/>
          <w:noProof/>
          <w:sz w:val="24"/>
          <w:szCs w:val="24"/>
        </w:rPr>
        <w:t xml:space="preserve"> 2009;</w:t>
      </w:r>
      <w:r w:rsidRPr="00784852">
        <w:rPr>
          <w:rFonts w:cs="Calibri"/>
          <w:b/>
          <w:bCs/>
          <w:noProof/>
          <w:sz w:val="24"/>
          <w:szCs w:val="24"/>
        </w:rPr>
        <w:t>119</w:t>
      </w:r>
      <w:r w:rsidRPr="00784852">
        <w:rPr>
          <w:rFonts w:cs="Calibri"/>
          <w:noProof/>
          <w:sz w:val="24"/>
          <w:szCs w:val="24"/>
        </w:rPr>
        <w:t xml:space="preserve">:1085–92. </w:t>
      </w:r>
    </w:p>
    <w:p w14:paraId="565B09B9" w14:textId="77777777" w:rsidR="00784852" w:rsidRPr="00784852" w:rsidRDefault="00784852" w:rsidP="00784852">
      <w:pPr>
        <w:widowControl w:val="0"/>
        <w:autoSpaceDE w:val="0"/>
        <w:autoSpaceDN w:val="0"/>
        <w:adjustRightInd w:val="0"/>
        <w:spacing w:after="140" w:line="480" w:lineRule="auto"/>
        <w:ind w:left="640" w:hanging="640"/>
        <w:rPr>
          <w:rFonts w:cs="Calibri"/>
          <w:noProof/>
          <w:sz w:val="24"/>
        </w:rPr>
      </w:pPr>
      <w:r w:rsidRPr="00784852">
        <w:rPr>
          <w:rFonts w:cs="Calibri"/>
          <w:noProof/>
          <w:sz w:val="24"/>
          <w:szCs w:val="24"/>
        </w:rPr>
        <w:t xml:space="preserve">46. </w:t>
      </w:r>
      <w:r w:rsidRPr="00784852">
        <w:rPr>
          <w:rFonts w:cs="Calibri"/>
          <w:noProof/>
          <w:sz w:val="24"/>
          <w:szCs w:val="24"/>
        </w:rPr>
        <w:tab/>
        <w:t xml:space="preserve">Peterson DF, Siebert DM, Kucera KL, Thomas LC, Maleszewski JJ, Lopez-Anderson M, </w:t>
      </w:r>
      <w:r w:rsidRPr="00784852">
        <w:rPr>
          <w:rFonts w:cs="Calibri"/>
          <w:i/>
          <w:iCs/>
          <w:noProof/>
          <w:sz w:val="24"/>
          <w:szCs w:val="24"/>
        </w:rPr>
        <w:t>et al.</w:t>
      </w:r>
      <w:r w:rsidRPr="00784852">
        <w:rPr>
          <w:rFonts w:cs="Calibri"/>
          <w:noProof/>
          <w:sz w:val="24"/>
          <w:szCs w:val="24"/>
        </w:rPr>
        <w:t xml:space="preserve"> Etiology of Sudden Cardiac Arrest and Death in US Competitive Athletes: A 2-Year Prospective Surveillance Study. </w:t>
      </w:r>
      <w:r w:rsidRPr="00784852">
        <w:rPr>
          <w:rFonts w:cs="Calibri"/>
          <w:i/>
          <w:iCs/>
          <w:noProof/>
          <w:sz w:val="24"/>
          <w:szCs w:val="24"/>
        </w:rPr>
        <w:t>Clin J Sport Med</w:t>
      </w:r>
      <w:r w:rsidRPr="00784852">
        <w:rPr>
          <w:rFonts w:cs="Calibri"/>
          <w:noProof/>
          <w:sz w:val="24"/>
          <w:szCs w:val="24"/>
        </w:rPr>
        <w:t xml:space="preserve"> 2018; </w:t>
      </w:r>
    </w:p>
    <w:p w14:paraId="58B8C671" w14:textId="77777777" w:rsidR="009C6ECC" w:rsidRDefault="009265FB" w:rsidP="00DC009D">
      <w:pPr>
        <w:spacing w:line="480" w:lineRule="auto"/>
        <w:rPr>
          <w:b/>
          <w:sz w:val="24"/>
          <w:szCs w:val="24"/>
        </w:rPr>
      </w:pPr>
      <w:r w:rsidRPr="000F27B6">
        <w:rPr>
          <w:b/>
          <w:sz w:val="24"/>
          <w:szCs w:val="24"/>
        </w:rPr>
        <w:fldChar w:fldCharType="end"/>
      </w:r>
    </w:p>
    <w:p w14:paraId="326FE6C5" w14:textId="77777777" w:rsidR="009C6ECC" w:rsidRDefault="009C6ECC">
      <w:pPr>
        <w:spacing w:after="0" w:line="240" w:lineRule="auto"/>
        <w:rPr>
          <w:b/>
          <w:sz w:val="24"/>
          <w:szCs w:val="24"/>
        </w:rPr>
      </w:pPr>
      <w:r>
        <w:rPr>
          <w:b/>
          <w:sz w:val="24"/>
          <w:szCs w:val="24"/>
        </w:rPr>
        <w:br w:type="page"/>
      </w:r>
    </w:p>
    <w:p w14:paraId="65392D71" w14:textId="4B3F60E1" w:rsidR="00327F91" w:rsidRPr="000F27B6" w:rsidRDefault="000A641D" w:rsidP="00F24CA7">
      <w:pPr>
        <w:spacing w:line="480" w:lineRule="auto"/>
        <w:rPr>
          <w:b/>
          <w:sz w:val="24"/>
          <w:szCs w:val="24"/>
        </w:rPr>
      </w:pPr>
      <w:r w:rsidRPr="000F27B6">
        <w:rPr>
          <w:b/>
          <w:sz w:val="24"/>
          <w:szCs w:val="24"/>
        </w:rPr>
        <w:lastRenderedPageBreak/>
        <w:t>FIGURE LEGENDS</w:t>
      </w:r>
    </w:p>
    <w:p w14:paraId="5D912E67" w14:textId="77777777" w:rsidR="00327F91" w:rsidRPr="000F27B6" w:rsidRDefault="00327F91" w:rsidP="009774F1">
      <w:pPr>
        <w:spacing w:after="0" w:line="480" w:lineRule="auto"/>
        <w:rPr>
          <w:sz w:val="24"/>
          <w:szCs w:val="24"/>
        </w:rPr>
      </w:pPr>
      <w:r w:rsidRPr="000F27B6">
        <w:rPr>
          <w:b/>
          <w:sz w:val="24"/>
          <w:szCs w:val="24"/>
        </w:rPr>
        <w:t>Figure 1.</w:t>
      </w:r>
      <w:r w:rsidR="00EA2F41" w:rsidRPr="000F27B6">
        <w:rPr>
          <w:b/>
          <w:sz w:val="24"/>
          <w:szCs w:val="24"/>
        </w:rPr>
        <w:t xml:space="preserve"> </w:t>
      </w:r>
      <w:r w:rsidR="00EA2F41" w:rsidRPr="000F27B6">
        <w:rPr>
          <w:sz w:val="24"/>
          <w:szCs w:val="24"/>
        </w:rPr>
        <w:t>Summary of the study.</w:t>
      </w:r>
    </w:p>
    <w:p w14:paraId="25AE03E8" w14:textId="77777777" w:rsidR="00B1667C" w:rsidRPr="000F27B6" w:rsidRDefault="00B1667C" w:rsidP="009774F1">
      <w:pPr>
        <w:spacing w:after="0" w:line="480" w:lineRule="auto"/>
        <w:rPr>
          <w:b/>
          <w:sz w:val="24"/>
          <w:szCs w:val="24"/>
        </w:rPr>
      </w:pPr>
    </w:p>
    <w:p w14:paraId="1FD890A2" w14:textId="14613F2A" w:rsidR="00327F91" w:rsidRPr="000F27B6" w:rsidRDefault="00327F91" w:rsidP="000966CE">
      <w:pPr>
        <w:spacing w:after="0" w:line="480" w:lineRule="auto"/>
        <w:rPr>
          <w:sz w:val="24"/>
          <w:szCs w:val="24"/>
        </w:rPr>
      </w:pPr>
      <w:r w:rsidRPr="000F27B6">
        <w:rPr>
          <w:b/>
          <w:sz w:val="24"/>
          <w:szCs w:val="24"/>
        </w:rPr>
        <w:t>Figure 2</w:t>
      </w:r>
      <w:r w:rsidRPr="000F27B6">
        <w:rPr>
          <w:sz w:val="24"/>
          <w:szCs w:val="24"/>
        </w:rPr>
        <w:t>.</w:t>
      </w:r>
      <w:r w:rsidR="00EA2F41" w:rsidRPr="000F27B6">
        <w:rPr>
          <w:sz w:val="24"/>
          <w:szCs w:val="24"/>
        </w:rPr>
        <w:t xml:space="preserve"> Family screening in SCD victims with </w:t>
      </w:r>
      <w:r w:rsidR="00BA181C" w:rsidRPr="000F27B6">
        <w:rPr>
          <w:sz w:val="24"/>
          <w:szCs w:val="24"/>
        </w:rPr>
        <w:t>an autopsy</w:t>
      </w:r>
      <w:r w:rsidR="00EA2F41" w:rsidRPr="000F27B6">
        <w:rPr>
          <w:sz w:val="24"/>
          <w:szCs w:val="24"/>
        </w:rPr>
        <w:t xml:space="preserve"> suggestive of idiopathic LVH (percentages of families affected</w:t>
      </w:r>
      <w:r w:rsidR="009B28DD">
        <w:rPr>
          <w:sz w:val="24"/>
          <w:szCs w:val="24"/>
        </w:rPr>
        <w:t>). T</w:t>
      </w:r>
      <w:r w:rsidR="00527D37" w:rsidRPr="000F27B6">
        <w:rPr>
          <w:sz w:val="24"/>
          <w:szCs w:val="24"/>
        </w:rPr>
        <w:t>he dots represent the family members</w:t>
      </w:r>
      <w:r w:rsidR="009B28DD">
        <w:rPr>
          <w:sz w:val="24"/>
          <w:szCs w:val="24"/>
        </w:rPr>
        <w:t>, family members belonging to the same family are contained in the same circle</w:t>
      </w:r>
      <w:r w:rsidR="00EA2F41" w:rsidRPr="000F27B6">
        <w:rPr>
          <w:sz w:val="24"/>
          <w:szCs w:val="24"/>
        </w:rPr>
        <w:t xml:space="preserve">. </w:t>
      </w:r>
      <w:r w:rsidR="00EA2F41" w:rsidRPr="000F27B6">
        <w:rPr>
          <w:b/>
          <w:sz w:val="24"/>
          <w:szCs w:val="24"/>
        </w:rPr>
        <w:t>Abbreviations:</w:t>
      </w:r>
      <w:r w:rsidR="00EA2F41" w:rsidRPr="000F27B6">
        <w:rPr>
          <w:sz w:val="24"/>
          <w:szCs w:val="24"/>
        </w:rPr>
        <w:t xml:space="preserve"> AC</w:t>
      </w:r>
      <w:r w:rsidR="00E96305" w:rsidRPr="000F27B6">
        <w:rPr>
          <w:sz w:val="24"/>
          <w:szCs w:val="24"/>
        </w:rPr>
        <w:t>M</w:t>
      </w:r>
      <w:r w:rsidR="00EA2F41" w:rsidRPr="000F27B6">
        <w:rPr>
          <w:sz w:val="24"/>
          <w:szCs w:val="24"/>
        </w:rPr>
        <w:t xml:space="preserve">: arrhythmogenic cardiomyopathy; </w:t>
      </w:r>
      <w:r w:rsidR="00527D37" w:rsidRPr="000F27B6">
        <w:rPr>
          <w:sz w:val="24"/>
          <w:szCs w:val="24"/>
        </w:rPr>
        <w:t xml:space="preserve">BrS: Brugada syndrome; </w:t>
      </w:r>
      <w:r w:rsidR="00EA2F41" w:rsidRPr="000F27B6">
        <w:rPr>
          <w:sz w:val="24"/>
          <w:szCs w:val="24"/>
        </w:rPr>
        <w:t xml:space="preserve">DCM: dilated cardiomyopathy; </w:t>
      </w:r>
      <w:r w:rsidR="008F07B8" w:rsidRPr="000F27B6">
        <w:rPr>
          <w:sz w:val="24"/>
          <w:szCs w:val="24"/>
        </w:rPr>
        <w:t xml:space="preserve">ICC: inherited cardiac condition; </w:t>
      </w:r>
      <w:r w:rsidR="00EA2F41" w:rsidRPr="000F27B6">
        <w:rPr>
          <w:sz w:val="24"/>
          <w:szCs w:val="24"/>
        </w:rPr>
        <w:t>HCM: hypertrophic cardiomyopathy;</w:t>
      </w:r>
      <w:r w:rsidR="00527D37" w:rsidRPr="000F27B6">
        <w:rPr>
          <w:sz w:val="24"/>
          <w:szCs w:val="24"/>
        </w:rPr>
        <w:t xml:space="preserve"> LQTS: long QT syndrome;</w:t>
      </w:r>
      <w:r w:rsidR="00EA2F41" w:rsidRPr="000F27B6">
        <w:rPr>
          <w:sz w:val="24"/>
          <w:szCs w:val="24"/>
        </w:rPr>
        <w:t xml:space="preserve"> WPW: Wolff-Parkinson-White syndrome</w:t>
      </w:r>
      <w:r w:rsidR="00F36159" w:rsidRPr="000F27B6">
        <w:rPr>
          <w:sz w:val="24"/>
          <w:szCs w:val="24"/>
        </w:rPr>
        <w:t>.</w:t>
      </w:r>
    </w:p>
    <w:p w14:paraId="03A988B3" w14:textId="77777777" w:rsidR="00F36159" w:rsidRPr="000F27B6" w:rsidRDefault="00F36159" w:rsidP="000966CE">
      <w:pPr>
        <w:spacing w:after="0" w:line="480" w:lineRule="auto"/>
        <w:rPr>
          <w:b/>
          <w:sz w:val="24"/>
          <w:szCs w:val="24"/>
        </w:rPr>
      </w:pPr>
    </w:p>
    <w:p w14:paraId="3CFA22DF" w14:textId="19EDE0B8" w:rsidR="00F36159" w:rsidRPr="000F27B6" w:rsidRDefault="00F36159" w:rsidP="000966CE">
      <w:pPr>
        <w:spacing w:after="0" w:line="480" w:lineRule="auto"/>
        <w:rPr>
          <w:b/>
          <w:sz w:val="24"/>
          <w:szCs w:val="24"/>
        </w:rPr>
      </w:pPr>
      <w:r w:rsidRPr="000F27B6">
        <w:rPr>
          <w:b/>
          <w:sz w:val="24"/>
          <w:szCs w:val="24"/>
        </w:rPr>
        <w:t>Figure 3</w:t>
      </w:r>
      <w:r w:rsidRPr="000F27B6">
        <w:rPr>
          <w:sz w:val="24"/>
          <w:szCs w:val="24"/>
        </w:rPr>
        <w:t xml:space="preserve">. Results of the genetic test in sudden death victims with an autopsy consistent with idiopathic LVH. </w:t>
      </w:r>
      <w:r w:rsidRPr="000F27B6">
        <w:rPr>
          <w:b/>
          <w:sz w:val="24"/>
          <w:szCs w:val="24"/>
        </w:rPr>
        <w:t>Abbreviations</w:t>
      </w:r>
      <w:r w:rsidRPr="000F27B6">
        <w:rPr>
          <w:sz w:val="24"/>
          <w:szCs w:val="24"/>
        </w:rPr>
        <w:t>: VUS: variants of uncertain significance.</w:t>
      </w:r>
    </w:p>
    <w:p w14:paraId="2F1AF8FF" w14:textId="77777777" w:rsidR="00F36159" w:rsidRPr="000F27B6" w:rsidRDefault="00F36159" w:rsidP="000966CE">
      <w:pPr>
        <w:spacing w:after="0" w:line="480" w:lineRule="auto"/>
        <w:rPr>
          <w:sz w:val="24"/>
          <w:szCs w:val="24"/>
        </w:rPr>
      </w:pPr>
    </w:p>
    <w:p w14:paraId="523156EA" w14:textId="77777777" w:rsidR="00B1667C" w:rsidRPr="000F27B6" w:rsidRDefault="00B1667C" w:rsidP="009774F1">
      <w:pPr>
        <w:spacing w:after="0" w:line="480" w:lineRule="auto"/>
        <w:rPr>
          <w:b/>
          <w:sz w:val="24"/>
          <w:szCs w:val="24"/>
        </w:rPr>
      </w:pPr>
    </w:p>
    <w:p w14:paraId="49E03476" w14:textId="77777777" w:rsidR="000A641D" w:rsidRPr="000F27B6" w:rsidRDefault="000A641D" w:rsidP="009774F1">
      <w:pPr>
        <w:spacing w:after="0" w:line="480" w:lineRule="auto"/>
        <w:rPr>
          <w:b/>
          <w:sz w:val="24"/>
          <w:szCs w:val="24"/>
        </w:rPr>
      </w:pPr>
      <w:r w:rsidRPr="000F27B6">
        <w:rPr>
          <w:b/>
          <w:sz w:val="24"/>
          <w:szCs w:val="24"/>
        </w:rPr>
        <w:br w:type="page"/>
      </w:r>
    </w:p>
    <w:p w14:paraId="5085F14E" w14:textId="59747F83" w:rsidR="000A641D" w:rsidRPr="00F24CA7" w:rsidRDefault="000A641D" w:rsidP="00984581">
      <w:pPr>
        <w:spacing w:line="480" w:lineRule="auto"/>
        <w:rPr>
          <w:rFonts w:asciiTheme="minorHAnsi" w:hAnsiTheme="minorHAnsi"/>
          <w:sz w:val="24"/>
          <w:szCs w:val="24"/>
        </w:rPr>
      </w:pPr>
      <w:r w:rsidRPr="000F27B6">
        <w:rPr>
          <w:b/>
          <w:sz w:val="24"/>
          <w:szCs w:val="24"/>
        </w:rPr>
        <w:lastRenderedPageBreak/>
        <w:t xml:space="preserve">Table 1. </w:t>
      </w:r>
      <w:r w:rsidRPr="000F27B6">
        <w:rPr>
          <w:rFonts w:asciiTheme="minorHAnsi" w:hAnsiTheme="minorHAnsi"/>
          <w:sz w:val="24"/>
          <w:szCs w:val="24"/>
        </w:rPr>
        <w:t xml:space="preserve">Characteristics of the </w:t>
      </w:r>
      <w:r w:rsidR="00C924FC">
        <w:rPr>
          <w:rFonts w:asciiTheme="minorHAnsi" w:hAnsiTheme="minorHAnsi"/>
          <w:sz w:val="24"/>
          <w:szCs w:val="24"/>
        </w:rPr>
        <w:t>decedent</w:t>
      </w:r>
      <w:r w:rsidRPr="000F27B6">
        <w:rPr>
          <w:rFonts w:asciiTheme="minorHAnsi" w:hAnsiTheme="minorHAnsi"/>
          <w:sz w:val="24"/>
          <w:szCs w:val="24"/>
        </w:rPr>
        <w:t>s.</w:t>
      </w:r>
    </w:p>
    <w:tbl>
      <w:tblPr>
        <w:tblStyle w:val="TableGrid"/>
        <w:tblW w:w="0" w:type="auto"/>
        <w:tblInd w:w="562" w:type="dxa"/>
        <w:tblLook w:val="04A0" w:firstRow="1" w:lastRow="0" w:firstColumn="1" w:lastColumn="0" w:noHBand="0" w:noVBand="1"/>
      </w:tblPr>
      <w:tblGrid>
        <w:gridCol w:w="4649"/>
        <w:gridCol w:w="3113"/>
      </w:tblGrid>
      <w:tr w:rsidR="000F27B6" w:rsidRPr="000F27B6" w14:paraId="1249A467" w14:textId="77777777" w:rsidTr="0074007D">
        <w:trPr>
          <w:trHeight w:hRule="exact" w:val="636"/>
        </w:trPr>
        <w:tc>
          <w:tcPr>
            <w:tcW w:w="4649" w:type="dxa"/>
          </w:tcPr>
          <w:p w14:paraId="3D871F45" w14:textId="77777777" w:rsidR="000A641D" w:rsidRPr="000F27B6" w:rsidRDefault="000A641D" w:rsidP="008165D7">
            <w:pPr>
              <w:rPr>
                <w:rFonts w:asciiTheme="minorHAnsi" w:hAnsiTheme="minorHAnsi"/>
                <w:sz w:val="24"/>
                <w:szCs w:val="24"/>
              </w:rPr>
            </w:pPr>
          </w:p>
        </w:tc>
        <w:tc>
          <w:tcPr>
            <w:tcW w:w="3113" w:type="dxa"/>
          </w:tcPr>
          <w:p w14:paraId="03C75D0E" w14:textId="0D0C2A78" w:rsidR="000A641D" w:rsidRPr="000F27B6" w:rsidRDefault="00C924FC" w:rsidP="008165D7">
            <w:pPr>
              <w:rPr>
                <w:rFonts w:asciiTheme="minorHAnsi" w:hAnsiTheme="minorHAnsi"/>
                <w:b/>
                <w:sz w:val="24"/>
                <w:szCs w:val="24"/>
              </w:rPr>
            </w:pPr>
            <w:r>
              <w:rPr>
                <w:rFonts w:asciiTheme="minorHAnsi" w:hAnsiTheme="minorHAnsi"/>
                <w:b/>
                <w:sz w:val="24"/>
                <w:szCs w:val="24"/>
              </w:rPr>
              <w:t>Decedents</w:t>
            </w:r>
            <w:r w:rsidR="000A641D" w:rsidRPr="000F27B6">
              <w:rPr>
                <w:rFonts w:asciiTheme="minorHAnsi" w:hAnsiTheme="minorHAnsi"/>
                <w:b/>
                <w:sz w:val="24"/>
                <w:szCs w:val="24"/>
              </w:rPr>
              <w:t xml:space="preserve"> (n=46)</w:t>
            </w:r>
          </w:p>
        </w:tc>
      </w:tr>
      <w:tr w:rsidR="000F27B6" w:rsidRPr="000F27B6" w14:paraId="7540A0FD" w14:textId="77777777" w:rsidTr="0074007D">
        <w:trPr>
          <w:trHeight w:hRule="exact" w:val="624"/>
        </w:trPr>
        <w:tc>
          <w:tcPr>
            <w:tcW w:w="4649" w:type="dxa"/>
          </w:tcPr>
          <w:p w14:paraId="2E34AD61" w14:textId="77777777" w:rsidR="000A641D" w:rsidRPr="000F27B6" w:rsidRDefault="000A641D" w:rsidP="008165D7">
            <w:pPr>
              <w:rPr>
                <w:rFonts w:asciiTheme="minorHAnsi" w:hAnsiTheme="minorHAnsi"/>
                <w:b/>
                <w:sz w:val="24"/>
                <w:szCs w:val="24"/>
              </w:rPr>
            </w:pPr>
            <w:r w:rsidRPr="000F27B6">
              <w:rPr>
                <w:rFonts w:asciiTheme="minorHAnsi" w:hAnsiTheme="minorHAnsi"/>
                <w:b/>
                <w:sz w:val="24"/>
                <w:szCs w:val="24"/>
              </w:rPr>
              <w:t>Mean age (years) (range)</w:t>
            </w:r>
          </w:p>
          <w:p w14:paraId="35EC314A" w14:textId="77777777" w:rsidR="00D07957" w:rsidRPr="000F27B6" w:rsidRDefault="00D07957" w:rsidP="008165D7">
            <w:pPr>
              <w:rPr>
                <w:rFonts w:asciiTheme="minorHAnsi" w:hAnsiTheme="minorHAnsi"/>
                <w:b/>
                <w:sz w:val="24"/>
                <w:szCs w:val="24"/>
              </w:rPr>
            </w:pPr>
          </w:p>
          <w:p w14:paraId="412BAF90" w14:textId="77777777" w:rsidR="00D07957" w:rsidRPr="000F27B6" w:rsidRDefault="00D07957" w:rsidP="008165D7">
            <w:pPr>
              <w:rPr>
                <w:rFonts w:asciiTheme="minorHAnsi" w:hAnsiTheme="minorHAnsi"/>
                <w:b/>
                <w:sz w:val="24"/>
                <w:szCs w:val="24"/>
              </w:rPr>
            </w:pPr>
          </w:p>
          <w:p w14:paraId="43FAEC52" w14:textId="77777777" w:rsidR="000A641D" w:rsidRPr="000F27B6" w:rsidRDefault="000A641D" w:rsidP="008165D7">
            <w:pPr>
              <w:rPr>
                <w:rFonts w:asciiTheme="minorHAnsi" w:hAnsiTheme="minorHAnsi"/>
                <w:b/>
                <w:sz w:val="24"/>
                <w:szCs w:val="24"/>
              </w:rPr>
            </w:pPr>
          </w:p>
        </w:tc>
        <w:tc>
          <w:tcPr>
            <w:tcW w:w="3113" w:type="dxa"/>
          </w:tcPr>
          <w:p w14:paraId="0C48EACC" w14:textId="77777777" w:rsidR="000A641D" w:rsidRPr="000F27B6" w:rsidRDefault="000A641D" w:rsidP="008165D7">
            <w:pPr>
              <w:rPr>
                <w:rFonts w:asciiTheme="minorHAnsi" w:hAnsiTheme="minorHAnsi"/>
                <w:sz w:val="24"/>
                <w:szCs w:val="24"/>
              </w:rPr>
            </w:pPr>
            <w:r w:rsidRPr="000F27B6">
              <w:rPr>
                <w:rFonts w:asciiTheme="minorHAnsi" w:hAnsiTheme="minorHAnsi"/>
                <w:sz w:val="24"/>
                <w:szCs w:val="24"/>
              </w:rPr>
              <w:t>33</w:t>
            </w:r>
            <w:r w:rsidRPr="000F27B6">
              <w:rPr>
                <w:rFonts w:asciiTheme="minorHAnsi" w:hAnsiTheme="minorHAnsi" w:cs="Arial"/>
                <w:sz w:val="24"/>
                <w:szCs w:val="24"/>
              </w:rPr>
              <w:t>±</w:t>
            </w:r>
            <w:r w:rsidRPr="000F27B6">
              <w:rPr>
                <w:rFonts w:asciiTheme="minorHAnsi" w:hAnsiTheme="minorHAnsi"/>
                <w:sz w:val="24"/>
                <w:szCs w:val="24"/>
              </w:rPr>
              <w:t>14 (8-62)</w:t>
            </w:r>
          </w:p>
          <w:p w14:paraId="646441E3" w14:textId="77777777" w:rsidR="000A641D" w:rsidRPr="000F27B6" w:rsidRDefault="000A641D" w:rsidP="008165D7">
            <w:pPr>
              <w:rPr>
                <w:rFonts w:asciiTheme="minorHAnsi" w:hAnsiTheme="minorHAnsi"/>
                <w:sz w:val="24"/>
                <w:szCs w:val="24"/>
              </w:rPr>
            </w:pPr>
          </w:p>
        </w:tc>
      </w:tr>
      <w:tr w:rsidR="000F27B6" w:rsidRPr="000F27B6" w14:paraId="450309FC" w14:textId="77777777" w:rsidTr="0074007D">
        <w:trPr>
          <w:trHeight w:hRule="exact" w:val="624"/>
        </w:trPr>
        <w:tc>
          <w:tcPr>
            <w:tcW w:w="4649" w:type="dxa"/>
          </w:tcPr>
          <w:p w14:paraId="4B6D0FF5" w14:textId="77777777" w:rsidR="000A641D" w:rsidRPr="000F27B6" w:rsidRDefault="000A641D" w:rsidP="008165D7">
            <w:pPr>
              <w:rPr>
                <w:rFonts w:asciiTheme="minorHAnsi" w:hAnsiTheme="minorHAnsi"/>
                <w:b/>
                <w:sz w:val="24"/>
                <w:szCs w:val="24"/>
              </w:rPr>
            </w:pPr>
            <w:r w:rsidRPr="000F27B6">
              <w:rPr>
                <w:rFonts w:asciiTheme="minorHAnsi" w:hAnsiTheme="minorHAnsi"/>
                <w:b/>
                <w:sz w:val="24"/>
                <w:szCs w:val="24"/>
              </w:rPr>
              <w:t xml:space="preserve">Age </w:t>
            </w:r>
            <w:r w:rsidRPr="000F27B6">
              <w:rPr>
                <w:rFonts w:asciiTheme="minorHAnsi" w:hAnsiTheme="minorHAnsi" w:cs="Arial"/>
                <w:b/>
                <w:sz w:val="24"/>
                <w:szCs w:val="24"/>
              </w:rPr>
              <w:t>≤</w:t>
            </w:r>
            <w:r w:rsidRPr="000F27B6">
              <w:rPr>
                <w:rFonts w:asciiTheme="minorHAnsi" w:hAnsiTheme="minorHAnsi"/>
                <w:b/>
                <w:sz w:val="24"/>
                <w:szCs w:val="24"/>
              </w:rPr>
              <w:t xml:space="preserve"> 35 years n</w:t>
            </w:r>
            <w:r w:rsidR="00C53CC5" w:rsidRPr="000F27B6">
              <w:rPr>
                <w:rFonts w:asciiTheme="minorHAnsi" w:hAnsiTheme="minorHAnsi"/>
                <w:b/>
                <w:sz w:val="24"/>
                <w:szCs w:val="24"/>
              </w:rPr>
              <w:t xml:space="preserve"> </w:t>
            </w:r>
            <w:r w:rsidRPr="000F27B6">
              <w:rPr>
                <w:rFonts w:asciiTheme="minorHAnsi" w:hAnsiTheme="minorHAnsi"/>
                <w:b/>
                <w:sz w:val="24"/>
                <w:szCs w:val="24"/>
              </w:rPr>
              <w:t>(%)</w:t>
            </w:r>
          </w:p>
        </w:tc>
        <w:tc>
          <w:tcPr>
            <w:tcW w:w="3113" w:type="dxa"/>
          </w:tcPr>
          <w:p w14:paraId="320A0232" w14:textId="77777777" w:rsidR="000A641D" w:rsidRPr="000F27B6" w:rsidRDefault="000A641D" w:rsidP="008165D7">
            <w:pPr>
              <w:rPr>
                <w:rFonts w:asciiTheme="minorHAnsi" w:hAnsiTheme="minorHAnsi"/>
                <w:sz w:val="24"/>
                <w:szCs w:val="24"/>
              </w:rPr>
            </w:pPr>
            <w:r w:rsidRPr="000F27B6">
              <w:rPr>
                <w:rFonts w:asciiTheme="minorHAnsi" w:hAnsiTheme="minorHAnsi"/>
                <w:sz w:val="24"/>
                <w:szCs w:val="24"/>
              </w:rPr>
              <w:t>29 (63)</w:t>
            </w:r>
          </w:p>
        </w:tc>
      </w:tr>
      <w:tr w:rsidR="000F27B6" w:rsidRPr="000F27B6" w14:paraId="477A6408" w14:textId="77777777" w:rsidTr="0074007D">
        <w:trPr>
          <w:trHeight w:hRule="exact" w:val="624"/>
        </w:trPr>
        <w:tc>
          <w:tcPr>
            <w:tcW w:w="4649" w:type="dxa"/>
          </w:tcPr>
          <w:p w14:paraId="20A2EFE0" w14:textId="77777777" w:rsidR="000A641D" w:rsidRPr="000F27B6" w:rsidRDefault="000A641D" w:rsidP="008165D7">
            <w:pPr>
              <w:rPr>
                <w:rFonts w:asciiTheme="minorHAnsi" w:hAnsiTheme="minorHAnsi"/>
                <w:b/>
                <w:sz w:val="24"/>
                <w:szCs w:val="24"/>
              </w:rPr>
            </w:pPr>
            <w:r w:rsidRPr="000F27B6">
              <w:rPr>
                <w:rFonts w:asciiTheme="minorHAnsi" w:hAnsiTheme="minorHAnsi"/>
                <w:b/>
                <w:sz w:val="24"/>
                <w:szCs w:val="24"/>
              </w:rPr>
              <w:t>Male gender n</w:t>
            </w:r>
            <w:r w:rsidR="00C53CC5" w:rsidRPr="000F27B6">
              <w:rPr>
                <w:rFonts w:asciiTheme="minorHAnsi" w:hAnsiTheme="minorHAnsi"/>
                <w:b/>
                <w:sz w:val="24"/>
                <w:szCs w:val="24"/>
              </w:rPr>
              <w:t xml:space="preserve"> </w:t>
            </w:r>
            <w:r w:rsidRPr="000F27B6">
              <w:rPr>
                <w:rFonts w:asciiTheme="minorHAnsi" w:hAnsiTheme="minorHAnsi"/>
                <w:b/>
                <w:sz w:val="24"/>
                <w:szCs w:val="24"/>
              </w:rPr>
              <w:t>(%)</w:t>
            </w:r>
          </w:p>
          <w:p w14:paraId="25D92A5C" w14:textId="77777777" w:rsidR="000A641D" w:rsidRPr="000F27B6" w:rsidRDefault="000A641D" w:rsidP="008165D7">
            <w:pPr>
              <w:rPr>
                <w:rFonts w:asciiTheme="minorHAnsi" w:hAnsiTheme="minorHAnsi"/>
                <w:b/>
                <w:sz w:val="24"/>
                <w:szCs w:val="24"/>
              </w:rPr>
            </w:pPr>
          </w:p>
        </w:tc>
        <w:tc>
          <w:tcPr>
            <w:tcW w:w="3113" w:type="dxa"/>
          </w:tcPr>
          <w:p w14:paraId="173AD7ED" w14:textId="77777777" w:rsidR="000A641D" w:rsidRPr="000F27B6" w:rsidRDefault="000A641D" w:rsidP="008165D7">
            <w:pPr>
              <w:rPr>
                <w:rFonts w:asciiTheme="minorHAnsi" w:hAnsiTheme="minorHAnsi"/>
                <w:sz w:val="24"/>
                <w:szCs w:val="24"/>
              </w:rPr>
            </w:pPr>
            <w:r w:rsidRPr="000F27B6">
              <w:rPr>
                <w:rFonts w:asciiTheme="minorHAnsi" w:hAnsiTheme="minorHAnsi"/>
                <w:sz w:val="24"/>
                <w:szCs w:val="24"/>
              </w:rPr>
              <w:t>40 (87)</w:t>
            </w:r>
          </w:p>
        </w:tc>
      </w:tr>
      <w:tr w:rsidR="00C26CD1" w:rsidRPr="000F27B6" w14:paraId="054A4263" w14:textId="77777777" w:rsidTr="009C6ECC">
        <w:trPr>
          <w:trHeight w:hRule="exact" w:val="1031"/>
        </w:trPr>
        <w:tc>
          <w:tcPr>
            <w:tcW w:w="4649" w:type="dxa"/>
          </w:tcPr>
          <w:p w14:paraId="3EA2C121" w14:textId="77777777" w:rsidR="00C26CD1" w:rsidRDefault="00C26CD1" w:rsidP="008165D7">
            <w:pPr>
              <w:rPr>
                <w:rFonts w:asciiTheme="minorHAnsi" w:hAnsiTheme="minorHAnsi"/>
                <w:b/>
                <w:sz w:val="24"/>
                <w:szCs w:val="24"/>
              </w:rPr>
            </w:pPr>
            <w:r>
              <w:rPr>
                <w:rFonts w:asciiTheme="minorHAnsi" w:hAnsiTheme="minorHAnsi"/>
                <w:b/>
                <w:sz w:val="24"/>
                <w:szCs w:val="24"/>
              </w:rPr>
              <w:t>BMI</w:t>
            </w:r>
          </w:p>
          <w:p w14:paraId="28A9A53F" w14:textId="2C506035" w:rsidR="00626C81" w:rsidRPr="000F27B6" w:rsidRDefault="00626C81" w:rsidP="008165D7">
            <w:pPr>
              <w:rPr>
                <w:rFonts w:asciiTheme="minorHAnsi" w:hAnsiTheme="minorHAnsi"/>
                <w:b/>
                <w:sz w:val="24"/>
                <w:szCs w:val="24"/>
              </w:rPr>
            </w:pPr>
            <w:r>
              <w:rPr>
                <w:rFonts w:asciiTheme="minorHAnsi" w:hAnsiTheme="minorHAnsi"/>
                <w:b/>
                <w:sz w:val="24"/>
                <w:szCs w:val="24"/>
              </w:rPr>
              <w:t xml:space="preserve">BMI </w:t>
            </w:r>
            <w:r>
              <w:rPr>
                <w:rFonts w:asciiTheme="minorHAnsi" w:hAnsiTheme="minorHAnsi" w:cstheme="minorHAnsi"/>
                <w:b/>
                <w:sz w:val="24"/>
                <w:szCs w:val="24"/>
              </w:rPr>
              <w:t>≥</w:t>
            </w:r>
            <w:r>
              <w:rPr>
                <w:rFonts w:asciiTheme="minorHAnsi" w:hAnsiTheme="minorHAnsi"/>
                <w:b/>
                <w:sz w:val="24"/>
                <w:szCs w:val="24"/>
              </w:rPr>
              <w:t xml:space="preserve"> 30 </w:t>
            </w:r>
            <w:r w:rsidRPr="000F27B6">
              <w:rPr>
                <w:rFonts w:asciiTheme="minorHAnsi" w:hAnsiTheme="minorHAnsi"/>
                <w:b/>
                <w:sz w:val="24"/>
                <w:szCs w:val="24"/>
                <w:lang w:val="en-US"/>
              </w:rPr>
              <w:t>n (%)</w:t>
            </w:r>
          </w:p>
        </w:tc>
        <w:tc>
          <w:tcPr>
            <w:tcW w:w="3113" w:type="dxa"/>
          </w:tcPr>
          <w:p w14:paraId="72F740C5" w14:textId="77777777" w:rsidR="00C26CD1" w:rsidRDefault="00C26CD1" w:rsidP="008165D7">
            <w:pPr>
              <w:rPr>
                <w:rFonts w:asciiTheme="minorHAnsi" w:hAnsiTheme="minorHAnsi" w:cs="Arial"/>
                <w:sz w:val="24"/>
                <w:szCs w:val="24"/>
              </w:rPr>
            </w:pPr>
            <w:bookmarkStart w:id="13" w:name="_Hlk16067220"/>
            <w:r>
              <w:rPr>
                <w:rFonts w:asciiTheme="minorHAnsi" w:hAnsiTheme="minorHAnsi"/>
                <w:sz w:val="24"/>
                <w:szCs w:val="24"/>
              </w:rPr>
              <w:t>27</w:t>
            </w:r>
            <w:r w:rsidRPr="000F27B6">
              <w:rPr>
                <w:rFonts w:asciiTheme="minorHAnsi" w:hAnsiTheme="minorHAnsi" w:cs="Arial"/>
                <w:sz w:val="24"/>
                <w:szCs w:val="24"/>
              </w:rPr>
              <w:t>±</w:t>
            </w:r>
            <w:r>
              <w:rPr>
                <w:rFonts w:asciiTheme="minorHAnsi" w:hAnsiTheme="minorHAnsi" w:cs="Arial"/>
                <w:sz w:val="24"/>
                <w:szCs w:val="24"/>
              </w:rPr>
              <w:t>5</w:t>
            </w:r>
            <w:bookmarkEnd w:id="13"/>
          </w:p>
          <w:p w14:paraId="0F3527F3" w14:textId="15052FA4" w:rsidR="00626C81" w:rsidRPr="000F27B6" w:rsidRDefault="00962DEF" w:rsidP="008165D7">
            <w:pPr>
              <w:rPr>
                <w:rFonts w:asciiTheme="minorHAnsi" w:hAnsiTheme="minorHAnsi"/>
                <w:sz w:val="24"/>
                <w:szCs w:val="24"/>
              </w:rPr>
            </w:pPr>
            <w:r>
              <w:rPr>
                <w:rFonts w:asciiTheme="minorHAnsi" w:hAnsiTheme="minorHAnsi" w:cs="Arial"/>
                <w:sz w:val="24"/>
                <w:szCs w:val="24"/>
              </w:rPr>
              <w:t>2</w:t>
            </w:r>
            <w:r w:rsidR="00626C81">
              <w:rPr>
                <w:rFonts w:asciiTheme="minorHAnsi" w:hAnsiTheme="minorHAnsi" w:cs="Arial"/>
                <w:sz w:val="24"/>
                <w:szCs w:val="24"/>
              </w:rPr>
              <w:t xml:space="preserve"> (</w:t>
            </w:r>
            <w:r>
              <w:rPr>
                <w:rFonts w:asciiTheme="minorHAnsi" w:hAnsiTheme="minorHAnsi" w:cs="Arial"/>
                <w:sz w:val="24"/>
                <w:szCs w:val="24"/>
              </w:rPr>
              <w:t>4</w:t>
            </w:r>
            <w:r w:rsidR="00626C81">
              <w:rPr>
                <w:rFonts w:asciiTheme="minorHAnsi" w:hAnsiTheme="minorHAnsi" w:cs="Arial"/>
                <w:sz w:val="24"/>
                <w:szCs w:val="24"/>
              </w:rPr>
              <w:t>)</w:t>
            </w:r>
          </w:p>
        </w:tc>
      </w:tr>
      <w:tr w:rsidR="00C26CD1" w:rsidRPr="000F27B6" w14:paraId="42193CF8" w14:textId="77777777" w:rsidTr="0074007D">
        <w:trPr>
          <w:trHeight w:hRule="exact" w:val="624"/>
        </w:trPr>
        <w:tc>
          <w:tcPr>
            <w:tcW w:w="4649" w:type="dxa"/>
          </w:tcPr>
          <w:p w14:paraId="143B470E" w14:textId="41F1D0B2" w:rsidR="00C26CD1" w:rsidRDefault="00C26CD1" w:rsidP="008165D7">
            <w:pPr>
              <w:rPr>
                <w:rFonts w:asciiTheme="minorHAnsi" w:hAnsiTheme="minorHAnsi"/>
                <w:b/>
                <w:sz w:val="24"/>
                <w:szCs w:val="24"/>
              </w:rPr>
            </w:pPr>
            <w:r>
              <w:rPr>
                <w:rFonts w:asciiTheme="minorHAnsi" w:hAnsiTheme="minorHAnsi"/>
                <w:b/>
                <w:sz w:val="24"/>
                <w:szCs w:val="24"/>
              </w:rPr>
              <w:t>Height (cm)</w:t>
            </w:r>
          </w:p>
        </w:tc>
        <w:tc>
          <w:tcPr>
            <w:tcW w:w="3113" w:type="dxa"/>
          </w:tcPr>
          <w:p w14:paraId="4121A08E" w14:textId="0D7D2EE3" w:rsidR="00C26CD1" w:rsidRDefault="00C26CD1" w:rsidP="008165D7">
            <w:pPr>
              <w:rPr>
                <w:rFonts w:asciiTheme="minorHAnsi" w:hAnsiTheme="minorHAnsi"/>
                <w:sz w:val="24"/>
                <w:szCs w:val="24"/>
              </w:rPr>
            </w:pPr>
            <w:bookmarkStart w:id="14" w:name="_Hlk16067255"/>
            <w:r>
              <w:rPr>
                <w:rFonts w:asciiTheme="minorHAnsi" w:hAnsiTheme="minorHAnsi"/>
                <w:sz w:val="24"/>
                <w:szCs w:val="24"/>
              </w:rPr>
              <w:t>177</w:t>
            </w:r>
            <w:r w:rsidRPr="000F27B6">
              <w:rPr>
                <w:rFonts w:asciiTheme="minorHAnsi" w:hAnsiTheme="minorHAnsi" w:cs="Arial"/>
                <w:sz w:val="24"/>
                <w:szCs w:val="24"/>
              </w:rPr>
              <w:t>±</w:t>
            </w:r>
            <w:r>
              <w:rPr>
                <w:rFonts w:asciiTheme="minorHAnsi" w:hAnsiTheme="minorHAnsi" w:cs="Arial"/>
                <w:sz w:val="24"/>
                <w:szCs w:val="24"/>
              </w:rPr>
              <w:t>15</w:t>
            </w:r>
            <w:bookmarkEnd w:id="14"/>
          </w:p>
        </w:tc>
      </w:tr>
      <w:tr w:rsidR="000F27B6" w:rsidRPr="000F27B6" w14:paraId="1434B490" w14:textId="77777777" w:rsidTr="007B6F58">
        <w:trPr>
          <w:trHeight w:hRule="exact" w:val="2010"/>
        </w:trPr>
        <w:tc>
          <w:tcPr>
            <w:tcW w:w="4649" w:type="dxa"/>
          </w:tcPr>
          <w:p w14:paraId="3D5C64F1" w14:textId="77777777" w:rsidR="00D07957" w:rsidRPr="000F27B6" w:rsidRDefault="000A641D" w:rsidP="007B6F58">
            <w:pPr>
              <w:spacing w:line="240" w:lineRule="auto"/>
              <w:rPr>
                <w:rFonts w:asciiTheme="minorHAnsi" w:hAnsiTheme="minorHAnsi"/>
                <w:b/>
                <w:i/>
                <w:sz w:val="24"/>
                <w:szCs w:val="24"/>
              </w:rPr>
            </w:pPr>
            <w:r w:rsidRPr="000F27B6">
              <w:rPr>
                <w:rFonts w:asciiTheme="minorHAnsi" w:hAnsiTheme="minorHAnsi"/>
                <w:b/>
                <w:i/>
                <w:sz w:val="24"/>
                <w:szCs w:val="24"/>
              </w:rPr>
              <w:t xml:space="preserve">Ethnicity: </w:t>
            </w:r>
          </w:p>
          <w:p w14:paraId="1C9949D2" w14:textId="77777777" w:rsidR="000A641D" w:rsidRPr="000F27B6" w:rsidRDefault="000A641D" w:rsidP="007B6F58">
            <w:pPr>
              <w:spacing w:line="240" w:lineRule="auto"/>
              <w:rPr>
                <w:rFonts w:asciiTheme="minorHAnsi" w:hAnsiTheme="minorHAnsi"/>
                <w:b/>
                <w:sz w:val="24"/>
                <w:szCs w:val="24"/>
                <w:lang w:val="en-US"/>
              </w:rPr>
            </w:pPr>
            <w:r w:rsidRPr="000F27B6">
              <w:rPr>
                <w:rFonts w:asciiTheme="minorHAnsi" w:hAnsiTheme="minorHAnsi"/>
                <w:b/>
                <w:sz w:val="24"/>
                <w:szCs w:val="24"/>
                <w:lang w:val="en-US"/>
              </w:rPr>
              <w:t>Caucasian n</w:t>
            </w:r>
            <w:r w:rsidR="00C53CC5" w:rsidRPr="000F27B6">
              <w:rPr>
                <w:rFonts w:asciiTheme="minorHAnsi" w:hAnsiTheme="minorHAnsi"/>
                <w:b/>
                <w:sz w:val="24"/>
                <w:szCs w:val="24"/>
                <w:lang w:val="en-US"/>
              </w:rPr>
              <w:t xml:space="preserve"> </w:t>
            </w:r>
            <w:r w:rsidRPr="000F27B6">
              <w:rPr>
                <w:rFonts w:asciiTheme="minorHAnsi" w:hAnsiTheme="minorHAnsi"/>
                <w:b/>
                <w:sz w:val="24"/>
                <w:szCs w:val="24"/>
                <w:lang w:val="en-US"/>
              </w:rPr>
              <w:t>(%)</w:t>
            </w:r>
          </w:p>
          <w:p w14:paraId="3FB1AFB7" w14:textId="77777777" w:rsidR="000A641D" w:rsidRPr="000F27B6" w:rsidRDefault="000A641D" w:rsidP="007B6F58">
            <w:pPr>
              <w:spacing w:line="240" w:lineRule="auto"/>
              <w:rPr>
                <w:rFonts w:asciiTheme="minorHAnsi" w:hAnsiTheme="minorHAnsi"/>
                <w:b/>
                <w:sz w:val="24"/>
                <w:szCs w:val="24"/>
              </w:rPr>
            </w:pPr>
            <w:r w:rsidRPr="000F27B6">
              <w:rPr>
                <w:rFonts w:asciiTheme="minorHAnsi" w:hAnsiTheme="minorHAnsi"/>
                <w:b/>
                <w:sz w:val="24"/>
                <w:szCs w:val="24"/>
              </w:rPr>
              <w:t>Afro-Caribbean n</w:t>
            </w:r>
            <w:r w:rsidR="00C53CC5" w:rsidRPr="000F27B6">
              <w:rPr>
                <w:rFonts w:asciiTheme="minorHAnsi" w:hAnsiTheme="minorHAnsi"/>
                <w:b/>
                <w:sz w:val="24"/>
                <w:szCs w:val="24"/>
              </w:rPr>
              <w:t xml:space="preserve"> </w:t>
            </w:r>
            <w:r w:rsidRPr="000F27B6">
              <w:rPr>
                <w:rFonts w:asciiTheme="minorHAnsi" w:hAnsiTheme="minorHAnsi"/>
                <w:b/>
                <w:sz w:val="24"/>
                <w:szCs w:val="24"/>
              </w:rPr>
              <w:t>(%)</w:t>
            </w:r>
          </w:p>
          <w:p w14:paraId="1EAEE2B0" w14:textId="77777777" w:rsidR="000A641D" w:rsidRPr="000F27B6" w:rsidRDefault="000A641D" w:rsidP="007B6F58">
            <w:pPr>
              <w:spacing w:line="240" w:lineRule="auto"/>
              <w:rPr>
                <w:rFonts w:asciiTheme="minorHAnsi" w:hAnsiTheme="minorHAnsi"/>
                <w:b/>
                <w:sz w:val="24"/>
                <w:szCs w:val="24"/>
              </w:rPr>
            </w:pPr>
            <w:r w:rsidRPr="000F27B6">
              <w:rPr>
                <w:rFonts w:asciiTheme="minorHAnsi" w:hAnsiTheme="minorHAnsi"/>
                <w:b/>
                <w:sz w:val="24"/>
                <w:szCs w:val="24"/>
              </w:rPr>
              <w:t>Asian n</w:t>
            </w:r>
            <w:r w:rsidR="00C53CC5" w:rsidRPr="000F27B6">
              <w:rPr>
                <w:rFonts w:asciiTheme="minorHAnsi" w:hAnsiTheme="minorHAnsi"/>
                <w:b/>
                <w:sz w:val="24"/>
                <w:szCs w:val="24"/>
              </w:rPr>
              <w:t xml:space="preserve"> </w:t>
            </w:r>
            <w:r w:rsidRPr="000F27B6">
              <w:rPr>
                <w:rFonts w:asciiTheme="minorHAnsi" w:hAnsiTheme="minorHAnsi"/>
                <w:b/>
                <w:sz w:val="24"/>
                <w:szCs w:val="24"/>
              </w:rPr>
              <w:t>(%)</w:t>
            </w:r>
          </w:p>
          <w:p w14:paraId="363B404C" w14:textId="77777777" w:rsidR="000A641D" w:rsidRPr="000F27B6" w:rsidRDefault="000A641D" w:rsidP="007B6F58">
            <w:pPr>
              <w:spacing w:line="240" w:lineRule="auto"/>
              <w:rPr>
                <w:rFonts w:asciiTheme="minorHAnsi" w:hAnsiTheme="minorHAnsi"/>
                <w:b/>
                <w:sz w:val="24"/>
                <w:szCs w:val="24"/>
              </w:rPr>
            </w:pPr>
          </w:p>
        </w:tc>
        <w:tc>
          <w:tcPr>
            <w:tcW w:w="3113" w:type="dxa"/>
          </w:tcPr>
          <w:p w14:paraId="1A1E6C98" w14:textId="77777777" w:rsidR="000A641D" w:rsidRPr="000F27B6" w:rsidRDefault="000A641D" w:rsidP="007B6F58">
            <w:pPr>
              <w:spacing w:line="240" w:lineRule="auto"/>
              <w:rPr>
                <w:rFonts w:asciiTheme="minorHAnsi" w:hAnsiTheme="minorHAnsi"/>
                <w:sz w:val="24"/>
                <w:szCs w:val="24"/>
              </w:rPr>
            </w:pPr>
          </w:p>
          <w:p w14:paraId="1C38B38D" w14:textId="77777777" w:rsidR="000A641D" w:rsidRPr="000F27B6" w:rsidRDefault="000A641D" w:rsidP="007B6F58">
            <w:pPr>
              <w:spacing w:line="240" w:lineRule="auto"/>
              <w:rPr>
                <w:rFonts w:asciiTheme="minorHAnsi" w:hAnsiTheme="minorHAnsi"/>
                <w:sz w:val="24"/>
                <w:szCs w:val="24"/>
              </w:rPr>
            </w:pPr>
            <w:r w:rsidRPr="000F27B6">
              <w:rPr>
                <w:rFonts w:asciiTheme="minorHAnsi" w:hAnsiTheme="minorHAnsi"/>
                <w:sz w:val="24"/>
                <w:szCs w:val="24"/>
              </w:rPr>
              <w:t>43 (93)</w:t>
            </w:r>
          </w:p>
          <w:p w14:paraId="464CE1C4" w14:textId="77777777" w:rsidR="000A641D" w:rsidRPr="000F27B6" w:rsidRDefault="000A641D" w:rsidP="007B6F58">
            <w:pPr>
              <w:spacing w:line="240" w:lineRule="auto"/>
              <w:rPr>
                <w:rFonts w:asciiTheme="minorHAnsi" w:hAnsiTheme="minorHAnsi"/>
                <w:sz w:val="24"/>
                <w:szCs w:val="24"/>
              </w:rPr>
            </w:pPr>
            <w:r w:rsidRPr="000F27B6">
              <w:rPr>
                <w:rFonts w:asciiTheme="minorHAnsi" w:hAnsiTheme="minorHAnsi"/>
                <w:sz w:val="24"/>
                <w:szCs w:val="24"/>
              </w:rPr>
              <w:t>2 (4)</w:t>
            </w:r>
          </w:p>
          <w:p w14:paraId="0E7E093A" w14:textId="77777777" w:rsidR="000A641D" w:rsidRPr="000F27B6" w:rsidRDefault="000A641D" w:rsidP="007B6F58">
            <w:pPr>
              <w:spacing w:line="240" w:lineRule="auto"/>
              <w:rPr>
                <w:rFonts w:asciiTheme="minorHAnsi" w:hAnsiTheme="minorHAnsi"/>
                <w:sz w:val="24"/>
                <w:szCs w:val="24"/>
              </w:rPr>
            </w:pPr>
            <w:r w:rsidRPr="000F27B6">
              <w:rPr>
                <w:rFonts w:asciiTheme="minorHAnsi" w:hAnsiTheme="minorHAnsi"/>
                <w:sz w:val="24"/>
                <w:szCs w:val="24"/>
              </w:rPr>
              <w:t>1 (2)</w:t>
            </w:r>
          </w:p>
        </w:tc>
      </w:tr>
      <w:tr w:rsidR="000F27B6" w:rsidRPr="000F27B6" w14:paraId="64C8D53C" w14:textId="77777777" w:rsidTr="007B6F58">
        <w:trPr>
          <w:trHeight w:hRule="exact" w:val="1982"/>
        </w:trPr>
        <w:tc>
          <w:tcPr>
            <w:tcW w:w="4649" w:type="dxa"/>
          </w:tcPr>
          <w:p w14:paraId="44FFBE85" w14:textId="77777777" w:rsidR="000A641D" w:rsidRPr="000F27B6" w:rsidRDefault="000A641D" w:rsidP="007B6F58">
            <w:pPr>
              <w:spacing w:line="240" w:lineRule="auto"/>
              <w:rPr>
                <w:rFonts w:asciiTheme="minorHAnsi" w:hAnsiTheme="minorHAnsi"/>
                <w:b/>
                <w:i/>
                <w:sz w:val="24"/>
                <w:szCs w:val="24"/>
              </w:rPr>
            </w:pPr>
            <w:r w:rsidRPr="000F27B6">
              <w:rPr>
                <w:rFonts w:asciiTheme="minorHAnsi" w:hAnsiTheme="minorHAnsi"/>
                <w:b/>
                <w:i/>
                <w:sz w:val="24"/>
                <w:szCs w:val="24"/>
              </w:rPr>
              <w:t>Mode of death:</w:t>
            </w:r>
          </w:p>
          <w:p w14:paraId="223CD5BA" w14:textId="77777777" w:rsidR="000A641D" w:rsidRPr="000F27B6" w:rsidRDefault="000A641D" w:rsidP="007B6F58">
            <w:pPr>
              <w:spacing w:line="240" w:lineRule="auto"/>
              <w:rPr>
                <w:rFonts w:asciiTheme="minorHAnsi" w:hAnsiTheme="minorHAnsi"/>
                <w:b/>
                <w:sz w:val="24"/>
                <w:szCs w:val="24"/>
                <w:lang w:val="en-US"/>
              </w:rPr>
            </w:pPr>
            <w:r w:rsidRPr="000F27B6">
              <w:rPr>
                <w:rFonts w:asciiTheme="minorHAnsi" w:hAnsiTheme="minorHAnsi"/>
                <w:b/>
                <w:sz w:val="24"/>
                <w:szCs w:val="24"/>
                <w:lang w:val="en-US"/>
              </w:rPr>
              <w:t>Asleep n</w:t>
            </w:r>
            <w:r w:rsidR="00C53CC5" w:rsidRPr="000F27B6">
              <w:rPr>
                <w:rFonts w:asciiTheme="minorHAnsi" w:hAnsiTheme="minorHAnsi"/>
                <w:b/>
                <w:sz w:val="24"/>
                <w:szCs w:val="24"/>
                <w:lang w:val="en-US"/>
              </w:rPr>
              <w:t xml:space="preserve"> </w:t>
            </w:r>
            <w:r w:rsidRPr="000F27B6">
              <w:rPr>
                <w:rFonts w:asciiTheme="minorHAnsi" w:hAnsiTheme="minorHAnsi"/>
                <w:b/>
                <w:sz w:val="24"/>
                <w:szCs w:val="24"/>
                <w:lang w:val="en-US"/>
              </w:rPr>
              <w:t xml:space="preserve">(%) </w:t>
            </w:r>
          </w:p>
          <w:p w14:paraId="12DFF925" w14:textId="77777777" w:rsidR="000A641D" w:rsidRPr="000F27B6" w:rsidRDefault="000A641D" w:rsidP="007B6F58">
            <w:pPr>
              <w:spacing w:line="240" w:lineRule="auto"/>
              <w:rPr>
                <w:rFonts w:asciiTheme="minorHAnsi" w:hAnsiTheme="minorHAnsi"/>
                <w:b/>
                <w:sz w:val="24"/>
                <w:szCs w:val="24"/>
                <w:lang w:val="en-US"/>
              </w:rPr>
            </w:pPr>
            <w:r w:rsidRPr="000F27B6">
              <w:rPr>
                <w:rFonts w:asciiTheme="minorHAnsi" w:hAnsiTheme="minorHAnsi"/>
                <w:b/>
                <w:sz w:val="24"/>
                <w:szCs w:val="24"/>
                <w:lang w:val="en-US"/>
              </w:rPr>
              <w:t>Rest n</w:t>
            </w:r>
            <w:r w:rsidR="00C53CC5" w:rsidRPr="000F27B6">
              <w:rPr>
                <w:rFonts w:asciiTheme="minorHAnsi" w:hAnsiTheme="minorHAnsi"/>
                <w:b/>
                <w:sz w:val="24"/>
                <w:szCs w:val="24"/>
                <w:lang w:val="en-US"/>
              </w:rPr>
              <w:t xml:space="preserve"> </w:t>
            </w:r>
            <w:r w:rsidRPr="000F27B6">
              <w:rPr>
                <w:rFonts w:asciiTheme="minorHAnsi" w:hAnsiTheme="minorHAnsi"/>
                <w:b/>
                <w:sz w:val="24"/>
                <w:szCs w:val="24"/>
                <w:lang w:val="en-US"/>
              </w:rPr>
              <w:t>(%)</w:t>
            </w:r>
          </w:p>
          <w:p w14:paraId="3565B93D" w14:textId="77777777" w:rsidR="000A641D" w:rsidRPr="000F27B6" w:rsidRDefault="000A641D" w:rsidP="007B6F58">
            <w:pPr>
              <w:spacing w:line="240" w:lineRule="auto"/>
              <w:rPr>
                <w:rFonts w:asciiTheme="minorHAnsi" w:hAnsiTheme="minorHAnsi"/>
                <w:b/>
                <w:sz w:val="24"/>
                <w:szCs w:val="24"/>
              </w:rPr>
            </w:pPr>
            <w:r w:rsidRPr="000F27B6">
              <w:rPr>
                <w:rFonts w:asciiTheme="minorHAnsi" w:hAnsiTheme="minorHAnsi"/>
                <w:b/>
                <w:sz w:val="24"/>
                <w:szCs w:val="24"/>
              </w:rPr>
              <w:t>Exercise n</w:t>
            </w:r>
            <w:r w:rsidR="00C53CC5" w:rsidRPr="000F27B6">
              <w:rPr>
                <w:rFonts w:asciiTheme="minorHAnsi" w:hAnsiTheme="minorHAnsi"/>
                <w:b/>
                <w:sz w:val="24"/>
                <w:szCs w:val="24"/>
              </w:rPr>
              <w:t xml:space="preserve"> </w:t>
            </w:r>
            <w:r w:rsidRPr="000F27B6">
              <w:rPr>
                <w:rFonts w:asciiTheme="minorHAnsi" w:hAnsiTheme="minorHAnsi"/>
                <w:b/>
                <w:sz w:val="24"/>
                <w:szCs w:val="24"/>
              </w:rPr>
              <w:t>(%)</w:t>
            </w:r>
          </w:p>
          <w:p w14:paraId="1A8026DD" w14:textId="77777777" w:rsidR="000A641D" w:rsidRPr="000F27B6" w:rsidRDefault="000A641D" w:rsidP="007B6F58">
            <w:pPr>
              <w:spacing w:line="240" w:lineRule="auto"/>
              <w:rPr>
                <w:rFonts w:asciiTheme="minorHAnsi" w:hAnsiTheme="minorHAnsi"/>
                <w:b/>
                <w:sz w:val="24"/>
                <w:szCs w:val="24"/>
              </w:rPr>
            </w:pPr>
          </w:p>
        </w:tc>
        <w:tc>
          <w:tcPr>
            <w:tcW w:w="3113" w:type="dxa"/>
          </w:tcPr>
          <w:p w14:paraId="415FAD9F" w14:textId="77777777" w:rsidR="000A641D" w:rsidRPr="000F27B6" w:rsidRDefault="000A641D" w:rsidP="007B6F58">
            <w:pPr>
              <w:spacing w:line="240" w:lineRule="auto"/>
              <w:rPr>
                <w:rFonts w:asciiTheme="minorHAnsi" w:hAnsiTheme="minorHAnsi"/>
                <w:sz w:val="24"/>
                <w:szCs w:val="24"/>
              </w:rPr>
            </w:pPr>
          </w:p>
          <w:p w14:paraId="0E949597" w14:textId="77777777" w:rsidR="000A641D" w:rsidRPr="000F27B6" w:rsidRDefault="000A641D" w:rsidP="007B6F58">
            <w:pPr>
              <w:spacing w:line="240" w:lineRule="auto"/>
              <w:rPr>
                <w:rFonts w:asciiTheme="minorHAnsi" w:hAnsiTheme="minorHAnsi"/>
                <w:sz w:val="24"/>
                <w:szCs w:val="24"/>
              </w:rPr>
            </w:pPr>
            <w:r w:rsidRPr="000F27B6">
              <w:rPr>
                <w:rFonts w:asciiTheme="minorHAnsi" w:hAnsiTheme="minorHAnsi"/>
                <w:sz w:val="24"/>
                <w:szCs w:val="24"/>
              </w:rPr>
              <w:t>6 (13)</w:t>
            </w:r>
          </w:p>
          <w:p w14:paraId="753B79C0" w14:textId="77777777" w:rsidR="000A641D" w:rsidRPr="000F27B6" w:rsidRDefault="000A641D" w:rsidP="007B6F58">
            <w:pPr>
              <w:spacing w:line="240" w:lineRule="auto"/>
              <w:rPr>
                <w:rFonts w:asciiTheme="minorHAnsi" w:hAnsiTheme="minorHAnsi"/>
                <w:sz w:val="24"/>
                <w:szCs w:val="24"/>
              </w:rPr>
            </w:pPr>
            <w:r w:rsidRPr="000F27B6">
              <w:rPr>
                <w:rFonts w:asciiTheme="minorHAnsi" w:hAnsiTheme="minorHAnsi"/>
                <w:sz w:val="24"/>
                <w:szCs w:val="24"/>
              </w:rPr>
              <w:t>24 (52)</w:t>
            </w:r>
          </w:p>
          <w:p w14:paraId="05BAA7ED" w14:textId="77777777" w:rsidR="000A641D" w:rsidRPr="000F27B6" w:rsidRDefault="000A641D" w:rsidP="007B6F58">
            <w:pPr>
              <w:spacing w:line="240" w:lineRule="auto"/>
              <w:rPr>
                <w:rFonts w:asciiTheme="minorHAnsi" w:hAnsiTheme="minorHAnsi"/>
                <w:sz w:val="24"/>
                <w:szCs w:val="24"/>
              </w:rPr>
            </w:pPr>
            <w:r w:rsidRPr="000F27B6">
              <w:rPr>
                <w:rFonts w:asciiTheme="minorHAnsi" w:hAnsiTheme="minorHAnsi"/>
                <w:sz w:val="24"/>
                <w:szCs w:val="24"/>
              </w:rPr>
              <w:t>16 (35)</w:t>
            </w:r>
          </w:p>
        </w:tc>
      </w:tr>
      <w:tr w:rsidR="000F27B6" w:rsidRPr="000F27B6" w14:paraId="1735BC62" w14:textId="77777777" w:rsidTr="0074007D">
        <w:trPr>
          <w:trHeight w:hRule="exact" w:val="624"/>
        </w:trPr>
        <w:tc>
          <w:tcPr>
            <w:tcW w:w="4649" w:type="dxa"/>
          </w:tcPr>
          <w:p w14:paraId="07A94A19" w14:textId="77777777" w:rsidR="000A641D" w:rsidRPr="000F27B6" w:rsidRDefault="000A641D" w:rsidP="008165D7">
            <w:pPr>
              <w:rPr>
                <w:rFonts w:asciiTheme="minorHAnsi" w:hAnsiTheme="minorHAnsi"/>
                <w:b/>
                <w:sz w:val="24"/>
                <w:szCs w:val="24"/>
              </w:rPr>
            </w:pPr>
            <w:r w:rsidRPr="000F27B6">
              <w:rPr>
                <w:rFonts w:asciiTheme="minorHAnsi" w:hAnsiTheme="minorHAnsi"/>
                <w:b/>
                <w:sz w:val="24"/>
                <w:szCs w:val="24"/>
              </w:rPr>
              <w:t>Competitive athlete n</w:t>
            </w:r>
            <w:r w:rsidR="00C53CC5" w:rsidRPr="000F27B6">
              <w:rPr>
                <w:rFonts w:asciiTheme="minorHAnsi" w:hAnsiTheme="minorHAnsi"/>
                <w:b/>
                <w:sz w:val="24"/>
                <w:szCs w:val="24"/>
              </w:rPr>
              <w:t xml:space="preserve"> </w:t>
            </w:r>
            <w:r w:rsidRPr="000F27B6">
              <w:rPr>
                <w:rFonts w:asciiTheme="minorHAnsi" w:hAnsiTheme="minorHAnsi"/>
                <w:b/>
                <w:sz w:val="24"/>
                <w:szCs w:val="24"/>
              </w:rPr>
              <w:t>(%)</w:t>
            </w:r>
          </w:p>
        </w:tc>
        <w:tc>
          <w:tcPr>
            <w:tcW w:w="3113" w:type="dxa"/>
          </w:tcPr>
          <w:p w14:paraId="048C58C2" w14:textId="77777777" w:rsidR="000A641D" w:rsidRPr="000F27B6" w:rsidRDefault="000A641D" w:rsidP="008165D7">
            <w:pPr>
              <w:rPr>
                <w:rFonts w:asciiTheme="minorHAnsi" w:hAnsiTheme="minorHAnsi"/>
                <w:sz w:val="24"/>
                <w:szCs w:val="24"/>
              </w:rPr>
            </w:pPr>
            <w:r w:rsidRPr="000F27B6">
              <w:rPr>
                <w:rFonts w:asciiTheme="minorHAnsi" w:hAnsiTheme="minorHAnsi"/>
                <w:sz w:val="24"/>
                <w:szCs w:val="24"/>
              </w:rPr>
              <w:t>14 (30)</w:t>
            </w:r>
          </w:p>
        </w:tc>
      </w:tr>
      <w:tr w:rsidR="000F27B6" w:rsidRPr="000F27B6" w14:paraId="0179FD1D" w14:textId="3C307B17" w:rsidTr="0074007D">
        <w:trPr>
          <w:trHeight w:hRule="exact" w:val="624"/>
        </w:trPr>
        <w:tc>
          <w:tcPr>
            <w:tcW w:w="4649" w:type="dxa"/>
          </w:tcPr>
          <w:p w14:paraId="0388AE08" w14:textId="5F78A3A3" w:rsidR="000A641D" w:rsidRPr="000F27B6" w:rsidRDefault="000A641D" w:rsidP="008165D7">
            <w:pPr>
              <w:rPr>
                <w:rFonts w:asciiTheme="minorHAnsi" w:hAnsiTheme="minorHAnsi"/>
                <w:b/>
                <w:sz w:val="24"/>
                <w:szCs w:val="24"/>
              </w:rPr>
            </w:pPr>
            <w:r w:rsidRPr="000F27B6">
              <w:rPr>
                <w:rFonts w:asciiTheme="minorHAnsi" w:hAnsiTheme="minorHAnsi"/>
                <w:b/>
                <w:sz w:val="24"/>
                <w:szCs w:val="24"/>
              </w:rPr>
              <w:t>Heart weight (g)</w:t>
            </w:r>
          </w:p>
        </w:tc>
        <w:tc>
          <w:tcPr>
            <w:tcW w:w="3113" w:type="dxa"/>
          </w:tcPr>
          <w:p w14:paraId="2D8925C0" w14:textId="73B9DBC1" w:rsidR="000A641D" w:rsidRPr="000F27B6" w:rsidRDefault="000A641D" w:rsidP="008165D7">
            <w:pPr>
              <w:rPr>
                <w:rFonts w:asciiTheme="minorHAnsi" w:hAnsiTheme="minorHAnsi"/>
                <w:sz w:val="24"/>
                <w:szCs w:val="24"/>
              </w:rPr>
            </w:pPr>
            <w:r w:rsidRPr="000F27B6">
              <w:rPr>
                <w:rFonts w:asciiTheme="minorHAnsi" w:hAnsiTheme="minorHAnsi"/>
                <w:sz w:val="24"/>
                <w:szCs w:val="24"/>
              </w:rPr>
              <w:t>544</w:t>
            </w:r>
            <w:r w:rsidRPr="000F27B6">
              <w:rPr>
                <w:rFonts w:asciiTheme="minorHAnsi" w:hAnsiTheme="minorHAnsi" w:cs="Arial"/>
                <w:sz w:val="24"/>
                <w:szCs w:val="24"/>
              </w:rPr>
              <w:t>±93</w:t>
            </w:r>
          </w:p>
        </w:tc>
      </w:tr>
      <w:tr w:rsidR="000A641D" w:rsidRPr="000F27B6" w14:paraId="21791D4C" w14:textId="41AA3DCD" w:rsidTr="0074007D">
        <w:trPr>
          <w:trHeight w:hRule="exact" w:val="624"/>
        </w:trPr>
        <w:tc>
          <w:tcPr>
            <w:tcW w:w="4649" w:type="dxa"/>
          </w:tcPr>
          <w:p w14:paraId="3FEFE427" w14:textId="1C97A2B2" w:rsidR="000A641D" w:rsidRPr="000F27B6" w:rsidRDefault="000A641D" w:rsidP="008165D7">
            <w:pPr>
              <w:rPr>
                <w:rFonts w:asciiTheme="minorHAnsi" w:hAnsiTheme="minorHAnsi"/>
                <w:b/>
                <w:sz w:val="24"/>
                <w:szCs w:val="24"/>
              </w:rPr>
            </w:pPr>
            <w:r w:rsidRPr="000F27B6">
              <w:rPr>
                <w:rFonts w:asciiTheme="minorHAnsi" w:hAnsiTheme="minorHAnsi"/>
                <w:b/>
                <w:sz w:val="24"/>
                <w:szCs w:val="24"/>
              </w:rPr>
              <w:t>L</w:t>
            </w:r>
            <w:r w:rsidR="00CE0ADF" w:rsidRPr="000F27B6">
              <w:rPr>
                <w:rFonts w:asciiTheme="minorHAnsi" w:hAnsiTheme="minorHAnsi"/>
                <w:b/>
                <w:sz w:val="24"/>
                <w:szCs w:val="24"/>
              </w:rPr>
              <w:t>eft ventricular</w:t>
            </w:r>
            <w:r w:rsidRPr="000F27B6">
              <w:rPr>
                <w:rFonts w:asciiTheme="minorHAnsi" w:hAnsiTheme="minorHAnsi"/>
                <w:b/>
                <w:sz w:val="24"/>
                <w:szCs w:val="24"/>
              </w:rPr>
              <w:t xml:space="preserve"> fibrosis n</w:t>
            </w:r>
            <w:r w:rsidR="00C53CC5" w:rsidRPr="000F27B6">
              <w:rPr>
                <w:rFonts w:asciiTheme="minorHAnsi" w:hAnsiTheme="minorHAnsi"/>
                <w:b/>
                <w:sz w:val="24"/>
                <w:szCs w:val="24"/>
              </w:rPr>
              <w:t xml:space="preserve"> </w:t>
            </w:r>
            <w:r w:rsidRPr="000F27B6">
              <w:rPr>
                <w:rFonts w:asciiTheme="minorHAnsi" w:hAnsiTheme="minorHAnsi"/>
                <w:b/>
                <w:sz w:val="24"/>
                <w:szCs w:val="24"/>
              </w:rPr>
              <w:t>(%)</w:t>
            </w:r>
          </w:p>
        </w:tc>
        <w:tc>
          <w:tcPr>
            <w:tcW w:w="3113" w:type="dxa"/>
          </w:tcPr>
          <w:p w14:paraId="711082DC" w14:textId="15A6F8FA" w:rsidR="000A641D" w:rsidRPr="000F27B6" w:rsidRDefault="000A641D" w:rsidP="008165D7">
            <w:pPr>
              <w:rPr>
                <w:rFonts w:asciiTheme="minorHAnsi" w:hAnsiTheme="minorHAnsi"/>
                <w:sz w:val="24"/>
                <w:szCs w:val="24"/>
              </w:rPr>
            </w:pPr>
            <w:r w:rsidRPr="000F27B6">
              <w:rPr>
                <w:rFonts w:asciiTheme="minorHAnsi" w:hAnsiTheme="minorHAnsi"/>
                <w:sz w:val="24"/>
                <w:szCs w:val="24"/>
              </w:rPr>
              <w:t>14 (30)</w:t>
            </w:r>
          </w:p>
        </w:tc>
      </w:tr>
    </w:tbl>
    <w:p w14:paraId="3E65AB53" w14:textId="77777777" w:rsidR="000A641D" w:rsidRPr="000F27B6" w:rsidRDefault="000A641D" w:rsidP="00984581">
      <w:pPr>
        <w:spacing w:line="480" w:lineRule="auto"/>
        <w:rPr>
          <w:b/>
          <w:sz w:val="24"/>
          <w:szCs w:val="24"/>
        </w:rPr>
      </w:pPr>
    </w:p>
    <w:p w14:paraId="5D6A6A44" w14:textId="77777777" w:rsidR="00880785" w:rsidRPr="000F27B6" w:rsidRDefault="00880785">
      <w:pPr>
        <w:spacing w:after="0" w:line="240" w:lineRule="auto"/>
        <w:rPr>
          <w:b/>
          <w:sz w:val="24"/>
          <w:szCs w:val="24"/>
        </w:rPr>
      </w:pPr>
      <w:r w:rsidRPr="000F27B6">
        <w:rPr>
          <w:b/>
          <w:sz w:val="24"/>
          <w:szCs w:val="24"/>
        </w:rPr>
        <w:br w:type="page"/>
      </w:r>
    </w:p>
    <w:p w14:paraId="567B87BF" w14:textId="0A56BD55" w:rsidR="007E1168" w:rsidRPr="000F27B6" w:rsidRDefault="007E1168" w:rsidP="007E1168">
      <w:pPr>
        <w:spacing w:line="480" w:lineRule="auto"/>
        <w:rPr>
          <w:b/>
          <w:sz w:val="24"/>
          <w:szCs w:val="24"/>
        </w:rPr>
      </w:pPr>
      <w:r w:rsidRPr="000F27B6">
        <w:rPr>
          <w:b/>
          <w:sz w:val="24"/>
          <w:szCs w:val="24"/>
        </w:rPr>
        <w:lastRenderedPageBreak/>
        <w:t xml:space="preserve">Table </w:t>
      </w:r>
      <w:r w:rsidR="00C53CC5" w:rsidRPr="000F27B6">
        <w:rPr>
          <w:b/>
          <w:sz w:val="24"/>
          <w:szCs w:val="24"/>
        </w:rPr>
        <w:t>2</w:t>
      </w:r>
      <w:r w:rsidRPr="000F27B6">
        <w:rPr>
          <w:b/>
          <w:sz w:val="24"/>
          <w:szCs w:val="24"/>
        </w:rPr>
        <w:t xml:space="preserve">. </w:t>
      </w:r>
      <w:r w:rsidR="00A32097" w:rsidRPr="000F27B6">
        <w:rPr>
          <w:sz w:val="24"/>
          <w:szCs w:val="24"/>
        </w:rPr>
        <w:t>Results of f</w:t>
      </w:r>
      <w:r w:rsidRPr="000F27B6">
        <w:rPr>
          <w:sz w:val="24"/>
          <w:szCs w:val="24"/>
        </w:rPr>
        <w:t xml:space="preserve">amily screening in </w:t>
      </w:r>
      <w:r w:rsidR="00A32097" w:rsidRPr="000F27B6">
        <w:rPr>
          <w:sz w:val="24"/>
          <w:szCs w:val="24"/>
        </w:rPr>
        <w:t xml:space="preserve">decedents </w:t>
      </w:r>
      <w:r w:rsidRPr="000F27B6">
        <w:rPr>
          <w:sz w:val="24"/>
          <w:szCs w:val="24"/>
        </w:rPr>
        <w:t>with idiopathic LVH.</w:t>
      </w:r>
    </w:p>
    <w:tbl>
      <w:tblPr>
        <w:tblStyle w:val="TableGrid"/>
        <w:tblW w:w="10519" w:type="dxa"/>
        <w:tblInd w:w="-459" w:type="dxa"/>
        <w:tblLayout w:type="fixed"/>
        <w:tblLook w:val="04A0" w:firstRow="1" w:lastRow="0" w:firstColumn="1" w:lastColumn="0" w:noHBand="0" w:noVBand="1"/>
      </w:tblPr>
      <w:tblGrid>
        <w:gridCol w:w="738"/>
        <w:gridCol w:w="3344"/>
        <w:gridCol w:w="2041"/>
        <w:gridCol w:w="2553"/>
        <w:gridCol w:w="1843"/>
      </w:tblGrid>
      <w:tr w:rsidR="00894DDF" w:rsidRPr="000F27B6" w14:paraId="60DC6BAD" w14:textId="77777777" w:rsidTr="00E775E0">
        <w:trPr>
          <w:trHeight w:val="125"/>
        </w:trPr>
        <w:tc>
          <w:tcPr>
            <w:tcW w:w="738" w:type="dxa"/>
          </w:tcPr>
          <w:p w14:paraId="48996862" w14:textId="6D003667" w:rsidR="00894DDF"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b/>
                <w:color w:val="auto"/>
                <w:szCs w:val="24"/>
              </w:rPr>
            </w:pPr>
            <w:r>
              <w:rPr>
                <w:rFonts w:asciiTheme="minorHAnsi" w:hAnsiTheme="minorHAnsi"/>
                <w:b/>
                <w:color w:val="auto"/>
                <w:szCs w:val="24"/>
              </w:rPr>
              <w:t>N</w:t>
            </w:r>
          </w:p>
        </w:tc>
        <w:tc>
          <w:tcPr>
            <w:tcW w:w="3344" w:type="dxa"/>
          </w:tcPr>
          <w:p w14:paraId="5C138A72" w14:textId="33D9E0FF" w:rsidR="00894DDF" w:rsidRPr="00EE24D4"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b/>
                <w:color w:val="auto"/>
                <w:szCs w:val="24"/>
              </w:rPr>
            </w:pPr>
            <w:r w:rsidRPr="00EE24D4">
              <w:rPr>
                <w:rFonts w:asciiTheme="minorHAnsi" w:hAnsiTheme="minorHAnsi"/>
                <w:b/>
                <w:color w:val="auto"/>
                <w:szCs w:val="24"/>
              </w:rPr>
              <w:t>Decedent</w:t>
            </w:r>
          </w:p>
        </w:tc>
        <w:tc>
          <w:tcPr>
            <w:tcW w:w="2041" w:type="dxa"/>
          </w:tcPr>
          <w:p w14:paraId="74B30C01"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b/>
                <w:color w:val="auto"/>
                <w:szCs w:val="24"/>
              </w:rPr>
            </w:pPr>
            <w:r w:rsidRPr="000F27B6">
              <w:rPr>
                <w:rFonts w:asciiTheme="minorHAnsi" w:hAnsiTheme="minorHAnsi"/>
                <w:b/>
                <w:color w:val="auto"/>
                <w:szCs w:val="24"/>
              </w:rPr>
              <w:t>Family member</w:t>
            </w:r>
          </w:p>
        </w:tc>
        <w:tc>
          <w:tcPr>
            <w:tcW w:w="2553" w:type="dxa"/>
          </w:tcPr>
          <w:p w14:paraId="13E08557"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b/>
                <w:color w:val="auto"/>
                <w:szCs w:val="24"/>
              </w:rPr>
            </w:pPr>
            <w:r w:rsidRPr="000F27B6">
              <w:rPr>
                <w:rFonts w:asciiTheme="minorHAnsi" w:hAnsiTheme="minorHAnsi"/>
                <w:b/>
                <w:color w:val="auto"/>
                <w:szCs w:val="24"/>
              </w:rPr>
              <w:t>Diagnosis/findings</w:t>
            </w:r>
          </w:p>
        </w:tc>
        <w:tc>
          <w:tcPr>
            <w:tcW w:w="1843" w:type="dxa"/>
          </w:tcPr>
          <w:p w14:paraId="27682190"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b/>
                <w:color w:val="auto"/>
                <w:szCs w:val="24"/>
              </w:rPr>
            </w:pPr>
            <w:r w:rsidRPr="000F27B6">
              <w:rPr>
                <w:rFonts w:asciiTheme="minorHAnsi" w:hAnsiTheme="minorHAnsi"/>
                <w:b/>
                <w:color w:val="auto"/>
                <w:szCs w:val="24"/>
              </w:rPr>
              <w:t>Genetics (family members)</w:t>
            </w:r>
          </w:p>
        </w:tc>
      </w:tr>
      <w:tr w:rsidR="000A6FF8" w:rsidRPr="000F27B6" w14:paraId="53A6127B" w14:textId="77777777" w:rsidTr="00E775E0">
        <w:trPr>
          <w:trHeight w:val="125"/>
        </w:trPr>
        <w:tc>
          <w:tcPr>
            <w:tcW w:w="738" w:type="dxa"/>
          </w:tcPr>
          <w:p w14:paraId="67CE279A" w14:textId="77777777" w:rsidR="000A6FF8" w:rsidRDefault="000A6FF8"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b/>
                <w:color w:val="auto"/>
                <w:szCs w:val="24"/>
              </w:rPr>
            </w:pPr>
          </w:p>
        </w:tc>
        <w:tc>
          <w:tcPr>
            <w:tcW w:w="3344" w:type="dxa"/>
          </w:tcPr>
          <w:p w14:paraId="6AD23C13" w14:textId="0D5116C5" w:rsidR="000A6FF8" w:rsidRPr="00EE24D4" w:rsidRDefault="00E247D6"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b/>
                <w:color w:val="auto"/>
                <w:szCs w:val="24"/>
              </w:rPr>
            </w:pPr>
            <w:r w:rsidRPr="00EE24D4">
              <w:rPr>
                <w:rFonts w:asciiTheme="minorHAnsi" w:hAnsiTheme="minorHAnsi"/>
                <w:b/>
                <w:color w:val="auto"/>
                <w:szCs w:val="24"/>
              </w:rPr>
              <w:t>Sex, circumstances, age</w:t>
            </w:r>
          </w:p>
        </w:tc>
        <w:tc>
          <w:tcPr>
            <w:tcW w:w="2041" w:type="dxa"/>
          </w:tcPr>
          <w:p w14:paraId="1E578BC8" w14:textId="3C1104AB" w:rsidR="000A6FF8" w:rsidRPr="000F27B6" w:rsidRDefault="00E247D6"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b/>
                <w:color w:val="auto"/>
                <w:szCs w:val="24"/>
              </w:rPr>
            </w:pPr>
            <w:r>
              <w:rPr>
                <w:rFonts w:asciiTheme="minorHAnsi" w:hAnsiTheme="minorHAnsi"/>
                <w:b/>
                <w:color w:val="auto"/>
                <w:szCs w:val="24"/>
              </w:rPr>
              <w:t>Family member, age</w:t>
            </w:r>
          </w:p>
        </w:tc>
        <w:tc>
          <w:tcPr>
            <w:tcW w:w="2553" w:type="dxa"/>
          </w:tcPr>
          <w:p w14:paraId="1F9A3A45" w14:textId="77777777" w:rsidR="000A6FF8" w:rsidRPr="000F27B6" w:rsidRDefault="000A6FF8"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b/>
                <w:color w:val="auto"/>
                <w:szCs w:val="24"/>
              </w:rPr>
            </w:pPr>
          </w:p>
        </w:tc>
        <w:tc>
          <w:tcPr>
            <w:tcW w:w="1843" w:type="dxa"/>
          </w:tcPr>
          <w:p w14:paraId="7ABA2EE5" w14:textId="77777777" w:rsidR="000A6FF8" w:rsidRPr="000F27B6" w:rsidRDefault="000A6FF8"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b/>
                <w:color w:val="auto"/>
                <w:szCs w:val="24"/>
              </w:rPr>
            </w:pPr>
          </w:p>
        </w:tc>
      </w:tr>
      <w:tr w:rsidR="00894DDF" w:rsidRPr="000F27B6" w14:paraId="2587E951" w14:textId="77777777" w:rsidTr="00E775E0">
        <w:trPr>
          <w:trHeight w:val="100"/>
        </w:trPr>
        <w:tc>
          <w:tcPr>
            <w:tcW w:w="738" w:type="dxa"/>
          </w:tcPr>
          <w:p w14:paraId="65A94278" w14:textId="3C340B99"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Pr>
                <w:rFonts w:asciiTheme="minorHAnsi" w:hAnsiTheme="minorHAnsi"/>
                <w:color w:val="auto"/>
                <w:szCs w:val="24"/>
              </w:rPr>
              <w:t>1</w:t>
            </w:r>
          </w:p>
        </w:tc>
        <w:tc>
          <w:tcPr>
            <w:tcW w:w="3344" w:type="dxa"/>
          </w:tcPr>
          <w:p w14:paraId="031BA7F0" w14:textId="4474C916" w:rsidR="00894DDF" w:rsidRPr="00EE24D4"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EE24D4">
              <w:rPr>
                <w:rFonts w:asciiTheme="minorHAnsi" w:hAnsiTheme="minorHAnsi"/>
                <w:color w:val="auto"/>
                <w:szCs w:val="24"/>
              </w:rPr>
              <w:t>male, died during exercise</w:t>
            </w:r>
            <w:r w:rsidR="00D52742" w:rsidRPr="00EE24D4">
              <w:rPr>
                <w:rFonts w:asciiTheme="minorHAnsi" w:hAnsiTheme="minorHAnsi"/>
                <w:color w:val="auto"/>
                <w:szCs w:val="24"/>
              </w:rPr>
              <w:t>, 47</w:t>
            </w:r>
            <w:r w:rsidR="003D4409" w:rsidRPr="00EE24D4">
              <w:rPr>
                <w:rFonts w:asciiTheme="minorHAnsi" w:hAnsiTheme="minorHAnsi"/>
                <w:color w:val="auto"/>
                <w:szCs w:val="24"/>
              </w:rPr>
              <w:t xml:space="preserve">, </w:t>
            </w:r>
            <w:r w:rsidR="00C13173" w:rsidRPr="00EE24D4">
              <w:rPr>
                <w:rFonts w:asciiTheme="minorHAnsi" w:hAnsiTheme="minorHAnsi"/>
                <w:color w:val="auto"/>
                <w:szCs w:val="24"/>
              </w:rPr>
              <w:t>MF</w:t>
            </w:r>
          </w:p>
        </w:tc>
        <w:tc>
          <w:tcPr>
            <w:tcW w:w="2041" w:type="dxa"/>
          </w:tcPr>
          <w:p w14:paraId="57065EBA"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sibling, 45</w:t>
            </w:r>
          </w:p>
          <w:p w14:paraId="2A6CFCC9"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sibling, 51</w:t>
            </w:r>
          </w:p>
        </w:tc>
        <w:tc>
          <w:tcPr>
            <w:tcW w:w="2553" w:type="dxa"/>
          </w:tcPr>
          <w:p w14:paraId="322A7520"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p w14:paraId="21DC18C1"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tc>
        <w:tc>
          <w:tcPr>
            <w:tcW w:w="1843" w:type="dxa"/>
          </w:tcPr>
          <w:p w14:paraId="13AE6C92"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p>
        </w:tc>
      </w:tr>
      <w:tr w:rsidR="00894DDF" w:rsidRPr="000F27B6" w14:paraId="1FF9E6C1" w14:textId="77777777" w:rsidTr="00E775E0">
        <w:trPr>
          <w:trHeight w:val="155"/>
        </w:trPr>
        <w:tc>
          <w:tcPr>
            <w:tcW w:w="738" w:type="dxa"/>
          </w:tcPr>
          <w:p w14:paraId="123F5C73" w14:textId="33ADC1ED" w:rsidR="00894DDF" w:rsidRPr="000F27B6" w:rsidRDefault="00894DDF" w:rsidP="00B44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Pr>
                <w:rFonts w:asciiTheme="minorHAnsi" w:hAnsiTheme="minorHAnsi"/>
                <w:color w:val="auto"/>
                <w:szCs w:val="24"/>
              </w:rPr>
              <w:t>2</w:t>
            </w:r>
          </w:p>
        </w:tc>
        <w:tc>
          <w:tcPr>
            <w:tcW w:w="3344" w:type="dxa"/>
          </w:tcPr>
          <w:p w14:paraId="6A0E9ED1" w14:textId="07C62225" w:rsidR="00894DDF" w:rsidRPr="00EE24D4" w:rsidRDefault="00894DDF" w:rsidP="00B44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EE24D4">
              <w:rPr>
                <w:rFonts w:asciiTheme="minorHAnsi" w:hAnsiTheme="minorHAnsi"/>
                <w:color w:val="auto"/>
                <w:szCs w:val="24"/>
              </w:rPr>
              <w:t>male, died at rest</w:t>
            </w:r>
            <w:r w:rsidR="00D52742" w:rsidRPr="00EE24D4">
              <w:rPr>
                <w:rFonts w:asciiTheme="minorHAnsi" w:hAnsiTheme="minorHAnsi"/>
                <w:color w:val="auto"/>
                <w:szCs w:val="24"/>
              </w:rPr>
              <w:t>, 39</w:t>
            </w:r>
          </w:p>
        </w:tc>
        <w:tc>
          <w:tcPr>
            <w:tcW w:w="2041" w:type="dxa"/>
          </w:tcPr>
          <w:p w14:paraId="4DEFA253" w14:textId="74CC483B"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father, 67</w:t>
            </w:r>
          </w:p>
          <w:p w14:paraId="7D33214A"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mother, 65</w:t>
            </w:r>
          </w:p>
          <w:p w14:paraId="2D911D9A" w14:textId="5BFC06E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sibling, 35</w:t>
            </w:r>
          </w:p>
        </w:tc>
        <w:tc>
          <w:tcPr>
            <w:tcW w:w="2553" w:type="dxa"/>
          </w:tcPr>
          <w:p w14:paraId="57EFD800" w14:textId="2CD6C22C"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Mild LVH, hypertension</w:t>
            </w:r>
          </w:p>
          <w:p w14:paraId="55374DB3" w14:textId="1EA850B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Mild LVH, hypertension</w:t>
            </w:r>
          </w:p>
          <w:p w14:paraId="273E6D90" w14:textId="0D806F03"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tc>
        <w:tc>
          <w:tcPr>
            <w:tcW w:w="1843" w:type="dxa"/>
          </w:tcPr>
          <w:p w14:paraId="20FE06EE" w14:textId="2DC1F24F"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Negative</w:t>
            </w:r>
          </w:p>
          <w:p w14:paraId="4C5C953A"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p>
          <w:p w14:paraId="16D5B7D3" w14:textId="1913F59B"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p>
        </w:tc>
      </w:tr>
      <w:tr w:rsidR="00894DDF" w:rsidRPr="000F27B6" w14:paraId="2ACF7CE8" w14:textId="77777777" w:rsidTr="00E775E0">
        <w:trPr>
          <w:trHeight w:val="100"/>
        </w:trPr>
        <w:tc>
          <w:tcPr>
            <w:tcW w:w="738" w:type="dxa"/>
          </w:tcPr>
          <w:p w14:paraId="28D3137B" w14:textId="24645F9C"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Pr>
                <w:rFonts w:asciiTheme="minorHAnsi" w:hAnsiTheme="minorHAnsi"/>
                <w:color w:val="auto"/>
                <w:szCs w:val="24"/>
              </w:rPr>
              <w:t>3</w:t>
            </w:r>
          </w:p>
        </w:tc>
        <w:tc>
          <w:tcPr>
            <w:tcW w:w="3344" w:type="dxa"/>
          </w:tcPr>
          <w:p w14:paraId="5116506E" w14:textId="5718A80D" w:rsidR="00894DDF" w:rsidRPr="00EE24D4"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EE24D4">
              <w:rPr>
                <w:rFonts w:asciiTheme="minorHAnsi" w:hAnsiTheme="minorHAnsi"/>
                <w:color w:val="auto"/>
                <w:szCs w:val="24"/>
              </w:rPr>
              <w:t>male, died during sleep</w:t>
            </w:r>
            <w:r w:rsidR="00D52742" w:rsidRPr="00EE24D4">
              <w:rPr>
                <w:rFonts w:asciiTheme="minorHAnsi" w:hAnsiTheme="minorHAnsi"/>
                <w:color w:val="auto"/>
                <w:szCs w:val="24"/>
              </w:rPr>
              <w:t>, 37</w:t>
            </w:r>
          </w:p>
        </w:tc>
        <w:tc>
          <w:tcPr>
            <w:tcW w:w="2041" w:type="dxa"/>
          </w:tcPr>
          <w:p w14:paraId="60186F64"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father, 66</w:t>
            </w:r>
          </w:p>
          <w:p w14:paraId="24762A98"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sibling, 42</w:t>
            </w:r>
          </w:p>
        </w:tc>
        <w:tc>
          <w:tcPr>
            <w:tcW w:w="2553" w:type="dxa"/>
          </w:tcPr>
          <w:p w14:paraId="644CC5D5"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Possible IHD</w:t>
            </w:r>
          </w:p>
          <w:p w14:paraId="704E7A8E"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 xml:space="preserve">Concealed </w:t>
            </w:r>
            <w:proofErr w:type="spellStart"/>
            <w:r w:rsidRPr="000F27B6">
              <w:rPr>
                <w:rFonts w:asciiTheme="minorHAnsi" w:hAnsiTheme="minorHAnsi"/>
                <w:color w:val="auto"/>
                <w:szCs w:val="24"/>
              </w:rPr>
              <w:t>Brugada</w:t>
            </w:r>
            <w:proofErr w:type="spellEnd"/>
          </w:p>
        </w:tc>
        <w:tc>
          <w:tcPr>
            <w:tcW w:w="1843" w:type="dxa"/>
          </w:tcPr>
          <w:p w14:paraId="0DC0954C"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p>
          <w:p w14:paraId="302C33E4"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Negative</w:t>
            </w:r>
          </w:p>
        </w:tc>
      </w:tr>
      <w:tr w:rsidR="00894DDF" w:rsidRPr="000F27B6" w14:paraId="0BD7B585" w14:textId="77777777" w:rsidTr="00E775E0">
        <w:trPr>
          <w:trHeight w:val="163"/>
        </w:trPr>
        <w:tc>
          <w:tcPr>
            <w:tcW w:w="738" w:type="dxa"/>
          </w:tcPr>
          <w:p w14:paraId="26AA7EFD" w14:textId="39B497D3"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Pr>
                <w:rFonts w:asciiTheme="minorHAnsi" w:hAnsiTheme="minorHAnsi"/>
                <w:color w:val="auto"/>
                <w:szCs w:val="24"/>
              </w:rPr>
              <w:t>4</w:t>
            </w:r>
          </w:p>
        </w:tc>
        <w:tc>
          <w:tcPr>
            <w:tcW w:w="3344" w:type="dxa"/>
          </w:tcPr>
          <w:p w14:paraId="74F7AA44" w14:textId="1A553038" w:rsidR="00894DDF" w:rsidRPr="00EE24D4"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EE24D4">
              <w:rPr>
                <w:rFonts w:asciiTheme="minorHAnsi" w:hAnsiTheme="minorHAnsi"/>
                <w:color w:val="auto"/>
                <w:szCs w:val="24"/>
              </w:rPr>
              <w:t>male, died during exercise</w:t>
            </w:r>
            <w:r w:rsidR="00D52742" w:rsidRPr="00EE24D4">
              <w:rPr>
                <w:rFonts w:asciiTheme="minorHAnsi" w:hAnsiTheme="minorHAnsi"/>
                <w:color w:val="auto"/>
                <w:szCs w:val="24"/>
              </w:rPr>
              <w:t>, 18</w:t>
            </w:r>
            <w:r w:rsidR="00C13173" w:rsidRPr="00EE24D4">
              <w:rPr>
                <w:rFonts w:asciiTheme="minorHAnsi" w:hAnsiTheme="minorHAnsi"/>
                <w:color w:val="auto"/>
                <w:szCs w:val="24"/>
              </w:rPr>
              <w:t>, MF</w:t>
            </w:r>
          </w:p>
        </w:tc>
        <w:tc>
          <w:tcPr>
            <w:tcW w:w="2041" w:type="dxa"/>
          </w:tcPr>
          <w:p w14:paraId="5C4BF8AC"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father, 40</w:t>
            </w:r>
          </w:p>
          <w:p w14:paraId="698FD5FE"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mother, 53</w:t>
            </w:r>
          </w:p>
          <w:p w14:paraId="4E11669C"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sibling, 21</w:t>
            </w:r>
          </w:p>
        </w:tc>
        <w:tc>
          <w:tcPr>
            <w:tcW w:w="2553" w:type="dxa"/>
          </w:tcPr>
          <w:p w14:paraId="0C9A59BF"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p w14:paraId="1871BD85"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p w14:paraId="5E805595"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tc>
        <w:tc>
          <w:tcPr>
            <w:tcW w:w="1843" w:type="dxa"/>
          </w:tcPr>
          <w:p w14:paraId="7C600CCB"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p>
        </w:tc>
      </w:tr>
      <w:tr w:rsidR="00894DDF" w:rsidRPr="000F27B6" w14:paraId="597D115A" w14:textId="77777777" w:rsidTr="00E775E0">
        <w:trPr>
          <w:trHeight w:val="74"/>
        </w:trPr>
        <w:tc>
          <w:tcPr>
            <w:tcW w:w="738" w:type="dxa"/>
          </w:tcPr>
          <w:p w14:paraId="3E1CAE36" w14:textId="60313D50"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Pr>
                <w:rFonts w:asciiTheme="minorHAnsi" w:hAnsiTheme="minorHAnsi"/>
                <w:color w:val="auto"/>
                <w:szCs w:val="24"/>
              </w:rPr>
              <w:t>5</w:t>
            </w:r>
          </w:p>
        </w:tc>
        <w:tc>
          <w:tcPr>
            <w:tcW w:w="3344" w:type="dxa"/>
          </w:tcPr>
          <w:p w14:paraId="6D5B66D6" w14:textId="12EEAA4D" w:rsidR="00894DDF" w:rsidRPr="00EE24D4"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EE24D4">
              <w:rPr>
                <w:rFonts w:asciiTheme="minorHAnsi" w:hAnsiTheme="minorHAnsi"/>
                <w:color w:val="auto"/>
                <w:szCs w:val="24"/>
              </w:rPr>
              <w:t>male, died at rest</w:t>
            </w:r>
            <w:r w:rsidR="00D52742" w:rsidRPr="00EE24D4">
              <w:rPr>
                <w:rFonts w:asciiTheme="minorHAnsi" w:hAnsiTheme="minorHAnsi"/>
                <w:color w:val="auto"/>
                <w:szCs w:val="24"/>
              </w:rPr>
              <w:t>, 42</w:t>
            </w:r>
          </w:p>
        </w:tc>
        <w:tc>
          <w:tcPr>
            <w:tcW w:w="2041" w:type="dxa"/>
          </w:tcPr>
          <w:p w14:paraId="6685106F"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sibling, 48</w:t>
            </w:r>
          </w:p>
        </w:tc>
        <w:tc>
          <w:tcPr>
            <w:tcW w:w="2553" w:type="dxa"/>
          </w:tcPr>
          <w:p w14:paraId="19D4535C"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DCM</w:t>
            </w:r>
          </w:p>
        </w:tc>
        <w:tc>
          <w:tcPr>
            <w:tcW w:w="1843" w:type="dxa"/>
          </w:tcPr>
          <w:p w14:paraId="018EAC85"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p>
        </w:tc>
      </w:tr>
      <w:tr w:rsidR="00894DDF" w:rsidRPr="000F27B6" w14:paraId="4ED91F82" w14:textId="77777777" w:rsidTr="00E775E0">
        <w:trPr>
          <w:trHeight w:val="112"/>
        </w:trPr>
        <w:tc>
          <w:tcPr>
            <w:tcW w:w="738" w:type="dxa"/>
          </w:tcPr>
          <w:p w14:paraId="527A2E28" w14:textId="5C0A00B9"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Pr>
                <w:rFonts w:asciiTheme="minorHAnsi" w:hAnsiTheme="minorHAnsi"/>
                <w:color w:val="auto"/>
                <w:szCs w:val="24"/>
              </w:rPr>
              <w:t>6</w:t>
            </w:r>
          </w:p>
        </w:tc>
        <w:tc>
          <w:tcPr>
            <w:tcW w:w="3344" w:type="dxa"/>
          </w:tcPr>
          <w:p w14:paraId="2E0F9BE3" w14:textId="69081926" w:rsidR="00894DDF" w:rsidRPr="00EE24D4"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EE24D4">
              <w:rPr>
                <w:rFonts w:asciiTheme="minorHAnsi" w:hAnsiTheme="minorHAnsi"/>
                <w:color w:val="auto"/>
                <w:szCs w:val="24"/>
              </w:rPr>
              <w:t>male, died at rest</w:t>
            </w:r>
            <w:r w:rsidR="00D52742" w:rsidRPr="00EE24D4">
              <w:rPr>
                <w:rFonts w:asciiTheme="minorHAnsi" w:hAnsiTheme="minorHAnsi"/>
                <w:color w:val="auto"/>
                <w:szCs w:val="24"/>
              </w:rPr>
              <w:t>, 29</w:t>
            </w:r>
          </w:p>
        </w:tc>
        <w:tc>
          <w:tcPr>
            <w:tcW w:w="2041" w:type="dxa"/>
          </w:tcPr>
          <w:p w14:paraId="27DC31E0"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mother, 59</w:t>
            </w:r>
          </w:p>
          <w:p w14:paraId="4572331E"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sibling, 22</w:t>
            </w:r>
          </w:p>
        </w:tc>
        <w:tc>
          <w:tcPr>
            <w:tcW w:w="2553" w:type="dxa"/>
          </w:tcPr>
          <w:p w14:paraId="491FF072"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p w14:paraId="69582A7D"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tc>
        <w:tc>
          <w:tcPr>
            <w:tcW w:w="1843" w:type="dxa"/>
          </w:tcPr>
          <w:p w14:paraId="7662FEE2"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p>
        </w:tc>
      </w:tr>
      <w:tr w:rsidR="00894DDF" w:rsidRPr="000F27B6" w14:paraId="5B20A671" w14:textId="77777777" w:rsidTr="00E775E0">
        <w:trPr>
          <w:trHeight w:val="163"/>
        </w:trPr>
        <w:tc>
          <w:tcPr>
            <w:tcW w:w="738" w:type="dxa"/>
          </w:tcPr>
          <w:p w14:paraId="04242CFB" w14:textId="06CAB12C"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Pr>
                <w:rFonts w:asciiTheme="minorHAnsi" w:hAnsiTheme="minorHAnsi"/>
                <w:color w:val="auto"/>
                <w:szCs w:val="24"/>
              </w:rPr>
              <w:t>7</w:t>
            </w:r>
          </w:p>
        </w:tc>
        <w:tc>
          <w:tcPr>
            <w:tcW w:w="3344" w:type="dxa"/>
          </w:tcPr>
          <w:p w14:paraId="7A9A9E5B" w14:textId="76B9A416" w:rsidR="00894DDF" w:rsidRPr="00EE24D4"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EE24D4">
              <w:rPr>
                <w:rFonts w:asciiTheme="minorHAnsi" w:hAnsiTheme="minorHAnsi"/>
                <w:color w:val="auto"/>
                <w:szCs w:val="24"/>
              </w:rPr>
              <w:t>male, died during exercise</w:t>
            </w:r>
            <w:r w:rsidR="00D52742" w:rsidRPr="00EE24D4">
              <w:rPr>
                <w:rFonts w:asciiTheme="minorHAnsi" w:hAnsiTheme="minorHAnsi"/>
                <w:color w:val="auto"/>
                <w:szCs w:val="24"/>
              </w:rPr>
              <w:t>, 25</w:t>
            </w:r>
          </w:p>
        </w:tc>
        <w:tc>
          <w:tcPr>
            <w:tcW w:w="2041" w:type="dxa"/>
          </w:tcPr>
          <w:p w14:paraId="34443E30"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father, 59</w:t>
            </w:r>
          </w:p>
          <w:p w14:paraId="2A6AB956"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mother, 55</w:t>
            </w:r>
          </w:p>
          <w:p w14:paraId="39128CB5" w14:textId="5F9C5D91"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sibling, 25</w:t>
            </w:r>
          </w:p>
        </w:tc>
        <w:tc>
          <w:tcPr>
            <w:tcW w:w="2553" w:type="dxa"/>
          </w:tcPr>
          <w:p w14:paraId="17ACCA5B"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p w14:paraId="5ADBCD4A"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p w14:paraId="3D5F6D9E"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tc>
        <w:tc>
          <w:tcPr>
            <w:tcW w:w="1843" w:type="dxa"/>
          </w:tcPr>
          <w:p w14:paraId="10FD2928"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p>
        </w:tc>
      </w:tr>
      <w:tr w:rsidR="00894DDF" w:rsidRPr="000F27B6" w14:paraId="1225CA97" w14:textId="77777777" w:rsidTr="00E775E0">
        <w:trPr>
          <w:trHeight w:val="155"/>
        </w:trPr>
        <w:tc>
          <w:tcPr>
            <w:tcW w:w="738" w:type="dxa"/>
          </w:tcPr>
          <w:p w14:paraId="3EDEEDAB" w14:textId="28FB910B" w:rsidR="00894DDF" w:rsidRPr="000F27B6" w:rsidRDefault="00894DDF" w:rsidP="00B44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Pr>
                <w:rFonts w:asciiTheme="minorHAnsi" w:hAnsiTheme="minorHAnsi"/>
                <w:color w:val="auto"/>
                <w:szCs w:val="24"/>
              </w:rPr>
              <w:t>8</w:t>
            </w:r>
          </w:p>
        </w:tc>
        <w:tc>
          <w:tcPr>
            <w:tcW w:w="3344" w:type="dxa"/>
          </w:tcPr>
          <w:p w14:paraId="0E9E1EC3" w14:textId="4AD8E5AA" w:rsidR="00894DDF" w:rsidRPr="00EE24D4" w:rsidRDefault="00894DDF" w:rsidP="00B44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EE24D4">
              <w:rPr>
                <w:rFonts w:asciiTheme="minorHAnsi" w:hAnsiTheme="minorHAnsi"/>
                <w:color w:val="auto"/>
                <w:szCs w:val="24"/>
              </w:rPr>
              <w:t>male, died at rest</w:t>
            </w:r>
            <w:r w:rsidR="00D52742" w:rsidRPr="00EE24D4">
              <w:rPr>
                <w:rFonts w:asciiTheme="minorHAnsi" w:hAnsiTheme="minorHAnsi"/>
                <w:color w:val="auto"/>
                <w:szCs w:val="24"/>
              </w:rPr>
              <w:t>, 28</w:t>
            </w:r>
          </w:p>
        </w:tc>
        <w:tc>
          <w:tcPr>
            <w:tcW w:w="2041" w:type="dxa"/>
          </w:tcPr>
          <w:p w14:paraId="126C5AE5" w14:textId="10F5D431"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father, 69</w:t>
            </w:r>
          </w:p>
          <w:p w14:paraId="630ECCEB" w14:textId="7E5B5F85"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mother, 67</w:t>
            </w:r>
          </w:p>
          <w:p w14:paraId="095EB359"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sibling, 47</w:t>
            </w:r>
          </w:p>
        </w:tc>
        <w:tc>
          <w:tcPr>
            <w:tcW w:w="2553" w:type="dxa"/>
          </w:tcPr>
          <w:p w14:paraId="1A82A2C3" w14:textId="51F449B1"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Possible IHD</w:t>
            </w:r>
          </w:p>
          <w:p w14:paraId="11131096" w14:textId="6937BE0B"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p w14:paraId="1BD354BB"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tc>
        <w:tc>
          <w:tcPr>
            <w:tcW w:w="1843" w:type="dxa"/>
          </w:tcPr>
          <w:p w14:paraId="1566570A"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p>
        </w:tc>
      </w:tr>
      <w:tr w:rsidR="00894DDF" w:rsidRPr="000F27B6" w14:paraId="43C3FA51" w14:textId="77777777" w:rsidTr="00E775E0">
        <w:trPr>
          <w:trHeight w:val="100"/>
        </w:trPr>
        <w:tc>
          <w:tcPr>
            <w:tcW w:w="738" w:type="dxa"/>
          </w:tcPr>
          <w:p w14:paraId="726AC150" w14:textId="55F8255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Pr>
                <w:rFonts w:asciiTheme="minorHAnsi" w:hAnsiTheme="minorHAnsi"/>
                <w:color w:val="auto"/>
                <w:szCs w:val="24"/>
              </w:rPr>
              <w:t>9</w:t>
            </w:r>
          </w:p>
        </w:tc>
        <w:tc>
          <w:tcPr>
            <w:tcW w:w="3344" w:type="dxa"/>
          </w:tcPr>
          <w:p w14:paraId="4ED9BFEC" w14:textId="4058ED0B" w:rsidR="00894DDF" w:rsidRPr="00EE24D4"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EE24D4">
              <w:rPr>
                <w:rFonts w:asciiTheme="minorHAnsi" w:hAnsiTheme="minorHAnsi"/>
                <w:color w:val="auto"/>
                <w:szCs w:val="24"/>
              </w:rPr>
              <w:t>male, died at rest</w:t>
            </w:r>
            <w:r w:rsidR="00D52742" w:rsidRPr="00EE24D4">
              <w:rPr>
                <w:rFonts w:asciiTheme="minorHAnsi" w:hAnsiTheme="minorHAnsi"/>
                <w:color w:val="auto"/>
                <w:szCs w:val="24"/>
              </w:rPr>
              <w:t>, 34</w:t>
            </w:r>
            <w:r w:rsidR="00C13173" w:rsidRPr="00EE24D4">
              <w:rPr>
                <w:rFonts w:asciiTheme="minorHAnsi" w:hAnsiTheme="minorHAnsi"/>
                <w:color w:val="auto"/>
                <w:szCs w:val="24"/>
              </w:rPr>
              <w:t>, MF</w:t>
            </w:r>
          </w:p>
        </w:tc>
        <w:tc>
          <w:tcPr>
            <w:tcW w:w="2041" w:type="dxa"/>
          </w:tcPr>
          <w:p w14:paraId="74C7B5C3" w14:textId="2C94EE48"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father, 73</w:t>
            </w:r>
          </w:p>
          <w:p w14:paraId="5001689E" w14:textId="6885FE1F"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mother, 73</w:t>
            </w:r>
          </w:p>
        </w:tc>
        <w:tc>
          <w:tcPr>
            <w:tcW w:w="2553" w:type="dxa"/>
          </w:tcPr>
          <w:p w14:paraId="61174D36"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p w14:paraId="55FA0C53"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tc>
        <w:tc>
          <w:tcPr>
            <w:tcW w:w="1843" w:type="dxa"/>
          </w:tcPr>
          <w:p w14:paraId="74B7A1B8"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p>
        </w:tc>
      </w:tr>
      <w:tr w:rsidR="00894DDF" w:rsidRPr="000F27B6" w14:paraId="4F4EEEB7" w14:textId="77777777" w:rsidTr="00E775E0">
        <w:trPr>
          <w:trHeight w:val="112"/>
        </w:trPr>
        <w:tc>
          <w:tcPr>
            <w:tcW w:w="738" w:type="dxa"/>
          </w:tcPr>
          <w:p w14:paraId="4D3E3D81" w14:textId="1CF261D5"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Pr>
                <w:rFonts w:asciiTheme="minorHAnsi" w:hAnsiTheme="minorHAnsi"/>
                <w:color w:val="auto"/>
                <w:szCs w:val="24"/>
              </w:rPr>
              <w:t>10</w:t>
            </w:r>
          </w:p>
        </w:tc>
        <w:tc>
          <w:tcPr>
            <w:tcW w:w="3344" w:type="dxa"/>
          </w:tcPr>
          <w:p w14:paraId="5066D39C" w14:textId="6903B026" w:rsidR="00894DDF" w:rsidRPr="00EE24D4"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EE24D4">
              <w:rPr>
                <w:rFonts w:asciiTheme="minorHAnsi" w:hAnsiTheme="minorHAnsi"/>
                <w:color w:val="auto"/>
                <w:szCs w:val="24"/>
              </w:rPr>
              <w:t>male, died during exercise</w:t>
            </w:r>
            <w:r w:rsidR="00D52742" w:rsidRPr="00EE24D4">
              <w:rPr>
                <w:rFonts w:asciiTheme="minorHAnsi" w:hAnsiTheme="minorHAnsi"/>
                <w:color w:val="auto"/>
                <w:szCs w:val="24"/>
              </w:rPr>
              <w:t>, 28</w:t>
            </w:r>
          </w:p>
        </w:tc>
        <w:tc>
          <w:tcPr>
            <w:tcW w:w="2041" w:type="dxa"/>
          </w:tcPr>
          <w:p w14:paraId="13D0EDE1"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father, 63</w:t>
            </w:r>
          </w:p>
          <w:p w14:paraId="51427AEC"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mother, 59</w:t>
            </w:r>
          </w:p>
        </w:tc>
        <w:tc>
          <w:tcPr>
            <w:tcW w:w="2553" w:type="dxa"/>
          </w:tcPr>
          <w:p w14:paraId="7E7293AF"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Atrial fibrillation</w:t>
            </w:r>
          </w:p>
          <w:p w14:paraId="0C98AC9E"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tc>
        <w:tc>
          <w:tcPr>
            <w:tcW w:w="1843" w:type="dxa"/>
          </w:tcPr>
          <w:p w14:paraId="5822EF9B"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p>
        </w:tc>
      </w:tr>
      <w:tr w:rsidR="00894DDF" w:rsidRPr="000F27B6" w14:paraId="0D5440BD" w14:textId="77777777" w:rsidTr="00E775E0">
        <w:trPr>
          <w:trHeight w:val="74"/>
        </w:trPr>
        <w:tc>
          <w:tcPr>
            <w:tcW w:w="738" w:type="dxa"/>
          </w:tcPr>
          <w:p w14:paraId="56CA5AA0" w14:textId="28E6E283"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Pr>
                <w:rFonts w:asciiTheme="minorHAnsi" w:hAnsiTheme="minorHAnsi"/>
                <w:color w:val="auto"/>
                <w:szCs w:val="24"/>
              </w:rPr>
              <w:t>11</w:t>
            </w:r>
          </w:p>
        </w:tc>
        <w:tc>
          <w:tcPr>
            <w:tcW w:w="3344" w:type="dxa"/>
          </w:tcPr>
          <w:p w14:paraId="2228C16B" w14:textId="4D898B87" w:rsidR="00894DDF" w:rsidRPr="00EE24D4"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EE24D4">
              <w:rPr>
                <w:rFonts w:asciiTheme="minorHAnsi" w:hAnsiTheme="minorHAnsi"/>
                <w:color w:val="auto"/>
                <w:szCs w:val="24"/>
              </w:rPr>
              <w:t>male, died at rest</w:t>
            </w:r>
            <w:r w:rsidR="00D52742" w:rsidRPr="00EE24D4">
              <w:rPr>
                <w:rFonts w:asciiTheme="minorHAnsi" w:hAnsiTheme="minorHAnsi"/>
                <w:color w:val="auto"/>
                <w:szCs w:val="24"/>
              </w:rPr>
              <w:t>, 48</w:t>
            </w:r>
          </w:p>
        </w:tc>
        <w:tc>
          <w:tcPr>
            <w:tcW w:w="2041" w:type="dxa"/>
          </w:tcPr>
          <w:p w14:paraId="1090DEAC"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sibling, 49</w:t>
            </w:r>
          </w:p>
        </w:tc>
        <w:tc>
          <w:tcPr>
            <w:tcW w:w="2553" w:type="dxa"/>
          </w:tcPr>
          <w:p w14:paraId="20BB13D3"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tc>
        <w:tc>
          <w:tcPr>
            <w:tcW w:w="1843" w:type="dxa"/>
          </w:tcPr>
          <w:p w14:paraId="43F446FD"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p>
        </w:tc>
      </w:tr>
      <w:tr w:rsidR="00894DDF" w:rsidRPr="000F27B6" w14:paraId="2ED838F0" w14:textId="77777777" w:rsidTr="00E775E0">
        <w:trPr>
          <w:trHeight w:val="158"/>
        </w:trPr>
        <w:tc>
          <w:tcPr>
            <w:tcW w:w="738" w:type="dxa"/>
          </w:tcPr>
          <w:p w14:paraId="1E9BC1E1" w14:textId="749039B2"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Pr>
                <w:rFonts w:asciiTheme="minorHAnsi" w:hAnsiTheme="minorHAnsi"/>
                <w:color w:val="auto"/>
                <w:szCs w:val="24"/>
              </w:rPr>
              <w:t>12</w:t>
            </w:r>
          </w:p>
        </w:tc>
        <w:tc>
          <w:tcPr>
            <w:tcW w:w="3344" w:type="dxa"/>
          </w:tcPr>
          <w:p w14:paraId="74444A8E" w14:textId="343792B6" w:rsidR="00894DDF" w:rsidRPr="00EE24D4"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EE24D4">
              <w:rPr>
                <w:rFonts w:asciiTheme="minorHAnsi" w:hAnsiTheme="minorHAnsi"/>
                <w:color w:val="auto"/>
                <w:szCs w:val="24"/>
              </w:rPr>
              <w:t>male, died during exercise</w:t>
            </w:r>
            <w:r w:rsidR="00D52742" w:rsidRPr="00EE24D4">
              <w:rPr>
                <w:rFonts w:asciiTheme="minorHAnsi" w:hAnsiTheme="minorHAnsi"/>
                <w:color w:val="auto"/>
                <w:szCs w:val="24"/>
              </w:rPr>
              <w:t>, 36</w:t>
            </w:r>
            <w:r w:rsidR="00C13173" w:rsidRPr="00EE24D4">
              <w:rPr>
                <w:rFonts w:asciiTheme="minorHAnsi" w:hAnsiTheme="minorHAnsi"/>
                <w:color w:val="auto"/>
                <w:szCs w:val="24"/>
              </w:rPr>
              <w:t>, MF</w:t>
            </w:r>
          </w:p>
        </w:tc>
        <w:tc>
          <w:tcPr>
            <w:tcW w:w="2041" w:type="dxa"/>
          </w:tcPr>
          <w:p w14:paraId="7AED16C1"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sibling, 48</w:t>
            </w:r>
          </w:p>
          <w:p w14:paraId="748EDCFA"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sibling, 70</w:t>
            </w:r>
          </w:p>
          <w:p w14:paraId="27C04E32"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sibling, 46</w:t>
            </w:r>
          </w:p>
        </w:tc>
        <w:tc>
          <w:tcPr>
            <w:tcW w:w="2553" w:type="dxa"/>
          </w:tcPr>
          <w:p w14:paraId="178492E2"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p w14:paraId="54039CDA"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p w14:paraId="29A52C3E"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tc>
        <w:tc>
          <w:tcPr>
            <w:tcW w:w="1843" w:type="dxa"/>
          </w:tcPr>
          <w:p w14:paraId="409F0038"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p>
        </w:tc>
      </w:tr>
      <w:tr w:rsidR="00894DDF" w:rsidRPr="000F27B6" w14:paraId="69DEA00C" w14:textId="77777777" w:rsidTr="00E775E0">
        <w:trPr>
          <w:trHeight w:val="151"/>
        </w:trPr>
        <w:tc>
          <w:tcPr>
            <w:tcW w:w="738" w:type="dxa"/>
          </w:tcPr>
          <w:p w14:paraId="64EBC885" w14:textId="610FC33A" w:rsidR="00894DDF" w:rsidRPr="000F27B6" w:rsidRDefault="00894DDF" w:rsidP="00B44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Pr>
                <w:rFonts w:asciiTheme="minorHAnsi" w:hAnsiTheme="minorHAnsi"/>
                <w:color w:val="auto"/>
                <w:szCs w:val="24"/>
              </w:rPr>
              <w:t>13</w:t>
            </w:r>
          </w:p>
        </w:tc>
        <w:tc>
          <w:tcPr>
            <w:tcW w:w="3344" w:type="dxa"/>
          </w:tcPr>
          <w:p w14:paraId="380D2BCD" w14:textId="4CF0DDE2" w:rsidR="00894DDF" w:rsidRPr="00EE24D4" w:rsidRDefault="00894DDF" w:rsidP="00B4473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EE24D4">
              <w:rPr>
                <w:rFonts w:asciiTheme="minorHAnsi" w:hAnsiTheme="minorHAnsi"/>
                <w:color w:val="auto"/>
                <w:szCs w:val="24"/>
              </w:rPr>
              <w:t>male, died at rest</w:t>
            </w:r>
            <w:r w:rsidR="00D52742" w:rsidRPr="00EE24D4">
              <w:rPr>
                <w:rFonts w:asciiTheme="minorHAnsi" w:hAnsiTheme="minorHAnsi"/>
                <w:color w:val="auto"/>
                <w:szCs w:val="24"/>
              </w:rPr>
              <w:t>, 21</w:t>
            </w:r>
            <w:r w:rsidR="00C13173" w:rsidRPr="00EE24D4">
              <w:rPr>
                <w:rFonts w:asciiTheme="minorHAnsi" w:hAnsiTheme="minorHAnsi"/>
                <w:color w:val="auto"/>
                <w:szCs w:val="24"/>
              </w:rPr>
              <w:t>, MF</w:t>
            </w:r>
          </w:p>
        </w:tc>
        <w:tc>
          <w:tcPr>
            <w:tcW w:w="2041" w:type="dxa"/>
          </w:tcPr>
          <w:p w14:paraId="1E395DB2" w14:textId="19CC2F70"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father, 59</w:t>
            </w:r>
          </w:p>
          <w:p w14:paraId="17D60C16" w14:textId="04B359BD"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mother, 58</w:t>
            </w:r>
          </w:p>
          <w:p w14:paraId="55491863" w14:textId="6F8666E6" w:rsidR="00894DDF" w:rsidRPr="000F27B6" w:rsidRDefault="00894DDF" w:rsidP="00626FE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sibling, 19</w:t>
            </w:r>
          </w:p>
        </w:tc>
        <w:tc>
          <w:tcPr>
            <w:tcW w:w="2553" w:type="dxa"/>
          </w:tcPr>
          <w:p w14:paraId="70397ECE"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p w14:paraId="68C293CD"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IHD</w:t>
            </w:r>
          </w:p>
          <w:p w14:paraId="0BAD2021"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tc>
        <w:tc>
          <w:tcPr>
            <w:tcW w:w="1843" w:type="dxa"/>
          </w:tcPr>
          <w:p w14:paraId="0BB640BF"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p>
        </w:tc>
      </w:tr>
      <w:tr w:rsidR="00894DDF" w:rsidRPr="000F27B6" w14:paraId="1511B8E5" w14:textId="77777777" w:rsidTr="00E775E0">
        <w:trPr>
          <w:trHeight w:val="100"/>
        </w:trPr>
        <w:tc>
          <w:tcPr>
            <w:tcW w:w="738" w:type="dxa"/>
          </w:tcPr>
          <w:p w14:paraId="5DDD8466" w14:textId="7AFE0BFE"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Pr>
                <w:rFonts w:asciiTheme="minorHAnsi" w:hAnsiTheme="minorHAnsi"/>
                <w:color w:val="auto"/>
                <w:szCs w:val="24"/>
              </w:rPr>
              <w:t>14</w:t>
            </w:r>
          </w:p>
        </w:tc>
        <w:tc>
          <w:tcPr>
            <w:tcW w:w="3344" w:type="dxa"/>
          </w:tcPr>
          <w:p w14:paraId="1CAEE333" w14:textId="50763B59" w:rsidR="00894DDF" w:rsidRPr="00EE24D4"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EE24D4">
              <w:rPr>
                <w:rFonts w:asciiTheme="minorHAnsi" w:hAnsiTheme="minorHAnsi"/>
                <w:color w:val="auto"/>
                <w:szCs w:val="24"/>
              </w:rPr>
              <w:t>male, died at rest</w:t>
            </w:r>
            <w:r w:rsidR="00D52742" w:rsidRPr="00EE24D4">
              <w:rPr>
                <w:rFonts w:asciiTheme="minorHAnsi" w:hAnsiTheme="minorHAnsi"/>
                <w:color w:val="auto"/>
                <w:szCs w:val="24"/>
              </w:rPr>
              <w:t>, 57</w:t>
            </w:r>
            <w:r w:rsidR="00C13173" w:rsidRPr="00EE24D4">
              <w:rPr>
                <w:rFonts w:asciiTheme="minorHAnsi" w:hAnsiTheme="minorHAnsi"/>
                <w:color w:val="auto"/>
                <w:szCs w:val="24"/>
              </w:rPr>
              <w:t>, MF</w:t>
            </w:r>
          </w:p>
        </w:tc>
        <w:tc>
          <w:tcPr>
            <w:tcW w:w="2041" w:type="dxa"/>
          </w:tcPr>
          <w:p w14:paraId="7C4ED226"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son, 30</w:t>
            </w:r>
          </w:p>
          <w:p w14:paraId="76E0E59A"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son, 34</w:t>
            </w:r>
          </w:p>
        </w:tc>
        <w:tc>
          <w:tcPr>
            <w:tcW w:w="2553" w:type="dxa"/>
          </w:tcPr>
          <w:p w14:paraId="2CD53111"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p w14:paraId="09C83737"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tc>
        <w:tc>
          <w:tcPr>
            <w:tcW w:w="1843" w:type="dxa"/>
          </w:tcPr>
          <w:p w14:paraId="60FAEAE2"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p>
        </w:tc>
      </w:tr>
      <w:tr w:rsidR="00894DDF" w:rsidRPr="000F27B6" w14:paraId="68269FF7" w14:textId="77777777" w:rsidTr="00E775E0">
        <w:trPr>
          <w:trHeight w:val="186"/>
        </w:trPr>
        <w:tc>
          <w:tcPr>
            <w:tcW w:w="738" w:type="dxa"/>
          </w:tcPr>
          <w:p w14:paraId="5A3607FA" w14:textId="65317209"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Pr>
                <w:rFonts w:asciiTheme="minorHAnsi" w:hAnsiTheme="minorHAnsi"/>
                <w:color w:val="auto"/>
                <w:szCs w:val="24"/>
              </w:rPr>
              <w:t>15</w:t>
            </w:r>
          </w:p>
        </w:tc>
        <w:tc>
          <w:tcPr>
            <w:tcW w:w="3344" w:type="dxa"/>
          </w:tcPr>
          <w:p w14:paraId="63EEE608" w14:textId="7AA3FDA2" w:rsidR="00894DDF" w:rsidRPr="00EE24D4"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EE24D4">
              <w:rPr>
                <w:rFonts w:asciiTheme="minorHAnsi" w:hAnsiTheme="minorHAnsi"/>
                <w:color w:val="auto"/>
                <w:szCs w:val="24"/>
              </w:rPr>
              <w:t>male, died during exercise</w:t>
            </w:r>
            <w:r w:rsidR="00D52742" w:rsidRPr="00EE24D4">
              <w:rPr>
                <w:rFonts w:asciiTheme="minorHAnsi" w:hAnsiTheme="minorHAnsi"/>
                <w:color w:val="auto"/>
                <w:szCs w:val="24"/>
              </w:rPr>
              <w:t>, 38</w:t>
            </w:r>
          </w:p>
        </w:tc>
        <w:tc>
          <w:tcPr>
            <w:tcW w:w="2041" w:type="dxa"/>
          </w:tcPr>
          <w:p w14:paraId="7840C277"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mother, 63</w:t>
            </w:r>
          </w:p>
          <w:p w14:paraId="67714C49"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father, 64</w:t>
            </w:r>
          </w:p>
          <w:p w14:paraId="42A96AFD"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sibling, 36</w:t>
            </w:r>
          </w:p>
          <w:p w14:paraId="00886C82" w14:textId="7324B163"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sibling, 35</w:t>
            </w:r>
          </w:p>
        </w:tc>
        <w:tc>
          <w:tcPr>
            <w:tcW w:w="2553" w:type="dxa"/>
          </w:tcPr>
          <w:p w14:paraId="71B0C224"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lang w:val="en-GB"/>
              </w:rPr>
            </w:pPr>
            <w:r w:rsidRPr="000F27B6">
              <w:rPr>
                <w:rFonts w:asciiTheme="minorHAnsi" w:hAnsiTheme="minorHAnsi"/>
                <w:color w:val="auto"/>
                <w:szCs w:val="24"/>
                <w:lang w:val="en-GB"/>
              </w:rPr>
              <w:t>Negative</w:t>
            </w:r>
          </w:p>
          <w:p w14:paraId="2514D787" w14:textId="75507AE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lang w:val="en-GB"/>
              </w:rPr>
            </w:pPr>
            <w:r w:rsidRPr="000F27B6">
              <w:rPr>
                <w:rFonts w:asciiTheme="minorHAnsi" w:hAnsiTheme="minorHAnsi"/>
                <w:color w:val="auto"/>
                <w:szCs w:val="24"/>
                <w:lang w:val="en-GB"/>
              </w:rPr>
              <w:t>Possible IHD</w:t>
            </w:r>
          </w:p>
          <w:p w14:paraId="7398C41C"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lang w:val="en-GB"/>
              </w:rPr>
            </w:pPr>
            <w:r w:rsidRPr="000F27B6">
              <w:rPr>
                <w:rFonts w:asciiTheme="minorHAnsi" w:hAnsiTheme="minorHAnsi"/>
                <w:color w:val="auto"/>
                <w:szCs w:val="24"/>
                <w:lang w:val="en-GB"/>
              </w:rPr>
              <w:t>Negative</w:t>
            </w:r>
          </w:p>
          <w:p w14:paraId="2B9D1C41" w14:textId="41787025"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lang w:val="en-GB"/>
              </w:rPr>
            </w:pPr>
            <w:r w:rsidRPr="000F27B6">
              <w:rPr>
                <w:rFonts w:asciiTheme="minorHAnsi" w:hAnsiTheme="minorHAnsi"/>
                <w:color w:val="auto"/>
                <w:szCs w:val="24"/>
                <w:lang w:val="en-GB"/>
              </w:rPr>
              <w:t>Cardiac mass</w:t>
            </w:r>
          </w:p>
        </w:tc>
        <w:tc>
          <w:tcPr>
            <w:tcW w:w="1843" w:type="dxa"/>
          </w:tcPr>
          <w:p w14:paraId="4551A4A8"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lang w:val="en-GB"/>
              </w:rPr>
            </w:pPr>
          </w:p>
        </w:tc>
      </w:tr>
      <w:tr w:rsidR="00894DDF" w:rsidRPr="000F27B6" w14:paraId="4090DF18" w14:textId="77777777" w:rsidTr="00E775E0">
        <w:trPr>
          <w:trHeight w:val="74"/>
        </w:trPr>
        <w:tc>
          <w:tcPr>
            <w:tcW w:w="738" w:type="dxa"/>
          </w:tcPr>
          <w:p w14:paraId="644B5AEB" w14:textId="0ED080F3"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Pr>
                <w:rFonts w:asciiTheme="minorHAnsi" w:hAnsiTheme="minorHAnsi"/>
                <w:color w:val="auto"/>
                <w:szCs w:val="24"/>
              </w:rPr>
              <w:t>16</w:t>
            </w:r>
          </w:p>
        </w:tc>
        <w:tc>
          <w:tcPr>
            <w:tcW w:w="3344" w:type="dxa"/>
          </w:tcPr>
          <w:p w14:paraId="2CD3A5E4" w14:textId="004617EE" w:rsidR="00894DDF" w:rsidRPr="00EE24D4"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EE24D4">
              <w:rPr>
                <w:rFonts w:asciiTheme="minorHAnsi" w:hAnsiTheme="minorHAnsi"/>
                <w:color w:val="auto"/>
                <w:szCs w:val="24"/>
              </w:rPr>
              <w:t>male, died at rest</w:t>
            </w:r>
            <w:r w:rsidR="00D52742" w:rsidRPr="00EE24D4">
              <w:rPr>
                <w:rFonts w:asciiTheme="minorHAnsi" w:hAnsiTheme="minorHAnsi"/>
                <w:color w:val="auto"/>
                <w:szCs w:val="24"/>
              </w:rPr>
              <w:t>, 50</w:t>
            </w:r>
          </w:p>
        </w:tc>
        <w:tc>
          <w:tcPr>
            <w:tcW w:w="2041" w:type="dxa"/>
          </w:tcPr>
          <w:p w14:paraId="4E8FE987"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sibling, 65</w:t>
            </w:r>
          </w:p>
        </w:tc>
        <w:tc>
          <w:tcPr>
            <w:tcW w:w="2553" w:type="dxa"/>
          </w:tcPr>
          <w:p w14:paraId="01FEC7BF" w14:textId="0DEA5DFF"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tc>
        <w:tc>
          <w:tcPr>
            <w:tcW w:w="1843" w:type="dxa"/>
          </w:tcPr>
          <w:p w14:paraId="2641ACDA"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p>
        </w:tc>
      </w:tr>
      <w:tr w:rsidR="00894DDF" w:rsidRPr="000F27B6" w14:paraId="52695888" w14:textId="77777777" w:rsidTr="00E775E0">
        <w:trPr>
          <w:trHeight w:val="163"/>
        </w:trPr>
        <w:tc>
          <w:tcPr>
            <w:tcW w:w="738" w:type="dxa"/>
          </w:tcPr>
          <w:p w14:paraId="2897F328" w14:textId="571EFFCD"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Pr>
                <w:rFonts w:asciiTheme="minorHAnsi" w:hAnsiTheme="minorHAnsi"/>
                <w:color w:val="auto"/>
                <w:szCs w:val="24"/>
              </w:rPr>
              <w:t>17</w:t>
            </w:r>
          </w:p>
        </w:tc>
        <w:tc>
          <w:tcPr>
            <w:tcW w:w="3344" w:type="dxa"/>
          </w:tcPr>
          <w:p w14:paraId="10CB7988" w14:textId="1C10C47A" w:rsidR="00894DDF" w:rsidRPr="00EE24D4"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EE24D4">
              <w:rPr>
                <w:rFonts w:asciiTheme="minorHAnsi" w:hAnsiTheme="minorHAnsi"/>
                <w:color w:val="auto"/>
                <w:szCs w:val="24"/>
              </w:rPr>
              <w:t>male, died during exercise</w:t>
            </w:r>
            <w:r w:rsidR="00D52742" w:rsidRPr="00EE24D4">
              <w:rPr>
                <w:rFonts w:asciiTheme="minorHAnsi" w:hAnsiTheme="minorHAnsi"/>
                <w:color w:val="auto"/>
                <w:szCs w:val="24"/>
              </w:rPr>
              <w:t>, 28</w:t>
            </w:r>
          </w:p>
        </w:tc>
        <w:tc>
          <w:tcPr>
            <w:tcW w:w="2041" w:type="dxa"/>
          </w:tcPr>
          <w:p w14:paraId="72E20E5F" w14:textId="06B16049"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father, 63</w:t>
            </w:r>
          </w:p>
          <w:p w14:paraId="690219C4" w14:textId="2131143C"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mother, 50</w:t>
            </w:r>
          </w:p>
          <w:p w14:paraId="65A7DA23"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sibling, 27</w:t>
            </w:r>
          </w:p>
        </w:tc>
        <w:tc>
          <w:tcPr>
            <w:tcW w:w="2553" w:type="dxa"/>
          </w:tcPr>
          <w:p w14:paraId="655D4CAB" w14:textId="5C13724B"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p w14:paraId="736867FF" w14:textId="4AFCF55A"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WPW</w:t>
            </w:r>
          </w:p>
          <w:p w14:paraId="21CC7B79"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tc>
        <w:tc>
          <w:tcPr>
            <w:tcW w:w="1843" w:type="dxa"/>
          </w:tcPr>
          <w:p w14:paraId="3CA99FEF"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p>
        </w:tc>
      </w:tr>
      <w:tr w:rsidR="00894DDF" w:rsidRPr="000F27B6" w14:paraId="111F7758" w14:textId="77777777" w:rsidTr="00E775E0">
        <w:trPr>
          <w:trHeight w:val="186"/>
        </w:trPr>
        <w:tc>
          <w:tcPr>
            <w:tcW w:w="738" w:type="dxa"/>
          </w:tcPr>
          <w:p w14:paraId="14D5926C" w14:textId="7D460351"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Pr>
                <w:rFonts w:asciiTheme="minorHAnsi" w:hAnsiTheme="minorHAnsi"/>
                <w:color w:val="auto"/>
                <w:szCs w:val="24"/>
              </w:rPr>
              <w:lastRenderedPageBreak/>
              <w:t>18</w:t>
            </w:r>
          </w:p>
        </w:tc>
        <w:tc>
          <w:tcPr>
            <w:tcW w:w="3344" w:type="dxa"/>
          </w:tcPr>
          <w:p w14:paraId="2E7648E7" w14:textId="1EDC7EAF" w:rsidR="00894DDF" w:rsidRPr="00EE24D4"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EE24D4">
              <w:rPr>
                <w:rFonts w:asciiTheme="minorHAnsi" w:hAnsiTheme="minorHAnsi"/>
                <w:color w:val="auto"/>
                <w:szCs w:val="24"/>
              </w:rPr>
              <w:t>male, died during sleep</w:t>
            </w:r>
            <w:r w:rsidR="00D52742" w:rsidRPr="00EE24D4">
              <w:rPr>
                <w:rFonts w:asciiTheme="minorHAnsi" w:hAnsiTheme="minorHAnsi"/>
                <w:color w:val="auto"/>
                <w:szCs w:val="24"/>
              </w:rPr>
              <w:t>, 25</w:t>
            </w:r>
          </w:p>
        </w:tc>
        <w:tc>
          <w:tcPr>
            <w:tcW w:w="2041" w:type="dxa"/>
          </w:tcPr>
          <w:p w14:paraId="0AD78430"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father, 50</w:t>
            </w:r>
          </w:p>
          <w:p w14:paraId="08F6D6BE"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mother, 48</w:t>
            </w:r>
          </w:p>
          <w:p w14:paraId="0098FE6F" w14:textId="075BA80F"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sibling, 25</w:t>
            </w:r>
          </w:p>
          <w:p w14:paraId="08659FC6"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sibling, 21</w:t>
            </w:r>
          </w:p>
        </w:tc>
        <w:tc>
          <w:tcPr>
            <w:tcW w:w="2553" w:type="dxa"/>
          </w:tcPr>
          <w:p w14:paraId="3DAF324B" w14:textId="08FF61B9"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Mild LVH, hypertension</w:t>
            </w:r>
          </w:p>
          <w:p w14:paraId="0529318B"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 xml:space="preserve">Concealed </w:t>
            </w:r>
            <w:proofErr w:type="spellStart"/>
            <w:r w:rsidRPr="000F27B6">
              <w:rPr>
                <w:rFonts w:asciiTheme="minorHAnsi" w:hAnsiTheme="minorHAnsi"/>
                <w:color w:val="auto"/>
                <w:szCs w:val="24"/>
              </w:rPr>
              <w:t>Brugada</w:t>
            </w:r>
            <w:proofErr w:type="spellEnd"/>
          </w:p>
          <w:p w14:paraId="185E4577"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p w14:paraId="739BA0E6" w14:textId="6FF0D30E"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tc>
        <w:tc>
          <w:tcPr>
            <w:tcW w:w="1843" w:type="dxa"/>
          </w:tcPr>
          <w:p w14:paraId="34787A03"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p>
          <w:p w14:paraId="0CED92A5"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Negative</w:t>
            </w:r>
          </w:p>
        </w:tc>
      </w:tr>
      <w:tr w:rsidR="00894DDF" w:rsidRPr="000F27B6" w14:paraId="04CF5144" w14:textId="77777777" w:rsidTr="00E775E0">
        <w:trPr>
          <w:trHeight w:val="112"/>
        </w:trPr>
        <w:tc>
          <w:tcPr>
            <w:tcW w:w="738" w:type="dxa"/>
          </w:tcPr>
          <w:p w14:paraId="38188C58" w14:textId="70896A45"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Pr>
                <w:rFonts w:asciiTheme="minorHAnsi" w:hAnsiTheme="minorHAnsi"/>
                <w:color w:val="auto"/>
                <w:szCs w:val="24"/>
              </w:rPr>
              <w:t>19</w:t>
            </w:r>
          </w:p>
        </w:tc>
        <w:tc>
          <w:tcPr>
            <w:tcW w:w="3344" w:type="dxa"/>
          </w:tcPr>
          <w:p w14:paraId="7F3235AB" w14:textId="0BF4D479" w:rsidR="00894DDF" w:rsidRPr="00EE24D4"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EE24D4">
              <w:rPr>
                <w:rFonts w:asciiTheme="minorHAnsi" w:hAnsiTheme="minorHAnsi"/>
                <w:color w:val="auto"/>
                <w:szCs w:val="24"/>
              </w:rPr>
              <w:t>male, died during exercise</w:t>
            </w:r>
            <w:r w:rsidR="00E247D6" w:rsidRPr="00EE24D4">
              <w:rPr>
                <w:rFonts w:asciiTheme="minorHAnsi" w:hAnsiTheme="minorHAnsi"/>
                <w:color w:val="auto"/>
                <w:szCs w:val="24"/>
              </w:rPr>
              <w:t>, 24</w:t>
            </w:r>
          </w:p>
        </w:tc>
        <w:tc>
          <w:tcPr>
            <w:tcW w:w="2041" w:type="dxa"/>
          </w:tcPr>
          <w:p w14:paraId="4441E4FF"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father, 50</w:t>
            </w:r>
          </w:p>
          <w:p w14:paraId="44FD0065"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p>
          <w:p w14:paraId="2EFAD87D" w14:textId="32A37CF1"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mother, 50</w:t>
            </w:r>
          </w:p>
        </w:tc>
        <w:tc>
          <w:tcPr>
            <w:tcW w:w="2553" w:type="dxa"/>
          </w:tcPr>
          <w:p w14:paraId="685002AF" w14:textId="6F6954A4"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Mild LVH, hypertension, steroid use</w:t>
            </w:r>
          </w:p>
          <w:p w14:paraId="6083D428"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tc>
        <w:tc>
          <w:tcPr>
            <w:tcW w:w="1843" w:type="dxa"/>
          </w:tcPr>
          <w:p w14:paraId="3C6EE18A"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Negative</w:t>
            </w:r>
          </w:p>
        </w:tc>
      </w:tr>
      <w:tr w:rsidR="00894DDF" w:rsidRPr="000F27B6" w14:paraId="16F7C412" w14:textId="77777777" w:rsidTr="00E775E0">
        <w:trPr>
          <w:trHeight w:val="163"/>
        </w:trPr>
        <w:tc>
          <w:tcPr>
            <w:tcW w:w="738" w:type="dxa"/>
          </w:tcPr>
          <w:p w14:paraId="70E398FF" w14:textId="4E238381" w:rsidR="00894DDF" w:rsidRPr="000F27B6" w:rsidRDefault="00894DDF" w:rsidP="00E861C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Pr>
                <w:rFonts w:asciiTheme="minorHAnsi" w:hAnsiTheme="minorHAnsi"/>
                <w:color w:val="auto"/>
                <w:szCs w:val="24"/>
              </w:rPr>
              <w:t>20</w:t>
            </w:r>
          </w:p>
        </w:tc>
        <w:tc>
          <w:tcPr>
            <w:tcW w:w="3344" w:type="dxa"/>
          </w:tcPr>
          <w:p w14:paraId="4FB4ABBA" w14:textId="4A87D1B7" w:rsidR="00894DDF" w:rsidRPr="00EE24D4" w:rsidRDefault="00894DDF" w:rsidP="00E861C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lang w:val="en-GB"/>
              </w:rPr>
            </w:pPr>
            <w:r w:rsidRPr="00EE24D4">
              <w:rPr>
                <w:rFonts w:asciiTheme="minorHAnsi" w:hAnsiTheme="minorHAnsi"/>
                <w:color w:val="auto"/>
                <w:szCs w:val="24"/>
              </w:rPr>
              <w:t>male, died at rest,</w:t>
            </w:r>
            <w:r w:rsidR="00E247D6" w:rsidRPr="00EE24D4">
              <w:rPr>
                <w:rFonts w:asciiTheme="minorHAnsi" w:hAnsiTheme="minorHAnsi"/>
                <w:color w:val="auto"/>
                <w:szCs w:val="24"/>
              </w:rPr>
              <w:t xml:space="preserve"> 27,</w:t>
            </w:r>
            <w:r w:rsidRPr="00EE24D4">
              <w:rPr>
                <w:rFonts w:asciiTheme="minorHAnsi" w:hAnsiTheme="minorHAnsi"/>
                <w:color w:val="auto"/>
                <w:szCs w:val="24"/>
              </w:rPr>
              <w:t xml:space="preserve"> </w:t>
            </w:r>
            <w:r w:rsidRPr="00EE24D4">
              <w:rPr>
                <w:rFonts w:asciiTheme="minorHAnsi" w:hAnsiTheme="minorHAnsi"/>
                <w:color w:val="auto"/>
                <w:szCs w:val="24"/>
                <w:lang w:val="en-GB"/>
              </w:rPr>
              <w:t>KCNQ1</w:t>
            </w:r>
          </w:p>
          <w:p w14:paraId="206D40EC" w14:textId="1C8C5C11" w:rsidR="00894DDF" w:rsidRPr="00EE24D4"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lang w:val="en-GB"/>
              </w:rPr>
            </w:pPr>
          </w:p>
        </w:tc>
        <w:tc>
          <w:tcPr>
            <w:tcW w:w="2041" w:type="dxa"/>
          </w:tcPr>
          <w:p w14:paraId="1A605F73"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mother, 57</w:t>
            </w:r>
          </w:p>
          <w:p w14:paraId="7E3A7DB7"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father, 61</w:t>
            </w:r>
          </w:p>
        </w:tc>
        <w:tc>
          <w:tcPr>
            <w:tcW w:w="2553" w:type="dxa"/>
          </w:tcPr>
          <w:p w14:paraId="24F5C580"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LQTS</w:t>
            </w:r>
          </w:p>
          <w:p w14:paraId="03A68842" w14:textId="7A2D039B"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Pr>
                <w:rFonts w:asciiTheme="minorHAnsi" w:hAnsiTheme="minorHAnsi"/>
                <w:color w:val="auto"/>
                <w:szCs w:val="24"/>
              </w:rPr>
              <w:t>M</w:t>
            </w:r>
            <w:r w:rsidRPr="000F27B6">
              <w:rPr>
                <w:rFonts w:asciiTheme="minorHAnsi" w:hAnsiTheme="minorHAnsi"/>
                <w:color w:val="auto"/>
                <w:szCs w:val="24"/>
              </w:rPr>
              <w:t>ild LVH, hypertension</w:t>
            </w:r>
          </w:p>
        </w:tc>
        <w:tc>
          <w:tcPr>
            <w:tcW w:w="1843" w:type="dxa"/>
          </w:tcPr>
          <w:p w14:paraId="26C60DC4" w14:textId="5F7C0F69"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lang w:val="en-GB"/>
              </w:rPr>
            </w:pPr>
            <w:r w:rsidRPr="000F27B6">
              <w:rPr>
                <w:rFonts w:asciiTheme="minorHAnsi" w:hAnsiTheme="minorHAnsi"/>
                <w:color w:val="auto"/>
                <w:szCs w:val="24"/>
                <w:lang w:val="en-GB"/>
              </w:rPr>
              <w:t>KCNQ1</w:t>
            </w:r>
          </w:p>
          <w:p w14:paraId="170ADE1D" w14:textId="5FE89F1D"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p>
        </w:tc>
      </w:tr>
      <w:tr w:rsidR="00894DDF" w:rsidRPr="000F27B6" w14:paraId="08A468BD" w14:textId="77777777" w:rsidTr="00E775E0">
        <w:trPr>
          <w:trHeight w:val="186"/>
        </w:trPr>
        <w:tc>
          <w:tcPr>
            <w:tcW w:w="738" w:type="dxa"/>
          </w:tcPr>
          <w:p w14:paraId="269C77F7" w14:textId="0AAD02EC"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Pr>
                <w:rFonts w:asciiTheme="minorHAnsi" w:hAnsiTheme="minorHAnsi"/>
                <w:color w:val="auto"/>
                <w:szCs w:val="24"/>
              </w:rPr>
              <w:t>21</w:t>
            </w:r>
          </w:p>
        </w:tc>
        <w:tc>
          <w:tcPr>
            <w:tcW w:w="3344" w:type="dxa"/>
          </w:tcPr>
          <w:p w14:paraId="3A29AF98" w14:textId="57853651" w:rsidR="00894DDF" w:rsidRPr="00EE24D4"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EE24D4">
              <w:rPr>
                <w:rFonts w:asciiTheme="minorHAnsi" w:hAnsiTheme="minorHAnsi"/>
                <w:color w:val="auto"/>
                <w:szCs w:val="24"/>
              </w:rPr>
              <w:t>female, died during exercise</w:t>
            </w:r>
            <w:r w:rsidR="00E247D6" w:rsidRPr="00EE24D4">
              <w:rPr>
                <w:rFonts w:asciiTheme="minorHAnsi" w:hAnsiTheme="minorHAnsi"/>
                <w:color w:val="auto"/>
                <w:szCs w:val="24"/>
              </w:rPr>
              <w:t>, 8</w:t>
            </w:r>
          </w:p>
        </w:tc>
        <w:tc>
          <w:tcPr>
            <w:tcW w:w="2041" w:type="dxa"/>
          </w:tcPr>
          <w:p w14:paraId="6C4237E0"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father, 58</w:t>
            </w:r>
          </w:p>
          <w:p w14:paraId="43668E87"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mother, 57</w:t>
            </w:r>
          </w:p>
          <w:p w14:paraId="50769826"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sibling, 33</w:t>
            </w:r>
          </w:p>
          <w:p w14:paraId="70B7D21A"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sibling, 33</w:t>
            </w:r>
          </w:p>
        </w:tc>
        <w:tc>
          <w:tcPr>
            <w:tcW w:w="2553" w:type="dxa"/>
          </w:tcPr>
          <w:p w14:paraId="570429A7"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lang w:val="it-IT"/>
              </w:rPr>
            </w:pPr>
            <w:r w:rsidRPr="000F27B6">
              <w:rPr>
                <w:rFonts w:asciiTheme="minorHAnsi" w:hAnsiTheme="minorHAnsi"/>
                <w:color w:val="auto"/>
                <w:szCs w:val="24"/>
                <w:lang w:val="it-IT"/>
              </w:rPr>
              <w:t>Negative</w:t>
            </w:r>
          </w:p>
          <w:p w14:paraId="55BECF66"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lang w:val="it-IT"/>
              </w:rPr>
            </w:pPr>
            <w:r w:rsidRPr="000F27B6">
              <w:rPr>
                <w:rFonts w:asciiTheme="minorHAnsi" w:hAnsiTheme="minorHAnsi"/>
                <w:color w:val="auto"/>
                <w:szCs w:val="24"/>
                <w:lang w:val="it-IT"/>
              </w:rPr>
              <w:t>Negative</w:t>
            </w:r>
          </w:p>
          <w:p w14:paraId="14274CD5"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lang w:val="it-IT"/>
              </w:rPr>
            </w:pPr>
            <w:r w:rsidRPr="000F27B6">
              <w:rPr>
                <w:rFonts w:asciiTheme="minorHAnsi" w:hAnsiTheme="minorHAnsi"/>
                <w:color w:val="auto"/>
                <w:szCs w:val="24"/>
                <w:lang w:val="it-IT"/>
              </w:rPr>
              <w:t>Negative</w:t>
            </w:r>
          </w:p>
          <w:p w14:paraId="42BB3383" w14:textId="6F526B74"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lang w:val="it-IT"/>
              </w:rPr>
            </w:pPr>
            <w:r w:rsidRPr="000F27B6">
              <w:rPr>
                <w:rFonts w:asciiTheme="minorHAnsi" w:hAnsiTheme="minorHAnsi"/>
                <w:color w:val="auto"/>
                <w:szCs w:val="24"/>
                <w:lang w:val="it-IT"/>
              </w:rPr>
              <w:t>AC</w:t>
            </w:r>
          </w:p>
        </w:tc>
        <w:tc>
          <w:tcPr>
            <w:tcW w:w="1843" w:type="dxa"/>
          </w:tcPr>
          <w:p w14:paraId="22B401E8"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lang w:val="it-IT"/>
              </w:rPr>
            </w:pPr>
          </w:p>
          <w:p w14:paraId="6EB9E889"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lang w:val="it-IT"/>
              </w:rPr>
            </w:pPr>
          </w:p>
          <w:p w14:paraId="6D1AC601"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lang w:val="it-IT"/>
              </w:rPr>
            </w:pPr>
          </w:p>
          <w:p w14:paraId="372B067B"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Lamin A/C</w:t>
            </w:r>
          </w:p>
        </w:tc>
      </w:tr>
      <w:tr w:rsidR="00894DDF" w:rsidRPr="000F27B6" w14:paraId="15BCF68D" w14:textId="77777777" w:rsidTr="00E775E0">
        <w:trPr>
          <w:trHeight w:val="170"/>
        </w:trPr>
        <w:tc>
          <w:tcPr>
            <w:tcW w:w="738" w:type="dxa"/>
          </w:tcPr>
          <w:p w14:paraId="7B72C7E1" w14:textId="368D1D5F"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Pr>
                <w:rFonts w:asciiTheme="minorHAnsi" w:hAnsiTheme="minorHAnsi"/>
                <w:color w:val="auto"/>
                <w:szCs w:val="24"/>
              </w:rPr>
              <w:t>22</w:t>
            </w:r>
          </w:p>
        </w:tc>
        <w:tc>
          <w:tcPr>
            <w:tcW w:w="3344" w:type="dxa"/>
          </w:tcPr>
          <w:p w14:paraId="2652DC26" w14:textId="69E6C205" w:rsidR="00894DDF" w:rsidRPr="00EE24D4"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EE24D4">
              <w:rPr>
                <w:rFonts w:asciiTheme="minorHAnsi" w:hAnsiTheme="minorHAnsi"/>
                <w:color w:val="auto"/>
                <w:szCs w:val="24"/>
              </w:rPr>
              <w:t xml:space="preserve"> male, died during exercise</w:t>
            </w:r>
            <w:r w:rsidR="00E247D6" w:rsidRPr="00EE24D4">
              <w:rPr>
                <w:rFonts w:asciiTheme="minorHAnsi" w:hAnsiTheme="minorHAnsi"/>
                <w:color w:val="auto"/>
                <w:szCs w:val="24"/>
              </w:rPr>
              <w:t>, 55</w:t>
            </w:r>
            <w:r w:rsidR="00C13173" w:rsidRPr="00EE24D4">
              <w:rPr>
                <w:rFonts w:asciiTheme="minorHAnsi" w:hAnsiTheme="minorHAnsi"/>
                <w:color w:val="auto"/>
                <w:szCs w:val="24"/>
              </w:rPr>
              <w:t>, MF</w:t>
            </w:r>
          </w:p>
        </w:tc>
        <w:tc>
          <w:tcPr>
            <w:tcW w:w="2041" w:type="dxa"/>
          </w:tcPr>
          <w:p w14:paraId="53D46E34"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son, 30</w:t>
            </w:r>
          </w:p>
          <w:p w14:paraId="179496E9"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daughter, 28</w:t>
            </w:r>
          </w:p>
        </w:tc>
        <w:tc>
          <w:tcPr>
            <w:tcW w:w="2553" w:type="dxa"/>
          </w:tcPr>
          <w:p w14:paraId="3A6E3034"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p w14:paraId="303C0047"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tc>
        <w:tc>
          <w:tcPr>
            <w:tcW w:w="1843" w:type="dxa"/>
          </w:tcPr>
          <w:p w14:paraId="08E35EEA"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p>
        </w:tc>
      </w:tr>
      <w:tr w:rsidR="00894DDF" w:rsidRPr="000F27B6" w14:paraId="3F5F3A69" w14:textId="77777777" w:rsidTr="00E775E0">
        <w:trPr>
          <w:trHeight w:val="124"/>
        </w:trPr>
        <w:tc>
          <w:tcPr>
            <w:tcW w:w="738" w:type="dxa"/>
          </w:tcPr>
          <w:p w14:paraId="0C34968C" w14:textId="1C87529B"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Pr>
                <w:rFonts w:asciiTheme="minorHAnsi" w:hAnsiTheme="minorHAnsi"/>
                <w:color w:val="auto"/>
                <w:szCs w:val="24"/>
              </w:rPr>
              <w:t>23</w:t>
            </w:r>
          </w:p>
        </w:tc>
        <w:tc>
          <w:tcPr>
            <w:tcW w:w="3344" w:type="dxa"/>
          </w:tcPr>
          <w:p w14:paraId="0D4B33E7" w14:textId="037BEDE3" w:rsidR="00894DDF" w:rsidRPr="00EE24D4"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EE24D4">
              <w:rPr>
                <w:rFonts w:asciiTheme="minorHAnsi" w:hAnsiTheme="minorHAnsi"/>
                <w:color w:val="auto"/>
                <w:szCs w:val="24"/>
              </w:rPr>
              <w:t>female, died at rest</w:t>
            </w:r>
            <w:r w:rsidR="00E247D6" w:rsidRPr="00EE24D4">
              <w:rPr>
                <w:rFonts w:asciiTheme="minorHAnsi" w:hAnsiTheme="minorHAnsi"/>
                <w:color w:val="auto"/>
                <w:szCs w:val="24"/>
              </w:rPr>
              <w:t>, 25</w:t>
            </w:r>
          </w:p>
        </w:tc>
        <w:tc>
          <w:tcPr>
            <w:tcW w:w="2041" w:type="dxa"/>
          </w:tcPr>
          <w:p w14:paraId="1912CCA2"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mother, 62</w:t>
            </w:r>
          </w:p>
          <w:p w14:paraId="014120AC"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father, 55</w:t>
            </w:r>
          </w:p>
        </w:tc>
        <w:tc>
          <w:tcPr>
            <w:tcW w:w="2553" w:type="dxa"/>
          </w:tcPr>
          <w:p w14:paraId="3A8F1457"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p w14:paraId="1E0C2DBE"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Tri-fascicular block</w:t>
            </w:r>
          </w:p>
        </w:tc>
        <w:tc>
          <w:tcPr>
            <w:tcW w:w="1843" w:type="dxa"/>
          </w:tcPr>
          <w:p w14:paraId="544392B0"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p>
        </w:tc>
      </w:tr>
      <w:tr w:rsidR="00894DDF" w:rsidRPr="000F27B6" w14:paraId="5813D57E" w14:textId="77777777" w:rsidTr="00E775E0">
        <w:trPr>
          <w:trHeight w:val="186"/>
        </w:trPr>
        <w:tc>
          <w:tcPr>
            <w:tcW w:w="738" w:type="dxa"/>
          </w:tcPr>
          <w:p w14:paraId="48822D4B" w14:textId="4B9C243F"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Pr>
                <w:rFonts w:asciiTheme="minorHAnsi" w:hAnsiTheme="minorHAnsi"/>
                <w:color w:val="auto"/>
                <w:szCs w:val="24"/>
              </w:rPr>
              <w:t>24</w:t>
            </w:r>
          </w:p>
        </w:tc>
        <w:tc>
          <w:tcPr>
            <w:tcW w:w="3344" w:type="dxa"/>
          </w:tcPr>
          <w:p w14:paraId="4350AB21" w14:textId="4461D450" w:rsidR="00894DDF" w:rsidRPr="00EE24D4"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EE24D4">
              <w:rPr>
                <w:rFonts w:asciiTheme="minorHAnsi" w:hAnsiTheme="minorHAnsi"/>
                <w:color w:val="auto"/>
                <w:szCs w:val="24"/>
              </w:rPr>
              <w:t>male, died during exercise</w:t>
            </w:r>
            <w:r w:rsidR="00E247D6" w:rsidRPr="00EE24D4">
              <w:rPr>
                <w:rFonts w:asciiTheme="minorHAnsi" w:hAnsiTheme="minorHAnsi"/>
                <w:color w:val="auto"/>
                <w:szCs w:val="24"/>
              </w:rPr>
              <w:t>, 21</w:t>
            </w:r>
          </w:p>
        </w:tc>
        <w:tc>
          <w:tcPr>
            <w:tcW w:w="2041" w:type="dxa"/>
          </w:tcPr>
          <w:p w14:paraId="08C1FACA"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father, 55</w:t>
            </w:r>
          </w:p>
          <w:p w14:paraId="14BEDD25"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sibling, 27</w:t>
            </w:r>
          </w:p>
          <w:p w14:paraId="79368C09"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sibling, 23</w:t>
            </w:r>
          </w:p>
          <w:p w14:paraId="3CA72CEE"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sibling, 22</w:t>
            </w:r>
          </w:p>
        </w:tc>
        <w:tc>
          <w:tcPr>
            <w:tcW w:w="2553" w:type="dxa"/>
          </w:tcPr>
          <w:p w14:paraId="74738372" w14:textId="1EFDF79C"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lang w:val="da-DK"/>
              </w:rPr>
            </w:pPr>
            <w:r w:rsidRPr="000F27B6">
              <w:rPr>
                <w:rFonts w:asciiTheme="minorHAnsi" w:hAnsiTheme="minorHAnsi"/>
                <w:color w:val="auto"/>
                <w:szCs w:val="24"/>
                <w:lang w:val="da-DK"/>
              </w:rPr>
              <w:t>Mild LVH, hypertension</w:t>
            </w:r>
          </w:p>
          <w:p w14:paraId="0E869637"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lang w:val="da-DK"/>
              </w:rPr>
            </w:pPr>
            <w:r w:rsidRPr="000F27B6">
              <w:rPr>
                <w:rFonts w:asciiTheme="minorHAnsi" w:hAnsiTheme="minorHAnsi"/>
                <w:color w:val="auto"/>
                <w:szCs w:val="24"/>
                <w:lang w:val="da-DK"/>
              </w:rPr>
              <w:t>VE burden 9%</w:t>
            </w:r>
          </w:p>
          <w:p w14:paraId="5C3D81BD"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lang w:val="da-DK"/>
              </w:rPr>
            </w:pPr>
            <w:r w:rsidRPr="000F27B6">
              <w:rPr>
                <w:rFonts w:asciiTheme="minorHAnsi" w:hAnsiTheme="minorHAnsi"/>
                <w:color w:val="auto"/>
                <w:szCs w:val="24"/>
                <w:lang w:val="da-DK"/>
              </w:rPr>
              <w:t>Concealed Brugada</w:t>
            </w:r>
          </w:p>
          <w:p w14:paraId="3EA70D9F"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tc>
        <w:tc>
          <w:tcPr>
            <w:tcW w:w="1843" w:type="dxa"/>
          </w:tcPr>
          <w:p w14:paraId="29C25E10"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p>
          <w:p w14:paraId="209F425D"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Negative</w:t>
            </w:r>
          </w:p>
          <w:p w14:paraId="18C1A641"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Negative</w:t>
            </w:r>
          </w:p>
        </w:tc>
      </w:tr>
      <w:tr w:rsidR="00894DDF" w:rsidRPr="000F27B6" w14:paraId="74597089" w14:textId="77777777" w:rsidTr="00E775E0">
        <w:trPr>
          <w:trHeight w:val="186"/>
        </w:trPr>
        <w:tc>
          <w:tcPr>
            <w:tcW w:w="738" w:type="dxa"/>
          </w:tcPr>
          <w:p w14:paraId="228C0EF6" w14:textId="42B4685F"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Pr>
                <w:rFonts w:asciiTheme="minorHAnsi" w:hAnsiTheme="minorHAnsi"/>
                <w:color w:val="auto"/>
                <w:szCs w:val="24"/>
              </w:rPr>
              <w:t>25</w:t>
            </w:r>
          </w:p>
        </w:tc>
        <w:tc>
          <w:tcPr>
            <w:tcW w:w="3344" w:type="dxa"/>
          </w:tcPr>
          <w:p w14:paraId="0BF2205D" w14:textId="781AD966" w:rsidR="00894DDF" w:rsidRPr="00EE24D4"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EE24D4">
              <w:rPr>
                <w:rFonts w:asciiTheme="minorHAnsi" w:hAnsiTheme="minorHAnsi"/>
                <w:color w:val="auto"/>
                <w:szCs w:val="24"/>
              </w:rPr>
              <w:t>male, died at rest</w:t>
            </w:r>
            <w:r w:rsidR="00E247D6" w:rsidRPr="00EE24D4">
              <w:rPr>
                <w:rFonts w:asciiTheme="minorHAnsi" w:hAnsiTheme="minorHAnsi"/>
                <w:color w:val="auto"/>
                <w:szCs w:val="24"/>
              </w:rPr>
              <w:t>, 57</w:t>
            </w:r>
          </w:p>
        </w:tc>
        <w:tc>
          <w:tcPr>
            <w:tcW w:w="2041" w:type="dxa"/>
          </w:tcPr>
          <w:p w14:paraId="62D03E3D"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daughter, 32</w:t>
            </w:r>
          </w:p>
          <w:p w14:paraId="69F09BAD"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daughter, 21</w:t>
            </w:r>
          </w:p>
          <w:p w14:paraId="4E911CCE"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son, 25</w:t>
            </w:r>
          </w:p>
          <w:p w14:paraId="300AE653"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daughter, 27</w:t>
            </w:r>
          </w:p>
        </w:tc>
        <w:tc>
          <w:tcPr>
            <w:tcW w:w="2553" w:type="dxa"/>
          </w:tcPr>
          <w:p w14:paraId="2D32CFAD"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p w14:paraId="1155EB4E"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p w14:paraId="2830BF71"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p w14:paraId="712D1D0D"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tc>
        <w:tc>
          <w:tcPr>
            <w:tcW w:w="1843" w:type="dxa"/>
          </w:tcPr>
          <w:p w14:paraId="6AC0751B"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p>
        </w:tc>
      </w:tr>
      <w:tr w:rsidR="00894DDF" w:rsidRPr="000F27B6" w14:paraId="01A904BF" w14:textId="77777777" w:rsidTr="00E775E0">
        <w:trPr>
          <w:trHeight w:val="74"/>
        </w:trPr>
        <w:tc>
          <w:tcPr>
            <w:tcW w:w="738" w:type="dxa"/>
          </w:tcPr>
          <w:p w14:paraId="50377A00" w14:textId="1F896C8E"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Pr>
                <w:rFonts w:asciiTheme="minorHAnsi" w:hAnsiTheme="minorHAnsi"/>
                <w:color w:val="auto"/>
                <w:szCs w:val="24"/>
              </w:rPr>
              <w:t>26</w:t>
            </w:r>
          </w:p>
        </w:tc>
        <w:tc>
          <w:tcPr>
            <w:tcW w:w="3344" w:type="dxa"/>
          </w:tcPr>
          <w:p w14:paraId="263F2EE8" w14:textId="3913242D" w:rsidR="00894DDF" w:rsidRPr="00EE24D4"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EE24D4">
              <w:rPr>
                <w:rFonts w:asciiTheme="minorHAnsi" w:hAnsiTheme="minorHAnsi"/>
                <w:color w:val="auto"/>
                <w:szCs w:val="24"/>
              </w:rPr>
              <w:t>male, died during sleep</w:t>
            </w:r>
            <w:r w:rsidR="00E247D6" w:rsidRPr="00EE24D4">
              <w:rPr>
                <w:rFonts w:asciiTheme="minorHAnsi" w:hAnsiTheme="minorHAnsi"/>
                <w:color w:val="auto"/>
                <w:szCs w:val="24"/>
              </w:rPr>
              <w:t>, 20</w:t>
            </w:r>
          </w:p>
        </w:tc>
        <w:tc>
          <w:tcPr>
            <w:tcW w:w="2041" w:type="dxa"/>
          </w:tcPr>
          <w:p w14:paraId="60F74CED"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sibling, 20</w:t>
            </w:r>
          </w:p>
        </w:tc>
        <w:tc>
          <w:tcPr>
            <w:tcW w:w="2553" w:type="dxa"/>
          </w:tcPr>
          <w:p w14:paraId="0A4F075A"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tc>
        <w:tc>
          <w:tcPr>
            <w:tcW w:w="1843" w:type="dxa"/>
          </w:tcPr>
          <w:p w14:paraId="14D9C6B7"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p>
        </w:tc>
      </w:tr>
      <w:tr w:rsidR="00894DDF" w:rsidRPr="000F27B6" w14:paraId="45358F6B" w14:textId="77777777" w:rsidTr="00E775E0">
        <w:trPr>
          <w:trHeight w:val="100"/>
        </w:trPr>
        <w:tc>
          <w:tcPr>
            <w:tcW w:w="738" w:type="dxa"/>
          </w:tcPr>
          <w:p w14:paraId="50DF040C" w14:textId="4DBB4D71"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Pr>
                <w:rFonts w:asciiTheme="minorHAnsi" w:hAnsiTheme="minorHAnsi"/>
                <w:color w:val="auto"/>
                <w:szCs w:val="24"/>
              </w:rPr>
              <w:t>27</w:t>
            </w:r>
          </w:p>
        </w:tc>
        <w:tc>
          <w:tcPr>
            <w:tcW w:w="3344" w:type="dxa"/>
          </w:tcPr>
          <w:p w14:paraId="4C27B195" w14:textId="2E5FB195" w:rsidR="00894DDF" w:rsidRPr="00EE24D4"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EE24D4">
              <w:rPr>
                <w:rFonts w:asciiTheme="minorHAnsi" w:hAnsiTheme="minorHAnsi"/>
                <w:color w:val="auto"/>
                <w:szCs w:val="24"/>
              </w:rPr>
              <w:t>male,  died at rest</w:t>
            </w:r>
            <w:r w:rsidR="00E247D6" w:rsidRPr="00EE24D4">
              <w:rPr>
                <w:rFonts w:asciiTheme="minorHAnsi" w:hAnsiTheme="minorHAnsi"/>
                <w:color w:val="auto"/>
                <w:szCs w:val="24"/>
              </w:rPr>
              <w:t>, 15</w:t>
            </w:r>
          </w:p>
        </w:tc>
        <w:tc>
          <w:tcPr>
            <w:tcW w:w="2041" w:type="dxa"/>
          </w:tcPr>
          <w:p w14:paraId="29D482B0"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father, 64</w:t>
            </w:r>
          </w:p>
          <w:p w14:paraId="58A66BE8"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brother, 35</w:t>
            </w:r>
          </w:p>
        </w:tc>
        <w:tc>
          <w:tcPr>
            <w:tcW w:w="2553" w:type="dxa"/>
          </w:tcPr>
          <w:p w14:paraId="0386988C"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p w14:paraId="5D96F099"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tc>
        <w:tc>
          <w:tcPr>
            <w:tcW w:w="1843" w:type="dxa"/>
          </w:tcPr>
          <w:p w14:paraId="02991133"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p>
        </w:tc>
      </w:tr>
      <w:tr w:rsidR="00894DDF" w:rsidRPr="000F27B6" w14:paraId="7CFB71EA" w14:textId="77777777" w:rsidTr="00E775E0">
        <w:trPr>
          <w:trHeight w:val="163"/>
        </w:trPr>
        <w:tc>
          <w:tcPr>
            <w:tcW w:w="738" w:type="dxa"/>
          </w:tcPr>
          <w:p w14:paraId="3FE1C820" w14:textId="2273E6B1"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Pr>
                <w:rFonts w:asciiTheme="minorHAnsi" w:hAnsiTheme="minorHAnsi"/>
                <w:color w:val="auto"/>
                <w:szCs w:val="24"/>
              </w:rPr>
              <w:t>28</w:t>
            </w:r>
          </w:p>
        </w:tc>
        <w:tc>
          <w:tcPr>
            <w:tcW w:w="3344" w:type="dxa"/>
          </w:tcPr>
          <w:p w14:paraId="32CBD710" w14:textId="121C4CF2" w:rsidR="00894DDF" w:rsidRPr="00EE24D4"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EE24D4">
              <w:rPr>
                <w:rFonts w:asciiTheme="minorHAnsi" w:hAnsiTheme="minorHAnsi"/>
                <w:color w:val="auto"/>
                <w:szCs w:val="24"/>
              </w:rPr>
              <w:t>male, died during exercise</w:t>
            </w:r>
            <w:r w:rsidR="00E247D6" w:rsidRPr="00EE24D4">
              <w:rPr>
                <w:rFonts w:asciiTheme="minorHAnsi" w:hAnsiTheme="minorHAnsi"/>
                <w:color w:val="auto"/>
                <w:szCs w:val="24"/>
              </w:rPr>
              <w:t>, 59</w:t>
            </w:r>
            <w:r w:rsidR="00C13173" w:rsidRPr="00EE24D4">
              <w:rPr>
                <w:rFonts w:asciiTheme="minorHAnsi" w:hAnsiTheme="minorHAnsi"/>
                <w:color w:val="auto"/>
                <w:szCs w:val="24"/>
              </w:rPr>
              <w:t>, MF</w:t>
            </w:r>
          </w:p>
        </w:tc>
        <w:tc>
          <w:tcPr>
            <w:tcW w:w="2041" w:type="dxa"/>
          </w:tcPr>
          <w:p w14:paraId="51064D77"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daughter, 16</w:t>
            </w:r>
          </w:p>
          <w:p w14:paraId="79D6A119"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daughter, 17</w:t>
            </w:r>
          </w:p>
          <w:p w14:paraId="39EF383D"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daughter, 16</w:t>
            </w:r>
          </w:p>
          <w:p w14:paraId="294D5540"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daughter, 36</w:t>
            </w:r>
          </w:p>
          <w:p w14:paraId="16CC50F8"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daughter, 22</w:t>
            </w:r>
          </w:p>
          <w:p w14:paraId="374AEFF8"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son, 19</w:t>
            </w:r>
          </w:p>
          <w:p w14:paraId="50E4C792"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son, 23</w:t>
            </w:r>
          </w:p>
        </w:tc>
        <w:tc>
          <w:tcPr>
            <w:tcW w:w="2553" w:type="dxa"/>
          </w:tcPr>
          <w:p w14:paraId="73C91B01"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lang w:val="it-IT"/>
              </w:rPr>
            </w:pPr>
            <w:r w:rsidRPr="000F27B6">
              <w:rPr>
                <w:rFonts w:asciiTheme="minorHAnsi" w:hAnsiTheme="minorHAnsi"/>
                <w:color w:val="auto"/>
                <w:szCs w:val="24"/>
                <w:lang w:val="it-IT"/>
              </w:rPr>
              <w:t>Negative</w:t>
            </w:r>
          </w:p>
          <w:p w14:paraId="051DF5F2"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lang w:val="it-IT"/>
              </w:rPr>
            </w:pPr>
            <w:r w:rsidRPr="000F27B6">
              <w:rPr>
                <w:rFonts w:asciiTheme="minorHAnsi" w:hAnsiTheme="minorHAnsi"/>
                <w:color w:val="auto"/>
                <w:szCs w:val="24"/>
                <w:lang w:val="it-IT"/>
              </w:rPr>
              <w:t>Negative</w:t>
            </w:r>
          </w:p>
          <w:p w14:paraId="6970ECB3"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lang w:val="it-IT"/>
              </w:rPr>
            </w:pPr>
            <w:r w:rsidRPr="000F27B6">
              <w:rPr>
                <w:rFonts w:asciiTheme="minorHAnsi" w:hAnsiTheme="minorHAnsi"/>
                <w:color w:val="auto"/>
                <w:szCs w:val="24"/>
                <w:lang w:val="it-IT"/>
              </w:rPr>
              <w:t>Negative</w:t>
            </w:r>
          </w:p>
          <w:p w14:paraId="2C357A2D"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lang w:val="it-IT"/>
              </w:rPr>
            </w:pPr>
            <w:r w:rsidRPr="000F27B6">
              <w:rPr>
                <w:rFonts w:asciiTheme="minorHAnsi" w:hAnsiTheme="minorHAnsi"/>
                <w:color w:val="auto"/>
                <w:szCs w:val="24"/>
                <w:lang w:val="it-IT"/>
              </w:rPr>
              <w:t>Negative</w:t>
            </w:r>
          </w:p>
          <w:p w14:paraId="1A9CE073"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lang w:val="it-IT"/>
              </w:rPr>
            </w:pPr>
            <w:r w:rsidRPr="000F27B6">
              <w:rPr>
                <w:rFonts w:asciiTheme="minorHAnsi" w:hAnsiTheme="minorHAnsi"/>
                <w:color w:val="auto"/>
                <w:szCs w:val="24"/>
                <w:lang w:val="it-IT"/>
              </w:rPr>
              <w:t>Negative</w:t>
            </w:r>
          </w:p>
          <w:p w14:paraId="0F5B55ED"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lang w:val="it-IT"/>
              </w:rPr>
            </w:pPr>
            <w:r w:rsidRPr="000F27B6">
              <w:rPr>
                <w:rFonts w:asciiTheme="minorHAnsi" w:hAnsiTheme="minorHAnsi"/>
                <w:color w:val="auto"/>
                <w:szCs w:val="24"/>
                <w:lang w:val="it-IT"/>
              </w:rPr>
              <w:t>Negative</w:t>
            </w:r>
          </w:p>
          <w:p w14:paraId="3DFC16C7"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tc>
        <w:tc>
          <w:tcPr>
            <w:tcW w:w="1843" w:type="dxa"/>
          </w:tcPr>
          <w:p w14:paraId="0B02942E"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p>
        </w:tc>
      </w:tr>
      <w:tr w:rsidR="00894DDF" w:rsidRPr="000F27B6" w14:paraId="0E7CE3E4" w14:textId="77777777" w:rsidTr="00E775E0">
        <w:trPr>
          <w:trHeight w:val="186"/>
        </w:trPr>
        <w:tc>
          <w:tcPr>
            <w:tcW w:w="738" w:type="dxa"/>
          </w:tcPr>
          <w:p w14:paraId="21F348E2" w14:textId="081D3060"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Pr>
                <w:rFonts w:asciiTheme="minorHAnsi" w:hAnsiTheme="minorHAnsi"/>
                <w:color w:val="auto"/>
                <w:szCs w:val="24"/>
              </w:rPr>
              <w:t>29</w:t>
            </w:r>
          </w:p>
        </w:tc>
        <w:tc>
          <w:tcPr>
            <w:tcW w:w="3344" w:type="dxa"/>
          </w:tcPr>
          <w:p w14:paraId="554E099B" w14:textId="565E0C47" w:rsidR="00894DDF" w:rsidRPr="00EE24D4"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EE24D4">
              <w:rPr>
                <w:rFonts w:asciiTheme="minorHAnsi" w:hAnsiTheme="minorHAnsi"/>
                <w:color w:val="auto"/>
                <w:szCs w:val="24"/>
              </w:rPr>
              <w:t>male, died during exercise</w:t>
            </w:r>
            <w:r w:rsidR="00E247D6" w:rsidRPr="00EE24D4">
              <w:rPr>
                <w:rFonts w:asciiTheme="minorHAnsi" w:hAnsiTheme="minorHAnsi"/>
                <w:color w:val="auto"/>
                <w:szCs w:val="24"/>
              </w:rPr>
              <w:t>,</w:t>
            </w:r>
            <w:r w:rsidR="00C13173" w:rsidRPr="00EE24D4">
              <w:rPr>
                <w:rFonts w:asciiTheme="minorHAnsi" w:hAnsiTheme="minorHAnsi"/>
                <w:color w:val="auto"/>
                <w:szCs w:val="24"/>
              </w:rPr>
              <w:t xml:space="preserve"> </w:t>
            </w:r>
            <w:r w:rsidR="00E247D6" w:rsidRPr="00EE24D4">
              <w:rPr>
                <w:rFonts w:asciiTheme="minorHAnsi" w:hAnsiTheme="minorHAnsi"/>
                <w:color w:val="auto"/>
                <w:szCs w:val="24"/>
              </w:rPr>
              <w:t>22</w:t>
            </w:r>
            <w:r w:rsidR="00C13173" w:rsidRPr="00EE24D4">
              <w:rPr>
                <w:rFonts w:asciiTheme="minorHAnsi" w:hAnsiTheme="minorHAnsi"/>
                <w:color w:val="auto"/>
                <w:szCs w:val="24"/>
              </w:rPr>
              <w:t>, MF</w:t>
            </w:r>
          </w:p>
        </w:tc>
        <w:tc>
          <w:tcPr>
            <w:tcW w:w="2041" w:type="dxa"/>
          </w:tcPr>
          <w:p w14:paraId="2DD352DB"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lang w:val="nb-NO"/>
              </w:rPr>
            </w:pPr>
            <w:r w:rsidRPr="000F27B6">
              <w:rPr>
                <w:rFonts w:asciiTheme="minorHAnsi" w:hAnsiTheme="minorHAnsi"/>
                <w:color w:val="auto"/>
                <w:szCs w:val="24"/>
                <w:lang w:val="nb-NO"/>
              </w:rPr>
              <w:t>father, 56</w:t>
            </w:r>
          </w:p>
          <w:p w14:paraId="1F1E6358"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lang w:val="nb-NO"/>
              </w:rPr>
            </w:pPr>
            <w:r w:rsidRPr="000F27B6">
              <w:rPr>
                <w:rFonts w:asciiTheme="minorHAnsi" w:hAnsiTheme="minorHAnsi"/>
                <w:color w:val="auto"/>
                <w:szCs w:val="24"/>
                <w:lang w:val="nb-NO"/>
              </w:rPr>
              <w:t>sibling,28</w:t>
            </w:r>
          </w:p>
          <w:p w14:paraId="6BD5DAE4"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lang w:val="nb-NO"/>
              </w:rPr>
            </w:pPr>
            <w:r w:rsidRPr="000F27B6">
              <w:rPr>
                <w:rFonts w:asciiTheme="minorHAnsi" w:hAnsiTheme="minorHAnsi"/>
                <w:color w:val="auto"/>
                <w:szCs w:val="24"/>
                <w:lang w:val="nb-NO"/>
              </w:rPr>
              <w:t>sibling, 24</w:t>
            </w:r>
          </w:p>
          <w:p w14:paraId="063B5850"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lang w:val="nb-NO"/>
              </w:rPr>
            </w:pPr>
            <w:r w:rsidRPr="000F27B6">
              <w:rPr>
                <w:rFonts w:asciiTheme="minorHAnsi" w:hAnsiTheme="minorHAnsi"/>
                <w:color w:val="auto"/>
                <w:szCs w:val="24"/>
                <w:lang w:val="nb-NO"/>
              </w:rPr>
              <w:t>sibling, 21</w:t>
            </w:r>
          </w:p>
          <w:p w14:paraId="2DB7B5BA"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lang w:val="nb-NO"/>
              </w:rPr>
            </w:pPr>
            <w:r w:rsidRPr="000F27B6">
              <w:rPr>
                <w:rFonts w:asciiTheme="minorHAnsi" w:hAnsiTheme="minorHAnsi"/>
                <w:color w:val="auto"/>
                <w:szCs w:val="24"/>
                <w:lang w:val="nb-NO"/>
              </w:rPr>
              <w:t>sibling, 19</w:t>
            </w:r>
          </w:p>
          <w:p w14:paraId="7BC3710A"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lang w:val="nb-NO"/>
              </w:rPr>
            </w:pPr>
            <w:r w:rsidRPr="000F27B6">
              <w:rPr>
                <w:rFonts w:asciiTheme="minorHAnsi" w:hAnsiTheme="minorHAnsi"/>
                <w:color w:val="auto"/>
                <w:szCs w:val="24"/>
                <w:lang w:val="nb-NO"/>
              </w:rPr>
              <w:t>sibling, 16</w:t>
            </w:r>
          </w:p>
        </w:tc>
        <w:tc>
          <w:tcPr>
            <w:tcW w:w="2553" w:type="dxa"/>
          </w:tcPr>
          <w:p w14:paraId="13D48FFC"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lang w:val="it-IT"/>
              </w:rPr>
            </w:pPr>
            <w:r w:rsidRPr="000F27B6">
              <w:rPr>
                <w:rFonts w:asciiTheme="minorHAnsi" w:hAnsiTheme="minorHAnsi"/>
                <w:color w:val="auto"/>
                <w:szCs w:val="24"/>
                <w:lang w:val="it-IT"/>
              </w:rPr>
              <w:t>Negative</w:t>
            </w:r>
          </w:p>
          <w:p w14:paraId="5CA47A0E"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lang w:val="it-IT"/>
              </w:rPr>
            </w:pPr>
            <w:r w:rsidRPr="000F27B6">
              <w:rPr>
                <w:rFonts w:asciiTheme="minorHAnsi" w:hAnsiTheme="minorHAnsi"/>
                <w:color w:val="auto"/>
                <w:szCs w:val="24"/>
                <w:lang w:val="it-IT"/>
              </w:rPr>
              <w:t>Negative</w:t>
            </w:r>
          </w:p>
          <w:p w14:paraId="2CEB5E2D"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lang w:val="it-IT"/>
              </w:rPr>
            </w:pPr>
            <w:r w:rsidRPr="000F27B6">
              <w:rPr>
                <w:rFonts w:asciiTheme="minorHAnsi" w:hAnsiTheme="minorHAnsi"/>
                <w:color w:val="auto"/>
                <w:szCs w:val="24"/>
                <w:lang w:val="it-IT"/>
              </w:rPr>
              <w:t>Negative</w:t>
            </w:r>
          </w:p>
          <w:p w14:paraId="5C88BE2F"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lang w:val="it-IT"/>
              </w:rPr>
            </w:pPr>
            <w:r w:rsidRPr="000F27B6">
              <w:rPr>
                <w:rFonts w:asciiTheme="minorHAnsi" w:hAnsiTheme="minorHAnsi"/>
                <w:color w:val="auto"/>
                <w:szCs w:val="24"/>
                <w:lang w:val="it-IT"/>
              </w:rPr>
              <w:t>Negative</w:t>
            </w:r>
          </w:p>
          <w:p w14:paraId="04F5091D"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lang w:val="it-IT"/>
              </w:rPr>
            </w:pPr>
            <w:r w:rsidRPr="000F27B6">
              <w:rPr>
                <w:rFonts w:asciiTheme="minorHAnsi" w:hAnsiTheme="minorHAnsi"/>
                <w:color w:val="auto"/>
                <w:szCs w:val="24"/>
                <w:lang w:val="it-IT"/>
              </w:rPr>
              <w:t>Negative</w:t>
            </w:r>
          </w:p>
          <w:p w14:paraId="476B5090"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lang w:val="it-IT"/>
              </w:rPr>
            </w:pPr>
            <w:r w:rsidRPr="000F27B6">
              <w:rPr>
                <w:rFonts w:asciiTheme="minorHAnsi" w:hAnsiTheme="minorHAnsi"/>
                <w:color w:val="auto"/>
                <w:szCs w:val="24"/>
                <w:lang w:val="it-IT"/>
              </w:rPr>
              <w:t>Negative</w:t>
            </w:r>
          </w:p>
        </w:tc>
        <w:tc>
          <w:tcPr>
            <w:tcW w:w="1843" w:type="dxa"/>
          </w:tcPr>
          <w:p w14:paraId="7AFE7289"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lang w:val="it-IT"/>
              </w:rPr>
            </w:pPr>
          </w:p>
        </w:tc>
      </w:tr>
      <w:tr w:rsidR="00894DDF" w:rsidRPr="000F27B6" w14:paraId="1480897C" w14:textId="77777777" w:rsidTr="00E775E0">
        <w:trPr>
          <w:trHeight w:val="74"/>
        </w:trPr>
        <w:tc>
          <w:tcPr>
            <w:tcW w:w="738" w:type="dxa"/>
          </w:tcPr>
          <w:p w14:paraId="65BB7B04" w14:textId="348A3CA0"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Pr>
                <w:rFonts w:asciiTheme="minorHAnsi" w:hAnsiTheme="minorHAnsi"/>
                <w:color w:val="auto"/>
                <w:szCs w:val="24"/>
              </w:rPr>
              <w:t>30</w:t>
            </w:r>
          </w:p>
        </w:tc>
        <w:tc>
          <w:tcPr>
            <w:tcW w:w="3344" w:type="dxa"/>
          </w:tcPr>
          <w:p w14:paraId="683F4784" w14:textId="1597A724" w:rsidR="00894DDF" w:rsidRPr="00EE24D4"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EE24D4">
              <w:rPr>
                <w:rFonts w:asciiTheme="minorHAnsi" w:hAnsiTheme="minorHAnsi"/>
                <w:color w:val="auto"/>
                <w:szCs w:val="24"/>
              </w:rPr>
              <w:t>male, died during exercise</w:t>
            </w:r>
            <w:r w:rsidR="00E247D6" w:rsidRPr="00EE24D4">
              <w:rPr>
                <w:rFonts w:asciiTheme="minorHAnsi" w:hAnsiTheme="minorHAnsi"/>
                <w:color w:val="auto"/>
                <w:szCs w:val="24"/>
              </w:rPr>
              <w:t>, 19</w:t>
            </w:r>
          </w:p>
        </w:tc>
        <w:tc>
          <w:tcPr>
            <w:tcW w:w="2041" w:type="dxa"/>
          </w:tcPr>
          <w:p w14:paraId="5EA77ACD"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sibling, 47</w:t>
            </w:r>
          </w:p>
        </w:tc>
        <w:tc>
          <w:tcPr>
            <w:tcW w:w="2553" w:type="dxa"/>
          </w:tcPr>
          <w:p w14:paraId="5A1F013C"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LQTS</w:t>
            </w:r>
          </w:p>
        </w:tc>
        <w:tc>
          <w:tcPr>
            <w:tcW w:w="1843" w:type="dxa"/>
          </w:tcPr>
          <w:p w14:paraId="727F30D0"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p>
        </w:tc>
      </w:tr>
      <w:tr w:rsidR="00894DDF" w:rsidRPr="000F27B6" w14:paraId="7D3D991B" w14:textId="77777777" w:rsidTr="00E775E0">
        <w:trPr>
          <w:trHeight w:val="158"/>
        </w:trPr>
        <w:tc>
          <w:tcPr>
            <w:tcW w:w="738" w:type="dxa"/>
          </w:tcPr>
          <w:p w14:paraId="7EBE9584" w14:textId="02E48AF5"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Pr>
                <w:rFonts w:asciiTheme="minorHAnsi" w:hAnsiTheme="minorHAnsi"/>
                <w:color w:val="auto"/>
                <w:szCs w:val="24"/>
              </w:rPr>
              <w:t>31</w:t>
            </w:r>
          </w:p>
        </w:tc>
        <w:tc>
          <w:tcPr>
            <w:tcW w:w="3344" w:type="dxa"/>
          </w:tcPr>
          <w:p w14:paraId="22271F82" w14:textId="75F3C473" w:rsidR="00894DDF" w:rsidRPr="00EE24D4"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EE24D4">
              <w:rPr>
                <w:rFonts w:asciiTheme="minorHAnsi" w:hAnsiTheme="minorHAnsi"/>
                <w:color w:val="auto"/>
                <w:szCs w:val="24"/>
              </w:rPr>
              <w:t>male, died during sleep</w:t>
            </w:r>
            <w:r w:rsidR="00E247D6" w:rsidRPr="00EE24D4">
              <w:rPr>
                <w:rFonts w:asciiTheme="minorHAnsi" w:hAnsiTheme="minorHAnsi"/>
                <w:color w:val="auto"/>
                <w:szCs w:val="24"/>
              </w:rPr>
              <w:t>, 24</w:t>
            </w:r>
          </w:p>
        </w:tc>
        <w:tc>
          <w:tcPr>
            <w:tcW w:w="2041" w:type="dxa"/>
          </w:tcPr>
          <w:p w14:paraId="51F08050"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 xml:space="preserve">mother, 54 </w:t>
            </w:r>
          </w:p>
          <w:p w14:paraId="12775ED9"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father, 59</w:t>
            </w:r>
          </w:p>
          <w:p w14:paraId="087E5FE3"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sibling, 28</w:t>
            </w:r>
          </w:p>
        </w:tc>
        <w:tc>
          <w:tcPr>
            <w:tcW w:w="2553" w:type="dxa"/>
          </w:tcPr>
          <w:p w14:paraId="73312BA7"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p w14:paraId="40649B9B" w14:textId="6346763E"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Concealed Brugada</w:t>
            </w:r>
          </w:p>
          <w:p w14:paraId="6EB25F8C"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tc>
        <w:tc>
          <w:tcPr>
            <w:tcW w:w="1843" w:type="dxa"/>
          </w:tcPr>
          <w:p w14:paraId="4C0880AF"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p>
        </w:tc>
      </w:tr>
      <w:tr w:rsidR="00894DDF" w:rsidRPr="000F27B6" w14:paraId="2F87777A" w14:textId="77777777" w:rsidTr="00E775E0">
        <w:trPr>
          <w:trHeight w:val="125"/>
        </w:trPr>
        <w:tc>
          <w:tcPr>
            <w:tcW w:w="738" w:type="dxa"/>
          </w:tcPr>
          <w:p w14:paraId="35977D8E" w14:textId="4612E884" w:rsidR="00894DDF" w:rsidRPr="000F27B6" w:rsidRDefault="00894DDF" w:rsidP="00DA44D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Pr>
                <w:rFonts w:asciiTheme="minorHAnsi" w:hAnsiTheme="minorHAnsi"/>
                <w:color w:val="auto"/>
                <w:szCs w:val="24"/>
              </w:rPr>
              <w:t>32</w:t>
            </w:r>
          </w:p>
        </w:tc>
        <w:tc>
          <w:tcPr>
            <w:tcW w:w="3344" w:type="dxa"/>
          </w:tcPr>
          <w:p w14:paraId="3F27915A" w14:textId="23C46EB5" w:rsidR="00894DDF" w:rsidRPr="00EE24D4" w:rsidRDefault="00894DDF" w:rsidP="00DA44D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EE24D4">
              <w:rPr>
                <w:rFonts w:asciiTheme="minorHAnsi" w:hAnsiTheme="minorHAnsi"/>
                <w:color w:val="auto"/>
                <w:szCs w:val="24"/>
              </w:rPr>
              <w:t>male, died at rest</w:t>
            </w:r>
            <w:r w:rsidR="00E247D6" w:rsidRPr="00EE24D4">
              <w:rPr>
                <w:rFonts w:asciiTheme="minorHAnsi" w:hAnsiTheme="minorHAnsi"/>
                <w:color w:val="auto"/>
                <w:szCs w:val="24"/>
              </w:rPr>
              <w:t>, 23</w:t>
            </w:r>
          </w:p>
        </w:tc>
        <w:tc>
          <w:tcPr>
            <w:tcW w:w="2041" w:type="dxa"/>
          </w:tcPr>
          <w:p w14:paraId="6BFFFCF0"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mother, 45</w:t>
            </w:r>
          </w:p>
          <w:p w14:paraId="56977BD2"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lastRenderedPageBreak/>
              <w:t>sibling, 23</w:t>
            </w:r>
          </w:p>
        </w:tc>
        <w:tc>
          <w:tcPr>
            <w:tcW w:w="2553" w:type="dxa"/>
          </w:tcPr>
          <w:p w14:paraId="0C761237"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lastRenderedPageBreak/>
              <w:t>Negative</w:t>
            </w:r>
          </w:p>
          <w:p w14:paraId="28A5832D"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lastRenderedPageBreak/>
              <w:t>Negative</w:t>
            </w:r>
          </w:p>
        </w:tc>
        <w:tc>
          <w:tcPr>
            <w:tcW w:w="1843" w:type="dxa"/>
          </w:tcPr>
          <w:p w14:paraId="70A61BDA"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p>
        </w:tc>
      </w:tr>
      <w:tr w:rsidR="00894DDF" w:rsidRPr="000F27B6" w14:paraId="1BCD5274" w14:textId="77777777" w:rsidTr="00E775E0">
        <w:trPr>
          <w:trHeight w:val="151"/>
        </w:trPr>
        <w:tc>
          <w:tcPr>
            <w:tcW w:w="738" w:type="dxa"/>
          </w:tcPr>
          <w:p w14:paraId="35E8462B" w14:textId="5E3D173D"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Pr>
                <w:rFonts w:asciiTheme="minorHAnsi" w:hAnsiTheme="minorHAnsi"/>
                <w:color w:val="auto"/>
                <w:szCs w:val="24"/>
              </w:rPr>
              <w:t>33</w:t>
            </w:r>
          </w:p>
        </w:tc>
        <w:tc>
          <w:tcPr>
            <w:tcW w:w="3344" w:type="dxa"/>
          </w:tcPr>
          <w:p w14:paraId="7AFF51C4" w14:textId="41D7E434" w:rsidR="00894DDF" w:rsidRPr="00EE24D4"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EE24D4">
              <w:rPr>
                <w:rFonts w:asciiTheme="minorHAnsi" w:hAnsiTheme="minorHAnsi"/>
                <w:color w:val="auto"/>
                <w:szCs w:val="24"/>
              </w:rPr>
              <w:t>male, died at rest</w:t>
            </w:r>
            <w:r w:rsidR="00E247D6" w:rsidRPr="00EE24D4">
              <w:rPr>
                <w:rFonts w:asciiTheme="minorHAnsi" w:hAnsiTheme="minorHAnsi"/>
                <w:color w:val="auto"/>
                <w:szCs w:val="24"/>
              </w:rPr>
              <w:t>, 30</w:t>
            </w:r>
          </w:p>
        </w:tc>
        <w:tc>
          <w:tcPr>
            <w:tcW w:w="2041" w:type="dxa"/>
          </w:tcPr>
          <w:p w14:paraId="2FF0D33A"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mother, 56</w:t>
            </w:r>
          </w:p>
          <w:p w14:paraId="44E417D6"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father, 56</w:t>
            </w:r>
          </w:p>
          <w:p w14:paraId="7D733651"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sibling, 28</w:t>
            </w:r>
          </w:p>
        </w:tc>
        <w:tc>
          <w:tcPr>
            <w:tcW w:w="2553" w:type="dxa"/>
          </w:tcPr>
          <w:p w14:paraId="47F7CFDD"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p w14:paraId="08EE36AB"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Concealed Brugada</w:t>
            </w:r>
          </w:p>
          <w:p w14:paraId="35B3E862"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tc>
        <w:tc>
          <w:tcPr>
            <w:tcW w:w="1843" w:type="dxa"/>
          </w:tcPr>
          <w:p w14:paraId="51E6BC29"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p>
        </w:tc>
      </w:tr>
      <w:tr w:rsidR="00894DDF" w:rsidRPr="000F27B6" w14:paraId="2EC72E93" w14:textId="77777777" w:rsidTr="00E775E0">
        <w:trPr>
          <w:trHeight w:val="151"/>
        </w:trPr>
        <w:tc>
          <w:tcPr>
            <w:tcW w:w="738" w:type="dxa"/>
          </w:tcPr>
          <w:p w14:paraId="53EB9C98" w14:textId="7850F3EB"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Pr>
                <w:rFonts w:asciiTheme="minorHAnsi" w:hAnsiTheme="minorHAnsi"/>
                <w:color w:val="auto"/>
                <w:szCs w:val="24"/>
              </w:rPr>
              <w:t>34</w:t>
            </w:r>
          </w:p>
        </w:tc>
        <w:tc>
          <w:tcPr>
            <w:tcW w:w="3344" w:type="dxa"/>
          </w:tcPr>
          <w:p w14:paraId="2EE0F2A6" w14:textId="125A7F8D" w:rsidR="00894DDF" w:rsidRPr="00EE24D4"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EE24D4">
              <w:rPr>
                <w:rFonts w:asciiTheme="minorHAnsi" w:hAnsiTheme="minorHAnsi"/>
                <w:color w:val="auto"/>
                <w:szCs w:val="24"/>
              </w:rPr>
              <w:t xml:space="preserve"> female, died at rest</w:t>
            </w:r>
            <w:r w:rsidR="00E247D6" w:rsidRPr="00EE24D4">
              <w:rPr>
                <w:rFonts w:asciiTheme="minorHAnsi" w:hAnsiTheme="minorHAnsi"/>
                <w:color w:val="auto"/>
                <w:szCs w:val="24"/>
              </w:rPr>
              <w:t>, 23</w:t>
            </w:r>
          </w:p>
        </w:tc>
        <w:tc>
          <w:tcPr>
            <w:tcW w:w="2041" w:type="dxa"/>
          </w:tcPr>
          <w:p w14:paraId="06C9A13A"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mother, 45</w:t>
            </w:r>
          </w:p>
          <w:p w14:paraId="003AD629"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father, 48</w:t>
            </w:r>
          </w:p>
          <w:p w14:paraId="6C369D30"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sibling, 22</w:t>
            </w:r>
          </w:p>
        </w:tc>
        <w:tc>
          <w:tcPr>
            <w:tcW w:w="2553" w:type="dxa"/>
          </w:tcPr>
          <w:p w14:paraId="0639206C"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Concealed Brugada</w:t>
            </w:r>
          </w:p>
          <w:p w14:paraId="589D72F9"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p w14:paraId="2B50ACF3"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tc>
        <w:tc>
          <w:tcPr>
            <w:tcW w:w="1843" w:type="dxa"/>
          </w:tcPr>
          <w:p w14:paraId="5107AEBB"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Negative</w:t>
            </w:r>
          </w:p>
        </w:tc>
      </w:tr>
      <w:tr w:rsidR="00894DDF" w:rsidRPr="000F27B6" w14:paraId="7174E7B7" w14:textId="77777777" w:rsidTr="00E775E0">
        <w:trPr>
          <w:trHeight w:val="163"/>
        </w:trPr>
        <w:tc>
          <w:tcPr>
            <w:tcW w:w="738" w:type="dxa"/>
          </w:tcPr>
          <w:p w14:paraId="7D886DAA" w14:textId="2865662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Pr>
                <w:rFonts w:asciiTheme="minorHAnsi" w:hAnsiTheme="minorHAnsi"/>
                <w:color w:val="auto"/>
                <w:szCs w:val="24"/>
              </w:rPr>
              <w:t>35</w:t>
            </w:r>
          </w:p>
        </w:tc>
        <w:tc>
          <w:tcPr>
            <w:tcW w:w="3344" w:type="dxa"/>
          </w:tcPr>
          <w:p w14:paraId="2A5293CC" w14:textId="00D556F0" w:rsidR="00894DDF" w:rsidRPr="00EE24D4"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EE24D4">
              <w:rPr>
                <w:rFonts w:asciiTheme="minorHAnsi" w:hAnsiTheme="minorHAnsi"/>
                <w:color w:val="auto"/>
                <w:szCs w:val="24"/>
              </w:rPr>
              <w:t>male, died during exercise</w:t>
            </w:r>
            <w:r w:rsidR="00E247D6" w:rsidRPr="00EE24D4">
              <w:rPr>
                <w:rFonts w:asciiTheme="minorHAnsi" w:hAnsiTheme="minorHAnsi"/>
                <w:color w:val="auto"/>
                <w:szCs w:val="24"/>
              </w:rPr>
              <w:t>, 18</w:t>
            </w:r>
            <w:r w:rsidR="00C13173" w:rsidRPr="00EE24D4">
              <w:rPr>
                <w:rFonts w:asciiTheme="minorHAnsi" w:hAnsiTheme="minorHAnsi"/>
                <w:color w:val="auto"/>
                <w:szCs w:val="24"/>
              </w:rPr>
              <w:t>, MF</w:t>
            </w:r>
          </w:p>
        </w:tc>
        <w:tc>
          <w:tcPr>
            <w:tcW w:w="2041" w:type="dxa"/>
          </w:tcPr>
          <w:p w14:paraId="3CFCBD25"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mother, 48</w:t>
            </w:r>
          </w:p>
          <w:p w14:paraId="46F10B95"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sibling, 24</w:t>
            </w:r>
          </w:p>
          <w:p w14:paraId="2856367C"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sibling, 24</w:t>
            </w:r>
          </w:p>
        </w:tc>
        <w:tc>
          <w:tcPr>
            <w:tcW w:w="2553" w:type="dxa"/>
          </w:tcPr>
          <w:p w14:paraId="0E750758"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p w14:paraId="3AA77BB5"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p w14:paraId="4641A632"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tc>
        <w:tc>
          <w:tcPr>
            <w:tcW w:w="1843" w:type="dxa"/>
          </w:tcPr>
          <w:p w14:paraId="5F91A507"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p>
        </w:tc>
      </w:tr>
      <w:tr w:rsidR="00894DDF" w:rsidRPr="000F27B6" w14:paraId="19F58EE9" w14:textId="77777777" w:rsidTr="00E775E0">
        <w:trPr>
          <w:trHeight w:val="151"/>
        </w:trPr>
        <w:tc>
          <w:tcPr>
            <w:tcW w:w="738" w:type="dxa"/>
          </w:tcPr>
          <w:p w14:paraId="4BC36194" w14:textId="63601338"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Pr>
                <w:rFonts w:asciiTheme="minorHAnsi" w:hAnsiTheme="minorHAnsi"/>
                <w:color w:val="auto"/>
                <w:szCs w:val="24"/>
              </w:rPr>
              <w:t>36</w:t>
            </w:r>
          </w:p>
        </w:tc>
        <w:tc>
          <w:tcPr>
            <w:tcW w:w="3344" w:type="dxa"/>
          </w:tcPr>
          <w:p w14:paraId="2CEA4015" w14:textId="778C0ABF" w:rsidR="00894DDF" w:rsidRPr="00EE24D4"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EE24D4">
              <w:rPr>
                <w:rFonts w:asciiTheme="minorHAnsi" w:hAnsiTheme="minorHAnsi"/>
                <w:color w:val="auto"/>
                <w:szCs w:val="24"/>
              </w:rPr>
              <w:t>female, died at rest,</w:t>
            </w:r>
            <w:r w:rsidR="00E247D6" w:rsidRPr="00EE24D4">
              <w:rPr>
                <w:rFonts w:asciiTheme="minorHAnsi" w:hAnsiTheme="minorHAnsi"/>
                <w:color w:val="auto"/>
                <w:szCs w:val="24"/>
              </w:rPr>
              <w:t xml:space="preserve"> 26,</w:t>
            </w:r>
            <w:r w:rsidRPr="00EE24D4">
              <w:rPr>
                <w:rFonts w:asciiTheme="minorHAnsi" w:hAnsiTheme="minorHAnsi"/>
                <w:color w:val="auto"/>
                <w:szCs w:val="24"/>
              </w:rPr>
              <w:t xml:space="preserve"> LAMP2</w:t>
            </w:r>
          </w:p>
        </w:tc>
        <w:tc>
          <w:tcPr>
            <w:tcW w:w="2041" w:type="dxa"/>
          </w:tcPr>
          <w:p w14:paraId="31A92EFC"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mother, 56</w:t>
            </w:r>
          </w:p>
          <w:p w14:paraId="427C4CB8"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father, 58</w:t>
            </w:r>
          </w:p>
          <w:p w14:paraId="3597FA26"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brother, 30</w:t>
            </w:r>
          </w:p>
        </w:tc>
        <w:tc>
          <w:tcPr>
            <w:tcW w:w="2553" w:type="dxa"/>
          </w:tcPr>
          <w:p w14:paraId="22644C56"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p w14:paraId="7CD1527C"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p w14:paraId="055657AF"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tc>
        <w:tc>
          <w:tcPr>
            <w:tcW w:w="1843" w:type="dxa"/>
          </w:tcPr>
          <w:p w14:paraId="5C6E9922"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p>
        </w:tc>
      </w:tr>
      <w:tr w:rsidR="00894DDF" w:rsidRPr="000F27B6" w14:paraId="2D90C009" w14:textId="77777777" w:rsidTr="00E775E0">
        <w:trPr>
          <w:trHeight w:val="163"/>
        </w:trPr>
        <w:tc>
          <w:tcPr>
            <w:tcW w:w="738" w:type="dxa"/>
          </w:tcPr>
          <w:p w14:paraId="41BE1912" w14:textId="3C161AFF"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Pr>
                <w:rFonts w:asciiTheme="minorHAnsi" w:hAnsiTheme="minorHAnsi"/>
                <w:color w:val="auto"/>
                <w:szCs w:val="24"/>
              </w:rPr>
              <w:t>37</w:t>
            </w:r>
          </w:p>
        </w:tc>
        <w:tc>
          <w:tcPr>
            <w:tcW w:w="3344" w:type="dxa"/>
          </w:tcPr>
          <w:p w14:paraId="7C784726" w14:textId="528531B4" w:rsidR="00894DDF" w:rsidRPr="00EE24D4"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EE24D4">
              <w:rPr>
                <w:rFonts w:asciiTheme="minorHAnsi" w:hAnsiTheme="minorHAnsi"/>
                <w:color w:val="auto"/>
                <w:szCs w:val="24"/>
              </w:rPr>
              <w:t>male, died at rest</w:t>
            </w:r>
            <w:r w:rsidR="00E247D6" w:rsidRPr="00EE24D4">
              <w:rPr>
                <w:rFonts w:asciiTheme="minorHAnsi" w:hAnsiTheme="minorHAnsi"/>
                <w:color w:val="auto"/>
                <w:szCs w:val="24"/>
              </w:rPr>
              <w:t>, 18</w:t>
            </w:r>
          </w:p>
        </w:tc>
        <w:tc>
          <w:tcPr>
            <w:tcW w:w="2041" w:type="dxa"/>
          </w:tcPr>
          <w:p w14:paraId="2D4E7A16"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mother, 47</w:t>
            </w:r>
          </w:p>
          <w:p w14:paraId="36AE6C71"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father, 56</w:t>
            </w:r>
          </w:p>
          <w:p w14:paraId="5C830BB5"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sibling, 22</w:t>
            </w:r>
          </w:p>
        </w:tc>
        <w:tc>
          <w:tcPr>
            <w:tcW w:w="2553" w:type="dxa"/>
          </w:tcPr>
          <w:p w14:paraId="2A6504BC" w14:textId="2BB02303"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VE burden 9%</w:t>
            </w:r>
          </w:p>
          <w:p w14:paraId="00735BF2"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Alcoholic CMP</w:t>
            </w:r>
          </w:p>
          <w:p w14:paraId="649AF681"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tc>
        <w:tc>
          <w:tcPr>
            <w:tcW w:w="1843" w:type="dxa"/>
          </w:tcPr>
          <w:p w14:paraId="27EF976C"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highlight w:val="yellow"/>
              </w:rPr>
            </w:pPr>
            <w:r w:rsidRPr="000F27B6">
              <w:rPr>
                <w:rFonts w:asciiTheme="minorHAnsi" w:hAnsiTheme="minorHAnsi"/>
                <w:color w:val="auto"/>
                <w:szCs w:val="24"/>
              </w:rPr>
              <w:t>Negative</w:t>
            </w:r>
          </w:p>
        </w:tc>
      </w:tr>
      <w:tr w:rsidR="00894DDF" w:rsidRPr="000F27B6" w14:paraId="6F9C67E7" w14:textId="77777777" w:rsidTr="00E775E0">
        <w:trPr>
          <w:trHeight w:val="163"/>
        </w:trPr>
        <w:tc>
          <w:tcPr>
            <w:tcW w:w="738" w:type="dxa"/>
          </w:tcPr>
          <w:p w14:paraId="5B42E34A" w14:textId="7239FACA"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Pr>
                <w:rFonts w:asciiTheme="minorHAnsi" w:hAnsiTheme="minorHAnsi"/>
                <w:color w:val="auto"/>
                <w:szCs w:val="24"/>
              </w:rPr>
              <w:t>38</w:t>
            </w:r>
          </w:p>
        </w:tc>
        <w:tc>
          <w:tcPr>
            <w:tcW w:w="3344" w:type="dxa"/>
          </w:tcPr>
          <w:p w14:paraId="2523DCC8" w14:textId="5AD0AB05" w:rsidR="00894DDF" w:rsidRPr="00EE24D4"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EE24D4">
              <w:rPr>
                <w:rFonts w:asciiTheme="minorHAnsi" w:hAnsiTheme="minorHAnsi"/>
                <w:color w:val="auto"/>
                <w:szCs w:val="24"/>
              </w:rPr>
              <w:t>male, died at rest</w:t>
            </w:r>
            <w:r w:rsidR="00E247D6" w:rsidRPr="00EE24D4">
              <w:rPr>
                <w:rFonts w:asciiTheme="minorHAnsi" w:hAnsiTheme="minorHAnsi"/>
                <w:color w:val="auto"/>
                <w:szCs w:val="24"/>
              </w:rPr>
              <w:t>, 26</w:t>
            </w:r>
          </w:p>
        </w:tc>
        <w:tc>
          <w:tcPr>
            <w:tcW w:w="2041" w:type="dxa"/>
          </w:tcPr>
          <w:p w14:paraId="6BD9B161"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mother, 58</w:t>
            </w:r>
          </w:p>
          <w:p w14:paraId="1976D671"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father, 65</w:t>
            </w:r>
          </w:p>
          <w:p w14:paraId="7F0D7ECB"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sibling, 36</w:t>
            </w:r>
          </w:p>
          <w:p w14:paraId="43C63878"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sibling, 32</w:t>
            </w:r>
          </w:p>
        </w:tc>
        <w:tc>
          <w:tcPr>
            <w:tcW w:w="2553" w:type="dxa"/>
          </w:tcPr>
          <w:p w14:paraId="26711DD9"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p w14:paraId="5C92E7E5"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Concealed Brugada</w:t>
            </w:r>
          </w:p>
          <w:p w14:paraId="0AD722C6"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p w14:paraId="7A5DAC97"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tc>
        <w:tc>
          <w:tcPr>
            <w:tcW w:w="1843" w:type="dxa"/>
          </w:tcPr>
          <w:p w14:paraId="76B31291"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p>
          <w:p w14:paraId="4EDC2C4D"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Negative</w:t>
            </w:r>
          </w:p>
        </w:tc>
      </w:tr>
      <w:tr w:rsidR="00894DDF" w:rsidRPr="000F27B6" w14:paraId="08A0029D" w14:textId="77777777" w:rsidTr="00E775E0">
        <w:trPr>
          <w:trHeight w:val="92"/>
        </w:trPr>
        <w:tc>
          <w:tcPr>
            <w:tcW w:w="738" w:type="dxa"/>
          </w:tcPr>
          <w:p w14:paraId="691F98A6" w14:textId="64AD1B3A"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Pr>
                <w:rFonts w:asciiTheme="minorHAnsi" w:hAnsiTheme="minorHAnsi"/>
                <w:color w:val="auto"/>
                <w:szCs w:val="24"/>
              </w:rPr>
              <w:t>39</w:t>
            </w:r>
          </w:p>
        </w:tc>
        <w:tc>
          <w:tcPr>
            <w:tcW w:w="3344" w:type="dxa"/>
          </w:tcPr>
          <w:p w14:paraId="5E4AF244" w14:textId="12350F0E" w:rsidR="00894DDF" w:rsidRPr="00EE24D4"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EE24D4">
              <w:rPr>
                <w:rFonts w:asciiTheme="minorHAnsi" w:hAnsiTheme="minorHAnsi"/>
                <w:color w:val="auto"/>
                <w:szCs w:val="24"/>
              </w:rPr>
              <w:t>female, died at rest</w:t>
            </w:r>
            <w:r w:rsidR="00E247D6" w:rsidRPr="00EE24D4">
              <w:rPr>
                <w:rFonts w:asciiTheme="minorHAnsi" w:hAnsiTheme="minorHAnsi"/>
                <w:color w:val="auto"/>
                <w:szCs w:val="24"/>
              </w:rPr>
              <w:t>, 52</w:t>
            </w:r>
            <w:r w:rsidR="00C13173" w:rsidRPr="00EE24D4">
              <w:rPr>
                <w:rFonts w:asciiTheme="minorHAnsi" w:hAnsiTheme="minorHAnsi"/>
                <w:color w:val="auto"/>
                <w:szCs w:val="24"/>
              </w:rPr>
              <w:t>, MF</w:t>
            </w:r>
          </w:p>
        </w:tc>
        <w:tc>
          <w:tcPr>
            <w:tcW w:w="2041" w:type="dxa"/>
          </w:tcPr>
          <w:p w14:paraId="7C3D0386"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son, 29</w:t>
            </w:r>
          </w:p>
        </w:tc>
        <w:tc>
          <w:tcPr>
            <w:tcW w:w="2553" w:type="dxa"/>
          </w:tcPr>
          <w:p w14:paraId="4BBD304D"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tc>
        <w:tc>
          <w:tcPr>
            <w:tcW w:w="1843" w:type="dxa"/>
          </w:tcPr>
          <w:p w14:paraId="33F2E74B"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p>
        </w:tc>
      </w:tr>
      <w:tr w:rsidR="00894DDF" w:rsidRPr="000F27B6" w14:paraId="00160266" w14:textId="77777777" w:rsidTr="00E775E0">
        <w:trPr>
          <w:trHeight w:val="186"/>
        </w:trPr>
        <w:tc>
          <w:tcPr>
            <w:tcW w:w="738" w:type="dxa"/>
          </w:tcPr>
          <w:p w14:paraId="5A7F980A" w14:textId="246059E9" w:rsidR="00894DDF" w:rsidRPr="000F27B6" w:rsidRDefault="00894DDF" w:rsidP="00E861C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Pr>
                <w:rFonts w:asciiTheme="minorHAnsi" w:hAnsiTheme="minorHAnsi"/>
                <w:color w:val="auto"/>
                <w:szCs w:val="24"/>
              </w:rPr>
              <w:t>40</w:t>
            </w:r>
          </w:p>
        </w:tc>
        <w:tc>
          <w:tcPr>
            <w:tcW w:w="3344" w:type="dxa"/>
          </w:tcPr>
          <w:p w14:paraId="5AE57A68" w14:textId="648E7A74" w:rsidR="00894DDF" w:rsidRPr="00EE24D4" w:rsidRDefault="00894DDF" w:rsidP="00E861C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EE24D4">
              <w:rPr>
                <w:rFonts w:asciiTheme="minorHAnsi" w:hAnsiTheme="minorHAnsi"/>
                <w:color w:val="auto"/>
                <w:szCs w:val="24"/>
              </w:rPr>
              <w:t>female, died at rest,</w:t>
            </w:r>
            <w:r w:rsidR="00E247D6" w:rsidRPr="00EE24D4">
              <w:rPr>
                <w:rFonts w:asciiTheme="minorHAnsi" w:hAnsiTheme="minorHAnsi"/>
                <w:color w:val="auto"/>
                <w:szCs w:val="24"/>
              </w:rPr>
              <w:t xml:space="preserve"> 21,</w:t>
            </w:r>
            <w:r w:rsidRPr="00EE24D4">
              <w:rPr>
                <w:rFonts w:asciiTheme="minorHAnsi" w:hAnsiTheme="minorHAnsi"/>
                <w:color w:val="auto"/>
                <w:szCs w:val="24"/>
              </w:rPr>
              <w:t xml:space="preserve"> KCNH2</w:t>
            </w:r>
          </w:p>
          <w:p w14:paraId="7D90F6C1" w14:textId="5CC05E10" w:rsidR="00894DDF" w:rsidRPr="00EE24D4"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p>
        </w:tc>
        <w:tc>
          <w:tcPr>
            <w:tcW w:w="2041" w:type="dxa"/>
          </w:tcPr>
          <w:p w14:paraId="3D575362"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mother, 41</w:t>
            </w:r>
          </w:p>
          <w:p w14:paraId="5A26A773"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father, 55</w:t>
            </w:r>
          </w:p>
          <w:p w14:paraId="17F2C03F"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sibling, 15</w:t>
            </w:r>
          </w:p>
          <w:p w14:paraId="56C5DFB7"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sibling, 10</w:t>
            </w:r>
          </w:p>
        </w:tc>
        <w:tc>
          <w:tcPr>
            <w:tcW w:w="2553" w:type="dxa"/>
          </w:tcPr>
          <w:p w14:paraId="00245D7B"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p w14:paraId="0E22DDAD"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LQTS</w:t>
            </w:r>
          </w:p>
          <w:p w14:paraId="6A9EECD8"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LQTS</w:t>
            </w:r>
          </w:p>
          <w:p w14:paraId="6DF10F1C"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tc>
        <w:tc>
          <w:tcPr>
            <w:tcW w:w="1843" w:type="dxa"/>
          </w:tcPr>
          <w:p w14:paraId="53DDA61F"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p>
          <w:p w14:paraId="793AE453"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KCNH2</w:t>
            </w:r>
          </w:p>
          <w:p w14:paraId="63564806"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KCNH2</w:t>
            </w:r>
          </w:p>
        </w:tc>
      </w:tr>
      <w:tr w:rsidR="00894DDF" w:rsidRPr="000F27B6" w14:paraId="48030CCC" w14:textId="77777777" w:rsidTr="00E775E0">
        <w:trPr>
          <w:trHeight w:val="125"/>
        </w:trPr>
        <w:tc>
          <w:tcPr>
            <w:tcW w:w="738" w:type="dxa"/>
          </w:tcPr>
          <w:p w14:paraId="3950A7DF" w14:textId="284EB9DA"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Pr>
                <w:rFonts w:asciiTheme="minorHAnsi" w:hAnsiTheme="minorHAnsi"/>
                <w:color w:val="auto"/>
                <w:szCs w:val="24"/>
              </w:rPr>
              <w:t>41</w:t>
            </w:r>
          </w:p>
        </w:tc>
        <w:tc>
          <w:tcPr>
            <w:tcW w:w="3344" w:type="dxa"/>
          </w:tcPr>
          <w:p w14:paraId="6766ABF7" w14:textId="3371E6C7" w:rsidR="00894DDF" w:rsidRPr="00EE24D4"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EE24D4">
              <w:rPr>
                <w:rFonts w:asciiTheme="minorHAnsi" w:hAnsiTheme="minorHAnsi"/>
                <w:color w:val="auto"/>
                <w:szCs w:val="24"/>
              </w:rPr>
              <w:t>male, died during exercise</w:t>
            </w:r>
            <w:r w:rsidR="00E247D6" w:rsidRPr="00EE24D4">
              <w:rPr>
                <w:rFonts w:asciiTheme="minorHAnsi" w:hAnsiTheme="minorHAnsi"/>
                <w:color w:val="auto"/>
                <w:szCs w:val="24"/>
              </w:rPr>
              <w:t>, 52</w:t>
            </w:r>
            <w:r w:rsidR="00C13173" w:rsidRPr="00EE24D4">
              <w:rPr>
                <w:rFonts w:asciiTheme="minorHAnsi" w:hAnsiTheme="minorHAnsi"/>
                <w:color w:val="auto"/>
                <w:szCs w:val="24"/>
              </w:rPr>
              <w:t>, MF</w:t>
            </w:r>
          </w:p>
        </w:tc>
        <w:tc>
          <w:tcPr>
            <w:tcW w:w="2041" w:type="dxa"/>
          </w:tcPr>
          <w:p w14:paraId="68E00350"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sibling, 50</w:t>
            </w:r>
          </w:p>
          <w:p w14:paraId="74EC00B5"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sibling, 52</w:t>
            </w:r>
          </w:p>
        </w:tc>
        <w:tc>
          <w:tcPr>
            <w:tcW w:w="2553" w:type="dxa"/>
          </w:tcPr>
          <w:p w14:paraId="1CE40822"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p w14:paraId="7318B4E0"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tc>
        <w:tc>
          <w:tcPr>
            <w:tcW w:w="1843" w:type="dxa"/>
          </w:tcPr>
          <w:p w14:paraId="15DFDBE1"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p>
        </w:tc>
      </w:tr>
      <w:tr w:rsidR="00894DDF" w:rsidRPr="000F27B6" w14:paraId="4BC028BA" w14:textId="77777777" w:rsidTr="00E775E0">
        <w:trPr>
          <w:trHeight w:val="151"/>
        </w:trPr>
        <w:tc>
          <w:tcPr>
            <w:tcW w:w="738" w:type="dxa"/>
          </w:tcPr>
          <w:p w14:paraId="7DBDCF59" w14:textId="07D39BC8"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Pr>
                <w:rFonts w:asciiTheme="minorHAnsi" w:hAnsiTheme="minorHAnsi"/>
                <w:color w:val="auto"/>
                <w:szCs w:val="24"/>
              </w:rPr>
              <w:t>42</w:t>
            </w:r>
          </w:p>
        </w:tc>
        <w:tc>
          <w:tcPr>
            <w:tcW w:w="3344" w:type="dxa"/>
          </w:tcPr>
          <w:p w14:paraId="380EC195" w14:textId="42CB4227" w:rsidR="00894DDF" w:rsidRPr="00EE24D4"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EE24D4">
              <w:rPr>
                <w:rFonts w:asciiTheme="minorHAnsi" w:hAnsiTheme="minorHAnsi"/>
                <w:color w:val="auto"/>
                <w:szCs w:val="24"/>
              </w:rPr>
              <w:t>male,</w:t>
            </w:r>
            <w:r w:rsidR="00E247D6" w:rsidRPr="00EE24D4">
              <w:rPr>
                <w:rFonts w:asciiTheme="minorHAnsi" w:hAnsiTheme="minorHAnsi"/>
                <w:color w:val="auto"/>
                <w:szCs w:val="24"/>
              </w:rPr>
              <w:t xml:space="preserve"> </w:t>
            </w:r>
            <w:r w:rsidRPr="00EE24D4">
              <w:rPr>
                <w:rFonts w:asciiTheme="minorHAnsi" w:hAnsiTheme="minorHAnsi"/>
                <w:color w:val="auto"/>
                <w:szCs w:val="24"/>
              </w:rPr>
              <w:t>died at rest</w:t>
            </w:r>
            <w:r w:rsidR="00E247D6" w:rsidRPr="00EE24D4">
              <w:rPr>
                <w:rFonts w:asciiTheme="minorHAnsi" w:hAnsiTheme="minorHAnsi"/>
                <w:color w:val="auto"/>
                <w:szCs w:val="24"/>
              </w:rPr>
              <w:t>, 28</w:t>
            </w:r>
          </w:p>
        </w:tc>
        <w:tc>
          <w:tcPr>
            <w:tcW w:w="2041" w:type="dxa"/>
          </w:tcPr>
          <w:p w14:paraId="292531F2"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mother, 62</w:t>
            </w:r>
          </w:p>
          <w:p w14:paraId="12F9C8F7"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father, 60</w:t>
            </w:r>
          </w:p>
          <w:p w14:paraId="139F5A1D"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sibling, 21</w:t>
            </w:r>
          </w:p>
          <w:p w14:paraId="6350CEB8"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sibling, 25</w:t>
            </w:r>
          </w:p>
        </w:tc>
        <w:tc>
          <w:tcPr>
            <w:tcW w:w="2553" w:type="dxa"/>
          </w:tcPr>
          <w:p w14:paraId="2E174DEC"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p w14:paraId="4F1531D9"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p w14:paraId="7B2626DF"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p w14:paraId="01AE3F70"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tc>
        <w:tc>
          <w:tcPr>
            <w:tcW w:w="1843" w:type="dxa"/>
          </w:tcPr>
          <w:p w14:paraId="14C45A12"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p>
        </w:tc>
      </w:tr>
      <w:tr w:rsidR="00894DDF" w:rsidRPr="000F27B6" w14:paraId="68EBDCE5" w14:textId="77777777" w:rsidTr="00E775E0">
        <w:trPr>
          <w:trHeight w:val="108"/>
        </w:trPr>
        <w:tc>
          <w:tcPr>
            <w:tcW w:w="738" w:type="dxa"/>
          </w:tcPr>
          <w:p w14:paraId="26C77BBF" w14:textId="52D09778"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Pr>
                <w:rFonts w:asciiTheme="minorHAnsi" w:hAnsiTheme="minorHAnsi"/>
                <w:color w:val="auto"/>
                <w:szCs w:val="24"/>
              </w:rPr>
              <w:t>43</w:t>
            </w:r>
          </w:p>
        </w:tc>
        <w:tc>
          <w:tcPr>
            <w:tcW w:w="3344" w:type="dxa"/>
          </w:tcPr>
          <w:p w14:paraId="25E73D4A" w14:textId="58F308A7" w:rsidR="00894DDF" w:rsidRPr="00EE24D4"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EE24D4">
              <w:rPr>
                <w:rFonts w:asciiTheme="minorHAnsi" w:hAnsiTheme="minorHAnsi"/>
                <w:color w:val="auto"/>
                <w:szCs w:val="24"/>
              </w:rPr>
              <w:t>female,</w:t>
            </w:r>
            <w:r w:rsidR="00E247D6" w:rsidRPr="00EE24D4">
              <w:rPr>
                <w:rFonts w:asciiTheme="minorHAnsi" w:hAnsiTheme="minorHAnsi"/>
                <w:color w:val="auto"/>
                <w:szCs w:val="24"/>
              </w:rPr>
              <w:t xml:space="preserve"> 62,</w:t>
            </w:r>
            <w:r w:rsidRPr="00EE24D4">
              <w:rPr>
                <w:rFonts w:asciiTheme="minorHAnsi" w:hAnsiTheme="minorHAnsi"/>
                <w:color w:val="auto"/>
                <w:szCs w:val="24"/>
              </w:rPr>
              <w:t xml:space="preserve"> died at rest</w:t>
            </w:r>
            <w:r w:rsidR="00C13173" w:rsidRPr="00EE24D4">
              <w:rPr>
                <w:rFonts w:asciiTheme="minorHAnsi" w:hAnsiTheme="minorHAnsi"/>
                <w:color w:val="auto"/>
                <w:szCs w:val="24"/>
              </w:rPr>
              <w:t>, MF</w:t>
            </w:r>
          </w:p>
        </w:tc>
        <w:tc>
          <w:tcPr>
            <w:tcW w:w="2041" w:type="dxa"/>
          </w:tcPr>
          <w:p w14:paraId="332711EE"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daughter, 30</w:t>
            </w:r>
          </w:p>
          <w:p w14:paraId="7CE7AD53"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daughter, 28</w:t>
            </w:r>
          </w:p>
        </w:tc>
        <w:tc>
          <w:tcPr>
            <w:tcW w:w="2553" w:type="dxa"/>
          </w:tcPr>
          <w:p w14:paraId="5EF14F7F"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Brugada syndrome</w:t>
            </w:r>
          </w:p>
          <w:p w14:paraId="6A83AF33"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Brugada syndrome</w:t>
            </w:r>
          </w:p>
        </w:tc>
        <w:tc>
          <w:tcPr>
            <w:tcW w:w="1843" w:type="dxa"/>
          </w:tcPr>
          <w:p w14:paraId="58E51F3A"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p>
        </w:tc>
      </w:tr>
      <w:tr w:rsidR="00894DDF" w:rsidRPr="000F27B6" w14:paraId="5822F700" w14:textId="77777777" w:rsidTr="00E775E0">
        <w:trPr>
          <w:trHeight w:val="87"/>
        </w:trPr>
        <w:tc>
          <w:tcPr>
            <w:tcW w:w="738" w:type="dxa"/>
          </w:tcPr>
          <w:p w14:paraId="1B606F37" w14:textId="3B3575B3"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Pr>
                <w:rFonts w:asciiTheme="minorHAnsi" w:hAnsiTheme="minorHAnsi"/>
                <w:color w:val="auto"/>
                <w:szCs w:val="24"/>
              </w:rPr>
              <w:t>44</w:t>
            </w:r>
          </w:p>
        </w:tc>
        <w:tc>
          <w:tcPr>
            <w:tcW w:w="3344" w:type="dxa"/>
          </w:tcPr>
          <w:p w14:paraId="3B861B74" w14:textId="77D0CC2B" w:rsidR="00894DDF" w:rsidRPr="00EE24D4"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EE24D4">
              <w:rPr>
                <w:rFonts w:asciiTheme="minorHAnsi" w:hAnsiTheme="minorHAnsi"/>
                <w:color w:val="auto"/>
                <w:szCs w:val="24"/>
              </w:rPr>
              <w:t>male, died at rest</w:t>
            </w:r>
            <w:r w:rsidR="00E247D6" w:rsidRPr="00EE24D4">
              <w:rPr>
                <w:rFonts w:asciiTheme="minorHAnsi" w:hAnsiTheme="minorHAnsi"/>
                <w:color w:val="auto"/>
                <w:szCs w:val="24"/>
              </w:rPr>
              <w:t>, 34</w:t>
            </w:r>
          </w:p>
        </w:tc>
        <w:tc>
          <w:tcPr>
            <w:tcW w:w="2041" w:type="dxa"/>
          </w:tcPr>
          <w:p w14:paraId="22D7F7F3"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son, 17</w:t>
            </w:r>
          </w:p>
        </w:tc>
        <w:tc>
          <w:tcPr>
            <w:tcW w:w="2553" w:type="dxa"/>
          </w:tcPr>
          <w:p w14:paraId="524FF1B4"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tc>
        <w:tc>
          <w:tcPr>
            <w:tcW w:w="1843" w:type="dxa"/>
          </w:tcPr>
          <w:p w14:paraId="5FF86AB8"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p>
        </w:tc>
      </w:tr>
      <w:tr w:rsidR="00894DDF" w:rsidRPr="000F27B6" w14:paraId="46C1BD3A" w14:textId="77777777" w:rsidTr="00E775E0">
        <w:trPr>
          <w:trHeight w:val="91"/>
        </w:trPr>
        <w:tc>
          <w:tcPr>
            <w:tcW w:w="738" w:type="dxa"/>
          </w:tcPr>
          <w:p w14:paraId="10C7FB8E" w14:textId="18C78E5C"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Pr>
                <w:rFonts w:asciiTheme="minorHAnsi" w:hAnsiTheme="minorHAnsi"/>
                <w:color w:val="auto"/>
                <w:szCs w:val="24"/>
              </w:rPr>
              <w:t>45</w:t>
            </w:r>
          </w:p>
        </w:tc>
        <w:tc>
          <w:tcPr>
            <w:tcW w:w="3344" w:type="dxa"/>
          </w:tcPr>
          <w:p w14:paraId="506A92E4" w14:textId="2035946B" w:rsidR="00894DDF" w:rsidRPr="00EE24D4"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EE24D4">
              <w:rPr>
                <w:rFonts w:asciiTheme="minorHAnsi" w:hAnsiTheme="minorHAnsi"/>
                <w:color w:val="auto"/>
                <w:szCs w:val="24"/>
              </w:rPr>
              <w:t>male, died during sleep</w:t>
            </w:r>
            <w:r w:rsidR="00E247D6" w:rsidRPr="00EE24D4">
              <w:rPr>
                <w:rFonts w:asciiTheme="minorHAnsi" w:hAnsiTheme="minorHAnsi"/>
                <w:color w:val="auto"/>
                <w:szCs w:val="24"/>
              </w:rPr>
              <w:t>, 35</w:t>
            </w:r>
          </w:p>
        </w:tc>
        <w:tc>
          <w:tcPr>
            <w:tcW w:w="2041" w:type="dxa"/>
          </w:tcPr>
          <w:p w14:paraId="23921124"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sibling, 33</w:t>
            </w:r>
          </w:p>
          <w:p w14:paraId="35A86387"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sibling, 31</w:t>
            </w:r>
          </w:p>
        </w:tc>
        <w:tc>
          <w:tcPr>
            <w:tcW w:w="2553" w:type="dxa"/>
          </w:tcPr>
          <w:p w14:paraId="17FEF688"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p w14:paraId="2B4473A2"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tc>
        <w:tc>
          <w:tcPr>
            <w:tcW w:w="1843" w:type="dxa"/>
          </w:tcPr>
          <w:p w14:paraId="7C14D87A"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p>
        </w:tc>
      </w:tr>
      <w:tr w:rsidR="00894DDF" w:rsidRPr="000F27B6" w14:paraId="33E386DB" w14:textId="77777777" w:rsidTr="00E775E0">
        <w:trPr>
          <w:trHeight w:val="124"/>
        </w:trPr>
        <w:tc>
          <w:tcPr>
            <w:tcW w:w="738" w:type="dxa"/>
          </w:tcPr>
          <w:p w14:paraId="1AF91716" w14:textId="21276046"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Pr>
                <w:rFonts w:asciiTheme="minorHAnsi" w:hAnsiTheme="minorHAnsi"/>
                <w:color w:val="auto"/>
                <w:szCs w:val="24"/>
              </w:rPr>
              <w:t>46</w:t>
            </w:r>
          </w:p>
        </w:tc>
        <w:tc>
          <w:tcPr>
            <w:tcW w:w="3344" w:type="dxa"/>
          </w:tcPr>
          <w:p w14:paraId="11852C1F" w14:textId="354E219B" w:rsidR="00894DDF" w:rsidRPr="00EE24D4"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EE24D4">
              <w:rPr>
                <w:rFonts w:asciiTheme="minorHAnsi" w:hAnsiTheme="minorHAnsi"/>
                <w:color w:val="auto"/>
                <w:szCs w:val="24"/>
              </w:rPr>
              <w:t>female, died at rest</w:t>
            </w:r>
            <w:r w:rsidR="00E247D6" w:rsidRPr="00EE24D4">
              <w:rPr>
                <w:rFonts w:asciiTheme="minorHAnsi" w:hAnsiTheme="minorHAnsi"/>
                <w:color w:val="auto"/>
                <w:szCs w:val="24"/>
              </w:rPr>
              <w:t>, 56</w:t>
            </w:r>
            <w:r w:rsidR="00C13173" w:rsidRPr="00EE24D4">
              <w:rPr>
                <w:rFonts w:asciiTheme="minorHAnsi" w:hAnsiTheme="minorHAnsi"/>
                <w:color w:val="auto"/>
                <w:szCs w:val="24"/>
              </w:rPr>
              <w:t>, MF</w:t>
            </w:r>
          </w:p>
        </w:tc>
        <w:tc>
          <w:tcPr>
            <w:tcW w:w="2041" w:type="dxa"/>
          </w:tcPr>
          <w:p w14:paraId="3CFA50C4"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sibling, 58</w:t>
            </w:r>
          </w:p>
          <w:p w14:paraId="69F94F2F"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sibling, 60</w:t>
            </w:r>
          </w:p>
          <w:p w14:paraId="1C5FB211"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r w:rsidRPr="000F27B6">
              <w:rPr>
                <w:rFonts w:asciiTheme="minorHAnsi" w:hAnsiTheme="minorHAnsi"/>
                <w:color w:val="auto"/>
                <w:szCs w:val="24"/>
              </w:rPr>
              <w:t>son, 29</w:t>
            </w:r>
          </w:p>
        </w:tc>
        <w:tc>
          <w:tcPr>
            <w:tcW w:w="2553" w:type="dxa"/>
          </w:tcPr>
          <w:p w14:paraId="1E3EF08C"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p w14:paraId="6F9EF170"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p w14:paraId="3FA159F0"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heme="minorHAnsi" w:hAnsiTheme="minorHAnsi"/>
                <w:color w:val="auto"/>
                <w:szCs w:val="24"/>
              </w:rPr>
            </w:pPr>
            <w:r w:rsidRPr="000F27B6">
              <w:rPr>
                <w:rFonts w:asciiTheme="minorHAnsi" w:hAnsiTheme="minorHAnsi"/>
                <w:color w:val="auto"/>
                <w:szCs w:val="24"/>
              </w:rPr>
              <w:t>Negative</w:t>
            </w:r>
          </w:p>
        </w:tc>
        <w:tc>
          <w:tcPr>
            <w:tcW w:w="1843" w:type="dxa"/>
          </w:tcPr>
          <w:p w14:paraId="2C041698" w14:textId="77777777" w:rsidR="00894DDF" w:rsidRPr="000F27B6" w:rsidRDefault="00894DDF" w:rsidP="007E116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heme="minorHAnsi" w:hAnsiTheme="minorHAnsi"/>
                <w:color w:val="auto"/>
                <w:szCs w:val="24"/>
              </w:rPr>
            </w:pPr>
          </w:p>
        </w:tc>
      </w:tr>
    </w:tbl>
    <w:p w14:paraId="0DBED019" w14:textId="5D6E596F" w:rsidR="007C5605" w:rsidRPr="00143D44" w:rsidRDefault="007E1168" w:rsidP="0058406C">
      <w:pPr>
        <w:spacing w:line="360" w:lineRule="exact"/>
        <w:rPr>
          <w:sz w:val="24"/>
          <w:szCs w:val="24"/>
        </w:rPr>
      </w:pPr>
      <w:r w:rsidRPr="00143D44">
        <w:rPr>
          <w:rFonts w:asciiTheme="minorHAnsi" w:hAnsiTheme="minorHAnsi" w:cs="Arial"/>
          <w:b/>
          <w:sz w:val="24"/>
          <w:szCs w:val="24"/>
        </w:rPr>
        <w:t>Abbreviations:</w:t>
      </w:r>
      <w:r w:rsidRPr="00143D44">
        <w:rPr>
          <w:rFonts w:asciiTheme="minorHAnsi" w:hAnsiTheme="minorHAnsi" w:cs="Arial"/>
          <w:sz w:val="24"/>
          <w:szCs w:val="24"/>
        </w:rPr>
        <w:t xml:space="preserve"> </w:t>
      </w:r>
      <w:r w:rsidR="007A3C67" w:rsidRPr="00143D44">
        <w:rPr>
          <w:rFonts w:asciiTheme="minorHAnsi" w:hAnsiTheme="minorHAnsi" w:cs="Arial"/>
          <w:sz w:val="24"/>
          <w:szCs w:val="24"/>
        </w:rPr>
        <w:t xml:space="preserve">AC: arrhythmogenic cardiomyopathy; </w:t>
      </w:r>
      <w:r w:rsidRPr="00143D44">
        <w:rPr>
          <w:rFonts w:asciiTheme="minorHAnsi" w:hAnsiTheme="minorHAnsi" w:cs="Arial"/>
          <w:sz w:val="24"/>
          <w:szCs w:val="24"/>
        </w:rPr>
        <w:t>CMP: cardiomyopathy;</w:t>
      </w:r>
      <w:r w:rsidR="000C495A" w:rsidRPr="00143D44">
        <w:rPr>
          <w:rFonts w:asciiTheme="minorHAnsi" w:hAnsiTheme="minorHAnsi" w:cs="Arial"/>
          <w:sz w:val="24"/>
          <w:szCs w:val="24"/>
        </w:rPr>
        <w:t xml:space="preserve"> </w:t>
      </w:r>
      <w:r w:rsidRPr="00143D44">
        <w:rPr>
          <w:rFonts w:asciiTheme="minorHAnsi" w:hAnsiTheme="minorHAnsi" w:cs="Arial"/>
          <w:sz w:val="24"/>
          <w:szCs w:val="24"/>
        </w:rPr>
        <w:t>IHD: ischemic heart disease; LVH: left ventricular hypertrophy; LV: left ventricular; LQTS: long QT syndrome;</w:t>
      </w:r>
      <w:r w:rsidR="00C13173" w:rsidRPr="00143D44">
        <w:rPr>
          <w:rFonts w:asciiTheme="minorHAnsi" w:hAnsiTheme="minorHAnsi" w:cs="Arial"/>
          <w:sz w:val="24"/>
          <w:szCs w:val="24"/>
        </w:rPr>
        <w:t xml:space="preserve"> MF: myocardial fibrosis;</w:t>
      </w:r>
      <w:r w:rsidRPr="00143D44">
        <w:rPr>
          <w:rFonts w:asciiTheme="minorHAnsi" w:hAnsiTheme="minorHAnsi" w:cs="Arial"/>
          <w:sz w:val="24"/>
          <w:szCs w:val="24"/>
        </w:rPr>
        <w:t xml:space="preserve"> VE: ventricular ectopics; WPW: Wolff-Parkinson-White syndrome.</w:t>
      </w:r>
      <w:r w:rsidR="000079E4" w:rsidRPr="00143D44">
        <w:rPr>
          <w:sz w:val="24"/>
          <w:szCs w:val="24"/>
        </w:rPr>
        <w:t xml:space="preserve"> </w:t>
      </w:r>
    </w:p>
    <w:p w14:paraId="3CA787F8" w14:textId="027BC6BD" w:rsidR="00F01981" w:rsidRPr="00143D44" w:rsidRDefault="00F01981" w:rsidP="00F01981">
      <w:pPr>
        <w:spacing w:line="360" w:lineRule="exact"/>
        <w:rPr>
          <w:sz w:val="24"/>
          <w:szCs w:val="24"/>
        </w:rPr>
      </w:pPr>
      <w:bookmarkStart w:id="15" w:name="_Hlk26427822"/>
      <w:r w:rsidRPr="00143D44">
        <w:rPr>
          <w:sz w:val="24"/>
          <w:szCs w:val="24"/>
        </w:rPr>
        <w:t>* variants mentioned in this table are pathogenic.</w:t>
      </w:r>
      <w:bookmarkStart w:id="16" w:name="_Hlk26428087"/>
      <w:r w:rsidR="00E775E0" w:rsidRPr="00143D44">
        <w:rPr>
          <w:sz w:val="24"/>
          <w:szCs w:val="24"/>
        </w:rPr>
        <w:t xml:space="preserve">; </w:t>
      </w:r>
      <w:r w:rsidR="0023691C" w:rsidRPr="00143D44">
        <w:rPr>
          <w:sz w:val="24"/>
          <w:szCs w:val="24"/>
        </w:rPr>
        <w:t>**</w:t>
      </w:r>
      <w:r w:rsidRPr="00143D44">
        <w:rPr>
          <w:sz w:val="24"/>
          <w:szCs w:val="24"/>
        </w:rPr>
        <w:t xml:space="preserve"> mild LVH is defined as maximal wall thickness </w:t>
      </w:r>
      <w:r w:rsidRPr="00143D44">
        <w:rPr>
          <w:rFonts w:cs="Calibri"/>
          <w:sz w:val="24"/>
          <w:szCs w:val="24"/>
        </w:rPr>
        <w:t>≤</w:t>
      </w:r>
      <w:r w:rsidRPr="00143D44">
        <w:rPr>
          <w:sz w:val="24"/>
          <w:szCs w:val="24"/>
        </w:rPr>
        <w:t xml:space="preserve"> 13 mm.</w:t>
      </w:r>
    </w:p>
    <w:bookmarkEnd w:id="15"/>
    <w:bookmarkEnd w:id="16"/>
    <w:p w14:paraId="17E2D130" w14:textId="492C40CC" w:rsidR="00E775E0" w:rsidRPr="00143D44" w:rsidRDefault="00E775E0" w:rsidP="00E775E0">
      <w:pPr>
        <w:spacing w:after="0" w:line="480" w:lineRule="auto"/>
        <w:rPr>
          <w:sz w:val="24"/>
          <w:szCs w:val="24"/>
        </w:rPr>
      </w:pPr>
      <w:r w:rsidRPr="00143D44">
        <w:rPr>
          <w:b/>
          <w:sz w:val="24"/>
          <w:szCs w:val="24"/>
        </w:rPr>
        <w:lastRenderedPageBreak/>
        <w:t>Table 3</w:t>
      </w:r>
      <w:r w:rsidR="00143D44" w:rsidRPr="00143D44">
        <w:rPr>
          <w:b/>
          <w:sz w:val="24"/>
          <w:szCs w:val="24"/>
        </w:rPr>
        <w:t>.</w:t>
      </w:r>
      <w:r w:rsidRPr="00143D44">
        <w:rPr>
          <w:sz w:val="24"/>
          <w:szCs w:val="24"/>
        </w:rPr>
        <w:t xml:space="preserve"> Family members with findings of uncertain significance. </w:t>
      </w:r>
    </w:p>
    <w:p w14:paraId="737FEE15" w14:textId="77777777" w:rsidR="00E775E0" w:rsidRDefault="00E775E0" w:rsidP="00E775E0">
      <w:pPr>
        <w:spacing w:after="0" w:line="480" w:lineRule="auto"/>
        <w:rPr>
          <w:sz w:val="24"/>
          <w:szCs w:val="24"/>
          <w:highlight w:val="yellow"/>
        </w:rPr>
      </w:pPr>
    </w:p>
    <w:p w14:paraId="0A2BA6A5" w14:textId="77777777" w:rsidR="00E775E0" w:rsidRPr="00E775E0" w:rsidRDefault="00E775E0" w:rsidP="00E775E0">
      <w:pPr>
        <w:spacing w:after="0" w:line="240" w:lineRule="auto"/>
        <w:rPr>
          <w:rFonts w:asciiTheme="minorHAnsi" w:hAnsiTheme="minorHAnsi" w:cs="Arial"/>
          <w:b/>
          <w:sz w:val="24"/>
          <w:szCs w:val="24"/>
        </w:rPr>
      </w:pPr>
    </w:p>
    <w:tbl>
      <w:tblPr>
        <w:tblStyle w:val="TableGrid"/>
        <w:tblW w:w="9776" w:type="dxa"/>
        <w:tblLook w:val="04A0" w:firstRow="1" w:lastRow="0" w:firstColumn="1" w:lastColumn="0" w:noHBand="0" w:noVBand="1"/>
      </w:tblPr>
      <w:tblGrid>
        <w:gridCol w:w="1696"/>
        <w:gridCol w:w="2977"/>
        <w:gridCol w:w="5103"/>
      </w:tblGrid>
      <w:tr w:rsidR="00E775E0" w14:paraId="282A90EA" w14:textId="77777777" w:rsidTr="00DD3595">
        <w:tc>
          <w:tcPr>
            <w:tcW w:w="1696" w:type="dxa"/>
          </w:tcPr>
          <w:p w14:paraId="47A4B127" w14:textId="41D3AC30" w:rsidR="00E775E0" w:rsidRDefault="00E775E0" w:rsidP="00DD3595">
            <w:pPr>
              <w:spacing w:line="360" w:lineRule="auto"/>
              <w:rPr>
                <w:b/>
                <w:sz w:val="24"/>
                <w:szCs w:val="24"/>
              </w:rPr>
            </w:pPr>
            <w:r>
              <w:rPr>
                <w:b/>
                <w:sz w:val="24"/>
                <w:szCs w:val="24"/>
              </w:rPr>
              <w:t>Proband</w:t>
            </w:r>
            <w:r w:rsidR="00DD3595">
              <w:rPr>
                <w:b/>
                <w:sz w:val="24"/>
                <w:szCs w:val="24"/>
              </w:rPr>
              <w:t xml:space="preserve"> (age and sex)</w:t>
            </w:r>
          </w:p>
        </w:tc>
        <w:tc>
          <w:tcPr>
            <w:tcW w:w="2977" w:type="dxa"/>
          </w:tcPr>
          <w:p w14:paraId="142CFB43" w14:textId="37F5CCA7" w:rsidR="00E775E0" w:rsidRDefault="00E775E0" w:rsidP="00DD3595">
            <w:pPr>
              <w:spacing w:line="360" w:lineRule="auto"/>
              <w:rPr>
                <w:b/>
                <w:sz w:val="24"/>
                <w:szCs w:val="24"/>
              </w:rPr>
            </w:pPr>
            <w:r>
              <w:rPr>
                <w:b/>
                <w:sz w:val="24"/>
                <w:szCs w:val="24"/>
              </w:rPr>
              <w:t>Family member</w:t>
            </w:r>
            <w:r w:rsidR="00DD3595">
              <w:rPr>
                <w:b/>
                <w:sz w:val="24"/>
                <w:szCs w:val="24"/>
              </w:rPr>
              <w:t xml:space="preserve"> (age and relationship with proband)</w:t>
            </w:r>
          </w:p>
        </w:tc>
        <w:tc>
          <w:tcPr>
            <w:tcW w:w="5103" w:type="dxa"/>
          </w:tcPr>
          <w:p w14:paraId="1CB007DE" w14:textId="77777777" w:rsidR="00E775E0" w:rsidRDefault="00E775E0" w:rsidP="00DD3595">
            <w:pPr>
              <w:spacing w:line="360" w:lineRule="auto"/>
              <w:rPr>
                <w:b/>
                <w:sz w:val="24"/>
                <w:szCs w:val="24"/>
              </w:rPr>
            </w:pPr>
            <w:r>
              <w:rPr>
                <w:b/>
                <w:sz w:val="24"/>
                <w:szCs w:val="24"/>
              </w:rPr>
              <w:t>Finding</w:t>
            </w:r>
          </w:p>
        </w:tc>
      </w:tr>
      <w:tr w:rsidR="00E775E0" w14:paraId="3D6607B8" w14:textId="77777777" w:rsidTr="00DD3595">
        <w:tc>
          <w:tcPr>
            <w:tcW w:w="1696" w:type="dxa"/>
          </w:tcPr>
          <w:p w14:paraId="04061C81" w14:textId="77777777" w:rsidR="00E775E0" w:rsidRPr="00040A66" w:rsidRDefault="00E775E0" w:rsidP="009A569C">
            <w:pPr>
              <w:spacing w:line="480" w:lineRule="auto"/>
              <w:rPr>
                <w:sz w:val="24"/>
                <w:szCs w:val="24"/>
              </w:rPr>
            </w:pPr>
            <w:r w:rsidRPr="00040A66">
              <w:rPr>
                <w:sz w:val="24"/>
                <w:szCs w:val="24"/>
              </w:rPr>
              <w:t>39, male</w:t>
            </w:r>
          </w:p>
        </w:tc>
        <w:tc>
          <w:tcPr>
            <w:tcW w:w="2977" w:type="dxa"/>
          </w:tcPr>
          <w:p w14:paraId="79803CE1" w14:textId="77777777" w:rsidR="00E775E0" w:rsidRPr="00040A66" w:rsidRDefault="00E775E0" w:rsidP="009A569C">
            <w:pPr>
              <w:spacing w:line="480" w:lineRule="auto"/>
              <w:rPr>
                <w:sz w:val="24"/>
                <w:szCs w:val="24"/>
              </w:rPr>
            </w:pPr>
            <w:r w:rsidRPr="00040A66">
              <w:rPr>
                <w:sz w:val="24"/>
                <w:szCs w:val="24"/>
              </w:rPr>
              <w:t>65, father</w:t>
            </w:r>
          </w:p>
        </w:tc>
        <w:tc>
          <w:tcPr>
            <w:tcW w:w="5103" w:type="dxa"/>
          </w:tcPr>
          <w:p w14:paraId="47AC7089" w14:textId="77777777" w:rsidR="00E775E0" w:rsidRPr="00040A66" w:rsidRDefault="00E775E0" w:rsidP="009A569C">
            <w:pPr>
              <w:spacing w:line="480" w:lineRule="auto"/>
              <w:rPr>
                <w:sz w:val="24"/>
                <w:szCs w:val="24"/>
              </w:rPr>
            </w:pPr>
            <w:r w:rsidRPr="00040A66">
              <w:rPr>
                <w:sz w:val="24"/>
                <w:szCs w:val="24"/>
              </w:rPr>
              <w:t>Hypertension, normal ECG, septal bulge (maximal wall thickness 14 mm), no pathogenic variant</w:t>
            </w:r>
            <w:r>
              <w:rPr>
                <w:sz w:val="24"/>
                <w:szCs w:val="24"/>
              </w:rPr>
              <w:t>s</w:t>
            </w:r>
          </w:p>
        </w:tc>
      </w:tr>
      <w:tr w:rsidR="00E775E0" w14:paraId="084F665A" w14:textId="77777777" w:rsidTr="00DD3595">
        <w:tc>
          <w:tcPr>
            <w:tcW w:w="1696" w:type="dxa"/>
          </w:tcPr>
          <w:p w14:paraId="0E42F06B" w14:textId="77777777" w:rsidR="00E775E0" w:rsidRPr="00040A66" w:rsidRDefault="00E775E0" w:rsidP="009A569C">
            <w:pPr>
              <w:spacing w:line="480" w:lineRule="auto"/>
              <w:rPr>
                <w:sz w:val="24"/>
                <w:szCs w:val="24"/>
              </w:rPr>
            </w:pPr>
            <w:r w:rsidRPr="00040A66">
              <w:rPr>
                <w:sz w:val="24"/>
                <w:szCs w:val="24"/>
              </w:rPr>
              <w:t>24, male</w:t>
            </w:r>
          </w:p>
        </w:tc>
        <w:tc>
          <w:tcPr>
            <w:tcW w:w="2977" w:type="dxa"/>
          </w:tcPr>
          <w:p w14:paraId="390DF2CB" w14:textId="77777777" w:rsidR="00E775E0" w:rsidRPr="00040A66" w:rsidRDefault="00E775E0" w:rsidP="009A569C">
            <w:pPr>
              <w:spacing w:line="480" w:lineRule="auto"/>
              <w:rPr>
                <w:sz w:val="24"/>
                <w:szCs w:val="24"/>
              </w:rPr>
            </w:pPr>
            <w:r>
              <w:rPr>
                <w:sz w:val="24"/>
                <w:szCs w:val="24"/>
              </w:rPr>
              <w:t>50, father</w:t>
            </w:r>
          </w:p>
        </w:tc>
        <w:tc>
          <w:tcPr>
            <w:tcW w:w="5103" w:type="dxa"/>
          </w:tcPr>
          <w:p w14:paraId="672818E1" w14:textId="77777777" w:rsidR="00E775E0" w:rsidRPr="00040A66" w:rsidRDefault="00E775E0" w:rsidP="009A569C">
            <w:pPr>
              <w:spacing w:line="480" w:lineRule="auto"/>
              <w:rPr>
                <w:sz w:val="24"/>
                <w:szCs w:val="24"/>
              </w:rPr>
            </w:pPr>
            <w:r>
              <w:rPr>
                <w:sz w:val="24"/>
                <w:szCs w:val="24"/>
              </w:rPr>
              <w:t xml:space="preserve">Hypertension, </w:t>
            </w:r>
            <w:r w:rsidRPr="00547204">
              <w:rPr>
                <w:sz w:val="24"/>
                <w:szCs w:val="24"/>
              </w:rPr>
              <w:t>reported long-term use of anabolic steroids</w:t>
            </w:r>
            <w:r>
              <w:rPr>
                <w:sz w:val="24"/>
                <w:szCs w:val="24"/>
              </w:rPr>
              <w:t>,</w:t>
            </w:r>
            <w:r w:rsidRPr="00547204">
              <w:rPr>
                <w:sz w:val="24"/>
                <w:szCs w:val="24"/>
              </w:rPr>
              <w:t xml:space="preserve"> normal ECG</w:t>
            </w:r>
            <w:r>
              <w:rPr>
                <w:sz w:val="24"/>
                <w:szCs w:val="24"/>
              </w:rPr>
              <w:t>,</w:t>
            </w:r>
            <w:r w:rsidRPr="00547204">
              <w:rPr>
                <w:sz w:val="24"/>
                <w:szCs w:val="24"/>
              </w:rPr>
              <w:t xml:space="preserve"> interventricular septum wall thickness </w:t>
            </w:r>
            <w:r>
              <w:rPr>
                <w:sz w:val="24"/>
                <w:szCs w:val="24"/>
              </w:rPr>
              <w:t>of</w:t>
            </w:r>
            <w:r w:rsidRPr="00547204">
              <w:rPr>
                <w:sz w:val="24"/>
                <w:szCs w:val="24"/>
              </w:rPr>
              <w:t xml:space="preserve"> 15 mm</w:t>
            </w:r>
            <w:r>
              <w:rPr>
                <w:sz w:val="24"/>
                <w:szCs w:val="24"/>
              </w:rPr>
              <w:t>,</w:t>
            </w:r>
            <w:r w:rsidRPr="00547204">
              <w:rPr>
                <w:sz w:val="24"/>
                <w:szCs w:val="24"/>
              </w:rPr>
              <w:t xml:space="preserve"> no pathogenic variants </w:t>
            </w:r>
          </w:p>
        </w:tc>
      </w:tr>
      <w:tr w:rsidR="00E775E0" w14:paraId="1D6CFA39" w14:textId="77777777" w:rsidTr="00DD3595">
        <w:tc>
          <w:tcPr>
            <w:tcW w:w="1696" w:type="dxa"/>
          </w:tcPr>
          <w:p w14:paraId="691652C6" w14:textId="77777777" w:rsidR="00E775E0" w:rsidRPr="00040A66" w:rsidRDefault="00E775E0" w:rsidP="009A569C">
            <w:pPr>
              <w:spacing w:line="480" w:lineRule="auto"/>
              <w:rPr>
                <w:sz w:val="24"/>
                <w:szCs w:val="24"/>
              </w:rPr>
            </w:pPr>
            <w:r w:rsidRPr="00040A66">
              <w:rPr>
                <w:sz w:val="24"/>
                <w:szCs w:val="24"/>
              </w:rPr>
              <w:t>21, male</w:t>
            </w:r>
          </w:p>
        </w:tc>
        <w:tc>
          <w:tcPr>
            <w:tcW w:w="2977" w:type="dxa"/>
          </w:tcPr>
          <w:p w14:paraId="18726C18" w14:textId="77777777" w:rsidR="00E775E0" w:rsidRPr="00040A66" w:rsidRDefault="00E775E0" w:rsidP="009A569C">
            <w:pPr>
              <w:spacing w:line="480" w:lineRule="auto"/>
              <w:rPr>
                <w:sz w:val="24"/>
                <w:szCs w:val="24"/>
              </w:rPr>
            </w:pPr>
            <w:r>
              <w:rPr>
                <w:sz w:val="24"/>
                <w:szCs w:val="24"/>
              </w:rPr>
              <w:t>28, brother</w:t>
            </w:r>
          </w:p>
        </w:tc>
        <w:tc>
          <w:tcPr>
            <w:tcW w:w="5103" w:type="dxa"/>
          </w:tcPr>
          <w:p w14:paraId="78A9995A" w14:textId="77777777" w:rsidR="00E775E0" w:rsidRPr="00040A66" w:rsidRDefault="00E775E0" w:rsidP="009A569C">
            <w:pPr>
              <w:spacing w:line="480" w:lineRule="auto"/>
              <w:rPr>
                <w:sz w:val="24"/>
                <w:szCs w:val="24"/>
              </w:rPr>
            </w:pPr>
            <w:r>
              <w:rPr>
                <w:sz w:val="24"/>
                <w:szCs w:val="24"/>
              </w:rPr>
              <w:t>Athlete, s</w:t>
            </w:r>
            <w:r w:rsidRPr="00547204">
              <w:rPr>
                <w:sz w:val="24"/>
                <w:szCs w:val="24"/>
              </w:rPr>
              <w:t>ignificant ventricular ectopic burden (9%)</w:t>
            </w:r>
            <w:r>
              <w:rPr>
                <w:sz w:val="24"/>
                <w:szCs w:val="24"/>
              </w:rPr>
              <w:t>,</w:t>
            </w:r>
            <w:r w:rsidRPr="00547204">
              <w:rPr>
                <w:sz w:val="24"/>
                <w:szCs w:val="24"/>
              </w:rPr>
              <w:t xml:space="preserve"> mild dilatation of the </w:t>
            </w:r>
            <w:r>
              <w:rPr>
                <w:sz w:val="24"/>
                <w:szCs w:val="24"/>
              </w:rPr>
              <w:t>right ventricular</w:t>
            </w:r>
            <w:r w:rsidRPr="00547204">
              <w:rPr>
                <w:sz w:val="24"/>
                <w:szCs w:val="24"/>
              </w:rPr>
              <w:t xml:space="preserve"> outflow tract</w:t>
            </w:r>
            <w:r>
              <w:rPr>
                <w:sz w:val="24"/>
                <w:szCs w:val="24"/>
              </w:rPr>
              <w:t>,</w:t>
            </w:r>
            <w:r w:rsidRPr="00547204">
              <w:rPr>
                <w:sz w:val="24"/>
                <w:szCs w:val="24"/>
              </w:rPr>
              <w:t xml:space="preserve"> no pathogenic varian</w:t>
            </w:r>
            <w:r>
              <w:rPr>
                <w:sz w:val="24"/>
                <w:szCs w:val="24"/>
              </w:rPr>
              <w:t>ts</w:t>
            </w:r>
          </w:p>
        </w:tc>
      </w:tr>
      <w:tr w:rsidR="00E775E0" w14:paraId="1D1BACD1" w14:textId="77777777" w:rsidTr="00DD3595">
        <w:tc>
          <w:tcPr>
            <w:tcW w:w="1696" w:type="dxa"/>
          </w:tcPr>
          <w:p w14:paraId="78C81F2A" w14:textId="77777777" w:rsidR="00E775E0" w:rsidRPr="00040A66" w:rsidRDefault="00E775E0" w:rsidP="009A569C">
            <w:pPr>
              <w:spacing w:line="480" w:lineRule="auto"/>
              <w:rPr>
                <w:sz w:val="24"/>
                <w:szCs w:val="24"/>
              </w:rPr>
            </w:pPr>
            <w:r>
              <w:rPr>
                <w:sz w:val="24"/>
                <w:szCs w:val="24"/>
              </w:rPr>
              <w:t>18, male</w:t>
            </w:r>
          </w:p>
        </w:tc>
        <w:tc>
          <w:tcPr>
            <w:tcW w:w="2977" w:type="dxa"/>
          </w:tcPr>
          <w:p w14:paraId="306092E2" w14:textId="77777777" w:rsidR="00E775E0" w:rsidRDefault="00E775E0" w:rsidP="009A569C">
            <w:pPr>
              <w:spacing w:line="480" w:lineRule="auto"/>
              <w:rPr>
                <w:sz w:val="24"/>
                <w:szCs w:val="24"/>
              </w:rPr>
            </w:pPr>
            <w:r>
              <w:rPr>
                <w:sz w:val="24"/>
                <w:szCs w:val="24"/>
              </w:rPr>
              <w:t>47, mother</w:t>
            </w:r>
          </w:p>
        </w:tc>
        <w:tc>
          <w:tcPr>
            <w:tcW w:w="5103" w:type="dxa"/>
          </w:tcPr>
          <w:p w14:paraId="03EFAF10" w14:textId="77777777" w:rsidR="00E775E0" w:rsidRDefault="00E775E0" w:rsidP="009A569C">
            <w:pPr>
              <w:spacing w:line="480" w:lineRule="auto"/>
              <w:rPr>
                <w:sz w:val="24"/>
                <w:szCs w:val="24"/>
              </w:rPr>
            </w:pPr>
            <w:r>
              <w:rPr>
                <w:sz w:val="24"/>
                <w:szCs w:val="24"/>
              </w:rPr>
              <w:t>Palpitations, s</w:t>
            </w:r>
            <w:r w:rsidRPr="00547204">
              <w:rPr>
                <w:sz w:val="24"/>
                <w:szCs w:val="24"/>
              </w:rPr>
              <w:t>ignificant ventricular ectopic burden (</w:t>
            </w:r>
            <w:r>
              <w:rPr>
                <w:sz w:val="24"/>
                <w:szCs w:val="24"/>
              </w:rPr>
              <w:t>10</w:t>
            </w:r>
            <w:r w:rsidRPr="00547204">
              <w:rPr>
                <w:sz w:val="24"/>
                <w:szCs w:val="24"/>
              </w:rPr>
              <w:t>%)</w:t>
            </w:r>
            <w:r>
              <w:rPr>
                <w:sz w:val="24"/>
                <w:szCs w:val="24"/>
              </w:rPr>
              <w:t xml:space="preserve">, structurally normal heart. </w:t>
            </w:r>
          </w:p>
        </w:tc>
      </w:tr>
    </w:tbl>
    <w:p w14:paraId="49C183A6" w14:textId="77777777" w:rsidR="00E775E0" w:rsidRDefault="00E775E0" w:rsidP="00E775E0">
      <w:pPr>
        <w:spacing w:after="0" w:line="240" w:lineRule="auto"/>
        <w:rPr>
          <w:rFonts w:asciiTheme="minorHAnsi" w:hAnsiTheme="minorHAnsi" w:cs="Arial"/>
          <w:b/>
          <w:sz w:val="24"/>
          <w:szCs w:val="24"/>
        </w:rPr>
      </w:pPr>
    </w:p>
    <w:p w14:paraId="1FE45A36" w14:textId="77777777" w:rsidR="00E775E0" w:rsidRDefault="00E775E0" w:rsidP="00E775E0">
      <w:pPr>
        <w:spacing w:after="0" w:line="240" w:lineRule="auto"/>
        <w:rPr>
          <w:rFonts w:asciiTheme="minorHAnsi" w:hAnsiTheme="minorHAnsi" w:cs="Arial"/>
          <w:b/>
          <w:sz w:val="24"/>
          <w:szCs w:val="24"/>
        </w:rPr>
      </w:pPr>
    </w:p>
    <w:p w14:paraId="16659A78" w14:textId="77777777" w:rsidR="00E775E0" w:rsidRDefault="00E775E0" w:rsidP="00E775E0">
      <w:pPr>
        <w:spacing w:after="0" w:line="240" w:lineRule="auto"/>
        <w:rPr>
          <w:rFonts w:asciiTheme="minorHAnsi" w:hAnsiTheme="minorHAnsi" w:cs="Arial"/>
          <w:b/>
          <w:sz w:val="24"/>
          <w:szCs w:val="24"/>
        </w:rPr>
      </w:pPr>
    </w:p>
    <w:p w14:paraId="52E3A0B2" w14:textId="77777777" w:rsidR="00E775E0" w:rsidRDefault="00E775E0" w:rsidP="00E775E0">
      <w:pPr>
        <w:spacing w:after="0" w:line="240" w:lineRule="auto"/>
        <w:rPr>
          <w:rFonts w:asciiTheme="minorHAnsi" w:hAnsiTheme="minorHAnsi" w:cs="Arial"/>
          <w:b/>
          <w:sz w:val="24"/>
          <w:szCs w:val="24"/>
        </w:rPr>
      </w:pPr>
    </w:p>
    <w:p w14:paraId="0198A1DD" w14:textId="77777777" w:rsidR="00E775E0" w:rsidRDefault="00E775E0" w:rsidP="00E775E0">
      <w:pPr>
        <w:spacing w:after="0" w:line="240" w:lineRule="auto"/>
        <w:rPr>
          <w:rFonts w:asciiTheme="minorHAnsi" w:hAnsiTheme="minorHAnsi" w:cs="Arial"/>
          <w:b/>
          <w:sz w:val="24"/>
          <w:szCs w:val="24"/>
        </w:rPr>
      </w:pPr>
    </w:p>
    <w:p w14:paraId="57863C8D" w14:textId="77777777" w:rsidR="00E775E0" w:rsidRDefault="00E775E0" w:rsidP="00E775E0">
      <w:pPr>
        <w:spacing w:after="0" w:line="240" w:lineRule="auto"/>
        <w:rPr>
          <w:rFonts w:asciiTheme="minorHAnsi" w:hAnsiTheme="minorHAnsi" w:cs="Arial"/>
          <w:b/>
          <w:sz w:val="24"/>
          <w:szCs w:val="24"/>
        </w:rPr>
      </w:pPr>
    </w:p>
    <w:p w14:paraId="53CDDFF0" w14:textId="77777777" w:rsidR="00E775E0" w:rsidRDefault="00E775E0" w:rsidP="00E775E0">
      <w:pPr>
        <w:spacing w:after="0" w:line="240" w:lineRule="auto"/>
        <w:rPr>
          <w:rFonts w:asciiTheme="minorHAnsi" w:hAnsiTheme="minorHAnsi" w:cs="Arial"/>
          <w:b/>
          <w:sz w:val="24"/>
          <w:szCs w:val="24"/>
        </w:rPr>
      </w:pPr>
    </w:p>
    <w:p w14:paraId="1C14E304" w14:textId="77777777" w:rsidR="00E775E0" w:rsidRDefault="00E775E0" w:rsidP="00E775E0">
      <w:pPr>
        <w:spacing w:after="0" w:line="240" w:lineRule="auto"/>
        <w:rPr>
          <w:rFonts w:asciiTheme="minorHAnsi" w:hAnsiTheme="minorHAnsi" w:cs="Arial"/>
          <w:b/>
          <w:sz w:val="24"/>
          <w:szCs w:val="24"/>
        </w:rPr>
      </w:pPr>
    </w:p>
    <w:p w14:paraId="6855C859" w14:textId="77777777" w:rsidR="00E775E0" w:rsidRDefault="00E775E0" w:rsidP="00E775E0">
      <w:pPr>
        <w:spacing w:after="0" w:line="240" w:lineRule="auto"/>
        <w:rPr>
          <w:rFonts w:asciiTheme="minorHAnsi" w:hAnsiTheme="minorHAnsi" w:cs="Arial"/>
          <w:b/>
          <w:sz w:val="24"/>
          <w:szCs w:val="24"/>
        </w:rPr>
      </w:pPr>
    </w:p>
    <w:p w14:paraId="3DF3EB81" w14:textId="77777777" w:rsidR="00E775E0" w:rsidRDefault="00E775E0" w:rsidP="00E775E0">
      <w:pPr>
        <w:spacing w:after="0" w:line="240" w:lineRule="auto"/>
        <w:rPr>
          <w:rFonts w:asciiTheme="minorHAnsi" w:hAnsiTheme="minorHAnsi" w:cs="Arial"/>
          <w:b/>
          <w:sz w:val="24"/>
          <w:szCs w:val="24"/>
        </w:rPr>
      </w:pPr>
    </w:p>
    <w:p w14:paraId="519E804A" w14:textId="77777777" w:rsidR="00E775E0" w:rsidRDefault="00E775E0" w:rsidP="00E775E0">
      <w:pPr>
        <w:spacing w:after="0" w:line="240" w:lineRule="auto"/>
        <w:rPr>
          <w:rFonts w:asciiTheme="minorHAnsi" w:hAnsiTheme="minorHAnsi" w:cs="Arial"/>
          <w:b/>
          <w:sz w:val="24"/>
          <w:szCs w:val="24"/>
        </w:rPr>
      </w:pPr>
    </w:p>
    <w:p w14:paraId="48AC7B36" w14:textId="77777777" w:rsidR="00E775E0" w:rsidRDefault="00E775E0" w:rsidP="00E775E0">
      <w:pPr>
        <w:spacing w:after="0" w:line="240" w:lineRule="auto"/>
        <w:rPr>
          <w:rFonts w:asciiTheme="minorHAnsi" w:hAnsiTheme="minorHAnsi" w:cs="Arial"/>
          <w:b/>
          <w:sz w:val="24"/>
          <w:szCs w:val="24"/>
        </w:rPr>
      </w:pPr>
    </w:p>
    <w:p w14:paraId="1BFFA8C7" w14:textId="77777777" w:rsidR="00E775E0" w:rsidRDefault="00E775E0" w:rsidP="00E775E0">
      <w:pPr>
        <w:spacing w:after="0" w:line="240" w:lineRule="auto"/>
        <w:rPr>
          <w:rFonts w:asciiTheme="minorHAnsi" w:hAnsiTheme="minorHAnsi" w:cs="Arial"/>
          <w:b/>
          <w:sz w:val="24"/>
          <w:szCs w:val="24"/>
        </w:rPr>
      </w:pPr>
    </w:p>
    <w:p w14:paraId="39FA8BD2" w14:textId="77777777" w:rsidR="00E775E0" w:rsidRDefault="00E775E0" w:rsidP="00E775E0">
      <w:pPr>
        <w:spacing w:after="0" w:line="240" w:lineRule="auto"/>
        <w:rPr>
          <w:rFonts w:asciiTheme="minorHAnsi" w:hAnsiTheme="minorHAnsi" w:cs="Arial"/>
          <w:b/>
          <w:sz w:val="24"/>
          <w:szCs w:val="24"/>
        </w:rPr>
      </w:pPr>
    </w:p>
    <w:p w14:paraId="5BD2D399" w14:textId="77777777" w:rsidR="00E775E0" w:rsidRDefault="00E775E0" w:rsidP="00E775E0">
      <w:pPr>
        <w:spacing w:after="0" w:line="240" w:lineRule="auto"/>
        <w:rPr>
          <w:rFonts w:asciiTheme="minorHAnsi" w:hAnsiTheme="minorHAnsi" w:cs="Arial"/>
          <w:b/>
          <w:sz w:val="24"/>
          <w:szCs w:val="24"/>
        </w:rPr>
      </w:pPr>
    </w:p>
    <w:p w14:paraId="420C8C64" w14:textId="77777777" w:rsidR="00E775E0" w:rsidRDefault="00E775E0" w:rsidP="00E775E0">
      <w:pPr>
        <w:spacing w:after="0" w:line="240" w:lineRule="auto"/>
        <w:rPr>
          <w:rFonts w:asciiTheme="minorHAnsi" w:hAnsiTheme="minorHAnsi" w:cs="Arial"/>
          <w:b/>
          <w:sz w:val="24"/>
          <w:szCs w:val="24"/>
        </w:rPr>
      </w:pPr>
    </w:p>
    <w:p w14:paraId="23076F22" w14:textId="7D92EBA0" w:rsidR="000A641D" w:rsidRPr="000F27B6" w:rsidRDefault="007E1168" w:rsidP="00D26D0D">
      <w:pPr>
        <w:spacing w:line="360" w:lineRule="exact"/>
        <w:rPr>
          <w:b/>
          <w:sz w:val="24"/>
          <w:szCs w:val="24"/>
        </w:rPr>
      </w:pPr>
      <w:r w:rsidRPr="000F27B6">
        <w:rPr>
          <w:sz w:val="24"/>
          <w:szCs w:val="24"/>
        </w:rPr>
        <w:br w:type="page"/>
      </w:r>
      <w:r w:rsidR="000A641D" w:rsidRPr="000F27B6">
        <w:rPr>
          <w:b/>
          <w:sz w:val="24"/>
          <w:szCs w:val="24"/>
        </w:rPr>
        <w:lastRenderedPageBreak/>
        <w:t>Figure 1.</w:t>
      </w:r>
    </w:p>
    <w:p w14:paraId="6F3F2BF0" w14:textId="77777777" w:rsidR="000D5299" w:rsidRPr="000F27B6" w:rsidRDefault="000D5299" w:rsidP="00984581">
      <w:pPr>
        <w:spacing w:line="480" w:lineRule="auto"/>
        <w:rPr>
          <w:b/>
          <w:sz w:val="24"/>
          <w:szCs w:val="24"/>
        </w:rPr>
      </w:pPr>
    </w:p>
    <w:p w14:paraId="6585860E" w14:textId="77777777" w:rsidR="005C24E9" w:rsidRPr="000F27B6" w:rsidRDefault="005F3BCB" w:rsidP="00984581">
      <w:pPr>
        <w:spacing w:line="480" w:lineRule="auto"/>
        <w:rPr>
          <w:b/>
          <w:sz w:val="24"/>
          <w:szCs w:val="24"/>
        </w:rPr>
      </w:pPr>
      <w:r w:rsidRPr="000F27B6">
        <w:rPr>
          <w:b/>
          <w:noProof/>
          <w:sz w:val="24"/>
          <w:szCs w:val="24"/>
          <w:lang w:eastAsia="en-GB"/>
        </w:rPr>
        <w:drawing>
          <wp:inline distT="0" distB="0" distL="0" distR="0" wp14:anchorId="2F873942" wp14:editId="71AC5F42">
            <wp:extent cx="6296025" cy="3879152"/>
            <wp:effectExtent l="0" t="0" r="0" b="0"/>
            <wp:docPr id="1" name="Picture 1" descr="F:\ (G)\TESI PHD\Protoco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 (G)\TESI PHD\Protocol2.jpg"/>
                    <pic:cNvPicPr>
                      <a:picLocks noChangeAspect="1" noChangeArrowheads="1"/>
                    </pic:cNvPicPr>
                  </pic:nvPicPr>
                  <pic:blipFill rotWithShape="1">
                    <a:blip r:embed="rId9">
                      <a:extLst>
                        <a:ext uri="{28A0092B-C50C-407E-A947-70E740481C1C}">
                          <a14:useLocalDpi xmlns:a14="http://schemas.microsoft.com/office/drawing/2010/main" val="0"/>
                        </a:ext>
                      </a:extLst>
                    </a:blip>
                    <a:srcRect r="8704"/>
                    <a:stretch/>
                  </pic:blipFill>
                  <pic:spPr bwMode="auto">
                    <a:xfrm>
                      <a:off x="0" y="0"/>
                      <a:ext cx="6298947" cy="3880952"/>
                    </a:xfrm>
                    <a:prstGeom prst="rect">
                      <a:avLst/>
                    </a:prstGeom>
                    <a:noFill/>
                    <a:ln>
                      <a:noFill/>
                    </a:ln>
                    <a:extLst>
                      <a:ext uri="{53640926-AAD7-44D8-BBD7-CCE9431645EC}">
                        <a14:shadowObscured xmlns:a14="http://schemas.microsoft.com/office/drawing/2010/main"/>
                      </a:ext>
                    </a:extLst>
                  </pic:spPr>
                </pic:pic>
              </a:graphicData>
            </a:graphic>
          </wp:inline>
        </w:drawing>
      </w:r>
    </w:p>
    <w:p w14:paraId="4E74A844" w14:textId="77777777" w:rsidR="000A641D" w:rsidRPr="000F27B6" w:rsidRDefault="000A641D">
      <w:pPr>
        <w:spacing w:after="0" w:line="240" w:lineRule="auto"/>
        <w:rPr>
          <w:b/>
          <w:sz w:val="24"/>
          <w:szCs w:val="24"/>
        </w:rPr>
      </w:pPr>
      <w:r w:rsidRPr="000F27B6">
        <w:rPr>
          <w:b/>
          <w:sz w:val="24"/>
          <w:szCs w:val="24"/>
        </w:rPr>
        <w:br w:type="page"/>
      </w:r>
    </w:p>
    <w:p w14:paraId="6C682918" w14:textId="77777777" w:rsidR="000A641D" w:rsidRPr="000F27B6" w:rsidRDefault="000A641D" w:rsidP="00984581">
      <w:pPr>
        <w:spacing w:line="480" w:lineRule="auto"/>
        <w:rPr>
          <w:b/>
          <w:sz w:val="24"/>
          <w:szCs w:val="24"/>
        </w:rPr>
      </w:pPr>
      <w:r w:rsidRPr="000F27B6">
        <w:rPr>
          <w:b/>
          <w:sz w:val="24"/>
          <w:szCs w:val="24"/>
        </w:rPr>
        <w:lastRenderedPageBreak/>
        <w:t>Figure 2.</w:t>
      </w:r>
    </w:p>
    <w:p w14:paraId="72FD693D" w14:textId="77777777" w:rsidR="000D5299" w:rsidRPr="000F27B6" w:rsidRDefault="000D5299" w:rsidP="00984581">
      <w:pPr>
        <w:spacing w:line="480" w:lineRule="auto"/>
        <w:rPr>
          <w:b/>
          <w:sz w:val="24"/>
          <w:szCs w:val="24"/>
        </w:rPr>
      </w:pPr>
    </w:p>
    <w:p w14:paraId="7EBB3C2C" w14:textId="22FAAEBF" w:rsidR="000D5299" w:rsidRPr="000F27B6" w:rsidRDefault="00D4649D" w:rsidP="00984581">
      <w:pPr>
        <w:spacing w:line="480" w:lineRule="auto"/>
        <w:rPr>
          <w:b/>
          <w:sz w:val="24"/>
          <w:szCs w:val="24"/>
        </w:rPr>
      </w:pPr>
      <w:r>
        <w:rPr>
          <w:noProof/>
          <w:lang w:eastAsia="en-GB"/>
        </w:rPr>
        <w:drawing>
          <wp:inline distT="0" distB="0" distL="0" distR="0" wp14:anchorId="57A1215C" wp14:editId="6FAD405A">
            <wp:extent cx="6341125" cy="35667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43167" cy="3567944"/>
                    </a:xfrm>
                    <a:prstGeom prst="rect">
                      <a:avLst/>
                    </a:prstGeom>
                    <a:noFill/>
                    <a:ln>
                      <a:noFill/>
                    </a:ln>
                  </pic:spPr>
                </pic:pic>
              </a:graphicData>
            </a:graphic>
          </wp:inline>
        </w:drawing>
      </w:r>
    </w:p>
    <w:p w14:paraId="70005D4A" w14:textId="77777777" w:rsidR="000D5299" w:rsidRPr="000F27B6" w:rsidRDefault="000D5299" w:rsidP="00984581">
      <w:pPr>
        <w:spacing w:line="480" w:lineRule="auto"/>
        <w:rPr>
          <w:b/>
          <w:sz w:val="24"/>
          <w:szCs w:val="24"/>
        </w:rPr>
      </w:pPr>
    </w:p>
    <w:p w14:paraId="5907E315" w14:textId="77777777" w:rsidR="000D5299" w:rsidRPr="000F27B6" w:rsidRDefault="000D5299" w:rsidP="00984581">
      <w:pPr>
        <w:spacing w:line="480" w:lineRule="auto"/>
        <w:rPr>
          <w:b/>
          <w:sz w:val="24"/>
          <w:szCs w:val="24"/>
        </w:rPr>
      </w:pPr>
    </w:p>
    <w:p w14:paraId="1E9F7891" w14:textId="77777777" w:rsidR="000A641D" w:rsidRPr="000F27B6" w:rsidRDefault="000A641D">
      <w:pPr>
        <w:spacing w:after="0" w:line="240" w:lineRule="auto"/>
        <w:rPr>
          <w:b/>
          <w:sz w:val="24"/>
          <w:szCs w:val="24"/>
        </w:rPr>
      </w:pPr>
      <w:r w:rsidRPr="000F27B6">
        <w:rPr>
          <w:b/>
          <w:sz w:val="24"/>
          <w:szCs w:val="24"/>
        </w:rPr>
        <w:br w:type="page"/>
      </w:r>
    </w:p>
    <w:p w14:paraId="55D57DB8" w14:textId="40CEA055" w:rsidR="00F36159" w:rsidRPr="000F27B6" w:rsidRDefault="00F36159" w:rsidP="00F36159">
      <w:pPr>
        <w:spacing w:line="480" w:lineRule="auto"/>
        <w:rPr>
          <w:b/>
          <w:sz w:val="24"/>
          <w:szCs w:val="24"/>
        </w:rPr>
      </w:pPr>
      <w:r w:rsidRPr="000F27B6">
        <w:rPr>
          <w:b/>
          <w:sz w:val="24"/>
          <w:szCs w:val="24"/>
        </w:rPr>
        <w:lastRenderedPageBreak/>
        <w:t>Figure 3.</w:t>
      </w:r>
    </w:p>
    <w:p w14:paraId="3CF9D811" w14:textId="554185BF" w:rsidR="009912A7" w:rsidRPr="000F27B6" w:rsidRDefault="009912A7" w:rsidP="00527D37">
      <w:pPr>
        <w:spacing w:after="0" w:line="240" w:lineRule="auto"/>
        <w:rPr>
          <w:b/>
          <w:sz w:val="36"/>
          <w:szCs w:val="36"/>
        </w:rPr>
      </w:pPr>
    </w:p>
    <w:p w14:paraId="32BFEFE8" w14:textId="4DB4CA4D" w:rsidR="009912A7" w:rsidRPr="000F27B6" w:rsidRDefault="00F36159" w:rsidP="00527D37">
      <w:pPr>
        <w:spacing w:after="0" w:line="240" w:lineRule="auto"/>
        <w:rPr>
          <w:b/>
          <w:sz w:val="36"/>
          <w:szCs w:val="36"/>
        </w:rPr>
      </w:pPr>
      <w:r w:rsidRPr="000F27B6">
        <w:rPr>
          <w:noProof/>
          <w:lang w:eastAsia="en-GB"/>
        </w:rPr>
        <w:drawing>
          <wp:inline distT="0" distB="0" distL="0" distR="0" wp14:anchorId="2BC1C49D" wp14:editId="66E53D0B">
            <wp:extent cx="6358467" cy="3576762"/>
            <wp:effectExtent l="0" t="0" r="444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62378" cy="3578962"/>
                    </a:xfrm>
                    <a:prstGeom prst="rect">
                      <a:avLst/>
                    </a:prstGeom>
                    <a:noFill/>
                    <a:ln>
                      <a:noFill/>
                    </a:ln>
                  </pic:spPr>
                </pic:pic>
              </a:graphicData>
            </a:graphic>
          </wp:inline>
        </w:drawing>
      </w:r>
    </w:p>
    <w:p w14:paraId="6768216B" w14:textId="77777777" w:rsidR="009912A7" w:rsidRPr="000F27B6" w:rsidRDefault="009912A7" w:rsidP="00527D37">
      <w:pPr>
        <w:spacing w:after="0" w:line="240" w:lineRule="auto"/>
        <w:rPr>
          <w:b/>
          <w:sz w:val="36"/>
          <w:szCs w:val="36"/>
        </w:rPr>
      </w:pPr>
    </w:p>
    <w:p w14:paraId="71143AF9" w14:textId="77777777" w:rsidR="009912A7" w:rsidRPr="000F27B6" w:rsidRDefault="009912A7" w:rsidP="00527D37">
      <w:pPr>
        <w:spacing w:after="0" w:line="240" w:lineRule="auto"/>
        <w:rPr>
          <w:b/>
          <w:sz w:val="36"/>
          <w:szCs w:val="36"/>
        </w:rPr>
      </w:pPr>
    </w:p>
    <w:p w14:paraId="6F7CDC1C" w14:textId="77777777" w:rsidR="009912A7" w:rsidRPr="000F27B6" w:rsidRDefault="009912A7" w:rsidP="00527D37">
      <w:pPr>
        <w:spacing w:after="0" w:line="240" w:lineRule="auto"/>
        <w:rPr>
          <w:b/>
          <w:sz w:val="36"/>
          <w:szCs w:val="36"/>
        </w:rPr>
      </w:pPr>
    </w:p>
    <w:p w14:paraId="54D16D85" w14:textId="77777777" w:rsidR="009912A7" w:rsidRPr="000F27B6" w:rsidRDefault="009912A7" w:rsidP="00527D37">
      <w:pPr>
        <w:spacing w:after="0" w:line="240" w:lineRule="auto"/>
        <w:rPr>
          <w:b/>
          <w:sz w:val="36"/>
          <w:szCs w:val="36"/>
        </w:rPr>
      </w:pPr>
    </w:p>
    <w:p w14:paraId="5FD78791" w14:textId="77777777" w:rsidR="009912A7" w:rsidRPr="000F27B6" w:rsidRDefault="009912A7" w:rsidP="00527D37">
      <w:pPr>
        <w:spacing w:after="0" w:line="240" w:lineRule="auto"/>
        <w:rPr>
          <w:b/>
          <w:sz w:val="36"/>
          <w:szCs w:val="36"/>
        </w:rPr>
      </w:pPr>
    </w:p>
    <w:p w14:paraId="34BC97DA" w14:textId="77777777" w:rsidR="009912A7" w:rsidRPr="000F27B6" w:rsidRDefault="009912A7" w:rsidP="00527D37">
      <w:pPr>
        <w:spacing w:after="0" w:line="240" w:lineRule="auto"/>
        <w:rPr>
          <w:b/>
          <w:sz w:val="36"/>
          <w:szCs w:val="36"/>
        </w:rPr>
      </w:pPr>
    </w:p>
    <w:p w14:paraId="07399E16" w14:textId="77777777" w:rsidR="009912A7" w:rsidRPr="000F27B6" w:rsidRDefault="009912A7" w:rsidP="00527D37">
      <w:pPr>
        <w:spacing w:after="0" w:line="240" w:lineRule="auto"/>
        <w:rPr>
          <w:b/>
          <w:sz w:val="36"/>
          <w:szCs w:val="36"/>
        </w:rPr>
      </w:pPr>
    </w:p>
    <w:p w14:paraId="6704C5C4" w14:textId="77777777" w:rsidR="009912A7" w:rsidRPr="000F27B6" w:rsidRDefault="009912A7" w:rsidP="00527D37">
      <w:pPr>
        <w:spacing w:after="0" w:line="240" w:lineRule="auto"/>
        <w:rPr>
          <w:b/>
          <w:sz w:val="36"/>
          <w:szCs w:val="36"/>
        </w:rPr>
      </w:pPr>
    </w:p>
    <w:p w14:paraId="224CCB30" w14:textId="77777777" w:rsidR="009912A7" w:rsidRPr="000F27B6" w:rsidRDefault="009912A7" w:rsidP="00527D37">
      <w:pPr>
        <w:spacing w:after="0" w:line="240" w:lineRule="auto"/>
        <w:rPr>
          <w:b/>
          <w:sz w:val="36"/>
          <w:szCs w:val="36"/>
        </w:rPr>
      </w:pPr>
    </w:p>
    <w:p w14:paraId="7A2CDC86" w14:textId="77777777" w:rsidR="009912A7" w:rsidRPr="000F27B6" w:rsidRDefault="009912A7" w:rsidP="00527D37">
      <w:pPr>
        <w:spacing w:after="0" w:line="240" w:lineRule="auto"/>
        <w:rPr>
          <w:b/>
          <w:sz w:val="36"/>
          <w:szCs w:val="36"/>
        </w:rPr>
      </w:pPr>
    </w:p>
    <w:p w14:paraId="0B155ACA" w14:textId="77777777" w:rsidR="009912A7" w:rsidRPr="000F27B6" w:rsidRDefault="009912A7" w:rsidP="00527D37">
      <w:pPr>
        <w:spacing w:after="0" w:line="240" w:lineRule="auto"/>
        <w:rPr>
          <w:b/>
          <w:sz w:val="36"/>
          <w:szCs w:val="36"/>
        </w:rPr>
      </w:pPr>
    </w:p>
    <w:p w14:paraId="76DB3695" w14:textId="77777777" w:rsidR="009912A7" w:rsidRPr="000F27B6" w:rsidRDefault="009912A7" w:rsidP="00527D37">
      <w:pPr>
        <w:spacing w:after="0" w:line="240" w:lineRule="auto"/>
        <w:rPr>
          <w:b/>
          <w:sz w:val="36"/>
          <w:szCs w:val="36"/>
        </w:rPr>
      </w:pPr>
    </w:p>
    <w:p w14:paraId="21E94490" w14:textId="77777777" w:rsidR="00C067D6" w:rsidRPr="000F27B6" w:rsidRDefault="00C067D6" w:rsidP="009912A7">
      <w:pPr>
        <w:spacing w:after="0" w:line="240" w:lineRule="auto"/>
        <w:jc w:val="center"/>
        <w:rPr>
          <w:b/>
          <w:sz w:val="36"/>
          <w:szCs w:val="36"/>
        </w:rPr>
      </w:pPr>
    </w:p>
    <w:p w14:paraId="22355287" w14:textId="77777777" w:rsidR="00C067D6" w:rsidRPr="000F27B6" w:rsidRDefault="00C067D6" w:rsidP="009912A7">
      <w:pPr>
        <w:spacing w:after="0" w:line="240" w:lineRule="auto"/>
        <w:jc w:val="center"/>
        <w:rPr>
          <w:b/>
          <w:sz w:val="36"/>
          <w:szCs w:val="36"/>
        </w:rPr>
      </w:pPr>
    </w:p>
    <w:p w14:paraId="48CBC0CE" w14:textId="77777777" w:rsidR="00C579DC" w:rsidRPr="000F27B6" w:rsidRDefault="00C579DC" w:rsidP="0023691C">
      <w:pPr>
        <w:spacing w:after="0" w:line="240" w:lineRule="auto"/>
        <w:rPr>
          <w:b/>
          <w:sz w:val="36"/>
          <w:szCs w:val="36"/>
        </w:rPr>
      </w:pPr>
    </w:p>
    <w:p w14:paraId="49DEEFDE" w14:textId="77777777" w:rsidR="00C579DC" w:rsidRPr="000F27B6" w:rsidRDefault="00C579DC" w:rsidP="009912A7">
      <w:pPr>
        <w:spacing w:after="0" w:line="240" w:lineRule="auto"/>
        <w:jc w:val="center"/>
        <w:rPr>
          <w:b/>
          <w:sz w:val="36"/>
          <w:szCs w:val="36"/>
        </w:rPr>
      </w:pPr>
    </w:p>
    <w:p w14:paraId="66E127A4" w14:textId="4BB069FD" w:rsidR="009912A7" w:rsidRPr="000F27B6" w:rsidRDefault="002A7E61" w:rsidP="009912A7">
      <w:pPr>
        <w:spacing w:after="0" w:line="240" w:lineRule="auto"/>
        <w:jc w:val="center"/>
        <w:rPr>
          <w:b/>
          <w:sz w:val="36"/>
          <w:szCs w:val="36"/>
        </w:rPr>
      </w:pPr>
      <w:r w:rsidRPr="000F27B6">
        <w:rPr>
          <w:b/>
          <w:sz w:val="36"/>
          <w:szCs w:val="36"/>
        </w:rPr>
        <w:lastRenderedPageBreak/>
        <w:t>S</w:t>
      </w:r>
      <w:r w:rsidR="000A641D" w:rsidRPr="000F27B6">
        <w:rPr>
          <w:b/>
          <w:sz w:val="36"/>
          <w:szCs w:val="36"/>
        </w:rPr>
        <w:t>UPPLEMENTARY MATERIAL</w:t>
      </w:r>
    </w:p>
    <w:p w14:paraId="7A516CAC" w14:textId="77777777" w:rsidR="00E775E0" w:rsidRDefault="00E775E0" w:rsidP="007A420C">
      <w:pPr>
        <w:spacing w:after="0" w:line="240" w:lineRule="auto"/>
        <w:rPr>
          <w:b/>
          <w:sz w:val="36"/>
          <w:szCs w:val="36"/>
        </w:rPr>
      </w:pPr>
    </w:p>
    <w:p w14:paraId="5B6BAAFD" w14:textId="488390A9" w:rsidR="009912A7" w:rsidRPr="00E775E0" w:rsidRDefault="00040A66" w:rsidP="007A420C">
      <w:pPr>
        <w:spacing w:after="0" w:line="240" w:lineRule="auto"/>
        <w:rPr>
          <w:b/>
          <w:sz w:val="36"/>
          <w:szCs w:val="36"/>
        </w:rPr>
      </w:pPr>
      <w:r w:rsidRPr="000F27B6">
        <w:rPr>
          <w:rFonts w:cs="Calibri"/>
          <w:b/>
          <w:sz w:val="24"/>
          <w:szCs w:val="24"/>
        </w:rPr>
        <w:t xml:space="preserve">Table </w:t>
      </w:r>
      <w:r w:rsidR="006671CC" w:rsidRPr="000F27B6">
        <w:rPr>
          <w:rFonts w:cs="Calibri"/>
          <w:b/>
          <w:sz w:val="24"/>
          <w:szCs w:val="24"/>
        </w:rPr>
        <w:t>1</w:t>
      </w:r>
      <w:r w:rsidR="00A86EBC" w:rsidRPr="000F27B6">
        <w:rPr>
          <w:rFonts w:cs="Calibri"/>
          <w:b/>
          <w:sz w:val="24"/>
          <w:szCs w:val="24"/>
        </w:rPr>
        <w:t xml:space="preserve">. </w:t>
      </w:r>
      <w:r w:rsidR="007A420C" w:rsidRPr="000F27B6">
        <w:rPr>
          <w:rFonts w:cs="Calibri"/>
          <w:sz w:val="24"/>
          <w:szCs w:val="24"/>
        </w:rPr>
        <w:t>Gene List: Illumina TruSight Cardio (174 genes).</w:t>
      </w:r>
    </w:p>
    <w:p w14:paraId="27AF2962" w14:textId="77777777" w:rsidR="009912A7" w:rsidRPr="000F27B6" w:rsidRDefault="009912A7" w:rsidP="007A420C">
      <w:pPr>
        <w:spacing w:after="0" w:line="240" w:lineRule="auto"/>
        <w:rPr>
          <w:rFonts w:cs="Calibri"/>
          <w:sz w:val="24"/>
          <w:szCs w:val="24"/>
        </w:rPr>
      </w:pPr>
    </w:p>
    <w:tbl>
      <w:tblPr>
        <w:tblpPr w:leftFromText="180" w:rightFromText="180" w:vertAnchor="text" w:horzAnchor="margin" w:tblpY="73"/>
        <w:tblW w:w="8640" w:type="dxa"/>
        <w:tblLook w:val="04A0" w:firstRow="1" w:lastRow="0" w:firstColumn="1" w:lastColumn="0" w:noHBand="0" w:noVBand="1"/>
      </w:tblPr>
      <w:tblGrid>
        <w:gridCol w:w="1440"/>
        <w:gridCol w:w="1440"/>
        <w:gridCol w:w="1440"/>
        <w:gridCol w:w="1440"/>
        <w:gridCol w:w="1440"/>
        <w:gridCol w:w="1440"/>
      </w:tblGrid>
      <w:tr w:rsidR="00E775E0" w:rsidRPr="000F27B6" w14:paraId="2BBC4FDA" w14:textId="77777777" w:rsidTr="00E775E0">
        <w:trPr>
          <w:trHeight w:hRule="exact" w:val="397"/>
        </w:trPr>
        <w:tc>
          <w:tcPr>
            <w:tcW w:w="1440" w:type="dxa"/>
            <w:tcBorders>
              <w:top w:val="single" w:sz="4" w:space="0" w:color="auto"/>
              <w:left w:val="single" w:sz="4" w:space="0" w:color="auto"/>
              <w:bottom w:val="single" w:sz="4" w:space="0" w:color="auto"/>
              <w:right w:val="single" w:sz="4" w:space="0" w:color="auto"/>
            </w:tcBorders>
            <w:noWrap/>
            <w:vAlign w:val="center"/>
            <w:hideMark/>
          </w:tcPr>
          <w:p w14:paraId="4FEB6FC5" w14:textId="77777777" w:rsidR="00E775E0" w:rsidRPr="000F27B6" w:rsidRDefault="00E775E0" w:rsidP="00E775E0">
            <w:pPr>
              <w:jc w:val="both"/>
              <w:rPr>
                <w:rFonts w:cs="Calibri"/>
                <w:sz w:val="24"/>
                <w:szCs w:val="24"/>
              </w:rPr>
            </w:pPr>
            <w:r w:rsidRPr="000F27B6">
              <w:rPr>
                <w:rFonts w:cs="Calibri"/>
                <w:sz w:val="24"/>
                <w:szCs w:val="24"/>
              </w:rPr>
              <w:t>ABCC9</w:t>
            </w:r>
          </w:p>
        </w:tc>
        <w:tc>
          <w:tcPr>
            <w:tcW w:w="1440" w:type="dxa"/>
            <w:tcBorders>
              <w:top w:val="single" w:sz="4" w:space="0" w:color="auto"/>
              <w:left w:val="nil"/>
              <w:bottom w:val="single" w:sz="4" w:space="0" w:color="auto"/>
              <w:right w:val="single" w:sz="4" w:space="0" w:color="auto"/>
            </w:tcBorders>
            <w:noWrap/>
            <w:vAlign w:val="center"/>
            <w:hideMark/>
          </w:tcPr>
          <w:p w14:paraId="162BCB96" w14:textId="77777777" w:rsidR="00E775E0" w:rsidRPr="000F27B6" w:rsidRDefault="00E775E0" w:rsidP="00E775E0">
            <w:pPr>
              <w:jc w:val="both"/>
              <w:rPr>
                <w:rFonts w:cs="Calibri"/>
                <w:sz w:val="24"/>
                <w:szCs w:val="24"/>
              </w:rPr>
            </w:pPr>
            <w:r w:rsidRPr="000F27B6">
              <w:rPr>
                <w:rFonts w:cs="Calibri"/>
                <w:sz w:val="24"/>
                <w:szCs w:val="24"/>
              </w:rPr>
              <w:t>COL5A1</w:t>
            </w:r>
          </w:p>
        </w:tc>
        <w:tc>
          <w:tcPr>
            <w:tcW w:w="1440" w:type="dxa"/>
            <w:tcBorders>
              <w:top w:val="single" w:sz="4" w:space="0" w:color="auto"/>
              <w:left w:val="nil"/>
              <w:bottom w:val="single" w:sz="4" w:space="0" w:color="auto"/>
              <w:right w:val="single" w:sz="4" w:space="0" w:color="auto"/>
            </w:tcBorders>
            <w:noWrap/>
            <w:vAlign w:val="center"/>
            <w:hideMark/>
          </w:tcPr>
          <w:p w14:paraId="292DE600" w14:textId="77777777" w:rsidR="00E775E0" w:rsidRPr="000F27B6" w:rsidRDefault="00E775E0" w:rsidP="00E775E0">
            <w:pPr>
              <w:jc w:val="both"/>
              <w:rPr>
                <w:rFonts w:cs="Calibri"/>
                <w:sz w:val="24"/>
                <w:szCs w:val="24"/>
              </w:rPr>
            </w:pPr>
            <w:r w:rsidRPr="000F27B6">
              <w:rPr>
                <w:rFonts w:cs="Calibri"/>
                <w:sz w:val="24"/>
                <w:szCs w:val="24"/>
              </w:rPr>
              <w:t>GATAD1</w:t>
            </w:r>
          </w:p>
        </w:tc>
        <w:tc>
          <w:tcPr>
            <w:tcW w:w="1440" w:type="dxa"/>
            <w:tcBorders>
              <w:top w:val="single" w:sz="4" w:space="0" w:color="auto"/>
              <w:left w:val="nil"/>
              <w:bottom w:val="single" w:sz="4" w:space="0" w:color="auto"/>
              <w:right w:val="single" w:sz="4" w:space="0" w:color="auto"/>
            </w:tcBorders>
            <w:noWrap/>
            <w:vAlign w:val="center"/>
            <w:hideMark/>
          </w:tcPr>
          <w:p w14:paraId="60DD63CB" w14:textId="77777777" w:rsidR="00E775E0" w:rsidRPr="000F27B6" w:rsidRDefault="00E775E0" w:rsidP="00E775E0">
            <w:pPr>
              <w:jc w:val="both"/>
              <w:rPr>
                <w:rFonts w:cs="Calibri"/>
                <w:sz w:val="24"/>
                <w:szCs w:val="24"/>
              </w:rPr>
            </w:pPr>
            <w:r w:rsidRPr="000F27B6">
              <w:rPr>
                <w:rFonts w:cs="Calibri"/>
                <w:sz w:val="24"/>
                <w:szCs w:val="24"/>
              </w:rPr>
              <w:t>LAMP2</w:t>
            </w:r>
          </w:p>
        </w:tc>
        <w:tc>
          <w:tcPr>
            <w:tcW w:w="1440" w:type="dxa"/>
            <w:tcBorders>
              <w:top w:val="single" w:sz="4" w:space="0" w:color="auto"/>
              <w:left w:val="nil"/>
              <w:bottom w:val="single" w:sz="4" w:space="0" w:color="auto"/>
              <w:right w:val="single" w:sz="4" w:space="0" w:color="auto"/>
            </w:tcBorders>
            <w:noWrap/>
            <w:vAlign w:val="center"/>
            <w:hideMark/>
          </w:tcPr>
          <w:p w14:paraId="284A3BC3" w14:textId="77777777" w:rsidR="00E775E0" w:rsidRPr="000F27B6" w:rsidRDefault="00E775E0" w:rsidP="00E775E0">
            <w:pPr>
              <w:jc w:val="both"/>
              <w:rPr>
                <w:rFonts w:cs="Calibri"/>
                <w:sz w:val="24"/>
                <w:szCs w:val="24"/>
              </w:rPr>
            </w:pPr>
            <w:r w:rsidRPr="000F27B6">
              <w:rPr>
                <w:rFonts w:cs="Calibri"/>
                <w:sz w:val="24"/>
                <w:szCs w:val="24"/>
              </w:rPr>
              <w:t>PCSK9</w:t>
            </w:r>
          </w:p>
        </w:tc>
        <w:tc>
          <w:tcPr>
            <w:tcW w:w="1440" w:type="dxa"/>
            <w:tcBorders>
              <w:top w:val="single" w:sz="4" w:space="0" w:color="auto"/>
              <w:left w:val="nil"/>
              <w:bottom w:val="single" w:sz="4" w:space="0" w:color="auto"/>
              <w:right w:val="single" w:sz="4" w:space="0" w:color="auto"/>
            </w:tcBorders>
            <w:noWrap/>
            <w:vAlign w:val="center"/>
            <w:hideMark/>
          </w:tcPr>
          <w:p w14:paraId="42E37996" w14:textId="77777777" w:rsidR="00E775E0" w:rsidRPr="000F27B6" w:rsidRDefault="00E775E0" w:rsidP="00E775E0">
            <w:pPr>
              <w:jc w:val="both"/>
              <w:rPr>
                <w:rFonts w:cs="Calibri"/>
                <w:sz w:val="24"/>
                <w:szCs w:val="24"/>
              </w:rPr>
            </w:pPr>
            <w:r w:rsidRPr="000F27B6">
              <w:rPr>
                <w:rFonts w:cs="Calibri"/>
                <w:sz w:val="24"/>
                <w:szCs w:val="24"/>
              </w:rPr>
              <w:t>SMAD4</w:t>
            </w:r>
          </w:p>
        </w:tc>
      </w:tr>
      <w:tr w:rsidR="00E775E0" w:rsidRPr="000F27B6" w14:paraId="54D730B0" w14:textId="77777777" w:rsidTr="00E775E0">
        <w:trPr>
          <w:trHeight w:hRule="exact" w:val="397"/>
        </w:trPr>
        <w:tc>
          <w:tcPr>
            <w:tcW w:w="1440" w:type="dxa"/>
            <w:tcBorders>
              <w:top w:val="nil"/>
              <w:left w:val="single" w:sz="4" w:space="0" w:color="auto"/>
              <w:bottom w:val="single" w:sz="4" w:space="0" w:color="auto"/>
              <w:right w:val="single" w:sz="4" w:space="0" w:color="auto"/>
            </w:tcBorders>
            <w:noWrap/>
            <w:vAlign w:val="center"/>
            <w:hideMark/>
          </w:tcPr>
          <w:p w14:paraId="7250284C" w14:textId="77777777" w:rsidR="00E775E0" w:rsidRPr="000F27B6" w:rsidRDefault="00E775E0" w:rsidP="00E775E0">
            <w:pPr>
              <w:jc w:val="both"/>
              <w:rPr>
                <w:rFonts w:cs="Calibri"/>
                <w:sz w:val="24"/>
                <w:szCs w:val="24"/>
              </w:rPr>
            </w:pPr>
            <w:r w:rsidRPr="000F27B6">
              <w:rPr>
                <w:rFonts w:cs="Calibri"/>
                <w:sz w:val="24"/>
                <w:szCs w:val="24"/>
              </w:rPr>
              <w:t>ABCG5</w:t>
            </w:r>
          </w:p>
        </w:tc>
        <w:tc>
          <w:tcPr>
            <w:tcW w:w="1440" w:type="dxa"/>
            <w:tcBorders>
              <w:top w:val="nil"/>
              <w:left w:val="nil"/>
              <w:bottom w:val="single" w:sz="4" w:space="0" w:color="auto"/>
              <w:right w:val="single" w:sz="4" w:space="0" w:color="auto"/>
            </w:tcBorders>
            <w:noWrap/>
            <w:vAlign w:val="center"/>
            <w:hideMark/>
          </w:tcPr>
          <w:p w14:paraId="0826DE1B" w14:textId="77777777" w:rsidR="00E775E0" w:rsidRPr="000F27B6" w:rsidRDefault="00E775E0" w:rsidP="00E775E0">
            <w:pPr>
              <w:jc w:val="both"/>
              <w:rPr>
                <w:rFonts w:cs="Calibri"/>
                <w:sz w:val="24"/>
                <w:szCs w:val="24"/>
              </w:rPr>
            </w:pPr>
            <w:r w:rsidRPr="000F27B6">
              <w:rPr>
                <w:rFonts w:cs="Calibri"/>
                <w:sz w:val="24"/>
                <w:szCs w:val="24"/>
              </w:rPr>
              <w:t>COL5A2</w:t>
            </w:r>
          </w:p>
        </w:tc>
        <w:tc>
          <w:tcPr>
            <w:tcW w:w="1440" w:type="dxa"/>
            <w:tcBorders>
              <w:top w:val="nil"/>
              <w:left w:val="nil"/>
              <w:bottom w:val="single" w:sz="4" w:space="0" w:color="auto"/>
              <w:right w:val="single" w:sz="4" w:space="0" w:color="auto"/>
            </w:tcBorders>
            <w:noWrap/>
            <w:vAlign w:val="center"/>
            <w:hideMark/>
          </w:tcPr>
          <w:p w14:paraId="562353E6" w14:textId="77777777" w:rsidR="00E775E0" w:rsidRPr="000F27B6" w:rsidRDefault="00E775E0" w:rsidP="00E775E0">
            <w:pPr>
              <w:jc w:val="both"/>
              <w:rPr>
                <w:rFonts w:cs="Calibri"/>
                <w:sz w:val="24"/>
                <w:szCs w:val="24"/>
              </w:rPr>
            </w:pPr>
            <w:r w:rsidRPr="000F27B6">
              <w:rPr>
                <w:rFonts w:cs="Calibri"/>
                <w:sz w:val="24"/>
                <w:szCs w:val="24"/>
              </w:rPr>
              <w:t>GCKR</w:t>
            </w:r>
          </w:p>
        </w:tc>
        <w:tc>
          <w:tcPr>
            <w:tcW w:w="1440" w:type="dxa"/>
            <w:tcBorders>
              <w:top w:val="nil"/>
              <w:left w:val="nil"/>
              <w:bottom w:val="single" w:sz="4" w:space="0" w:color="auto"/>
              <w:right w:val="single" w:sz="4" w:space="0" w:color="auto"/>
            </w:tcBorders>
            <w:noWrap/>
            <w:vAlign w:val="center"/>
            <w:hideMark/>
          </w:tcPr>
          <w:p w14:paraId="24569132" w14:textId="77777777" w:rsidR="00E775E0" w:rsidRPr="000F27B6" w:rsidRDefault="00E775E0" w:rsidP="00E775E0">
            <w:pPr>
              <w:jc w:val="both"/>
              <w:rPr>
                <w:rFonts w:cs="Calibri"/>
                <w:sz w:val="24"/>
                <w:szCs w:val="24"/>
              </w:rPr>
            </w:pPr>
            <w:r w:rsidRPr="000F27B6">
              <w:rPr>
                <w:rFonts w:cs="Calibri"/>
                <w:sz w:val="24"/>
                <w:szCs w:val="24"/>
              </w:rPr>
              <w:t>LDB3</w:t>
            </w:r>
          </w:p>
        </w:tc>
        <w:tc>
          <w:tcPr>
            <w:tcW w:w="1440" w:type="dxa"/>
            <w:tcBorders>
              <w:top w:val="nil"/>
              <w:left w:val="nil"/>
              <w:bottom w:val="single" w:sz="4" w:space="0" w:color="auto"/>
              <w:right w:val="single" w:sz="4" w:space="0" w:color="auto"/>
            </w:tcBorders>
            <w:noWrap/>
            <w:vAlign w:val="center"/>
            <w:hideMark/>
          </w:tcPr>
          <w:p w14:paraId="280D018F" w14:textId="77777777" w:rsidR="00E775E0" w:rsidRPr="000F27B6" w:rsidRDefault="00E775E0" w:rsidP="00E775E0">
            <w:pPr>
              <w:jc w:val="both"/>
              <w:rPr>
                <w:rFonts w:cs="Calibri"/>
                <w:sz w:val="24"/>
                <w:szCs w:val="24"/>
              </w:rPr>
            </w:pPr>
            <w:r w:rsidRPr="000F27B6">
              <w:rPr>
                <w:rFonts w:cs="Calibri"/>
                <w:sz w:val="24"/>
                <w:szCs w:val="24"/>
              </w:rPr>
              <w:t>PDLIM3</w:t>
            </w:r>
          </w:p>
        </w:tc>
        <w:tc>
          <w:tcPr>
            <w:tcW w:w="1440" w:type="dxa"/>
            <w:tcBorders>
              <w:top w:val="nil"/>
              <w:left w:val="nil"/>
              <w:bottom w:val="single" w:sz="4" w:space="0" w:color="auto"/>
              <w:right w:val="single" w:sz="4" w:space="0" w:color="auto"/>
            </w:tcBorders>
            <w:noWrap/>
            <w:vAlign w:val="center"/>
            <w:hideMark/>
          </w:tcPr>
          <w:p w14:paraId="16018EFD" w14:textId="77777777" w:rsidR="00E775E0" w:rsidRPr="000F27B6" w:rsidRDefault="00E775E0" w:rsidP="00E775E0">
            <w:pPr>
              <w:jc w:val="both"/>
              <w:rPr>
                <w:rFonts w:cs="Calibri"/>
                <w:sz w:val="24"/>
                <w:szCs w:val="24"/>
              </w:rPr>
            </w:pPr>
            <w:r w:rsidRPr="000F27B6">
              <w:rPr>
                <w:rFonts w:cs="Calibri"/>
                <w:sz w:val="24"/>
                <w:szCs w:val="24"/>
              </w:rPr>
              <w:t>SNTA1</w:t>
            </w:r>
          </w:p>
        </w:tc>
      </w:tr>
      <w:tr w:rsidR="00E775E0" w:rsidRPr="000F27B6" w14:paraId="36C4600A" w14:textId="77777777" w:rsidTr="00E775E0">
        <w:trPr>
          <w:trHeight w:hRule="exact" w:val="397"/>
        </w:trPr>
        <w:tc>
          <w:tcPr>
            <w:tcW w:w="1440" w:type="dxa"/>
            <w:tcBorders>
              <w:top w:val="nil"/>
              <w:left w:val="single" w:sz="4" w:space="0" w:color="auto"/>
              <w:bottom w:val="single" w:sz="4" w:space="0" w:color="auto"/>
              <w:right w:val="single" w:sz="4" w:space="0" w:color="auto"/>
            </w:tcBorders>
            <w:noWrap/>
            <w:vAlign w:val="center"/>
            <w:hideMark/>
          </w:tcPr>
          <w:p w14:paraId="5E73B34A" w14:textId="77777777" w:rsidR="00E775E0" w:rsidRPr="000F27B6" w:rsidRDefault="00E775E0" w:rsidP="00E775E0">
            <w:pPr>
              <w:jc w:val="both"/>
              <w:rPr>
                <w:rFonts w:cs="Calibri"/>
                <w:sz w:val="24"/>
                <w:szCs w:val="24"/>
              </w:rPr>
            </w:pPr>
            <w:r w:rsidRPr="000F27B6">
              <w:rPr>
                <w:rFonts w:cs="Calibri"/>
                <w:sz w:val="24"/>
                <w:szCs w:val="24"/>
              </w:rPr>
              <w:t>ABCG8</w:t>
            </w:r>
          </w:p>
        </w:tc>
        <w:tc>
          <w:tcPr>
            <w:tcW w:w="1440" w:type="dxa"/>
            <w:tcBorders>
              <w:top w:val="nil"/>
              <w:left w:val="nil"/>
              <w:bottom w:val="single" w:sz="4" w:space="0" w:color="auto"/>
              <w:right w:val="single" w:sz="4" w:space="0" w:color="auto"/>
            </w:tcBorders>
            <w:noWrap/>
            <w:vAlign w:val="center"/>
            <w:hideMark/>
          </w:tcPr>
          <w:p w14:paraId="17B2188B" w14:textId="77777777" w:rsidR="00E775E0" w:rsidRPr="000F27B6" w:rsidRDefault="00E775E0" w:rsidP="00E775E0">
            <w:pPr>
              <w:jc w:val="both"/>
              <w:rPr>
                <w:rFonts w:cs="Calibri"/>
                <w:sz w:val="24"/>
                <w:szCs w:val="24"/>
              </w:rPr>
            </w:pPr>
            <w:r w:rsidRPr="000F27B6">
              <w:rPr>
                <w:rFonts w:cs="Calibri"/>
                <w:sz w:val="24"/>
                <w:szCs w:val="24"/>
              </w:rPr>
              <w:t>COX15</w:t>
            </w:r>
          </w:p>
        </w:tc>
        <w:tc>
          <w:tcPr>
            <w:tcW w:w="1440" w:type="dxa"/>
            <w:tcBorders>
              <w:top w:val="nil"/>
              <w:left w:val="nil"/>
              <w:bottom w:val="single" w:sz="4" w:space="0" w:color="auto"/>
              <w:right w:val="single" w:sz="4" w:space="0" w:color="auto"/>
            </w:tcBorders>
            <w:noWrap/>
            <w:vAlign w:val="center"/>
            <w:hideMark/>
          </w:tcPr>
          <w:p w14:paraId="26644D3C" w14:textId="77777777" w:rsidR="00E775E0" w:rsidRPr="000F27B6" w:rsidRDefault="00E775E0" w:rsidP="00E775E0">
            <w:pPr>
              <w:jc w:val="both"/>
              <w:rPr>
                <w:rFonts w:cs="Calibri"/>
                <w:sz w:val="24"/>
                <w:szCs w:val="24"/>
              </w:rPr>
            </w:pPr>
            <w:r w:rsidRPr="000F27B6">
              <w:rPr>
                <w:rFonts w:cs="Calibri"/>
                <w:sz w:val="24"/>
                <w:szCs w:val="24"/>
              </w:rPr>
              <w:t>GJA5</w:t>
            </w:r>
          </w:p>
        </w:tc>
        <w:tc>
          <w:tcPr>
            <w:tcW w:w="1440" w:type="dxa"/>
            <w:tcBorders>
              <w:top w:val="nil"/>
              <w:left w:val="nil"/>
              <w:bottom w:val="single" w:sz="4" w:space="0" w:color="auto"/>
              <w:right w:val="single" w:sz="4" w:space="0" w:color="auto"/>
            </w:tcBorders>
            <w:noWrap/>
            <w:vAlign w:val="center"/>
            <w:hideMark/>
          </w:tcPr>
          <w:p w14:paraId="70F3CE3C" w14:textId="77777777" w:rsidR="00E775E0" w:rsidRPr="000F27B6" w:rsidRDefault="00E775E0" w:rsidP="00E775E0">
            <w:pPr>
              <w:jc w:val="both"/>
              <w:rPr>
                <w:rFonts w:cs="Calibri"/>
                <w:sz w:val="24"/>
                <w:szCs w:val="24"/>
              </w:rPr>
            </w:pPr>
            <w:r w:rsidRPr="000F27B6">
              <w:rPr>
                <w:rFonts w:cs="Calibri"/>
                <w:sz w:val="24"/>
                <w:szCs w:val="24"/>
              </w:rPr>
              <w:t>LDLR</w:t>
            </w:r>
          </w:p>
        </w:tc>
        <w:tc>
          <w:tcPr>
            <w:tcW w:w="1440" w:type="dxa"/>
            <w:tcBorders>
              <w:top w:val="nil"/>
              <w:left w:val="nil"/>
              <w:bottom w:val="single" w:sz="4" w:space="0" w:color="auto"/>
              <w:right w:val="single" w:sz="4" w:space="0" w:color="auto"/>
            </w:tcBorders>
            <w:noWrap/>
            <w:vAlign w:val="center"/>
            <w:hideMark/>
          </w:tcPr>
          <w:p w14:paraId="543BD306" w14:textId="77777777" w:rsidR="00E775E0" w:rsidRPr="000F27B6" w:rsidRDefault="00E775E0" w:rsidP="00E775E0">
            <w:pPr>
              <w:jc w:val="both"/>
              <w:rPr>
                <w:rFonts w:cs="Calibri"/>
                <w:sz w:val="24"/>
                <w:szCs w:val="24"/>
              </w:rPr>
            </w:pPr>
            <w:r w:rsidRPr="000F27B6">
              <w:rPr>
                <w:rFonts w:cs="Calibri"/>
                <w:sz w:val="24"/>
                <w:szCs w:val="24"/>
              </w:rPr>
              <w:t>PKP2</w:t>
            </w:r>
          </w:p>
        </w:tc>
        <w:tc>
          <w:tcPr>
            <w:tcW w:w="1440" w:type="dxa"/>
            <w:tcBorders>
              <w:top w:val="nil"/>
              <w:left w:val="nil"/>
              <w:bottom w:val="single" w:sz="4" w:space="0" w:color="auto"/>
              <w:right w:val="single" w:sz="4" w:space="0" w:color="auto"/>
            </w:tcBorders>
            <w:noWrap/>
            <w:vAlign w:val="center"/>
            <w:hideMark/>
          </w:tcPr>
          <w:p w14:paraId="161B7781" w14:textId="77777777" w:rsidR="00E775E0" w:rsidRPr="000F27B6" w:rsidRDefault="00E775E0" w:rsidP="00E775E0">
            <w:pPr>
              <w:jc w:val="both"/>
              <w:rPr>
                <w:rFonts w:cs="Calibri"/>
                <w:sz w:val="24"/>
                <w:szCs w:val="24"/>
              </w:rPr>
            </w:pPr>
            <w:r w:rsidRPr="000F27B6">
              <w:rPr>
                <w:rFonts w:cs="Calibri"/>
                <w:sz w:val="24"/>
                <w:szCs w:val="24"/>
              </w:rPr>
              <w:t>SOS1</w:t>
            </w:r>
          </w:p>
        </w:tc>
      </w:tr>
      <w:tr w:rsidR="00E775E0" w:rsidRPr="000F27B6" w14:paraId="4FC821F6" w14:textId="77777777" w:rsidTr="00E775E0">
        <w:trPr>
          <w:trHeight w:hRule="exact" w:val="397"/>
        </w:trPr>
        <w:tc>
          <w:tcPr>
            <w:tcW w:w="1440" w:type="dxa"/>
            <w:tcBorders>
              <w:top w:val="nil"/>
              <w:left w:val="single" w:sz="4" w:space="0" w:color="auto"/>
              <w:bottom w:val="single" w:sz="4" w:space="0" w:color="auto"/>
              <w:right w:val="single" w:sz="4" w:space="0" w:color="auto"/>
            </w:tcBorders>
            <w:noWrap/>
            <w:vAlign w:val="center"/>
            <w:hideMark/>
          </w:tcPr>
          <w:p w14:paraId="26A520BF" w14:textId="77777777" w:rsidR="00E775E0" w:rsidRPr="000F27B6" w:rsidRDefault="00E775E0" w:rsidP="00E775E0">
            <w:pPr>
              <w:jc w:val="both"/>
              <w:rPr>
                <w:rFonts w:cs="Calibri"/>
                <w:sz w:val="24"/>
                <w:szCs w:val="24"/>
              </w:rPr>
            </w:pPr>
            <w:r w:rsidRPr="000F27B6">
              <w:rPr>
                <w:rFonts w:cs="Calibri"/>
                <w:sz w:val="24"/>
                <w:szCs w:val="24"/>
              </w:rPr>
              <w:t>ACTA1</w:t>
            </w:r>
          </w:p>
        </w:tc>
        <w:tc>
          <w:tcPr>
            <w:tcW w:w="1440" w:type="dxa"/>
            <w:tcBorders>
              <w:top w:val="nil"/>
              <w:left w:val="nil"/>
              <w:bottom w:val="single" w:sz="4" w:space="0" w:color="auto"/>
              <w:right w:val="single" w:sz="4" w:space="0" w:color="auto"/>
            </w:tcBorders>
            <w:noWrap/>
            <w:vAlign w:val="center"/>
            <w:hideMark/>
          </w:tcPr>
          <w:p w14:paraId="27E6134F" w14:textId="77777777" w:rsidR="00E775E0" w:rsidRPr="000F27B6" w:rsidRDefault="00E775E0" w:rsidP="00E775E0">
            <w:pPr>
              <w:jc w:val="both"/>
              <w:rPr>
                <w:rFonts w:cs="Calibri"/>
                <w:sz w:val="24"/>
                <w:szCs w:val="24"/>
              </w:rPr>
            </w:pPr>
            <w:r w:rsidRPr="000F27B6">
              <w:rPr>
                <w:rFonts w:cs="Calibri"/>
                <w:sz w:val="24"/>
                <w:szCs w:val="24"/>
              </w:rPr>
              <w:t>CREB3L3</w:t>
            </w:r>
          </w:p>
        </w:tc>
        <w:tc>
          <w:tcPr>
            <w:tcW w:w="1440" w:type="dxa"/>
            <w:tcBorders>
              <w:top w:val="nil"/>
              <w:left w:val="nil"/>
              <w:bottom w:val="single" w:sz="4" w:space="0" w:color="auto"/>
              <w:right w:val="single" w:sz="4" w:space="0" w:color="auto"/>
            </w:tcBorders>
            <w:noWrap/>
            <w:vAlign w:val="center"/>
            <w:hideMark/>
          </w:tcPr>
          <w:p w14:paraId="407F81F6" w14:textId="77777777" w:rsidR="00E775E0" w:rsidRPr="000F27B6" w:rsidRDefault="00E775E0" w:rsidP="00E775E0">
            <w:pPr>
              <w:jc w:val="both"/>
              <w:rPr>
                <w:rFonts w:cs="Calibri"/>
                <w:sz w:val="24"/>
                <w:szCs w:val="24"/>
              </w:rPr>
            </w:pPr>
            <w:r w:rsidRPr="000F27B6">
              <w:rPr>
                <w:rFonts w:cs="Calibri"/>
                <w:sz w:val="24"/>
                <w:szCs w:val="24"/>
              </w:rPr>
              <w:t>GLA</w:t>
            </w:r>
          </w:p>
        </w:tc>
        <w:tc>
          <w:tcPr>
            <w:tcW w:w="1440" w:type="dxa"/>
            <w:tcBorders>
              <w:top w:val="nil"/>
              <w:left w:val="nil"/>
              <w:bottom w:val="single" w:sz="4" w:space="0" w:color="auto"/>
              <w:right w:val="single" w:sz="4" w:space="0" w:color="auto"/>
            </w:tcBorders>
            <w:noWrap/>
            <w:vAlign w:val="center"/>
            <w:hideMark/>
          </w:tcPr>
          <w:p w14:paraId="76A9800C" w14:textId="77777777" w:rsidR="00E775E0" w:rsidRPr="000F27B6" w:rsidRDefault="00E775E0" w:rsidP="00E775E0">
            <w:pPr>
              <w:jc w:val="both"/>
              <w:rPr>
                <w:rFonts w:cs="Calibri"/>
                <w:sz w:val="24"/>
                <w:szCs w:val="24"/>
              </w:rPr>
            </w:pPr>
            <w:r w:rsidRPr="000F27B6">
              <w:rPr>
                <w:rFonts w:cs="Calibri"/>
                <w:sz w:val="24"/>
                <w:szCs w:val="24"/>
              </w:rPr>
              <w:t>LDLRAP1</w:t>
            </w:r>
          </w:p>
        </w:tc>
        <w:tc>
          <w:tcPr>
            <w:tcW w:w="1440" w:type="dxa"/>
            <w:tcBorders>
              <w:top w:val="nil"/>
              <w:left w:val="nil"/>
              <w:bottom w:val="single" w:sz="4" w:space="0" w:color="auto"/>
              <w:right w:val="single" w:sz="4" w:space="0" w:color="auto"/>
            </w:tcBorders>
            <w:noWrap/>
            <w:vAlign w:val="center"/>
            <w:hideMark/>
          </w:tcPr>
          <w:p w14:paraId="5FA249B6" w14:textId="77777777" w:rsidR="00E775E0" w:rsidRPr="000F27B6" w:rsidRDefault="00E775E0" w:rsidP="00E775E0">
            <w:pPr>
              <w:jc w:val="both"/>
              <w:rPr>
                <w:rFonts w:cs="Calibri"/>
                <w:sz w:val="24"/>
                <w:szCs w:val="24"/>
              </w:rPr>
            </w:pPr>
            <w:r w:rsidRPr="000F27B6">
              <w:rPr>
                <w:rFonts w:cs="Calibri"/>
                <w:sz w:val="24"/>
                <w:szCs w:val="24"/>
              </w:rPr>
              <w:t>PLN</w:t>
            </w:r>
          </w:p>
        </w:tc>
        <w:tc>
          <w:tcPr>
            <w:tcW w:w="1440" w:type="dxa"/>
            <w:tcBorders>
              <w:top w:val="nil"/>
              <w:left w:val="nil"/>
              <w:bottom w:val="single" w:sz="4" w:space="0" w:color="auto"/>
              <w:right w:val="single" w:sz="4" w:space="0" w:color="auto"/>
            </w:tcBorders>
            <w:noWrap/>
            <w:vAlign w:val="center"/>
            <w:hideMark/>
          </w:tcPr>
          <w:p w14:paraId="6FF2C6F9" w14:textId="77777777" w:rsidR="00E775E0" w:rsidRPr="000F27B6" w:rsidRDefault="00E775E0" w:rsidP="00E775E0">
            <w:pPr>
              <w:jc w:val="both"/>
              <w:rPr>
                <w:rFonts w:cs="Calibri"/>
                <w:sz w:val="24"/>
                <w:szCs w:val="24"/>
              </w:rPr>
            </w:pPr>
            <w:r w:rsidRPr="000F27B6">
              <w:rPr>
                <w:rFonts w:cs="Calibri"/>
                <w:sz w:val="24"/>
                <w:szCs w:val="24"/>
              </w:rPr>
              <w:t>SREBF2</w:t>
            </w:r>
          </w:p>
        </w:tc>
      </w:tr>
      <w:tr w:rsidR="00E775E0" w:rsidRPr="000F27B6" w14:paraId="49C2A2AA" w14:textId="77777777" w:rsidTr="00E775E0">
        <w:trPr>
          <w:trHeight w:hRule="exact" w:val="397"/>
        </w:trPr>
        <w:tc>
          <w:tcPr>
            <w:tcW w:w="1440" w:type="dxa"/>
            <w:tcBorders>
              <w:top w:val="nil"/>
              <w:left w:val="single" w:sz="4" w:space="0" w:color="auto"/>
              <w:bottom w:val="single" w:sz="4" w:space="0" w:color="auto"/>
              <w:right w:val="single" w:sz="4" w:space="0" w:color="auto"/>
            </w:tcBorders>
            <w:noWrap/>
            <w:vAlign w:val="center"/>
            <w:hideMark/>
          </w:tcPr>
          <w:p w14:paraId="4BCBBC99" w14:textId="77777777" w:rsidR="00E775E0" w:rsidRPr="000F27B6" w:rsidRDefault="00E775E0" w:rsidP="00E775E0">
            <w:pPr>
              <w:jc w:val="both"/>
              <w:rPr>
                <w:rFonts w:cs="Calibri"/>
                <w:sz w:val="24"/>
                <w:szCs w:val="24"/>
              </w:rPr>
            </w:pPr>
            <w:r w:rsidRPr="000F27B6">
              <w:rPr>
                <w:rFonts w:cs="Calibri"/>
                <w:sz w:val="24"/>
                <w:szCs w:val="24"/>
              </w:rPr>
              <w:t>ACTA2</w:t>
            </w:r>
          </w:p>
        </w:tc>
        <w:tc>
          <w:tcPr>
            <w:tcW w:w="1440" w:type="dxa"/>
            <w:tcBorders>
              <w:top w:val="nil"/>
              <w:left w:val="nil"/>
              <w:bottom w:val="single" w:sz="4" w:space="0" w:color="auto"/>
              <w:right w:val="single" w:sz="4" w:space="0" w:color="auto"/>
            </w:tcBorders>
            <w:noWrap/>
            <w:vAlign w:val="center"/>
            <w:hideMark/>
          </w:tcPr>
          <w:p w14:paraId="620F1871" w14:textId="77777777" w:rsidR="00E775E0" w:rsidRPr="000F27B6" w:rsidRDefault="00E775E0" w:rsidP="00E775E0">
            <w:pPr>
              <w:jc w:val="both"/>
              <w:rPr>
                <w:rFonts w:cs="Calibri"/>
                <w:sz w:val="24"/>
                <w:szCs w:val="24"/>
              </w:rPr>
            </w:pPr>
            <w:r w:rsidRPr="000F27B6">
              <w:rPr>
                <w:rFonts w:cs="Calibri"/>
                <w:sz w:val="24"/>
                <w:szCs w:val="24"/>
              </w:rPr>
              <w:t>CRELD1</w:t>
            </w:r>
          </w:p>
        </w:tc>
        <w:tc>
          <w:tcPr>
            <w:tcW w:w="1440" w:type="dxa"/>
            <w:tcBorders>
              <w:top w:val="nil"/>
              <w:left w:val="nil"/>
              <w:bottom w:val="single" w:sz="4" w:space="0" w:color="auto"/>
              <w:right w:val="single" w:sz="4" w:space="0" w:color="auto"/>
            </w:tcBorders>
            <w:noWrap/>
            <w:vAlign w:val="center"/>
            <w:hideMark/>
          </w:tcPr>
          <w:p w14:paraId="78297F3D" w14:textId="77777777" w:rsidR="00E775E0" w:rsidRPr="000F27B6" w:rsidRDefault="00E775E0" w:rsidP="00E775E0">
            <w:pPr>
              <w:jc w:val="both"/>
              <w:rPr>
                <w:rFonts w:cs="Calibri"/>
                <w:sz w:val="24"/>
                <w:szCs w:val="24"/>
              </w:rPr>
            </w:pPr>
            <w:r w:rsidRPr="000F27B6">
              <w:rPr>
                <w:rFonts w:cs="Calibri"/>
                <w:sz w:val="24"/>
                <w:szCs w:val="24"/>
              </w:rPr>
              <w:t>GPD1L</w:t>
            </w:r>
          </w:p>
        </w:tc>
        <w:tc>
          <w:tcPr>
            <w:tcW w:w="1440" w:type="dxa"/>
            <w:tcBorders>
              <w:top w:val="nil"/>
              <w:left w:val="nil"/>
              <w:bottom w:val="single" w:sz="4" w:space="0" w:color="auto"/>
              <w:right w:val="single" w:sz="4" w:space="0" w:color="auto"/>
            </w:tcBorders>
            <w:noWrap/>
            <w:vAlign w:val="center"/>
            <w:hideMark/>
          </w:tcPr>
          <w:p w14:paraId="6B033F58" w14:textId="77777777" w:rsidR="00E775E0" w:rsidRPr="000F27B6" w:rsidRDefault="00E775E0" w:rsidP="00E775E0">
            <w:pPr>
              <w:jc w:val="both"/>
              <w:rPr>
                <w:rFonts w:cs="Calibri"/>
                <w:sz w:val="24"/>
                <w:szCs w:val="24"/>
              </w:rPr>
            </w:pPr>
            <w:r w:rsidRPr="000F27B6">
              <w:rPr>
                <w:rFonts w:cs="Calibri"/>
                <w:sz w:val="24"/>
                <w:szCs w:val="24"/>
              </w:rPr>
              <w:t>LMF1</w:t>
            </w:r>
          </w:p>
        </w:tc>
        <w:tc>
          <w:tcPr>
            <w:tcW w:w="1440" w:type="dxa"/>
            <w:tcBorders>
              <w:top w:val="nil"/>
              <w:left w:val="nil"/>
              <w:bottom w:val="single" w:sz="4" w:space="0" w:color="auto"/>
              <w:right w:val="single" w:sz="4" w:space="0" w:color="auto"/>
            </w:tcBorders>
            <w:noWrap/>
            <w:vAlign w:val="center"/>
            <w:hideMark/>
          </w:tcPr>
          <w:p w14:paraId="76A1FA4B" w14:textId="77777777" w:rsidR="00E775E0" w:rsidRPr="000F27B6" w:rsidRDefault="00E775E0" w:rsidP="00E775E0">
            <w:pPr>
              <w:jc w:val="both"/>
              <w:rPr>
                <w:rFonts w:cs="Calibri"/>
                <w:sz w:val="24"/>
                <w:szCs w:val="24"/>
              </w:rPr>
            </w:pPr>
            <w:r w:rsidRPr="000F27B6">
              <w:rPr>
                <w:rFonts w:cs="Calibri"/>
                <w:sz w:val="24"/>
                <w:szCs w:val="24"/>
              </w:rPr>
              <w:t>PRDM16</w:t>
            </w:r>
          </w:p>
        </w:tc>
        <w:tc>
          <w:tcPr>
            <w:tcW w:w="1440" w:type="dxa"/>
            <w:tcBorders>
              <w:top w:val="nil"/>
              <w:left w:val="nil"/>
              <w:bottom w:val="single" w:sz="4" w:space="0" w:color="auto"/>
              <w:right w:val="single" w:sz="4" w:space="0" w:color="auto"/>
            </w:tcBorders>
            <w:noWrap/>
            <w:vAlign w:val="center"/>
            <w:hideMark/>
          </w:tcPr>
          <w:p w14:paraId="3F0BFBAB" w14:textId="77777777" w:rsidR="00E775E0" w:rsidRPr="000F27B6" w:rsidRDefault="00E775E0" w:rsidP="00E775E0">
            <w:pPr>
              <w:jc w:val="both"/>
              <w:rPr>
                <w:rFonts w:cs="Calibri"/>
                <w:sz w:val="24"/>
                <w:szCs w:val="24"/>
              </w:rPr>
            </w:pPr>
            <w:r w:rsidRPr="000F27B6">
              <w:rPr>
                <w:rFonts w:cs="Calibri"/>
                <w:sz w:val="24"/>
                <w:szCs w:val="24"/>
              </w:rPr>
              <w:t>TAZ</w:t>
            </w:r>
          </w:p>
        </w:tc>
      </w:tr>
      <w:tr w:rsidR="00E775E0" w:rsidRPr="000F27B6" w14:paraId="38E7360C" w14:textId="77777777" w:rsidTr="00E775E0">
        <w:trPr>
          <w:trHeight w:hRule="exact" w:val="397"/>
        </w:trPr>
        <w:tc>
          <w:tcPr>
            <w:tcW w:w="1440" w:type="dxa"/>
            <w:tcBorders>
              <w:top w:val="nil"/>
              <w:left w:val="single" w:sz="4" w:space="0" w:color="auto"/>
              <w:bottom w:val="single" w:sz="4" w:space="0" w:color="auto"/>
              <w:right w:val="single" w:sz="4" w:space="0" w:color="auto"/>
            </w:tcBorders>
            <w:noWrap/>
            <w:vAlign w:val="center"/>
            <w:hideMark/>
          </w:tcPr>
          <w:p w14:paraId="4AE741E7" w14:textId="77777777" w:rsidR="00E775E0" w:rsidRPr="000F27B6" w:rsidRDefault="00E775E0" w:rsidP="00E775E0">
            <w:pPr>
              <w:jc w:val="both"/>
              <w:rPr>
                <w:rFonts w:cs="Calibri"/>
                <w:sz w:val="24"/>
                <w:szCs w:val="24"/>
              </w:rPr>
            </w:pPr>
            <w:r w:rsidRPr="000F27B6">
              <w:rPr>
                <w:rFonts w:cs="Calibri"/>
                <w:sz w:val="24"/>
                <w:szCs w:val="24"/>
              </w:rPr>
              <w:t>ACTC1</w:t>
            </w:r>
          </w:p>
        </w:tc>
        <w:tc>
          <w:tcPr>
            <w:tcW w:w="1440" w:type="dxa"/>
            <w:tcBorders>
              <w:top w:val="nil"/>
              <w:left w:val="nil"/>
              <w:bottom w:val="single" w:sz="4" w:space="0" w:color="auto"/>
              <w:right w:val="single" w:sz="4" w:space="0" w:color="auto"/>
            </w:tcBorders>
            <w:noWrap/>
            <w:vAlign w:val="center"/>
            <w:hideMark/>
          </w:tcPr>
          <w:p w14:paraId="24D81535" w14:textId="77777777" w:rsidR="00E775E0" w:rsidRPr="000F27B6" w:rsidRDefault="00E775E0" w:rsidP="00E775E0">
            <w:pPr>
              <w:jc w:val="both"/>
              <w:rPr>
                <w:rFonts w:cs="Calibri"/>
                <w:sz w:val="24"/>
                <w:szCs w:val="24"/>
              </w:rPr>
            </w:pPr>
            <w:r w:rsidRPr="000F27B6">
              <w:rPr>
                <w:rFonts w:cs="Calibri"/>
                <w:sz w:val="24"/>
                <w:szCs w:val="24"/>
              </w:rPr>
              <w:t>CRYAB</w:t>
            </w:r>
          </w:p>
        </w:tc>
        <w:tc>
          <w:tcPr>
            <w:tcW w:w="1440" w:type="dxa"/>
            <w:tcBorders>
              <w:top w:val="nil"/>
              <w:left w:val="nil"/>
              <w:bottom w:val="single" w:sz="4" w:space="0" w:color="auto"/>
              <w:right w:val="single" w:sz="4" w:space="0" w:color="auto"/>
            </w:tcBorders>
            <w:noWrap/>
            <w:vAlign w:val="center"/>
            <w:hideMark/>
          </w:tcPr>
          <w:p w14:paraId="10B26760" w14:textId="77777777" w:rsidR="00E775E0" w:rsidRPr="000F27B6" w:rsidRDefault="00E775E0" w:rsidP="00E775E0">
            <w:pPr>
              <w:jc w:val="both"/>
              <w:rPr>
                <w:rFonts w:cs="Calibri"/>
                <w:sz w:val="24"/>
                <w:szCs w:val="24"/>
              </w:rPr>
            </w:pPr>
            <w:r w:rsidRPr="000F27B6">
              <w:rPr>
                <w:rFonts w:cs="Calibri"/>
                <w:sz w:val="24"/>
                <w:szCs w:val="24"/>
              </w:rPr>
              <w:t>GPIHBP1</w:t>
            </w:r>
          </w:p>
        </w:tc>
        <w:tc>
          <w:tcPr>
            <w:tcW w:w="1440" w:type="dxa"/>
            <w:tcBorders>
              <w:top w:val="nil"/>
              <w:left w:val="nil"/>
              <w:bottom w:val="single" w:sz="4" w:space="0" w:color="auto"/>
              <w:right w:val="single" w:sz="4" w:space="0" w:color="auto"/>
            </w:tcBorders>
            <w:noWrap/>
            <w:vAlign w:val="center"/>
            <w:hideMark/>
          </w:tcPr>
          <w:p w14:paraId="27348E8A" w14:textId="77777777" w:rsidR="00E775E0" w:rsidRPr="000F27B6" w:rsidRDefault="00E775E0" w:rsidP="00E775E0">
            <w:pPr>
              <w:jc w:val="both"/>
              <w:rPr>
                <w:rFonts w:cs="Calibri"/>
                <w:sz w:val="24"/>
                <w:szCs w:val="24"/>
              </w:rPr>
            </w:pPr>
            <w:r w:rsidRPr="000F27B6">
              <w:rPr>
                <w:rFonts w:cs="Calibri"/>
                <w:sz w:val="24"/>
                <w:szCs w:val="24"/>
              </w:rPr>
              <w:t>LMNA</w:t>
            </w:r>
          </w:p>
        </w:tc>
        <w:tc>
          <w:tcPr>
            <w:tcW w:w="1440" w:type="dxa"/>
            <w:tcBorders>
              <w:top w:val="nil"/>
              <w:left w:val="nil"/>
              <w:bottom w:val="single" w:sz="4" w:space="0" w:color="auto"/>
              <w:right w:val="single" w:sz="4" w:space="0" w:color="auto"/>
            </w:tcBorders>
            <w:noWrap/>
            <w:vAlign w:val="center"/>
            <w:hideMark/>
          </w:tcPr>
          <w:p w14:paraId="264D149C" w14:textId="77777777" w:rsidR="00E775E0" w:rsidRPr="000F27B6" w:rsidRDefault="00E775E0" w:rsidP="00E775E0">
            <w:pPr>
              <w:jc w:val="both"/>
              <w:rPr>
                <w:rFonts w:cs="Calibri"/>
                <w:sz w:val="24"/>
                <w:szCs w:val="24"/>
              </w:rPr>
            </w:pPr>
            <w:r w:rsidRPr="000F27B6">
              <w:rPr>
                <w:rFonts w:cs="Calibri"/>
                <w:sz w:val="24"/>
                <w:szCs w:val="24"/>
              </w:rPr>
              <w:t>PRKAG2</w:t>
            </w:r>
          </w:p>
        </w:tc>
        <w:tc>
          <w:tcPr>
            <w:tcW w:w="1440" w:type="dxa"/>
            <w:tcBorders>
              <w:top w:val="nil"/>
              <w:left w:val="nil"/>
              <w:bottom w:val="single" w:sz="4" w:space="0" w:color="auto"/>
              <w:right w:val="single" w:sz="4" w:space="0" w:color="auto"/>
            </w:tcBorders>
            <w:noWrap/>
            <w:vAlign w:val="center"/>
            <w:hideMark/>
          </w:tcPr>
          <w:p w14:paraId="761C5B4B" w14:textId="77777777" w:rsidR="00E775E0" w:rsidRPr="000F27B6" w:rsidRDefault="00E775E0" w:rsidP="00E775E0">
            <w:pPr>
              <w:jc w:val="both"/>
              <w:rPr>
                <w:rFonts w:cs="Calibri"/>
                <w:sz w:val="24"/>
                <w:szCs w:val="24"/>
              </w:rPr>
            </w:pPr>
            <w:r w:rsidRPr="000F27B6">
              <w:rPr>
                <w:rFonts w:cs="Calibri"/>
                <w:sz w:val="24"/>
                <w:szCs w:val="24"/>
              </w:rPr>
              <w:t>TBX20</w:t>
            </w:r>
          </w:p>
        </w:tc>
      </w:tr>
      <w:tr w:rsidR="00E775E0" w:rsidRPr="000F27B6" w14:paraId="5EB4D7B4" w14:textId="77777777" w:rsidTr="00E775E0">
        <w:trPr>
          <w:trHeight w:hRule="exact" w:val="397"/>
        </w:trPr>
        <w:tc>
          <w:tcPr>
            <w:tcW w:w="1440" w:type="dxa"/>
            <w:tcBorders>
              <w:top w:val="nil"/>
              <w:left w:val="single" w:sz="4" w:space="0" w:color="auto"/>
              <w:bottom w:val="single" w:sz="4" w:space="0" w:color="auto"/>
              <w:right w:val="single" w:sz="4" w:space="0" w:color="auto"/>
            </w:tcBorders>
            <w:noWrap/>
            <w:vAlign w:val="center"/>
            <w:hideMark/>
          </w:tcPr>
          <w:p w14:paraId="1911301F" w14:textId="77777777" w:rsidR="00E775E0" w:rsidRPr="000F27B6" w:rsidRDefault="00E775E0" w:rsidP="00E775E0">
            <w:pPr>
              <w:jc w:val="both"/>
              <w:rPr>
                <w:rFonts w:cs="Calibri"/>
                <w:sz w:val="24"/>
                <w:szCs w:val="24"/>
              </w:rPr>
            </w:pPr>
            <w:r w:rsidRPr="000F27B6">
              <w:rPr>
                <w:rFonts w:cs="Calibri"/>
                <w:sz w:val="24"/>
                <w:szCs w:val="24"/>
              </w:rPr>
              <w:t>ACTN2</w:t>
            </w:r>
          </w:p>
        </w:tc>
        <w:tc>
          <w:tcPr>
            <w:tcW w:w="1440" w:type="dxa"/>
            <w:tcBorders>
              <w:top w:val="nil"/>
              <w:left w:val="nil"/>
              <w:bottom w:val="single" w:sz="4" w:space="0" w:color="auto"/>
              <w:right w:val="single" w:sz="4" w:space="0" w:color="auto"/>
            </w:tcBorders>
            <w:noWrap/>
            <w:vAlign w:val="center"/>
            <w:hideMark/>
          </w:tcPr>
          <w:p w14:paraId="436FCCDC" w14:textId="77777777" w:rsidR="00E775E0" w:rsidRPr="000F27B6" w:rsidRDefault="00E775E0" w:rsidP="00E775E0">
            <w:pPr>
              <w:jc w:val="both"/>
              <w:rPr>
                <w:rFonts w:cs="Calibri"/>
                <w:sz w:val="24"/>
                <w:szCs w:val="24"/>
              </w:rPr>
            </w:pPr>
            <w:r w:rsidRPr="000F27B6">
              <w:rPr>
                <w:rFonts w:cs="Calibri"/>
                <w:sz w:val="24"/>
                <w:szCs w:val="24"/>
              </w:rPr>
              <w:t>CSRP3</w:t>
            </w:r>
          </w:p>
        </w:tc>
        <w:tc>
          <w:tcPr>
            <w:tcW w:w="1440" w:type="dxa"/>
            <w:tcBorders>
              <w:top w:val="nil"/>
              <w:left w:val="nil"/>
              <w:bottom w:val="single" w:sz="4" w:space="0" w:color="auto"/>
              <w:right w:val="single" w:sz="4" w:space="0" w:color="auto"/>
            </w:tcBorders>
            <w:noWrap/>
            <w:vAlign w:val="center"/>
            <w:hideMark/>
          </w:tcPr>
          <w:p w14:paraId="3312E538" w14:textId="77777777" w:rsidR="00E775E0" w:rsidRPr="000F27B6" w:rsidRDefault="00E775E0" w:rsidP="00E775E0">
            <w:pPr>
              <w:jc w:val="both"/>
              <w:rPr>
                <w:rFonts w:cs="Calibri"/>
                <w:sz w:val="24"/>
                <w:szCs w:val="24"/>
              </w:rPr>
            </w:pPr>
            <w:r w:rsidRPr="000F27B6">
              <w:rPr>
                <w:rFonts w:cs="Calibri"/>
                <w:sz w:val="24"/>
                <w:szCs w:val="24"/>
              </w:rPr>
              <w:t>HADHA</w:t>
            </w:r>
          </w:p>
        </w:tc>
        <w:tc>
          <w:tcPr>
            <w:tcW w:w="1440" w:type="dxa"/>
            <w:tcBorders>
              <w:top w:val="nil"/>
              <w:left w:val="nil"/>
              <w:bottom w:val="single" w:sz="4" w:space="0" w:color="auto"/>
              <w:right w:val="single" w:sz="4" w:space="0" w:color="auto"/>
            </w:tcBorders>
            <w:noWrap/>
            <w:vAlign w:val="center"/>
            <w:hideMark/>
          </w:tcPr>
          <w:p w14:paraId="76F07240" w14:textId="77777777" w:rsidR="00E775E0" w:rsidRPr="000F27B6" w:rsidRDefault="00E775E0" w:rsidP="00E775E0">
            <w:pPr>
              <w:jc w:val="both"/>
              <w:rPr>
                <w:rFonts w:cs="Calibri"/>
                <w:sz w:val="24"/>
                <w:szCs w:val="24"/>
              </w:rPr>
            </w:pPr>
            <w:r w:rsidRPr="000F27B6">
              <w:rPr>
                <w:rFonts w:cs="Calibri"/>
                <w:sz w:val="24"/>
                <w:szCs w:val="24"/>
              </w:rPr>
              <w:t>LPL</w:t>
            </w:r>
          </w:p>
        </w:tc>
        <w:tc>
          <w:tcPr>
            <w:tcW w:w="1440" w:type="dxa"/>
            <w:tcBorders>
              <w:top w:val="nil"/>
              <w:left w:val="nil"/>
              <w:bottom w:val="single" w:sz="4" w:space="0" w:color="auto"/>
              <w:right w:val="single" w:sz="4" w:space="0" w:color="auto"/>
            </w:tcBorders>
            <w:noWrap/>
            <w:vAlign w:val="center"/>
            <w:hideMark/>
          </w:tcPr>
          <w:p w14:paraId="015C0A73" w14:textId="77777777" w:rsidR="00E775E0" w:rsidRPr="000F27B6" w:rsidRDefault="00E775E0" w:rsidP="00E775E0">
            <w:pPr>
              <w:jc w:val="both"/>
              <w:rPr>
                <w:rFonts w:cs="Calibri"/>
                <w:sz w:val="24"/>
                <w:szCs w:val="24"/>
              </w:rPr>
            </w:pPr>
            <w:r w:rsidRPr="000F27B6">
              <w:rPr>
                <w:rFonts w:cs="Calibri"/>
                <w:sz w:val="24"/>
                <w:szCs w:val="24"/>
              </w:rPr>
              <w:t>PRKAR1A</w:t>
            </w:r>
          </w:p>
        </w:tc>
        <w:tc>
          <w:tcPr>
            <w:tcW w:w="1440" w:type="dxa"/>
            <w:tcBorders>
              <w:top w:val="nil"/>
              <w:left w:val="nil"/>
              <w:bottom w:val="single" w:sz="4" w:space="0" w:color="auto"/>
              <w:right w:val="single" w:sz="4" w:space="0" w:color="auto"/>
            </w:tcBorders>
            <w:noWrap/>
            <w:vAlign w:val="center"/>
            <w:hideMark/>
          </w:tcPr>
          <w:p w14:paraId="4309815E" w14:textId="77777777" w:rsidR="00E775E0" w:rsidRPr="000F27B6" w:rsidRDefault="00E775E0" w:rsidP="00E775E0">
            <w:pPr>
              <w:jc w:val="both"/>
              <w:rPr>
                <w:rFonts w:cs="Calibri"/>
                <w:sz w:val="24"/>
                <w:szCs w:val="24"/>
              </w:rPr>
            </w:pPr>
            <w:r w:rsidRPr="000F27B6">
              <w:rPr>
                <w:rFonts w:cs="Calibri"/>
                <w:sz w:val="24"/>
                <w:szCs w:val="24"/>
              </w:rPr>
              <w:t>TBX3</w:t>
            </w:r>
          </w:p>
        </w:tc>
      </w:tr>
      <w:tr w:rsidR="00E775E0" w:rsidRPr="000F27B6" w14:paraId="6CBAA941" w14:textId="77777777" w:rsidTr="00E775E0">
        <w:trPr>
          <w:trHeight w:hRule="exact" w:val="397"/>
        </w:trPr>
        <w:tc>
          <w:tcPr>
            <w:tcW w:w="1440" w:type="dxa"/>
            <w:tcBorders>
              <w:top w:val="nil"/>
              <w:left w:val="single" w:sz="4" w:space="0" w:color="auto"/>
              <w:bottom w:val="single" w:sz="4" w:space="0" w:color="auto"/>
              <w:right w:val="single" w:sz="4" w:space="0" w:color="auto"/>
            </w:tcBorders>
            <w:noWrap/>
            <w:vAlign w:val="center"/>
            <w:hideMark/>
          </w:tcPr>
          <w:p w14:paraId="5AC3F08D" w14:textId="77777777" w:rsidR="00E775E0" w:rsidRPr="000F27B6" w:rsidRDefault="00E775E0" w:rsidP="00E775E0">
            <w:pPr>
              <w:jc w:val="both"/>
              <w:rPr>
                <w:rFonts w:cs="Calibri"/>
                <w:sz w:val="24"/>
                <w:szCs w:val="24"/>
              </w:rPr>
            </w:pPr>
            <w:r w:rsidRPr="000F27B6">
              <w:rPr>
                <w:rFonts w:cs="Calibri"/>
                <w:sz w:val="24"/>
                <w:szCs w:val="24"/>
              </w:rPr>
              <w:t>AKAP9</w:t>
            </w:r>
          </w:p>
        </w:tc>
        <w:tc>
          <w:tcPr>
            <w:tcW w:w="1440" w:type="dxa"/>
            <w:tcBorders>
              <w:top w:val="nil"/>
              <w:left w:val="nil"/>
              <w:bottom w:val="single" w:sz="4" w:space="0" w:color="auto"/>
              <w:right w:val="single" w:sz="4" w:space="0" w:color="auto"/>
            </w:tcBorders>
            <w:noWrap/>
            <w:vAlign w:val="center"/>
            <w:hideMark/>
          </w:tcPr>
          <w:p w14:paraId="29F03B19" w14:textId="77777777" w:rsidR="00E775E0" w:rsidRPr="000F27B6" w:rsidRDefault="00E775E0" w:rsidP="00E775E0">
            <w:pPr>
              <w:jc w:val="both"/>
              <w:rPr>
                <w:rFonts w:cs="Calibri"/>
                <w:sz w:val="24"/>
                <w:szCs w:val="24"/>
              </w:rPr>
            </w:pPr>
            <w:r w:rsidRPr="000F27B6">
              <w:rPr>
                <w:rFonts w:cs="Calibri"/>
                <w:sz w:val="24"/>
                <w:szCs w:val="24"/>
              </w:rPr>
              <w:t>CTF1</w:t>
            </w:r>
          </w:p>
        </w:tc>
        <w:tc>
          <w:tcPr>
            <w:tcW w:w="1440" w:type="dxa"/>
            <w:tcBorders>
              <w:top w:val="nil"/>
              <w:left w:val="nil"/>
              <w:bottom w:val="single" w:sz="4" w:space="0" w:color="auto"/>
              <w:right w:val="single" w:sz="4" w:space="0" w:color="auto"/>
            </w:tcBorders>
            <w:noWrap/>
            <w:vAlign w:val="center"/>
            <w:hideMark/>
          </w:tcPr>
          <w:p w14:paraId="0017FAD0" w14:textId="77777777" w:rsidR="00E775E0" w:rsidRPr="000F27B6" w:rsidRDefault="00E775E0" w:rsidP="00E775E0">
            <w:pPr>
              <w:jc w:val="both"/>
              <w:rPr>
                <w:rFonts w:cs="Calibri"/>
                <w:sz w:val="24"/>
                <w:szCs w:val="24"/>
              </w:rPr>
            </w:pPr>
            <w:r w:rsidRPr="000F27B6">
              <w:rPr>
                <w:rFonts w:cs="Calibri"/>
                <w:sz w:val="24"/>
                <w:szCs w:val="24"/>
              </w:rPr>
              <w:t>HCN4</w:t>
            </w:r>
          </w:p>
        </w:tc>
        <w:tc>
          <w:tcPr>
            <w:tcW w:w="1440" w:type="dxa"/>
            <w:tcBorders>
              <w:top w:val="nil"/>
              <w:left w:val="nil"/>
              <w:bottom w:val="single" w:sz="4" w:space="0" w:color="auto"/>
              <w:right w:val="single" w:sz="4" w:space="0" w:color="auto"/>
            </w:tcBorders>
            <w:noWrap/>
            <w:vAlign w:val="center"/>
            <w:hideMark/>
          </w:tcPr>
          <w:p w14:paraId="32FDB10A" w14:textId="77777777" w:rsidR="00E775E0" w:rsidRPr="000F27B6" w:rsidRDefault="00E775E0" w:rsidP="00E775E0">
            <w:pPr>
              <w:jc w:val="both"/>
              <w:rPr>
                <w:rFonts w:cs="Calibri"/>
                <w:sz w:val="24"/>
                <w:szCs w:val="24"/>
              </w:rPr>
            </w:pPr>
            <w:r w:rsidRPr="000F27B6">
              <w:rPr>
                <w:rFonts w:cs="Calibri"/>
                <w:sz w:val="24"/>
                <w:szCs w:val="24"/>
              </w:rPr>
              <w:t>LTBP2</w:t>
            </w:r>
          </w:p>
        </w:tc>
        <w:tc>
          <w:tcPr>
            <w:tcW w:w="1440" w:type="dxa"/>
            <w:tcBorders>
              <w:top w:val="nil"/>
              <w:left w:val="nil"/>
              <w:bottom w:val="single" w:sz="4" w:space="0" w:color="auto"/>
              <w:right w:val="single" w:sz="4" w:space="0" w:color="auto"/>
            </w:tcBorders>
            <w:noWrap/>
            <w:vAlign w:val="center"/>
            <w:hideMark/>
          </w:tcPr>
          <w:p w14:paraId="497D9E4E" w14:textId="77777777" w:rsidR="00E775E0" w:rsidRPr="000F27B6" w:rsidRDefault="00E775E0" w:rsidP="00E775E0">
            <w:pPr>
              <w:jc w:val="both"/>
              <w:rPr>
                <w:rFonts w:cs="Calibri"/>
                <w:sz w:val="24"/>
                <w:szCs w:val="24"/>
              </w:rPr>
            </w:pPr>
            <w:r w:rsidRPr="000F27B6">
              <w:rPr>
                <w:rFonts w:cs="Calibri"/>
                <w:sz w:val="24"/>
                <w:szCs w:val="24"/>
              </w:rPr>
              <w:t>PTPN11</w:t>
            </w:r>
          </w:p>
        </w:tc>
        <w:tc>
          <w:tcPr>
            <w:tcW w:w="1440" w:type="dxa"/>
            <w:tcBorders>
              <w:top w:val="nil"/>
              <w:left w:val="nil"/>
              <w:bottom w:val="single" w:sz="4" w:space="0" w:color="auto"/>
              <w:right w:val="single" w:sz="4" w:space="0" w:color="auto"/>
            </w:tcBorders>
            <w:noWrap/>
            <w:vAlign w:val="center"/>
            <w:hideMark/>
          </w:tcPr>
          <w:p w14:paraId="732EFD5C" w14:textId="77777777" w:rsidR="00E775E0" w:rsidRPr="000F27B6" w:rsidRDefault="00E775E0" w:rsidP="00E775E0">
            <w:pPr>
              <w:jc w:val="both"/>
              <w:rPr>
                <w:rFonts w:cs="Calibri"/>
                <w:sz w:val="24"/>
                <w:szCs w:val="24"/>
              </w:rPr>
            </w:pPr>
            <w:r w:rsidRPr="000F27B6">
              <w:rPr>
                <w:rFonts w:cs="Calibri"/>
                <w:sz w:val="24"/>
                <w:szCs w:val="24"/>
              </w:rPr>
              <w:t>TBX5</w:t>
            </w:r>
          </w:p>
        </w:tc>
      </w:tr>
      <w:tr w:rsidR="00E775E0" w:rsidRPr="000F27B6" w14:paraId="6A48885B" w14:textId="77777777" w:rsidTr="00E775E0">
        <w:trPr>
          <w:trHeight w:hRule="exact" w:val="397"/>
        </w:trPr>
        <w:tc>
          <w:tcPr>
            <w:tcW w:w="1440" w:type="dxa"/>
            <w:tcBorders>
              <w:top w:val="nil"/>
              <w:left w:val="single" w:sz="4" w:space="0" w:color="auto"/>
              <w:bottom w:val="single" w:sz="4" w:space="0" w:color="auto"/>
              <w:right w:val="single" w:sz="4" w:space="0" w:color="auto"/>
            </w:tcBorders>
            <w:noWrap/>
            <w:vAlign w:val="center"/>
            <w:hideMark/>
          </w:tcPr>
          <w:p w14:paraId="4FFC261D" w14:textId="77777777" w:rsidR="00E775E0" w:rsidRPr="000F27B6" w:rsidRDefault="00E775E0" w:rsidP="00E775E0">
            <w:pPr>
              <w:jc w:val="both"/>
              <w:rPr>
                <w:rFonts w:cs="Calibri"/>
                <w:sz w:val="24"/>
                <w:szCs w:val="24"/>
              </w:rPr>
            </w:pPr>
            <w:r w:rsidRPr="000F27B6">
              <w:rPr>
                <w:rFonts w:cs="Calibri"/>
                <w:sz w:val="24"/>
                <w:szCs w:val="24"/>
              </w:rPr>
              <w:t>ALMS1</w:t>
            </w:r>
          </w:p>
        </w:tc>
        <w:tc>
          <w:tcPr>
            <w:tcW w:w="1440" w:type="dxa"/>
            <w:tcBorders>
              <w:top w:val="nil"/>
              <w:left w:val="nil"/>
              <w:bottom w:val="single" w:sz="4" w:space="0" w:color="auto"/>
              <w:right w:val="single" w:sz="4" w:space="0" w:color="auto"/>
            </w:tcBorders>
            <w:noWrap/>
            <w:vAlign w:val="center"/>
            <w:hideMark/>
          </w:tcPr>
          <w:p w14:paraId="174EF7FC" w14:textId="77777777" w:rsidR="00E775E0" w:rsidRPr="000F27B6" w:rsidRDefault="00E775E0" w:rsidP="00E775E0">
            <w:pPr>
              <w:jc w:val="both"/>
              <w:rPr>
                <w:rFonts w:cs="Calibri"/>
                <w:sz w:val="24"/>
                <w:szCs w:val="24"/>
              </w:rPr>
            </w:pPr>
            <w:r w:rsidRPr="000F27B6">
              <w:rPr>
                <w:rFonts w:cs="Calibri"/>
                <w:sz w:val="24"/>
                <w:szCs w:val="24"/>
              </w:rPr>
              <w:t>DES</w:t>
            </w:r>
          </w:p>
        </w:tc>
        <w:tc>
          <w:tcPr>
            <w:tcW w:w="1440" w:type="dxa"/>
            <w:tcBorders>
              <w:top w:val="nil"/>
              <w:left w:val="nil"/>
              <w:bottom w:val="single" w:sz="4" w:space="0" w:color="auto"/>
              <w:right w:val="single" w:sz="4" w:space="0" w:color="auto"/>
            </w:tcBorders>
            <w:noWrap/>
            <w:vAlign w:val="center"/>
            <w:hideMark/>
          </w:tcPr>
          <w:p w14:paraId="4B8C4308" w14:textId="77777777" w:rsidR="00E775E0" w:rsidRPr="000F27B6" w:rsidRDefault="00E775E0" w:rsidP="00E775E0">
            <w:pPr>
              <w:jc w:val="both"/>
              <w:rPr>
                <w:rFonts w:cs="Calibri"/>
                <w:sz w:val="24"/>
                <w:szCs w:val="24"/>
              </w:rPr>
            </w:pPr>
            <w:r w:rsidRPr="000F27B6">
              <w:rPr>
                <w:rFonts w:cs="Calibri"/>
                <w:sz w:val="24"/>
                <w:szCs w:val="24"/>
              </w:rPr>
              <w:t>HFE</w:t>
            </w:r>
          </w:p>
        </w:tc>
        <w:tc>
          <w:tcPr>
            <w:tcW w:w="1440" w:type="dxa"/>
            <w:tcBorders>
              <w:top w:val="nil"/>
              <w:left w:val="nil"/>
              <w:bottom w:val="single" w:sz="4" w:space="0" w:color="auto"/>
              <w:right w:val="single" w:sz="4" w:space="0" w:color="auto"/>
            </w:tcBorders>
            <w:noWrap/>
            <w:vAlign w:val="center"/>
            <w:hideMark/>
          </w:tcPr>
          <w:p w14:paraId="5EF4647E" w14:textId="77777777" w:rsidR="00E775E0" w:rsidRPr="000F27B6" w:rsidRDefault="00E775E0" w:rsidP="00E775E0">
            <w:pPr>
              <w:jc w:val="both"/>
              <w:rPr>
                <w:rFonts w:cs="Calibri"/>
                <w:sz w:val="24"/>
                <w:szCs w:val="24"/>
              </w:rPr>
            </w:pPr>
            <w:r w:rsidRPr="000F27B6">
              <w:rPr>
                <w:rFonts w:cs="Calibri"/>
                <w:sz w:val="24"/>
                <w:szCs w:val="24"/>
              </w:rPr>
              <w:t>MAP2K1</w:t>
            </w:r>
          </w:p>
        </w:tc>
        <w:tc>
          <w:tcPr>
            <w:tcW w:w="1440" w:type="dxa"/>
            <w:tcBorders>
              <w:top w:val="nil"/>
              <w:left w:val="nil"/>
              <w:bottom w:val="single" w:sz="4" w:space="0" w:color="auto"/>
              <w:right w:val="single" w:sz="4" w:space="0" w:color="auto"/>
            </w:tcBorders>
            <w:noWrap/>
            <w:vAlign w:val="center"/>
            <w:hideMark/>
          </w:tcPr>
          <w:p w14:paraId="60C026C3" w14:textId="77777777" w:rsidR="00E775E0" w:rsidRPr="000F27B6" w:rsidRDefault="00E775E0" w:rsidP="00E775E0">
            <w:pPr>
              <w:jc w:val="both"/>
              <w:rPr>
                <w:rFonts w:cs="Calibri"/>
                <w:sz w:val="24"/>
                <w:szCs w:val="24"/>
              </w:rPr>
            </w:pPr>
            <w:r w:rsidRPr="000F27B6">
              <w:rPr>
                <w:rFonts w:cs="Calibri"/>
                <w:sz w:val="24"/>
                <w:szCs w:val="24"/>
              </w:rPr>
              <w:t>RAF1</w:t>
            </w:r>
          </w:p>
        </w:tc>
        <w:tc>
          <w:tcPr>
            <w:tcW w:w="1440" w:type="dxa"/>
            <w:tcBorders>
              <w:top w:val="nil"/>
              <w:left w:val="nil"/>
              <w:bottom w:val="single" w:sz="4" w:space="0" w:color="auto"/>
              <w:right w:val="single" w:sz="4" w:space="0" w:color="auto"/>
            </w:tcBorders>
            <w:noWrap/>
            <w:vAlign w:val="center"/>
            <w:hideMark/>
          </w:tcPr>
          <w:p w14:paraId="469C03BF" w14:textId="77777777" w:rsidR="00E775E0" w:rsidRPr="000F27B6" w:rsidRDefault="00E775E0" w:rsidP="00E775E0">
            <w:pPr>
              <w:jc w:val="both"/>
              <w:rPr>
                <w:rFonts w:cs="Calibri"/>
                <w:sz w:val="24"/>
                <w:szCs w:val="24"/>
              </w:rPr>
            </w:pPr>
            <w:r w:rsidRPr="000F27B6">
              <w:rPr>
                <w:rFonts w:cs="Calibri"/>
                <w:sz w:val="24"/>
                <w:szCs w:val="24"/>
              </w:rPr>
              <w:t>TCAP</w:t>
            </w:r>
          </w:p>
        </w:tc>
      </w:tr>
      <w:tr w:rsidR="00E775E0" w:rsidRPr="000F27B6" w14:paraId="13FADB1D" w14:textId="77777777" w:rsidTr="00E775E0">
        <w:trPr>
          <w:trHeight w:hRule="exact" w:val="397"/>
        </w:trPr>
        <w:tc>
          <w:tcPr>
            <w:tcW w:w="1440" w:type="dxa"/>
            <w:tcBorders>
              <w:top w:val="nil"/>
              <w:left w:val="single" w:sz="4" w:space="0" w:color="auto"/>
              <w:bottom w:val="single" w:sz="4" w:space="0" w:color="auto"/>
              <w:right w:val="single" w:sz="4" w:space="0" w:color="auto"/>
            </w:tcBorders>
            <w:noWrap/>
            <w:vAlign w:val="center"/>
            <w:hideMark/>
          </w:tcPr>
          <w:p w14:paraId="7BA40051" w14:textId="77777777" w:rsidR="00E775E0" w:rsidRPr="000F27B6" w:rsidRDefault="00E775E0" w:rsidP="00E775E0">
            <w:pPr>
              <w:jc w:val="both"/>
              <w:rPr>
                <w:rFonts w:cs="Calibri"/>
                <w:sz w:val="24"/>
                <w:szCs w:val="24"/>
              </w:rPr>
            </w:pPr>
            <w:r w:rsidRPr="000F27B6">
              <w:rPr>
                <w:rFonts w:cs="Calibri"/>
                <w:sz w:val="24"/>
                <w:szCs w:val="24"/>
              </w:rPr>
              <w:t>ANK2</w:t>
            </w:r>
          </w:p>
        </w:tc>
        <w:tc>
          <w:tcPr>
            <w:tcW w:w="1440" w:type="dxa"/>
            <w:tcBorders>
              <w:top w:val="nil"/>
              <w:left w:val="nil"/>
              <w:bottom w:val="single" w:sz="4" w:space="0" w:color="auto"/>
              <w:right w:val="single" w:sz="4" w:space="0" w:color="auto"/>
            </w:tcBorders>
            <w:noWrap/>
            <w:vAlign w:val="center"/>
            <w:hideMark/>
          </w:tcPr>
          <w:p w14:paraId="5DAD2DE4" w14:textId="77777777" w:rsidR="00E775E0" w:rsidRPr="000F27B6" w:rsidRDefault="00E775E0" w:rsidP="00E775E0">
            <w:pPr>
              <w:jc w:val="both"/>
              <w:rPr>
                <w:rFonts w:cs="Calibri"/>
                <w:sz w:val="24"/>
                <w:szCs w:val="24"/>
              </w:rPr>
            </w:pPr>
            <w:r w:rsidRPr="000F27B6">
              <w:rPr>
                <w:rFonts w:cs="Calibri"/>
                <w:sz w:val="24"/>
                <w:szCs w:val="24"/>
              </w:rPr>
              <w:t>DMD</w:t>
            </w:r>
          </w:p>
        </w:tc>
        <w:tc>
          <w:tcPr>
            <w:tcW w:w="1440" w:type="dxa"/>
            <w:tcBorders>
              <w:top w:val="nil"/>
              <w:left w:val="nil"/>
              <w:bottom w:val="single" w:sz="4" w:space="0" w:color="auto"/>
              <w:right w:val="single" w:sz="4" w:space="0" w:color="auto"/>
            </w:tcBorders>
            <w:noWrap/>
            <w:vAlign w:val="center"/>
            <w:hideMark/>
          </w:tcPr>
          <w:p w14:paraId="57C67771" w14:textId="77777777" w:rsidR="00E775E0" w:rsidRPr="000F27B6" w:rsidRDefault="00E775E0" w:rsidP="00E775E0">
            <w:pPr>
              <w:jc w:val="both"/>
              <w:rPr>
                <w:rFonts w:cs="Calibri"/>
                <w:sz w:val="24"/>
                <w:szCs w:val="24"/>
              </w:rPr>
            </w:pPr>
            <w:r w:rsidRPr="000F27B6">
              <w:rPr>
                <w:rFonts w:cs="Calibri"/>
                <w:sz w:val="24"/>
                <w:szCs w:val="24"/>
              </w:rPr>
              <w:t>HRAS</w:t>
            </w:r>
          </w:p>
        </w:tc>
        <w:tc>
          <w:tcPr>
            <w:tcW w:w="1440" w:type="dxa"/>
            <w:tcBorders>
              <w:top w:val="nil"/>
              <w:left w:val="nil"/>
              <w:bottom w:val="single" w:sz="4" w:space="0" w:color="auto"/>
              <w:right w:val="single" w:sz="4" w:space="0" w:color="auto"/>
            </w:tcBorders>
            <w:noWrap/>
            <w:vAlign w:val="center"/>
            <w:hideMark/>
          </w:tcPr>
          <w:p w14:paraId="73E10E4D" w14:textId="77777777" w:rsidR="00E775E0" w:rsidRPr="000F27B6" w:rsidRDefault="00E775E0" w:rsidP="00E775E0">
            <w:pPr>
              <w:jc w:val="both"/>
              <w:rPr>
                <w:rFonts w:cs="Calibri"/>
                <w:sz w:val="24"/>
                <w:szCs w:val="24"/>
              </w:rPr>
            </w:pPr>
            <w:r w:rsidRPr="000F27B6">
              <w:rPr>
                <w:rFonts w:cs="Calibri"/>
                <w:sz w:val="24"/>
                <w:szCs w:val="24"/>
              </w:rPr>
              <w:t>MAP2K2</w:t>
            </w:r>
          </w:p>
        </w:tc>
        <w:tc>
          <w:tcPr>
            <w:tcW w:w="1440" w:type="dxa"/>
            <w:tcBorders>
              <w:top w:val="nil"/>
              <w:left w:val="nil"/>
              <w:bottom w:val="single" w:sz="4" w:space="0" w:color="auto"/>
              <w:right w:val="single" w:sz="4" w:space="0" w:color="auto"/>
            </w:tcBorders>
            <w:noWrap/>
            <w:vAlign w:val="center"/>
            <w:hideMark/>
          </w:tcPr>
          <w:p w14:paraId="1BEEA187" w14:textId="77777777" w:rsidR="00E775E0" w:rsidRPr="000F27B6" w:rsidRDefault="00E775E0" w:rsidP="00E775E0">
            <w:pPr>
              <w:jc w:val="both"/>
              <w:rPr>
                <w:rFonts w:cs="Calibri"/>
                <w:sz w:val="24"/>
                <w:szCs w:val="24"/>
              </w:rPr>
            </w:pPr>
            <w:r w:rsidRPr="000F27B6">
              <w:rPr>
                <w:rFonts w:cs="Calibri"/>
                <w:sz w:val="24"/>
                <w:szCs w:val="24"/>
              </w:rPr>
              <w:t>RANGRF</w:t>
            </w:r>
          </w:p>
        </w:tc>
        <w:tc>
          <w:tcPr>
            <w:tcW w:w="1440" w:type="dxa"/>
            <w:tcBorders>
              <w:top w:val="nil"/>
              <w:left w:val="nil"/>
              <w:bottom w:val="single" w:sz="4" w:space="0" w:color="auto"/>
              <w:right w:val="single" w:sz="4" w:space="0" w:color="auto"/>
            </w:tcBorders>
            <w:noWrap/>
            <w:vAlign w:val="center"/>
            <w:hideMark/>
          </w:tcPr>
          <w:p w14:paraId="2CB76DC5" w14:textId="77777777" w:rsidR="00E775E0" w:rsidRPr="000F27B6" w:rsidRDefault="00E775E0" w:rsidP="00E775E0">
            <w:pPr>
              <w:jc w:val="both"/>
              <w:rPr>
                <w:rFonts w:cs="Calibri"/>
                <w:sz w:val="24"/>
                <w:szCs w:val="24"/>
              </w:rPr>
            </w:pPr>
            <w:r w:rsidRPr="000F27B6">
              <w:rPr>
                <w:rFonts w:cs="Calibri"/>
                <w:sz w:val="24"/>
                <w:szCs w:val="24"/>
              </w:rPr>
              <w:t>TGFB2</w:t>
            </w:r>
          </w:p>
        </w:tc>
      </w:tr>
      <w:tr w:rsidR="00E775E0" w:rsidRPr="000F27B6" w14:paraId="273D8901" w14:textId="77777777" w:rsidTr="00E775E0">
        <w:trPr>
          <w:trHeight w:hRule="exact" w:val="397"/>
        </w:trPr>
        <w:tc>
          <w:tcPr>
            <w:tcW w:w="1440" w:type="dxa"/>
            <w:tcBorders>
              <w:top w:val="nil"/>
              <w:left w:val="single" w:sz="4" w:space="0" w:color="auto"/>
              <w:bottom w:val="single" w:sz="4" w:space="0" w:color="auto"/>
              <w:right w:val="single" w:sz="4" w:space="0" w:color="auto"/>
            </w:tcBorders>
            <w:noWrap/>
            <w:vAlign w:val="center"/>
            <w:hideMark/>
          </w:tcPr>
          <w:p w14:paraId="19B49206" w14:textId="77777777" w:rsidR="00E775E0" w:rsidRPr="000F27B6" w:rsidRDefault="00E775E0" w:rsidP="00E775E0">
            <w:pPr>
              <w:jc w:val="both"/>
              <w:rPr>
                <w:rFonts w:cs="Calibri"/>
                <w:sz w:val="24"/>
                <w:szCs w:val="24"/>
              </w:rPr>
            </w:pPr>
            <w:r w:rsidRPr="000F27B6">
              <w:rPr>
                <w:rFonts w:cs="Calibri"/>
                <w:sz w:val="24"/>
                <w:szCs w:val="24"/>
              </w:rPr>
              <w:t>ANKRD1</w:t>
            </w:r>
          </w:p>
        </w:tc>
        <w:tc>
          <w:tcPr>
            <w:tcW w:w="1440" w:type="dxa"/>
            <w:tcBorders>
              <w:top w:val="nil"/>
              <w:left w:val="nil"/>
              <w:bottom w:val="single" w:sz="4" w:space="0" w:color="auto"/>
              <w:right w:val="single" w:sz="4" w:space="0" w:color="auto"/>
            </w:tcBorders>
            <w:noWrap/>
            <w:vAlign w:val="center"/>
            <w:hideMark/>
          </w:tcPr>
          <w:p w14:paraId="3F52A348" w14:textId="77777777" w:rsidR="00E775E0" w:rsidRPr="000F27B6" w:rsidRDefault="00E775E0" w:rsidP="00E775E0">
            <w:pPr>
              <w:jc w:val="both"/>
              <w:rPr>
                <w:rFonts w:cs="Calibri"/>
                <w:sz w:val="24"/>
                <w:szCs w:val="24"/>
              </w:rPr>
            </w:pPr>
            <w:r w:rsidRPr="000F27B6">
              <w:rPr>
                <w:rFonts w:cs="Calibri"/>
                <w:sz w:val="24"/>
                <w:szCs w:val="24"/>
              </w:rPr>
              <w:t>DNAJC19</w:t>
            </w:r>
          </w:p>
        </w:tc>
        <w:tc>
          <w:tcPr>
            <w:tcW w:w="1440" w:type="dxa"/>
            <w:tcBorders>
              <w:top w:val="nil"/>
              <w:left w:val="nil"/>
              <w:bottom w:val="single" w:sz="4" w:space="0" w:color="auto"/>
              <w:right w:val="single" w:sz="4" w:space="0" w:color="auto"/>
            </w:tcBorders>
            <w:noWrap/>
            <w:vAlign w:val="center"/>
            <w:hideMark/>
          </w:tcPr>
          <w:p w14:paraId="604ED659" w14:textId="77777777" w:rsidR="00E775E0" w:rsidRPr="000F27B6" w:rsidRDefault="00E775E0" w:rsidP="00E775E0">
            <w:pPr>
              <w:jc w:val="both"/>
              <w:rPr>
                <w:rFonts w:cs="Calibri"/>
                <w:sz w:val="24"/>
                <w:szCs w:val="24"/>
              </w:rPr>
            </w:pPr>
            <w:r w:rsidRPr="000F27B6">
              <w:rPr>
                <w:rFonts w:cs="Calibri"/>
                <w:sz w:val="24"/>
                <w:szCs w:val="24"/>
              </w:rPr>
              <w:t>HSPB8</w:t>
            </w:r>
          </w:p>
        </w:tc>
        <w:tc>
          <w:tcPr>
            <w:tcW w:w="1440" w:type="dxa"/>
            <w:tcBorders>
              <w:top w:val="nil"/>
              <w:left w:val="nil"/>
              <w:bottom w:val="single" w:sz="4" w:space="0" w:color="auto"/>
              <w:right w:val="single" w:sz="4" w:space="0" w:color="auto"/>
            </w:tcBorders>
            <w:noWrap/>
            <w:vAlign w:val="center"/>
            <w:hideMark/>
          </w:tcPr>
          <w:p w14:paraId="4B820254" w14:textId="77777777" w:rsidR="00E775E0" w:rsidRPr="000F27B6" w:rsidRDefault="00E775E0" w:rsidP="00E775E0">
            <w:pPr>
              <w:jc w:val="both"/>
              <w:rPr>
                <w:rFonts w:cs="Calibri"/>
                <w:sz w:val="24"/>
                <w:szCs w:val="24"/>
              </w:rPr>
            </w:pPr>
            <w:r w:rsidRPr="000F27B6">
              <w:rPr>
                <w:rFonts w:cs="Calibri"/>
                <w:sz w:val="24"/>
                <w:szCs w:val="24"/>
              </w:rPr>
              <w:t>MIB1</w:t>
            </w:r>
          </w:p>
        </w:tc>
        <w:tc>
          <w:tcPr>
            <w:tcW w:w="1440" w:type="dxa"/>
            <w:tcBorders>
              <w:top w:val="nil"/>
              <w:left w:val="nil"/>
              <w:bottom w:val="single" w:sz="4" w:space="0" w:color="auto"/>
              <w:right w:val="single" w:sz="4" w:space="0" w:color="auto"/>
            </w:tcBorders>
            <w:noWrap/>
            <w:vAlign w:val="center"/>
            <w:hideMark/>
          </w:tcPr>
          <w:p w14:paraId="55A01CDE" w14:textId="77777777" w:rsidR="00E775E0" w:rsidRPr="000F27B6" w:rsidRDefault="00E775E0" w:rsidP="00E775E0">
            <w:pPr>
              <w:jc w:val="both"/>
              <w:rPr>
                <w:rFonts w:cs="Calibri"/>
                <w:sz w:val="24"/>
                <w:szCs w:val="24"/>
              </w:rPr>
            </w:pPr>
            <w:r w:rsidRPr="000F27B6">
              <w:rPr>
                <w:rFonts w:cs="Calibri"/>
                <w:sz w:val="24"/>
                <w:szCs w:val="24"/>
              </w:rPr>
              <w:t>RBM20</w:t>
            </w:r>
          </w:p>
        </w:tc>
        <w:tc>
          <w:tcPr>
            <w:tcW w:w="1440" w:type="dxa"/>
            <w:tcBorders>
              <w:top w:val="nil"/>
              <w:left w:val="nil"/>
              <w:bottom w:val="single" w:sz="4" w:space="0" w:color="auto"/>
              <w:right w:val="single" w:sz="4" w:space="0" w:color="auto"/>
            </w:tcBorders>
            <w:noWrap/>
            <w:vAlign w:val="center"/>
            <w:hideMark/>
          </w:tcPr>
          <w:p w14:paraId="7A804E01" w14:textId="77777777" w:rsidR="00E775E0" w:rsidRPr="000F27B6" w:rsidRDefault="00E775E0" w:rsidP="00E775E0">
            <w:pPr>
              <w:jc w:val="both"/>
              <w:rPr>
                <w:rFonts w:cs="Calibri"/>
                <w:sz w:val="24"/>
                <w:szCs w:val="24"/>
              </w:rPr>
            </w:pPr>
            <w:r w:rsidRPr="000F27B6">
              <w:rPr>
                <w:rFonts w:cs="Calibri"/>
                <w:sz w:val="24"/>
                <w:szCs w:val="24"/>
              </w:rPr>
              <w:t>TGFB3</w:t>
            </w:r>
          </w:p>
        </w:tc>
      </w:tr>
      <w:tr w:rsidR="00E775E0" w:rsidRPr="000F27B6" w14:paraId="342B05B1" w14:textId="77777777" w:rsidTr="00E775E0">
        <w:trPr>
          <w:trHeight w:hRule="exact" w:val="397"/>
        </w:trPr>
        <w:tc>
          <w:tcPr>
            <w:tcW w:w="1440" w:type="dxa"/>
            <w:tcBorders>
              <w:top w:val="nil"/>
              <w:left w:val="single" w:sz="4" w:space="0" w:color="auto"/>
              <w:bottom w:val="single" w:sz="4" w:space="0" w:color="auto"/>
              <w:right w:val="single" w:sz="4" w:space="0" w:color="auto"/>
            </w:tcBorders>
            <w:noWrap/>
            <w:vAlign w:val="center"/>
            <w:hideMark/>
          </w:tcPr>
          <w:p w14:paraId="7EBDC2F3" w14:textId="77777777" w:rsidR="00E775E0" w:rsidRPr="000F27B6" w:rsidRDefault="00E775E0" w:rsidP="00E775E0">
            <w:pPr>
              <w:jc w:val="both"/>
              <w:rPr>
                <w:rFonts w:cs="Calibri"/>
                <w:sz w:val="24"/>
                <w:szCs w:val="24"/>
              </w:rPr>
            </w:pPr>
            <w:r w:rsidRPr="000F27B6">
              <w:rPr>
                <w:rFonts w:cs="Calibri"/>
                <w:sz w:val="24"/>
                <w:szCs w:val="24"/>
              </w:rPr>
              <w:t>APOA4</w:t>
            </w:r>
          </w:p>
        </w:tc>
        <w:tc>
          <w:tcPr>
            <w:tcW w:w="1440" w:type="dxa"/>
            <w:tcBorders>
              <w:top w:val="nil"/>
              <w:left w:val="nil"/>
              <w:bottom w:val="single" w:sz="4" w:space="0" w:color="auto"/>
              <w:right w:val="single" w:sz="4" w:space="0" w:color="auto"/>
            </w:tcBorders>
            <w:noWrap/>
            <w:vAlign w:val="center"/>
            <w:hideMark/>
          </w:tcPr>
          <w:p w14:paraId="50ECF171" w14:textId="77777777" w:rsidR="00E775E0" w:rsidRPr="000F27B6" w:rsidRDefault="00E775E0" w:rsidP="00E775E0">
            <w:pPr>
              <w:jc w:val="both"/>
              <w:rPr>
                <w:rFonts w:cs="Calibri"/>
                <w:sz w:val="24"/>
                <w:szCs w:val="24"/>
              </w:rPr>
            </w:pPr>
            <w:r w:rsidRPr="000F27B6">
              <w:rPr>
                <w:rFonts w:cs="Calibri"/>
                <w:sz w:val="24"/>
                <w:szCs w:val="24"/>
              </w:rPr>
              <w:t>DOLK</w:t>
            </w:r>
          </w:p>
        </w:tc>
        <w:tc>
          <w:tcPr>
            <w:tcW w:w="1440" w:type="dxa"/>
            <w:tcBorders>
              <w:top w:val="nil"/>
              <w:left w:val="nil"/>
              <w:bottom w:val="single" w:sz="4" w:space="0" w:color="auto"/>
              <w:right w:val="single" w:sz="4" w:space="0" w:color="auto"/>
            </w:tcBorders>
            <w:noWrap/>
            <w:vAlign w:val="center"/>
            <w:hideMark/>
          </w:tcPr>
          <w:p w14:paraId="2CF75DFC" w14:textId="77777777" w:rsidR="00E775E0" w:rsidRPr="000F27B6" w:rsidRDefault="00E775E0" w:rsidP="00E775E0">
            <w:pPr>
              <w:jc w:val="both"/>
              <w:rPr>
                <w:rFonts w:cs="Calibri"/>
                <w:sz w:val="24"/>
                <w:szCs w:val="24"/>
              </w:rPr>
            </w:pPr>
            <w:r w:rsidRPr="000F27B6">
              <w:rPr>
                <w:rFonts w:cs="Calibri"/>
                <w:sz w:val="24"/>
                <w:szCs w:val="24"/>
              </w:rPr>
              <w:t>ILK</w:t>
            </w:r>
          </w:p>
        </w:tc>
        <w:tc>
          <w:tcPr>
            <w:tcW w:w="1440" w:type="dxa"/>
            <w:tcBorders>
              <w:top w:val="nil"/>
              <w:left w:val="nil"/>
              <w:bottom w:val="single" w:sz="4" w:space="0" w:color="auto"/>
              <w:right w:val="single" w:sz="4" w:space="0" w:color="auto"/>
            </w:tcBorders>
            <w:noWrap/>
            <w:vAlign w:val="center"/>
            <w:hideMark/>
          </w:tcPr>
          <w:p w14:paraId="28DD4F89" w14:textId="77777777" w:rsidR="00E775E0" w:rsidRPr="000F27B6" w:rsidRDefault="00E775E0" w:rsidP="00E775E0">
            <w:pPr>
              <w:jc w:val="both"/>
              <w:rPr>
                <w:rFonts w:cs="Calibri"/>
                <w:sz w:val="24"/>
                <w:szCs w:val="24"/>
              </w:rPr>
            </w:pPr>
            <w:r w:rsidRPr="000F27B6">
              <w:rPr>
                <w:rFonts w:cs="Calibri"/>
                <w:sz w:val="24"/>
                <w:szCs w:val="24"/>
              </w:rPr>
              <w:t>MURC</w:t>
            </w:r>
          </w:p>
        </w:tc>
        <w:tc>
          <w:tcPr>
            <w:tcW w:w="1440" w:type="dxa"/>
            <w:tcBorders>
              <w:top w:val="nil"/>
              <w:left w:val="nil"/>
              <w:bottom w:val="single" w:sz="4" w:space="0" w:color="auto"/>
              <w:right w:val="single" w:sz="4" w:space="0" w:color="auto"/>
            </w:tcBorders>
            <w:noWrap/>
            <w:vAlign w:val="center"/>
            <w:hideMark/>
          </w:tcPr>
          <w:p w14:paraId="4D40FD15" w14:textId="77777777" w:rsidR="00E775E0" w:rsidRPr="000F27B6" w:rsidRDefault="00E775E0" w:rsidP="00E775E0">
            <w:pPr>
              <w:jc w:val="both"/>
              <w:rPr>
                <w:rFonts w:cs="Calibri"/>
                <w:sz w:val="24"/>
                <w:szCs w:val="24"/>
              </w:rPr>
            </w:pPr>
            <w:r w:rsidRPr="000F27B6">
              <w:rPr>
                <w:rFonts w:cs="Calibri"/>
                <w:sz w:val="24"/>
                <w:szCs w:val="24"/>
              </w:rPr>
              <w:t>RYR1</w:t>
            </w:r>
          </w:p>
        </w:tc>
        <w:tc>
          <w:tcPr>
            <w:tcW w:w="1440" w:type="dxa"/>
            <w:tcBorders>
              <w:top w:val="nil"/>
              <w:left w:val="nil"/>
              <w:bottom w:val="single" w:sz="4" w:space="0" w:color="auto"/>
              <w:right w:val="single" w:sz="4" w:space="0" w:color="auto"/>
            </w:tcBorders>
            <w:noWrap/>
            <w:vAlign w:val="center"/>
            <w:hideMark/>
          </w:tcPr>
          <w:p w14:paraId="5139DEF4" w14:textId="77777777" w:rsidR="00E775E0" w:rsidRPr="000F27B6" w:rsidRDefault="00E775E0" w:rsidP="00E775E0">
            <w:pPr>
              <w:jc w:val="both"/>
              <w:rPr>
                <w:rFonts w:cs="Calibri"/>
                <w:sz w:val="24"/>
                <w:szCs w:val="24"/>
              </w:rPr>
            </w:pPr>
            <w:r w:rsidRPr="000F27B6">
              <w:rPr>
                <w:rFonts w:cs="Calibri"/>
                <w:sz w:val="24"/>
                <w:szCs w:val="24"/>
              </w:rPr>
              <w:t>TGFBR1</w:t>
            </w:r>
          </w:p>
        </w:tc>
      </w:tr>
      <w:tr w:rsidR="00E775E0" w:rsidRPr="000F27B6" w14:paraId="29DE0F17" w14:textId="77777777" w:rsidTr="00E775E0">
        <w:trPr>
          <w:trHeight w:hRule="exact" w:val="397"/>
        </w:trPr>
        <w:tc>
          <w:tcPr>
            <w:tcW w:w="1440" w:type="dxa"/>
            <w:tcBorders>
              <w:top w:val="nil"/>
              <w:left w:val="single" w:sz="4" w:space="0" w:color="auto"/>
              <w:bottom w:val="single" w:sz="4" w:space="0" w:color="auto"/>
              <w:right w:val="single" w:sz="4" w:space="0" w:color="auto"/>
            </w:tcBorders>
            <w:noWrap/>
            <w:vAlign w:val="center"/>
            <w:hideMark/>
          </w:tcPr>
          <w:p w14:paraId="718622FA" w14:textId="77777777" w:rsidR="00E775E0" w:rsidRPr="000F27B6" w:rsidRDefault="00E775E0" w:rsidP="00E775E0">
            <w:pPr>
              <w:jc w:val="both"/>
              <w:rPr>
                <w:rFonts w:cs="Calibri"/>
                <w:sz w:val="24"/>
                <w:szCs w:val="24"/>
              </w:rPr>
            </w:pPr>
            <w:r w:rsidRPr="000F27B6">
              <w:rPr>
                <w:rFonts w:cs="Calibri"/>
                <w:sz w:val="24"/>
                <w:szCs w:val="24"/>
              </w:rPr>
              <w:t>APOA5</w:t>
            </w:r>
          </w:p>
        </w:tc>
        <w:tc>
          <w:tcPr>
            <w:tcW w:w="1440" w:type="dxa"/>
            <w:tcBorders>
              <w:top w:val="nil"/>
              <w:left w:val="nil"/>
              <w:bottom w:val="single" w:sz="4" w:space="0" w:color="auto"/>
              <w:right w:val="single" w:sz="4" w:space="0" w:color="auto"/>
            </w:tcBorders>
            <w:noWrap/>
            <w:vAlign w:val="center"/>
            <w:hideMark/>
          </w:tcPr>
          <w:p w14:paraId="41F8BC31" w14:textId="77777777" w:rsidR="00E775E0" w:rsidRPr="000F27B6" w:rsidRDefault="00E775E0" w:rsidP="00E775E0">
            <w:pPr>
              <w:jc w:val="both"/>
              <w:rPr>
                <w:rFonts w:cs="Calibri"/>
                <w:sz w:val="24"/>
                <w:szCs w:val="24"/>
              </w:rPr>
            </w:pPr>
            <w:r w:rsidRPr="000F27B6">
              <w:rPr>
                <w:rFonts w:cs="Calibri"/>
                <w:sz w:val="24"/>
                <w:szCs w:val="24"/>
              </w:rPr>
              <w:t>DPP6</w:t>
            </w:r>
          </w:p>
        </w:tc>
        <w:tc>
          <w:tcPr>
            <w:tcW w:w="1440" w:type="dxa"/>
            <w:tcBorders>
              <w:top w:val="nil"/>
              <w:left w:val="nil"/>
              <w:bottom w:val="single" w:sz="4" w:space="0" w:color="auto"/>
              <w:right w:val="single" w:sz="4" w:space="0" w:color="auto"/>
            </w:tcBorders>
            <w:noWrap/>
            <w:vAlign w:val="center"/>
            <w:hideMark/>
          </w:tcPr>
          <w:p w14:paraId="7E5888E0" w14:textId="77777777" w:rsidR="00E775E0" w:rsidRPr="000F27B6" w:rsidRDefault="00E775E0" w:rsidP="00E775E0">
            <w:pPr>
              <w:jc w:val="both"/>
              <w:rPr>
                <w:rFonts w:cs="Calibri"/>
                <w:sz w:val="24"/>
                <w:szCs w:val="24"/>
              </w:rPr>
            </w:pPr>
            <w:r w:rsidRPr="000F27B6">
              <w:rPr>
                <w:rFonts w:cs="Calibri"/>
                <w:sz w:val="24"/>
                <w:szCs w:val="24"/>
              </w:rPr>
              <w:t>JAG1</w:t>
            </w:r>
          </w:p>
        </w:tc>
        <w:tc>
          <w:tcPr>
            <w:tcW w:w="1440" w:type="dxa"/>
            <w:tcBorders>
              <w:top w:val="nil"/>
              <w:left w:val="nil"/>
              <w:bottom w:val="single" w:sz="4" w:space="0" w:color="auto"/>
              <w:right w:val="single" w:sz="4" w:space="0" w:color="auto"/>
            </w:tcBorders>
            <w:noWrap/>
            <w:vAlign w:val="center"/>
            <w:hideMark/>
          </w:tcPr>
          <w:p w14:paraId="2587FADA" w14:textId="77777777" w:rsidR="00E775E0" w:rsidRPr="000F27B6" w:rsidRDefault="00E775E0" w:rsidP="00E775E0">
            <w:pPr>
              <w:jc w:val="both"/>
              <w:rPr>
                <w:rFonts w:cs="Calibri"/>
                <w:sz w:val="24"/>
                <w:szCs w:val="24"/>
              </w:rPr>
            </w:pPr>
            <w:r w:rsidRPr="000F27B6">
              <w:rPr>
                <w:rFonts w:cs="Calibri"/>
                <w:sz w:val="24"/>
                <w:szCs w:val="24"/>
              </w:rPr>
              <w:t>MYBPC3</w:t>
            </w:r>
          </w:p>
        </w:tc>
        <w:tc>
          <w:tcPr>
            <w:tcW w:w="1440" w:type="dxa"/>
            <w:tcBorders>
              <w:top w:val="nil"/>
              <w:left w:val="nil"/>
              <w:bottom w:val="single" w:sz="4" w:space="0" w:color="auto"/>
              <w:right w:val="single" w:sz="4" w:space="0" w:color="auto"/>
            </w:tcBorders>
            <w:noWrap/>
            <w:vAlign w:val="center"/>
            <w:hideMark/>
          </w:tcPr>
          <w:p w14:paraId="6CAF523D" w14:textId="77777777" w:rsidR="00E775E0" w:rsidRPr="000F27B6" w:rsidRDefault="00E775E0" w:rsidP="00E775E0">
            <w:pPr>
              <w:jc w:val="both"/>
              <w:rPr>
                <w:rFonts w:cs="Calibri"/>
                <w:sz w:val="24"/>
                <w:szCs w:val="24"/>
              </w:rPr>
            </w:pPr>
            <w:r w:rsidRPr="000F27B6">
              <w:rPr>
                <w:rFonts w:cs="Calibri"/>
                <w:sz w:val="24"/>
                <w:szCs w:val="24"/>
              </w:rPr>
              <w:t>RYR2</w:t>
            </w:r>
          </w:p>
        </w:tc>
        <w:tc>
          <w:tcPr>
            <w:tcW w:w="1440" w:type="dxa"/>
            <w:tcBorders>
              <w:top w:val="nil"/>
              <w:left w:val="nil"/>
              <w:bottom w:val="single" w:sz="4" w:space="0" w:color="auto"/>
              <w:right w:val="single" w:sz="4" w:space="0" w:color="auto"/>
            </w:tcBorders>
            <w:noWrap/>
            <w:vAlign w:val="center"/>
            <w:hideMark/>
          </w:tcPr>
          <w:p w14:paraId="1CF2CE39" w14:textId="77777777" w:rsidR="00E775E0" w:rsidRPr="000F27B6" w:rsidRDefault="00E775E0" w:rsidP="00E775E0">
            <w:pPr>
              <w:jc w:val="both"/>
              <w:rPr>
                <w:rFonts w:cs="Calibri"/>
                <w:sz w:val="24"/>
                <w:szCs w:val="24"/>
              </w:rPr>
            </w:pPr>
            <w:r w:rsidRPr="000F27B6">
              <w:rPr>
                <w:rFonts w:cs="Calibri"/>
                <w:sz w:val="24"/>
                <w:szCs w:val="24"/>
              </w:rPr>
              <w:t>TGFBR2</w:t>
            </w:r>
          </w:p>
        </w:tc>
      </w:tr>
      <w:tr w:rsidR="00E775E0" w:rsidRPr="000F27B6" w14:paraId="7FBE273A" w14:textId="77777777" w:rsidTr="00E775E0">
        <w:trPr>
          <w:trHeight w:hRule="exact" w:val="397"/>
        </w:trPr>
        <w:tc>
          <w:tcPr>
            <w:tcW w:w="1440" w:type="dxa"/>
            <w:tcBorders>
              <w:top w:val="nil"/>
              <w:left w:val="single" w:sz="4" w:space="0" w:color="auto"/>
              <w:bottom w:val="single" w:sz="4" w:space="0" w:color="auto"/>
              <w:right w:val="single" w:sz="4" w:space="0" w:color="auto"/>
            </w:tcBorders>
            <w:noWrap/>
            <w:vAlign w:val="center"/>
            <w:hideMark/>
          </w:tcPr>
          <w:p w14:paraId="46F5A98A" w14:textId="77777777" w:rsidR="00E775E0" w:rsidRPr="000F27B6" w:rsidRDefault="00E775E0" w:rsidP="00E775E0">
            <w:pPr>
              <w:jc w:val="both"/>
              <w:rPr>
                <w:rFonts w:cs="Calibri"/>
                <w:sz w:val="24"/>
                <w:szCs w:val="24"/>
              </w:rPr>
            </w:pPr>
            <w:r w:rsidRPr="000F27B6">
              <w:rPr>
                <w:rFonts w:cs="Calibri"/>
                <w:sz w:val="24"/>
                <w:szCs w:val="24"/>
              </w:rPr>
              <w:t>APOB</w:t>
            </w:r>
          </w:p>
        </w:tc>
        <w:tc>
          <w:tcPr>
            <w:tcW w:w="1440" w:type="dxa"/>
            <w:tcBorders>
              <w:top w:val="nil"/>
              <w:left w:val="nil"/>
              <w:bottom w:val="single" w:sz="4" w:space="0" w:color="auto"/>
              <w:right w:val="single" w:sz="4" w:space="0" w:color="auto"/>
            </w:tcBorders>
            <w:noWrap/>
            <w:vAlign w:val="center"/>
            <w:hideMark/>
          </w:tcPr>
          <w:p w14:paraId="5975F836" w14:textId="77777777" w:rsidR="00E775E0" w:rsidRPr="000F27B6" w:rsidRDefault="00E775E0" w:rsidP="00E775E0">
            <w:pPr>
              <w:jc w:val="both"/>
              <w:rPr>
                <w:rFonts w:cs="Calibri"/>
                <w:sz w:val="24"/>
                <w:szCs w:val="24"/>
              </w:rPr>
            </w:pPr>
            <w:r w:rsidRPr="000F27B6">
              <w:rPr>
                <w:rFonts w:cs="Calibri"/>
                <w:sz w:val="24"/>
                <w:szCs w:val="24"/>
              </w:rPr>
              <w:t>DSC2</w:t>
            </w:r>
          </w:p>
        </w:tc>
        <w:tc>
          <w:tcPr>
            <w:tcW w:w="1440" w:type="dxa"/>
            <w:tcBorders>
              <w:top w:val="nil"/>
              <w:left w:val="nil"/>
              <w:bottom w:val="single" w:sz="4" w:space="0" w:color="auto"/>
              <w:right w:val="single" w:sz="4" w:space="0" w:color="auto"/>
            </w:tcBorders>
            <w:noWrap/>
            <w:vAlign w:val="center"/>
            <w:hideMark/>
          </w:tcPr>
          <w:p w14:paraId="1DC00ABB" w14:textId="77777777" w:rsidR="00E775E0" w:rsidRPr="000F27B6" w:rsidRDefault="00E775E0" w:rsidP="00E775E0">
            <w:pPr>
              <w:jc w:val="both"/>
              <w:rPr>
                <w:rFonts w:cs="Calibri"/>
                <w:sz w:val="24"/>
                <w:szCs w:val="24"/>
              </w:rPr>
            </w:pPr>
            <w:r w:rsidRPr="000F27B6">
              <w:rPr>
                <w:rFonts w:cs="Calibri"/>
                <w:sz w:val="24"/>
                <w:szCs w:val="24"/>
              </w:rPr>
              <w:t>JPH2</w:t>
            </w:r>
          </w:p>
        </w:tc>
        <w:tc>
          <w:tcPr>
            <w:tcW w:w="1440" w:type="dxa"/>
            <w:tcBorders>
              <w:top w:val="nil"/>
              <w:left w:val="nil"/>
              <w:bottom w:val="single" w:sz="4" w:space="0" w:color="auto"/>
              <w:right w:val="single" w:sz="4" w:space="0" w:color="auto"/>
            </w:tcBorders>
            <w:noWrap/>
            <w:vAlign w:val="center"/>
            <w:hideMark/>
          </w:tcPr>
          <w:p w14:paraId="6B687CFA" w14:textId="77777777" w:rsidR="00E775E0" w:rsidRPr="000F27B6" w:rsidRDefault="00E775E0" w:rsidP="00E775E0">
            <w:pPr>
              <w:jc w:val="both"/>
              <w:rPr>
                <w:rFonts w:cs="Calibri"/>
                <w:sz w:val="24"/>
                <w:szCs w:val="24"/>
              </w:rPr>
            </w:pPr>
            <w:r w:rsidRPr="000F27B6">
              <w:rPr>
                <w:rFonts w:cs="Calibri"/>
                <w:sz w:val="24"/>
                <w:szCs w:val="24"/>
              </w:rPr>
              <w:t>MYH11</w:t>
            </w:r>
          </w:p>
        </w:tc>
        <w:tc>
          <w:tcPr>
            <w:tcW w:w="1440" w:type="dxa"/>
            <w:tcBorders>
              <w:top w:val="nil"/>
              <w:left w:val="nil"/>
              <w:bottom w:val="single" w:sz="4" w:space="0" w:color="auto"/>
              <w:right w:val="single" w:sz="4" w:space="0" w:color="auto"/>
            </w:tcBorders>
            <w:noWrap/>
            <w:vAlign w:val="center"/>
            <w:hideMark/>
          </w:tcPr>
          <w:p w14:paraId="228F62E1" w14:textId="77777777" w:rsidR="00E775E0" w:rsidRPr="000F27B6" w:rsidRDefault="00E775E0" w:rsidP="00E775E0">
            <w:pPr>
              <w:jc w:val="both"/>
              <w:rPr>
                <w:rFonts w:cs="Calibri"/>
                <w:sz w:val="24"/>
                <w:szCs w:val="24"/>
              </w:rPr>
            </w:pPr>
            <w:r w:rsidRPr="000F27B6">
              <w:rPr>
                <w:rFonts w:cs="Calibri"/>
                <w:sz w:val="24"/>
                <w:szCs w:val="24"/>
              </w:rPr>
              <w:t>SALL4</w:t>
            </w:r>
          </w:p>
        </w:tc>
        <w:tc>
          <w:tcPr>
            <w:tcW w:w="1440" w:type="dxa"/>
            <w:tcBorders>
              <w:top w:val="nil"/>
              <w:left w:val="nil"/>
              <w:bottom w:val="single" w:sz="4" w:space="0" w:color="auto"/>
              <w:right w:val="single" w:sz="4" w:space="0" w:color="auto"/>
            </w:tcBorders>
            <w:noWrap/>
            <w:vAlign w:val="center"/>
            <w:hideMark/>
          </w:tcPr>
          <w:p w14:paraId="71D1267B" w14:textId="77777777" w:rsidR="00E775E0" w:rsidRPr="000F27B6" w:rsidRDefault="00E775E0" w:rsidP="00E775E0">
            <w:pPr>
              <w:jc w:val="both"/>
              <w:rPr>
                <w:rFonts w:cs="Calibri"/>
                <w:sz w:val="24"/>
                <w:szCs w:val="24"/>
              </w:rPr>
            </w:pPr>
            <w:r w:rsidRPr="000F27B6">
              <w:rPr>
                <w:rFonts w:cs="Calibri"/>
                <w:sz w:val="24"/>
                <w:szCs w:val="24"/>
              </w:rPr>
              <w:t>TMEM43</w:t>
            </w:r>
          </w:p>
        </w:tc>
      </w:tr>
      <w:tr w:rsidR="00E775E0" w:rsidRPr="000F27B6" w14:paraId="4C91CFC3" w14:textId="77777777" w:rsidTr="00E775E0">
        <w:trPr>
          <w:trHeight w:hRule="exact" w:val="397"/>
        </w:trPr>
        <w:tc>
          <w:tcPr>
            <w:tcW w:w="1440" w:type="dxa"/>
            <w:tcBorders>
              <w:top w:val="nil"/>
              <w:left w:val="single" w:sz="4" w:space="0" w:color="auto"/>
              <w:bottom w:val="single" w:sz="4" w:space="0" w:color="auto"/>
              <w:right w:val="single" w:sz="4" w:space="0" w:color="auto"/>
            </w:tcBorders>
            <w:noWrap/>
            <w:vAlign w:val="center"/>
            <w:hideMark/>
          </w:tcPr>
          <w:p w14:paraId="3CF3E7AA" w14:textId="77777777" w:rsidR="00E775E0" w:rsidRPr="000F27B6" w:rsidRDefault="00E775E0" w:rsidP="00E775E0">
            <w:pPr>
              <w:jc w:val="both"/>
              <w:rPr>
                <w:rFonts w:cs="Calibri"/>
                <w:sz w:val="24"/>
                <w:szCs w:val="24"/>
              </w:rPr>
            </w:pPr>
            <w:r w:rsidRPr="000F27B6">
              <w:rPr>
                <w:rFonts w:cs="Calibri"/>
                <w:sz w:val="24"/>
                <w:szCs w:val="24"/>
              </w:rPr>
              <w:t>APOC2</w:t>
            </w:r>
          </w:p>
        </w:tc>
        <w:tc>
          <w:tcPr>
            <w:tcW w:w="1440" w:type="dxa"/>
            <w:tcBorders>
              <w:top w:val="nil"/>
              <w:left w:val="nil"/>
              <w:bottom w:val="single" w:sz="4" w:space="0" w:color="auto"/>
              <w:right w:val="single" w:sz="4" w:space="0" w:color="auto"/>
            </w:tcBorders>
            <w:noWrap/>
            <w:vAlign w:val="center"/>
            <w:hideMark/>
          </w:tcPr>
          <w:p w14:paraId="740B2784" w14:textId="77777777" w:rsidR="00E775E0" w:rsidRPr="000F27B6" w:rsidRDefault="00E775E0" w:rsidP="00E775E0">
            <w:pPr>
              <w:jc w:val="both"/>
              <w:rPr>
                <w:rFonts w:cs="Calibri"/>
                <w:sz w:val="24"/>
                <w:szCs w:val="24"/>
              </w:rPr>
            </w:pPr>
            <w:r w:rsidRPr="000F27B6">
              <w:rPr>
                <w:rFonts w:cs="Calibri"/>
                <w:sz w:val="24"/>
                <w:szCs w:val="24"/>
              </w:rPr>
              <w:t>DSG2</w:t>
            </w:r>
            <w:bookmarkStart w:id="17" w:name="_GoBack"/>
            <w:bookmarkEnd w:id="17"/>
          </w:p>
        </w:tc>
        <w:tc>
          <w:tcPr>
            <w:tcW w:w="1440" w:type="dxa"/>
            <w:tcBorders>
              <w:top w:val="nil"/>
              <w:left w:val="nil"/>
              <w:bottom w:val="single" w:sz="4" w:space="0" w:color="auto"/>
              <w:right w:val="single" w:sz="4" w:space="0" w:color="auto"/>
            </w:tcBorders>
            <w:noWrap/>
            <w:vAlign w:val="center"/>
            <w:hideMark/>
          </w:tcPr>
          <w:p w14:paraId="6AF7ED15" w14:textId="77777777" w:rsidR="00E775E0" w:rsidRPr="000F27B6" w:rsidRDefault="00E775E0" w:rsidP="00E775E0">
            <w:pPr>
              <w:jc w:val="both"/>
              <w:rPr>
                <w:rFonts w:cs="Calibri"/>
                <w:sz w:val="24"/>
                <w:szCs w:val="24"/>
              </w:rPr>
            </w:pPr>
            <w:r w:rsidRPr="000F27B6">
              <w:rPr>
                <w:rFonts w:cs="Calibri"/>
                <w:sz w:val="24"/>
                <w:szCs w:val="24"/>
              </w:rPr>
              <w:t>JUP</w:t>
            </w:r>
          </w:p>
        </w:tc>
        <w:tc>
          <w:tcPr>
            <w:tcW w:w="1440" w:type="dxa"/>
            <w:tcBorders>
              <w:top w:val="nil"/>
              <w:left w:val="nil"/>
              <w:bottom w:val="single" w:sz="4" w:space="0" w:color="auto"/>
              <w:right w:val="single" w:sz="4" w:space="0" w:color="auto"/>
            </w:tcBorders>
            <w:noWrap/>
            <w:vAlign w:val="center"/>
            <w:hideMark/>
          </w:tcPr>
          <w:p w14:paraId="444F41D4" w14:textId="77777777" w:rsidR="00E775E0" w:rsidRPr="000F27B6" w:rsidRDefault="00E775E0" w:rsidP="00E775E0">
            <w:pPr>
              <w:jc w:val="both"/>
              <w:rPr>
                <w:rFonts w:cs="Calibri"/>
                <w:sz w:val="24"/>
                <w:szCs w:val="24"/>
              </w:rPr>
            </w:pPr>
            <w:r w:rsidRPr="000F27B6">
              <w:rPr>
                <w:rFonts w:cs="Calibri"/>
                <w:sz w:val="24"/>
                <w:szCs w:val="24"/>
              </w:rPr>
              <w:t>MYH6</w:t>
            </w:r>
          </w:p>
        </w:tc>
        <w:tc>
          <w:tcPr>
            <w:tcW w:w="1440" w:type="dxa"/>
            <w:tcBorders>
              <w:top w:val="nil"/>
              <w:left w:val="nil"/>
              <w:bottom w:val="single" w:sz="4" w:space="0" w:color="auto"/>
              <w:right w:val="single" w:sz="4" w:space="0" w:color="auto"/>
            </w:tcBorders>
            <w:noWrap/>
            <w:vAlign w:val="center"/>
            <w:hideMark/>
          </w:tcPr>
          <w:p w14:paraId="2F9D3DF4" w14:textId="77777777" w:rsidR="00E775E0" w:rsidRPr="000F27B6" w:rsidRDefault="00E775E0" w:rsidP="00E775E0">
            <w:pPr>
              <w:jc w:val="both"/>
              <w:rPr>
                <w:rFonts w:cs="Calibri"/>
                <w:sz w:val="24"/>
                <w:szCs w:val="24"/>
              </w:rPr>
            </w:pPr>
            <w:r w:rsidRPr="000F27B6">
              <w:rPr>
                <w:rFonts w:cs="Calibri"/>
                <w:sz w:val="24"/>
                <w:szCs w:val="24"/>
              </w:rPr>
              <w:t>SCN1B</w:t>
            </w:r>
          </w:p>
        </w:tc>
        <w:tc>
          <w:tcPr>
            <w:tcW w:w="1440" w:type="dxa"/>
            <w:tcBorders>
              <w:top w:val="nil"/>
              <w:left w:val="nil"/>
              <w:bottom w:val="single" w:sz="4" w:space="0" w:color="auto"/>
              <w:right w:val="single" w:sz="4" w:space="0" w:color="auto"/>
            </w:tcBorders>
            <w:noWrap/>
            <w:vAlign w:val="center"/>
            <w:hideMark/>
          </w:tcPr>
          <w:p w14:paraId="3E5E8E9C" w14:textId="77777777" w:rsidR="00E775E0" w:rsidRPr="000F27B6" w:rsidRDefault="00E775E0" w:rsidP="00E775E0">
            <w:pPr>
              <w:jc w:val="both"/>
              <w:rPr>
                <w:rFonts w:cs="Calibri"/>
                <w:sz w:val="24"/>
                <w:szCs w:val="24"/>
              </w:rPr>
            </w:pPr>
            <w:r w:rsidRPr="000F27B6">
              <w:rPr>
                <w:rFonts w:cs="Calibri"/>
                <w:sz w:val="24"/>
                <w:szCs w:val="24"/>
              </w:rPr>
              <w:t>TMPO</w:t>
            </w:r>
          </w:p>
        </w:tc>
      </w:tr>
      <w:tr w:rsidR="00E775E0" w:rsidRPr="000F27B6" w14:paraId="75BA9466" w14:textId="77777777" w:rsidTr="00E775E0">
        <w:trPr>
          <w:trHeight w:hRule="exact" w:val="397"/>
        </w:trPr>
        <w:tc>
          <w:tcPr>
            <w:tcW w:w="1440" w:type="dxa"/>
            <w:tcBorders>
              <w:top w:val="nil"/>
              <w:left w:val="single" w:sz="4" w:space="0" w:color="auto"/>
              <w:bottom w:val="single" w:sz="4" w:space="0" w:color="auto"/>
              <w:right w:val="single" w:sz="4" w:space="0" w:color="auto"/>
            </w:tcBorders>
            <w:noWrap/>
            <w:vAlign w:val="center"/>
            <w:hideMark/>
          </w:tcPr>
          <w:p w14:paraId="10DC448F" w14:textId="77777777" w:rsidR="00E775E0" w:rsidRPr="000F27B6" w:rsidRDefault="00E775E0" w:rsidP="00E775E0">
            <w:pPr>
              <w:jc w:val="both"/>
              <w:rPr>
                <w:rFonts w:cs="Calibri"/>
                <w:sz w:val="24"/>
                <w:szCs w:val="24"/>
              </w:rPr>
            </w:pPr>
            <w:r w:rsidRPr="000F27B6">
              <w:rPr>
                <w:rFonts w:cs="Calibri"/>
                <w:sz w:val="24"/>
                <w:szCs w:val="24"/>
              </w:rPr>
              <w:t>APOE</w:t>
            </w:r>
          </w:p>
        </w:tc>
        <w:tc>
          <w:tcPr>
            <w:tcW w:w="1440" w:type="dxa"/>
            <w:tcBorders>
              <w:top w:val="nil"/>
              <w:left w:val="nil"/>
              <w:bottom w:val="single" w:sz="4" w:space="0" w:color="auto"/>
              <w:right w:val="single" w:sz="4" w:space="0" w:color="auto"/>
            </w:tcBorders>
            <w:noWrap/>
            <w:vAlign w:val="center"/>
            <w:hideMark/>
          </w:tcPr>
          <w:p w14:paraId="6D3ED7D2" w14:textId="77777777" w:rsidR="00E775E0" w:rsidRPr="000F27B6" w:rsidRDefault="00E775E0" w:rsidP="00E775E0">
            <w:pPr>
              <w:jc w:val="both"/>
              <w:rPr>
                <w:rFonts w:cs="Calibri"/>
                <w:sz w:val="24"/>
                <w:szCs w:val="24"/>
              </w:rPr>
            </w:pPr>
            <w:r w:rsidRPr="000F27B6">
              <w:rPr>
                <w:rFonts w:cs="Calibri"/>
                <w:sz w:val="24"/>
                <w:szCs w:val="24"/>
              </w:rPr>
              <w:t>DSP</w:t>
            </w:r>
          </w:p>
        </w:tc>
        <w:tc>
          <w:tcPr>
            <w:tcW w:w="1440" w:type="dxa"/>
            <w:tcBorders>
              <w:top w:val="nil"/>
              <w:left w:val="nil"/>
              <w:bottom w:val="single" w:sz="4" w:space="0" w:color="auto"/>
              <w:right w:val="single" w:sz="4" w:space="0" w:color="auto"/>
            </w:tcBorders>
            <w:noWrap/>
            <w:vAlign w:val="center"/>
            <w:hideMark/>
          </w:tcPr>
          <w:p w14:paraId="1EEA8422" w14:textId="77777777" w:rsidR="00E775E0" w:rsidRPr="000F27B6" w:rsidRDefault="00E775E0" w:rsidP="00E775E0">
            <w:pPr>
              <w:jc w:val="both"/>
              <w:rPr>
                <w:rFonts w:cs="Calibri"/>
                <w:sz w:val="24"/>
                <w:szCs w:val="24"/>
              </w:rPr>
            </w:pPr>
            <w:r w:rsidRPr="000F27B6">
              <w:rPr>
                <w:rFonts w:cs="Calibri"/>
                <w:sz w:val="24"/>
                <w:szCs w:val="24"/>
              </w:rPr>
              <w:t>KCNA5</w:t>
            </w:r>
          </w:p>
        </w:tc>
        <w:tc>
          <w:tcPr>
            <w:tcW w:w="1440" w:type="dxa"/>
            <w:tcBorders>
              <w:top w:val="nil"/>
              <w:left w:val="nil"/>
              <w:bottom w:val="single" w:sz="4" w:space="0" w:color="auto"/>
              <w:right w:val="single" w:sz="4" w:space="0" w:color="auto"/>
            </w:tcBorders>
            <w:noWrap/>
            <w:vAlign w:val="center"/>
            <w:hideMark/>
          </w:tcPr>
          <w:p w14:paraId="25DBD51C" w14:textId="77777777" w:rsidR="00E775E0" w:rsidRPr="000F27B6" w:rsidRDefault="00E775E0" w:rsidP="00E775E0">
            <w:pPr>
              <w:jc w:val="both"/>
              <w:rPr>
                <w:rFonts w:cs="Calibri"/>
                <w:sz w:val="24"/>
                <w:szCs w:val="24"/>
              </w:rPr>
            </w:pPr>
            <w:r w:rsidRPr="000F27B6">
              <w:rPr>
                <w:rFonts w:cs="Calibri"/>
                <w:sz w:val="24"/>
                <w:szCs w:val="24"/>
              </w:rPr>
              <w:t>MYH7</w:t>
            </w:r>
          </w:p>
        </w:tc>
        <w:tc>
          <w:tcPr>
            <w:tcW w:w="1440" w:type="dxa"/>
            <w:tcBorders>
              <w:top w:val="nil"/>
              <w:left w:val="nil"/>
              <w:bottom w:val="single" w:sz="4" w:space="0" w:color="auto"/>
              <w:right w:val="single" w:sz="4" w:space="0" w:color="auto"/>
            </w:tcBorders>
            <w:noWrap/>
            <w:vAlign w:val="center"/>
            <w:hideMark/>
          </w:tcPr>
          <w:p w14:paraId="7D8B54F5" w14:textId="77777777" w:rsidR="00E775E0" w:rsidRPr="000F27B6" w:rsidRDefault="00E775E0" w:rsidP="00E775E0">
            <w:pPr>
              <w:jc w:val="both"/>
              <w:rPr>
                <w:rFonts w:cs="Calibri"/>
                <w:sz w:val="24"/>
                <w:szCs w:val="24"/>
              </w:rPr>
            </w:pPr>
            <w:r w:rsidRPr="000F27B6">
              <w:rPr>
                <w:rFonts w:cs="Calibri"/>
                <w:sz w:val="24"/>
                <w:szCs w:val="24"/>
              </w:rPr>
              <w:t>SCN2B</w:t>
            </w:r>
          </w:p>
        </w:tc>
        <w:tc>
          <w:tcPr>
            <w:tcW w:w="1440" w:type="dxa"/>
            <w:tcBorders>
              <w:top w:val="nil"/>
              <w:left w:val="nil"/>
              <w:bottom w:val="single" w:sz="4" w:space="0" w:color="auto"/>
              <w:right w:val="single" w:sz="4" w:space="0" w:color="auto"/>
            </w:tcBorders>
            <w:noWrap/>
            <w:vAlign w:val="center"/>
            <w:hideMark/>
          </w:tcPr>
          <w:p w14:paraId="65472746" w14:textId="77777777" w:rsidR="00E775E0" w:rsidRPr="000F27B6" w:rsidRDefault="00E775E0" w:rsidP="00E775E0">
            <w:pPr>
              <w:jc w:val="both"/>
              <w:rPr>
                <w:rFonts w:cs="Calibri"/>
                <w:sz w:val="24"/>
                <w:szCs w:val="24"/>
              </w:rPr>
            </w:pPr>
            <w:r w:rsidRPr="000F27B6">
              <w:rPr>
                <w:rFonts w:cs="Calibri"/>
                <w:sz w:val="24"/>
                <w:szCs w:val="24"/>
              </w:rPr>
              <w:t>TNNC1</w:t>
            </w:r>
          </w:p>
        </w:tc>
      </w:tr>
      <w:tr w:rsidR="00E775E0" w:rsidRPr="000F27B6" w14:paraId="34C19F75" w14:textId="77777777" w:rsidTr="00E775E0">
        <w:trPr>
          <w:trHeight w:hRule="exact" w:val="397"/>
        </w:trPr>
        <w:tc>
          <w:tcPr>
            <w:tcW w:w="1440" w:type="dxa"/>
            <w:tcBorders>
              <w:top w:val="nil"/>
              <w:left w:val="single" w:sz="4" w:space="0" w:color="auto"/>
              <w:bottom w:val="single" w:sz="4" w:space="0" w:color="auto"/>
              <w:right w:val="single" w:sz="4" w:space="0" w:color="auto"/>
            </w:tcBorders>
            <w:noWrap/>
            <w:vAlign w:val="center"/>
            <w:hideMark/>
          </w:tcPr>
          <w:p w14:paraId="11DC0372" w14:textId="77777777" w:rsidR="00E775E0" w:rsidRPr="000F27B6" w:rsidRDefault="00E775E0" w:rsidP="00E775E0">
            <w:pPr>
              <w:jc w:val="both"/>
              <w:rPr>
                <w:rFonts w:cs="Calibri"/>
                <w:sz w:val="24"/>
                <w:szCs w:val="24"/>
              </w:rPr>
            </w:pPr>
            <w:r w:rsidRPr="000F27B6">
              <w:rPr>
                <w:rFonts w:cs="Calibri"/>
                <w:sz w:val="24"/>
                <w:szCs w:val="24"/>
              </w:rPr>
              <w:t>BAG3</w:t>
            </w:r>
          </w:p>
        </w:tc>
        <w:tc>
          <w:tcPr>
            <w:tcW w:w="1440" w:type="dxa"/>
            <w:tcBorders>
              <w:top w:val="nil"/>
              <w:left w:val="nil"/>
              <w:bottom w:val="single" w:sz="4" w:space="0" w:color="auto"/>
              <w:right w:val="single" w:sz="4" w:space="0" w:color="auto"/>
            </w:tcBorders>
            <w:noWrap/>
            <w:vAlign w:val="center"/>
            <w:hideMark/>
          </w:tcPr>
          <w:p w14:paraId="407CDF97" w14:textId="77777777" w:rsidR="00E775E0" w:rsidRPr="000F27B6" w:rsidRDefault="00E775E0" w:rsidP="00E775E0">
            <w:pPr>
              <w:jc w:val="both"/>
              <w:rPr>
                <w:rFonts w:cs="Calibri"/>
                <w:sz w:val="24"/>
                <w:szCs w:val="24"/>
              </w:rPr>
            </w:pPr>
            <w:r w:rsidRPr="000F27B6">
              <w:rPr>
                <w:rFonts w:cs="Calibri"/>
                <w:sz w:val="24"/>
                <w:szCs w:val="24"/>
              </w:rPr>
              <w:t>DTNA</w:t>
            </w:r>
          </w:p>
        </w:tc>
        <w:tc>
          <w:tcPr>
            <w:tcW w:w="1440" w:type="dxa"/>
            <w:tcBorders>
              <w:top w:val="nil"/>
              <w:left w:val="nil"/>
              <w:bottom w:val="single" w:sz="4" w:space="0" w:color="auto"/>
              <w:right w:val="single" w:sz="4" w:space="0" w:color="auto"/>
            </w:tcBorders>
            <w:noWrap/>
            <w:vAlign w:val="center"/>
            <w:hideMark/>
          </w:tcPr>
          <w:p w14:paraId="119A8005" w14:textId="77777777" w:rsidR="00E775E0" w:rsidRPr="000F27B6" w:rsidRDefault="00E775E0" w:rsidP="00E775E0">
            <w:pPr>
              <w:jc w:val="both"/>
              <w:rPr>
                <w:rFonts w:cs="Calibri"/>
                <w:sz w:val="24"/>
                <w:szCs w:val="24"/>
              </w:rPr>
            </w:pPr>
            <w:r w:rsidRPr="000F27B6">
              <w:rPr>
                <w:rFonts w:cs="Calibri"/>
                <w:sz w:val="24"/>
                <w:szCs w:val="24"/>
              </w:rPr>
              <w:t>KCND3</w:t>
            </w:r>
          </w:p>
        </w:tc>
        <w:tc>
          <w:tcPr>
            <w:tcW w:w="1440" w:type="dxa"/>
            <w:tcBorders>
              <w:top w:val="nil"/>
              <w:left w:val="nil"/>
              <w:bottom w:val="single" w:sz="4" w:space="0" w:color="auto"/>
              <w:right w:val="single" w:sz="4" w:space="0" w:color="auto"/>
            </w:tcBorders>
            <w:noWrap/>
            <w:vAlign w:val="center"/>
            <w:hideMark/>
          </w:tcPr>
          <w:p w14:paraId="6F2E0353" w14:textId="77777777" w:rsidR="00E775E0" w:rsidRPr="000F27B6" w:rsidRDefault="00E775E0" w:rsidP="00E775E0">
            <w:pPr>
              <w:jc w:val="both"/>
              <w:rPr>
                <w:rFonts w:cs="Calibri"/>
                <w:sz w:val="24"/>
                <w:szCs w:val="24"/>
              </w:rPr>
            </w:pPr>
            <w:r w:rsidRPr="000F27B6">
              <w:rPr>
                <w:rFonts w:cs="Calibri"/>
                <w:sz w:val="24"/>
                <w:szCs w:val="24"/>
              </w:rPr>
              <w:t>MYL2</w:t>
            </w:r>
          </w:p>
        </w:tc>
        <w:tc>
          <w:tcPr>
            <w:tcW w:w="1440" w:type="dxa"/>
            <w:tcBorders>
              <w:top w:val="nil"/>
              <w:left w:val="nil"/>
              <w:bottom w:val="single" w:sz="4" w:space="0" w:color="auto"/>
              <w:right w:val="single" w:sz="4" w:space="0" w:color="auto"/>
            </w:tcBorders>
            <w:noWrap/>
            <w:vAlign w:val="center"/>
            <w:hideMark/>
          </w:tcPr>
          <w:p w14:paraId="53427A3E" w14:textId="77777777" w:rsidR="00E775E0" w:rsidRPr="000F27B6" w:rsidRDefault="00E775E0" w:rsidP="00E775E0">
            <w:pPr>
              <w:jc w:val="both"/>
              <w:rPr>
                <w:rFonts w:cs="Calibri"/>
                <w:sz w:val="24"/>
                <w:szCs w:val="24"/>
              </w:rPr>
            </w:pPr>
            <w:r w:rsidRPr="000F27B6">
              <w:rPr>
                <w:rFonts w:cs="Calibri"/>
                <w:sz w:val="24"/>
                <w:szCs w:val="24"/>
              </w:rPr>
              <w:t>SCN3B</w:t>
            </w:r>
          </w:p>
        </w:tc>
        <w:tc>
          <w:tcPr>
            <w:tcW w:w="1440" w:type="dxa"/>
            <w:tcBorders>
              <w:top w:val="nil"/>
              <w:left w:val="nil"/>
              <w:bottom w:val="single" w:sz="4" w:space="0" w:color="auto"/>
              <w:right w:val="single" w:sz="4" w:space="0" w:color="auto"/>
            </w:tcBorders>
            <w:noWrap/>
            <w:vAlign w:val="center"/>
            <w:hideMark/>
          </w:tcPr>
          <w:p w14:paraId="3858765D" w14:textId="77777777" w:rsidR="00E775E0" w:rsidRPr="000F27B6" w:rsidRDefault="00E775E0" w:rsidP="00E775E0">
            <w:pPr>
              <w:jc w:val="both"/>
              <w:rPr>
                <w:rFonts w:cs="Calibri"/>
                <w:sz w:val="24"/>
                <w:szCs w:val="24"/>
              </w:rPr>
            </w:pPr>
            <w:r w:rsidRPr="000F27B6">
              <w:rPr>
                <w:rFonts w:cs="Calibri"/>
                <w:sz w:val="24"/>
                <w:szCs w:val="24"/>
              </w:rPr>
              <w:t>TNNI3</w:t>
            </w:r>
          </w:p>
        </w:tc>
      </w:tr>
      <w:tr w:rsidR="00E775E0" w:rsidRPr="000F27B6" w14:paraId="5F64DB29" w14:textId="77777777" w:rsidTr="00E775E0">
        <w:trPr>
          <w:trHeight w:hRule="exact" w:val="397"/>
        </w:trPr>
        <w:tc>
          <w:tcPr>
            <w:tcW w:w="1440" w:type="dxa"/>
            <w:tcBorders>
              <w:top w:val="nil"/>
              <w:left w:val="single" w:sz="4" w:space="0" w:color="auto"/>
              <w:bottom w:val="single" w:sz="4" w:space="0" w:color="auto"/>
              <w:right w:val="single" w:sz="4" w:space="0" w:color="auto"/>
            </w:tcBorders>
            <w:noWrap/>
            <w:vAlign w:val="center"/>
            <w:hideMark/>
          </w:tcPr>
          <w:p w14:paraId="030F24E6" w14:textId="77777777" w:rsidR="00E775E0" w:rsidRPr="000F27B6" w:rsidRDefault="00E775E0" w:rsidP="00E775E0">
            <w:pPr>
              <w:jc w:val="both"/>
              <w:rPr>
                <w:rFonts w:cs="Calibri"/>
                <w:sz w:val="24"/>
                <w:szCs w:val="24"/>
              </w:rPr>
            </w:pPr>
            <w:r w:rsidRPr="000F27B6">
              <w:rPr>
                <w:rFonts w:cs="Calibri"/>
                <w:sz w:val="24"/>
                <w:szCs w:val="24"/>
              </w:rPr>
              <w:t>BRAF</w:t>
            </w:r>
          </w:p>
        </w:tc>
        <w:tc>
          <w:tcPr>
            <w:tcW w:w="1440" w:type="dxa"/>
            <w:tcBorders>
              <w:top w:val="nil"/>
              <w:left w:val="nil"/>
              <w:bottom w:val="single" w:sz="4" w:space="0" w:color="auto"/>
              <w:right w:val="single" w:sz="4" w:space="0" w:color="auto"/>
            </w:tcBorders>
            <w:noWrap/>
            <w:vAlign w:val="center"/>
            <w:hideMark/>
          </w:tcPr>
          <w:p w14:paraId="7707336A" w14:textId="77777777" w:rsidR="00E775E0" w:rsidRPr="000F27B6" w:rsidRDefault="00E775E0" w:rsidP="00E775E0">
            <w:pPr>
              <w:jc w:val="both"/>
              <w:rPr>
                <w:rFonts w:cs="Calibri"/>
                <w:sz w:val="24"/>
                <w:szCs w:val="24"/>
              </w:rPr>
            </w:pPr>
            <w:r w:rsidRPr="000F27B6">
              <w:rPr>
                <w:rFonts w:cs="Calibri"/>
                <w:sz w:val="24"/>
                <w:szCs w:val="24"/>
              </w:rPr>
              <w:t>EFEMP2</w:t>
            </w:r>
          </w:p>
        </w:tc>
        <w:tc>
          <w:tcPr>
            <w:tcW w:w="1440" w:type="dxa"/>
            <w:tcBorders>
              <w:top w:val="nil"/>
              <w:left w:val="nil"/>
              <w:bottom w:val="single" w:sz="4" w:space="0" w:color="auto"/>
              <w:right w:val="single" w:sz="4" w:space="0" w:color="auto"/>
            </w:tcBorders>
            <w:noWrap/>
            <w:vAlign w:val="center"/>
            <w:hideMark/>
          </w:tcPr>
          <w:p w14:paraId="6A4C5BA0" w14:textId="77777777" w:rsidR="00E775E0" w:rsidRPr="000F27B6" w:rsidRDefault="00E775E0" w:rsidP="00E775E0">
            <w:pPr>
              <w:jc w:val="both"/>
              <w:rPr>
                <w:rFonts w:cs="Calibri"/>
                <w:sz w:val="24"/>
                <w:szCs w:val="24"/>
              </w:rPr>
            </w:pPr>
            <w:r w:rsidRPr="000F27B6">
              <w:rPr>
                <w:rFonts w:cs="Calibri"/>
                <w:sz w:val="24"/>
                <w:szCs w:val="24"/>
              </w:rPr>
              <w:t>KCNE1</w:t>
            </w:r>
          </w:p>
        </w:tc>
        <w:tc>
          <w:tcPr>
            <w:tcW w:w="1440" w:type="dxa"/>
            <w:tcBorders>
              <w:top w:val="nil"/>
              <w:left w:val="nil"/>
              <w:bottom w:val="single" w:sz="4" w:space="0" w:color="auto"/>
              <w:right w:val="single" w:sz="4" w:space="0" w:color="auto"/>
            </w:tcBorders>
            <w:noWrap/>
            <w:vAlign w:val="center"/>
            <w:hideMark/>
          </w:tcPr>
          <w:p w14:paraId="0E63EC1C" w14:textId="77777777" w:rsidR="00E775E0" w:rsidRPr="000F27B6" w:rsidRDefault="00E775E0" w:rsidP="00E775E0">
            <w:pPr>
              <w:jc w:val="both"/>
              <w:rPr>
                <w:rFonts w:cs="Calibri"/>
                <w:sz w:val="24"/>
                <w:szCs w:val="24"/>
              </w:rPr>
            </w:pPr>
            <w:r w:rsidRPr="000F27B6">
              <w:rPr>
                <w:rFonts w:cs="Calibri"/>
                <w:sz w:val="24"/>
                <w:szCs w:val="24"/>
              </w:rPr>
              <w:t>MYL3</w:t>
            </w:r>
          </w:p>
        </w:tc>
        <w:tc>
          <w:tcPr>
            <w:tcW w:w="1440" w:type="dxa"/>
            <w:tcBorders>
              <w:top w:val="nil"/>
              <w:left w:val="nil"/>
              <w:bottom w:val="single" w:sz="4" w:space="0" w:color="auto"/>
              <w:right w:val="single" w:sz="4" w:space="0" w:color="auto"/>
            </w:tcBorders>
            <w:noWrap/>
            <w:vAlign w:val="center"/>
            <w:hideMark/>
          </w:tcPr>
          <w:p w14:paraId="2A659FA0" w14:textId="77777777" w:rsidR="00E775E0" w:rsidRPr="000F27B6" w:rsidRDefault="00E775E0" w:rsidP="00E775E0">
            <w:pPr>
              <w:jc w:val="both"/>
              <w:rPr>
                <w:rFonts w:cs="Calibri"/>
                <w:sz w:val="24"/>
                <w:szCs w:val="24"/>
              </w:rPr>
            </w:pPr>
            <w:r w:rsidRPr="000F27B6">
              <w:rPr>
                <w:rFonts w:cs="Calibri"/>
                <w:sz w:val="24"/>
                <w:szCs w:val="24"/>
              </w:rPr>
              <w:t>SCN4B</w:t>
            </w:r>
          </w:p>
        </w:tc>
        <w:tc>
          <w:tcPr>
            <w:tcW w:w="1440" w:type="dxa"/>
            <w:tcBorders>
              <w:top w:val="nil"/>
              <w:left w:val="nil"/>
              <w:bottom w:val="single" w:sz="4" w:space="0" w:color="auto"/>
              <w:right w:val="single" w:sz="4" w:space="0" w:color="auto"/>
            </w:tcBorders>
            <w:noWrap/>
            <w:vAlign w:val="center"/>
            <w:hideMark/>
          </w:tcPr>
          <w:p w14:paraId="17A99279" w14:textId="77777777" w:rsidR="00E775E0" w:rsidRPr="000F27B6" w:rsidRDefault="00E775E0" w:rsidP="00E775E0">
            <w:pPr>
              <w:jc w:val="both"/>
              <w:rPr>
                <w:rFonts w:cs="Calibri"/>
                <w:sz w:val="24"/>
                <w:szCs w:val="24"/>
              </w:rPr>
            </w:pPr>
            <w:r w:rsidRPr="000F27B6">
              <w:rPr>
                <w:rFonts w:cs="Calibri"/>
                <w:sz w:val="24"/>
                <w:szCs w:val="24"/>
              </w:rPr>
              <w:t>TNNT2</w:t>
            </w:r>
          </w:p>
        </w:tc>
      </w:tr>
      <w:tr w:rsidR="00E775E0" w:rsidRPr="000F27B6" w14:paraId="162C41E6" w14:textId="77777777" w:rsidTr="00E775E0">
        <w:trPr>
          <w:trHeight w:hRule="exact" w:val="397"/>
        </w:trPr>
        <w:tc>
          <w:tcPr>
            <w:tcW w:w="1440" w:type="dxa"/>
            <w:tcBorders>
              <w:top w:val="nil"/>
              <w:left w:val="single" w:sz="4" w:space="0" w:color="auto"/>
              <w:bottom w:val="single" w:sz="4" w:space="0" w:color="auto"/>
              <w:right w:val="single" w:sz="4" w:space="0" w:color="auto"/>
            </w:tcBorders>
            <w:noWrap/>
            <w:vAlign w:val="center"/>
            <w:hideMark/>
          </w:tcPr>
          <w:p w14:paraId="3B389E5E" w14:textId="77777777" w:rsidR="00E775E0" w:rsidRPr="000F27B6" w:rsidRDefault="00E775E0" w:rsidP="00E775E0">
            <w:pPr>
              <w:jc w:val="both"/>
              <w:rPr>
                <w:rFonts w:cs="Calibri"/>
                <w:sz w:val="24"/>
                <w:szCs w:val="24"/>
              </w:rPr>
            </w:pPr>
            <w:r w:rsidRPr="000F27B6">
              <w:rPr>
                <w:rFonts w:cs="Calibri"/>
                <w:sz w:val="24"/>
                <w:szCs w:val="24"/>
              </w:rPr>
              <w:t>CACNA1C</w:t>
            </w:r>
          </w:p>
        </w:tc>
        <w:tc>
          <w:tcPr>
            <w:tcW w:w="1440" w:type="dxa"/>
            <w:tcBorders>
              <w:top w:val="nil"/>
              <w:left w:val="nil"/>
              <w:bottom w:val="single" w:sz="4" w:space="0" w:color="auto"/>
              <w:right w:val="single" w:sz="4" w:space="0" w:color="auto"/>
            </w:tcBorders>
            <w:noWrap/>
            <w:vAlign w:val="center"/>
            <w:hideMark/>
          </w:tcPr>
          <w:p w14:paraId="06205A43" w14:textId="77777777" w:rsidR="00E775E0" w:rsidRPr="000F27B6" w:rsidRDefault="00E775E0" w:rsidP="00E775E0">
            <w:pPr>
              <w:jc w:val="both"/>
              <w:rPr>
                <w:rFonts w:cs="Calibri"/>
                <w:sz w:val="24"/>
                <w:szCs w:val="24"/>
              </w:rPr>
            </w:pPr>
            <w:r w:rsidRPr="000F27B6">
              <w:rPr>
                <w:rFonts w:cs="Calibri"/>
                <w:sz w:val="24"/>
                <w:szCs w:val="24"/>
              </w:rPr>
              <w:t>ELN</w:t>
            </w:r>
          </w:p>
        </w:tc>
        <w:tc>
          <w:tcPr>
            <w:tcW w:w="1440" w:type="dxa"/>
            <w:tcBorders>
              <w:top w:val="nil"/>
              <w:left w:val="nil"/>
              <w:bottom w:val="single" w:sz="4" w:space="0" w:color="auto"/>
              <w:right w:val="single" w:sz="4" w:space="0" w:color="auto"/>
            </w:tcBorders>
            <w:noWrap/>
            <w:vAlign w:val="center"/>
            <w:hideMark/>
          </w:tcPr>
          <w:p w14:paraId="22337536" w14:textId="77777777" w:rsidR="00E775E0" w:rsidRPr="000F27B6" w:rsidRDefault="00E775E0" w:rsidP="00E775E0">
            <w:pPr>
              <w:jc w:val="both"/>
              <w:rPr>
                <w:rFonts w:cs="Calibri"/>
                <w:sz w:val="24"/>
                <w:szCs w:val="24"/>
              </w:rPr>
            </w:pPr>
            <w:r w:rsidRPr="000F27B6">
              <w:rPr>
                <w:rFonts w:cs="Calibri"/>
                <w:sz w:val="24"/>
                <w:szCs w:val="24"/>
              </w:rPr>
              <w:t>KCNE2</w:t>
            </w:r>
          </w:p>
        </w:tc>
        <w:tc>
          <w:tcPr>
            <w:tcW w:w="1440" w:type="dxa"/>
            <w:tcBorders>
              <w:top w:val="nil"/>
              <w:left w:val="nil"/>
              <w:bottom w:val="single" w:sz="4" w:space="0" w:color="auto"/>
              <w:right w:val="single" w:sz="4" w:space="0" w:color="auto"/>
            </w:tcBorders>
            <w:noWrap/>
            <w:vAlign w:val="center"/>
            <w:hideMark/>
          </w:tcPr>
          <w:p w14:paraId="2B246D4A" w14:textId="77777777" w:rsidR="00E775E0" w:rsidRPr="000F27B6" w:rsidRDefault="00E775E0" w:rsidP="00E775E0">
            <w:pPr>
              <w:jc w:val="both"/>
              <w:rPr>
                <w:rFonts w:cs="Calibri"/>
                <w:sz w:val="24"/>
                <w:szCs w:val="24"/>
              </w:rPr>
            </w:pPr>
            <w:r w:rsidRPr="000F27B6">
              <w:rPr>
                <w:rFonts w:cs="Calibri"/>
                <w:sz w:val="24"/>
                <w:szCs w:val="24"/>
              </w:rPr>
              <w:t>MYLK</w:t>
            </w:r>
          </w:p>
        </w:tc>
        <w:tc>
          <w:tcPr>
            <w:tcW w:w="1440" w:type="dxa"/>
            <w:tcBorders>
              <w:top w:val="nil"/>
              <w:left w:val="nil"/>
              <w:bottom w:val="single" w:sz="4" w:space="0" w:color="auto"/>
              <w:right w:val="single" w:sz="4" w:space="0" w:color="auto"/>
            </w:tcBorders>
            <w:noWrap/>
            <w:vAlign w:val="center"/>
            <w:hideMark/>
          </w:tcPr>
          <w:p w14:paraId="2F816D1A" w14:textId="77777777" w:rsidR="00E775E0" w:rsidRPr="000F27B6" w:rsidRDefault="00E775E0" w:rsidP="00E775E0">
            <w:pPr>
              <w:jc w:val="both"/>
              <w:rPr>
                <w:rFonts w:cs="Calibri"/>
                <w:sz w:val="24"/>
                <w:szCs w:val="24"/>
              </w:rPr>
            </w:pPr>
            <w:r w:rsidRPr="000F27B6">
              <w:rPr>
                <w:rFonts w:cs="Calibri"/>
                <w:sz w:val="24"/>
                <w:szCs w:val="24"/>
              </w:rPr>
              <w:t>SCN5A</w:t>
            </w:r>
          </w:p>
        </w:tc>
        <w:tc>
          <w:tcPr>
            <w:tcW w:w="1440" w:type="dxa"/>
            <w:tcBorders>
              <w:top w:val="nil"/>
              <w:left w:val="nil"/>
              <w:bottom w:val="single" w:sz="4" w:space="0" w:color="auto"/>
              <w:right w:val="single" w:sz="4" w:space="0" w:color="auto"/>
            </w:tcBorders>
            <w:noWrap/>
            <w:vAlign w:val="center"/>
            <w:hideMark/>
          </w:tcPr>
          <w:p w14:paraId="13434149" w14:textId="77777777" w:rsidR="00E775E0" w:rsidRPr="000F27B6" w:rsidRDefault="00E775E0" w:rsidP="00E775E0">
            <w:pPr>
              <w:jc w:val="both"/>
              <w:rPr>
                <w:rFonts w:cs="Calibri"/>
                <w:sz w:val="24"/>
                <w:szCs w:val="24"/>
              </w:rPr>
            </w:pPr>
            <w:r w:rsidRPr="000F27B6">
              <w:rPr>
                <w:rFonts w:cs="Calibri"/>
                <w:sz w:val="24"/>
                <w:szCs w:val="24"/>
              </w:rPr>
              <w:t>TPM1</w:t>
            </w:r>
          </w:p>
        </w:tc>
      </w:tr>
      <w:tr w:rsidR="00E775E0" w:rsidRPr="000F27B6" w14:paraId="2EDC4E67" w14:textId="77777777" w:rsidTr="00E775E0">
        <w:trPr>
          <w:trHeight w:hRule="exact" w:val="397"/>
        </w:trPr>
        <w:tc>
          <w:tcPr>
            <w:tcW w:w="1440" w:type="dxa"/>
            <w:tcBorders>
              <w:top w:val="nil"/>
              <w:left w:val="single" w:sz="4" w:space="0" w:color="auto"/>
              <w:bottom w:val="single" w:sz="4" w:space="0" w:color="auto"/>
              <w:right w:val="single" w:sz="4" w:space="0" w:color="auto"/>
            </w:tcBorders>
            <w:noWrap/>
            <w:vAlign w:val="center"/>
            <w:hideMark/>
          </w:tcPr>
          <w:p w14:paraId="3AE8C6C2" w14:textId="77777777" w:rsidR="00E775E0" w:rsidRPr="000F27B6" w:rsidRDefault="00E775E0" w:rsidP="00E775E0">
            <w:pPr>
              <w:jc w:val="both"/>
              <w:rPr>
                <w:rFonts w:cs="Calibri"/>
                <w:sz w:val="24"/>
                <w:szCs w:val="24"/>
              </w:rPr>
            </w:pPr>
            <w:r w:rsidRPr="000F27B6">
              <w:rPr>
                <w:rFonts w:cs="Calibri"/>
                <w:sz w:val="24"/>
                <w:szCs w:val="24"/>
              </w:rPr>
              <w:t>CACNA2D1</w:t>
            </w:r>
          </w:p>
        </w:tc>
        <w:tc>
          <w:tcPr>
            <w:tcW w:w="1440" w:type="dxa"/>
            <w:tcBorders>
              <w:top w:val="nil"/>
              <w:left w:val="nil"/>
              <w:bottom w:val="single" w:sz="4" w:space="0" w:color="auto"/>
              <w:right w:val="single" w:sz="4" w:space="0" w:color="auto"/>
            </w:tcBorders>
            <w:noWrap/>
            <w:vAlign w:val="center"/>
            <w:hideMark/>
          </w:tcPr>
          <w:p w14:paraId="0F1DCEC8" w14:textId="77777777" w:rsidR="00E775E0" w:rsidRPr="000F27B6" w:rsidRDefault="00E775E0" w:rsidP="00E775E0">
            <w:pPr>
              <w:jc w:val="both"/>
              <w:rPr>
                <w:rFonts w:cs="Calibri"/>
                <w:sz w:val="24"/>
                <w:szCs w:val="24"/>
              </w:rPr>
            </w:pPr>
            <w:r w:rsidRPr="000F27B6">
              <w:rPr>
                <w:rFonts w:cs="Calibri"/>
                <w:sz w:val="24"/>
                <w:szCs w:val="24"/>
              </w:rPr>
              <w:t>EMD</w:t>
            </w:r>
          </w:p>
        </w:tc>
        <w:tc>
          <w:tcPr>
            <w:tcW w:w="1440" w:type="dxa"/>
            <w:tcBorders>
              <w:top w:val="nil"/>
              <w:left w:val="nil"/>
              <w:bottom w:val="single" w:sz="4" w:space="0" w:color="auto"/>
              <w:right w:val="single" w:sz="4" w:space="0" w:color="auto"/>
            </w:tcBorders>
            <w:noWrap/>
            <w:vAlign w:val="center"/>
            <w:hideMark/>
          </w:tcPr>
          <w:p w14:paraId="05927B05" w14:textId="77777777" w:rsidR="00E775E0" w:rsidRPr="000F27B6" w:rsidRDefault="00E775E0" w:rsidP="00E775E0">
            <w:pPr>
              <w:jc w:val="both"/>
              <w:rPr>
                <w:rFonts w:cs="Calibri"/>
                <w:sz w:val="24"/>
                <w:szCs w:val="24"/>
              </w:rPr>
            </w:pPr>
            <w:r w:rsidRPr="000F27B6">
              <w:rPr>
                <w:rFonts w:cs="Calibri"/>
                <w:sz w:val="24"/>
                <w:szCs w:val="24"/>
              </w:rPr>
              <w:t>KCNE3</w:t>
            </w:r>
          </w:p>
        </w:tc>
        <w:tc>
          <w:tcPr>
            <w:tcW w:w="1440" w:type="dxa"/>
            <w:tcBorders>
              <w:top w:val="nil"/>
              <w:left w:val="nil"/>
              <w:bottom w:val="single" w:sz="4" w:space="0" w:color="auto"/>
              <w:right w:val="single" w:sz="4" w:space="0" w:color="auto"/>
            </w:tcBorders>
            <w:noWrap/>
            <w:vAlign w:val="center"/>
            <w:hideMark/>
          </w:tcPr>
          <w:p w14:paraId="5F86104F" w14:textId="77777777" w:rsidR="00E775E0" w:rsidRPr="000F27B6" w:rsidRDefault="00E775E0" w:rsidP="00E775E0">
            <w:pPr>
              <w:jc w:val="both"/>
              <w:rPr>
                <w:rFonts w:cs="Calibri"/>
                <w:sz w:val="24"/>
                <w:szCs w:val="24"/>
              </w:rPr>
            </w:pPr>
            <w:r w:rsidRPr="000F27B6">
              <w:rPr>
                <w:rFonts w:cs="Calibri"/>
                <w:sz w:val="24"/>
                <w:szCs w:val="24"/>
              </w:rPr>
              <w:t>MYLK2</w:t>
            </w:r>
          </w:p>
        </w:tc>
        <w:tc>
          <w:tcPr>
            <w:tcW w:w="1440" w:type="dxa"/>
            <w:tcBorders>
              <w:top w:val="nil"/>
              <w:left w:val="nil"/>
              <w:bottom w:val="single" w:sz="4" w:space="0" w:color="auto"/>
              <w:right w:val="single" w:sz="4" w:space="0" w:color="auto"/>
            </w:tcBorders>
            <w:noWrap/>
            <w:vAlign w:val="center"/>
            <w:hideMark/>
          </w:tcPr>
          <w:p w14:paraId="352C87F5" w14:textId="77777777" w:rsidR="00E775E0" w:rsidRPr="000F27B6" w:rsidRDefault="00E775E0" w:rsidP="00E775E0">
            <w:pPr>
              <w:jc w:val="both"/>
              <w:rPr>
                <w:rFonts w:cs="Calibri"/>
                <w:sz w:val="24"/>
                <w:szCs w:val="24"/>
              </w:rPr>
            </w:pPr>
            <w:r w:rsidRPr="000F27B6">
              <w:rPr>
                <w:rFonts w:cs="Calibri"/>
                <w:sz w:val="24"/>
                <w:szCs w:val="24"/>
              </w:rPr>
              <w:t>SCO2</w:t>
            </w:r>
          </w:p>
        </w:tc>
        <w:tc>
          <w:tcPr>
            <w:tcW w:w="1440" w:type="dxa"/>
            <w:tcBorders>
              <w:top w:val="nil"/>
              <w:left w:val="nil"/>
              <w:bottom w:val="single" w:sz="4" w:space="0" w:color="auto"/>
              <w:right w:val="single" w:sz="4" w:space="0" w:color="auto"/>
            </w:tcBorders>
            <w:noWrap/>
            <w:vAlign w:val="center"/>
            <w:hideMark/>
          </w:tcPr>
          <w:p w14:paraId="08689301" w14:textId="77777777" w:rsidR="00E775E0" w:rsidRPr="000F27B6" w:rsidRDefault="00E775E0" w:rsidP="00E775E0">
            <w:pPr>
              <w:jc w:val="both"/>
              <w:rPr>
                <w:rFonts w:cs="Calibri"/>
                <w:sz w:val="24"/>
                <w:szCs w:val="24"/>
              </w:rPr>
            </w:pPr>
            <w:r w:rsidRPr="000F27B6">
              <w:rPr>
                <w:rFonts w:cs="Calibri"/>
                <w:sz w:val="24"/>
                <w:szCs w:val="24"/>
              </w:rPr>
              <w:t>TRDN</w:t>
            </w:r>
          </w:p>
        </w:tc>
      </w:tr>
      <w:tr w:rsidR="00E775E0" w:rsidRPr="000F27B6" w14:paraId="16991B21" w14:textId="77777777" w:rsidTr="00E775E0">
        <w:trPr>
          <w:trHeight w:hRule="exact" w:val="397"/>
        </w:trPr>
        <w:tc>
          <w:tcPr>
            <w:tcW w:w="1440" w:type="dxa"/>
            <w:tcBorders>
              <w:top w:val="nil"/>
              <w:left w:val="single" w:sz="4" w:space="0" w:color="auto"/>
              <w:bottom w:val="single" w:sz="4" w:space="0" w:color="auto"/>
              <w:right w:val="single" w:sz="4" w:space="0" w:color="auto"/>
            </w:tcBorders>
            <w:noWrap/>
            <w:vAlign w:val="center"/>
            <w:hideMark/>
          </w:tcPr>
          <w:p w14:paraId="54B8925E" w14:textId="77777777" w:rsidR="00E775E0" w:rsidRPr="000F27B6" w:rsidRDefault="00E775E0" w:rsidP="00E775E0">
            <w:pPr>
              <w:jc w:val="both"/>
              <w:rPr>
                <w:rFonts w:cs="Calibri"/>
                <w:sz w:val="24"/>
                <w:szCs w:val="24"/>
              </w:rPr>
            </w:pPr>
            <w:r w:rsidRPr="000F27B6">
              <w:rPr>
                <w:rFonts w:cs="Calibri"/>
                <w:sz w:val="24"/>
                <w:szCs w:val="24"/>
              </w:rPr>
              <w:t>CACNB2</w:t>
            </w:r>
          </w:p>
        </w:tc>
        <w:tc>
          <w:tcPr>
            <w:tcW w:w="1440" w:type="dxa"/>
            <w:tcBorders>
              <w:top w:val="nil"/>
              <w:left w:val="nil"/>
              <w:bottom w:val="single" w:sz="4" w:space="0" w:color="auto"/>
              <w:right w:val="single" w:sz="4" w:space="0" w:color="auto"/>
            </w:tcBorders>
            <w:noWrap/>
            <w:vAlign w:val="center"/>
            <w:hideMark/>
          </w:tcPr>
          <w:p w14:paraId="47D40EE4" w14:textId="77777777" w:rsidR="00E775E0" w:rsidRPr="000F27B6" w:rsidRDefault="00E775E0" w:rsidP="00E775E0">
            <w:pPr>
              <w:jc w:val="both"/>
              <w:rPr>
                <w:rFonts w:cs="Calibri"/>
                <w:sz w:val="24"/>
                <w:szCs w:val="24"/>
              </w:rPr>
            </w:pPr>
            <w:r w:rsidRPr="000F27B6">
              <w:rPr>
                <w:rFonts w:cs="Calibri"/>
                <w:sz w:val="24"/>
                <w:szCs w:val="24"/>
              </w:rPr>
              <w:t>EYA4</w:t>
            </w:r>
          </w:p>
        </w:tc>
        <w:tc>
          <w:tcPr>
            <w:tcW w:w="1440" w:type="dxa"/>
            <w:tcBorders>
              <w:top w:val="nil"/>
              <w:left w:val="nil"/>
              <w:bottom w:val="single" w:sz="4" w:space="0" w:color="auto"/>
              <w:right w:val="single" w:sz="4" w:space="0" w:color="auto"/>
            </w:tcBorders>
            <w:noWrap/>
            <w:vAlign w:val="center"/>
            <w:hideMark/>
          </w:tcPr>
          <w:p w14:paraId="2D4C2C80" w14:textId="77777777" w:rsidR="00E775E0" w:rsidRPr="000F27B6" w:rsidRDefault="00E775E0" w:rsidP="00E775E0">
            <w:pPr>
              <w:jc w:val="both"/>
              <w:rPr>
                <w:rFonts w:cs="Calibri"/>
                <w:sz w:val="24"/>
                <w:szCs w:val="24"/>
              </w:rPr>
            </w:pPr>
            <w:r w:rsidRPr="000F27B6">
              <w:rPr>
                <w:rFonts w:cs="Calibri"/>
                <w:sz w:val="24"/>
                <w:szCs w:val="24"/>
              </w:rPr>
              <w:t>KCNH2</w:t>
            </w:r>
          </w:p>
        </w:tc>
        <w:tc>
          <w:tcPr>
            <w:tcW w:w="1440" w:type="dxa"/>
            <w:tcBorders>
              <w:top w:val="nil"/>
              <w:left w:val="nil"/>
              <w:bottom w:val="single" w:sz="4" w:space="0" w:color="auto"/>
              <w:right w:val="single" w:sz="4" w:space="0" w:color="auto"/>
            </w:tcBorders>
            <w:noWrap/>
            <w:vAlign w:val="center"/>
            <w:hideMark/>
          </w:tcPr>
          <w:p w14:paraId="5E540503" w14:textId="77777777" w:rsidR="00E775E0" w:rsidRPr="000F27B6" w:rsidRDefault="00E775E0" w:rsidP="00E775E0">
            <w:pPr>
              <w:jc w:val="both"/>
              <w:rPr>
                <w:rFonts w:cs="Calibri"/>
                <w:sz w:val="24"/>
                <w:szCs w:val="24"/>
              </w:rPr>
            </w:pPr>
            <w:r w:rsidRPr="000F27B6">
              <w:rPr>
                <w:rFonts w:cs="Calibri"/>
                <w:sz w:val="24"/>
                <w:szCs w:val="24"/>
              </w:rPr>
              <w:t>MYO6</w:t>
            </w:r>
          </w:p>
        </w:tc>
        <w:tc>
          <w:tcPr>
            <w:tcW w:w="1440" w:type="dxa"/>
            <w:tcBorders>
              <w:top w:val="nil"/>
              <w:left w:val="nil"/>
              <w:bottom w:val="single" w:sz="4" w:space="0" w:color="auto"/>
              <w:right w:val="single" w:sz="4" w:space="0" w:color="auto"/>
            </w:tcBorders>
            <w:noWrap/>
            <w:vAlign w:val="center"/>
            <w:hideMark/>
          </w:tcPr>
          <w:p w14:paraId="58512E1D" w14:textId="77777777" w:rsidR="00E775E0" w:rsidRPr="000F27B6" w:rsidRDefault="00E775E0" w:rsidP="00E775E0">
            <w:pPr>
              <w:jc w:val="both"/>
              <w:rPr>
                <w:rFonts w:cs="Calibri"/>
                <w:sz w:val="24"/>
                <w:szCs w:val="24"/>
              </w:rPr>
            </w:pPr>
            <w:r w:rsidRPr="000F27B6">
              <w:rPr>
                <w:rFonts w:cs="Calibri"/>
                <w:sz w:val="24"/>
                <w:szCs w:val="24"/>
              </w:rPr>
              <w:t>SDHA</w:t>
            </w:r>
          </w:p>
        </w:tc>
        <w:tc>
          <w:tcPr>
            <w:tcW w:w="1440" w:type="dxa"/>
            <w:tcBorders>
              <w:top w:val="nil"/>
              <w:left w:val="nil"/>
              <w:bottom w:val="single" w:sz="4" w:space="0" w:color="auto"/>
              <w:right w:val="single" w:sz="4" w:space="0" w:color="auto"/>
            </w:tcBorders>
            <w:noWrap/>
            <w:vAlign w:val="center"/>
            <w:hideMark/>
          </w:tcPr>
          <w:p w14:paraId="3D62E933" w14:textId="77777777" w:rsidR="00E775E0" w:rsidRPr="000F27B6" w:rsidRDefault="00E775E0" w:rsidP="00E775E0">
            <w:pPr>
              <w:jc w:val="both"/>
              <w:rPr>
                <w:rFonts w:cs="Calibri"/>
                <w:sz w:val="24"/>
                <w:szCs w:val="24"/>
              </w:rPr>
            </w:pPr>
            <w:r w:rsidRPr="000F27B6">
              <w:rPr>
                <w:rFonts w:cs="Calibri"/>
                <w:sz w:val="24"/>
                <w:szCs w:val="24"/>
              </w:rPr>
              <w:t>TRIM63</w:t>
            </w:r>
          </w:p>
        </w:tc>
      </w:tr>
      <w:tr w:rsidR="00E775E0" w:rsidRPr="000F27B6" w14:paraId="794668FA" w14:textId="77777777" w:rsidTr="00E775E0">
        <w:trPr>
          <w:trHeight w:hRule="exact" w:val="397"/>
        </w:trPr>
        <w:tc>
          <w:tcPr>
            <w:tcW w:w="1440" w:type="dxa"/>
            <w:tcBorders>
              <w:top w:val="nil"/>
              <w:left w:val="single" w:sz="4" w:space="0" w:color="auto"/>
              <w:bottom w:val="single" w:sz="4" w:space="0" w:color="auto"/>
              <w:right w:val="single" w:sz="4" w:space="0" w:color="auto"/>
            </w:tcBorders>
            <w:noWrap/>
            <w:vAlign w:val="center"/>
            <w:hideMark/>
          </w:tcPr>
          <w:p w14:paraId="0AB26D0D" w14:textId="77777777" w:rsidR="00E775E0" w:rsidRPr="000F27B6" w:rsidRDefault="00E775E0" w:rsidP="00E775E0">
            <w:pPr>
              <w:jc w:val="both"/>
              <w:rPr>
                <w:rFonts w:cs="Calibri"/>
                <w:sz w:val="24"/>
                <w:szCs w:val="24"/>
              </w:rPr>
            </w:pPr>
            <w:r w:rsidRPr="000F27B6">
              <w:rPr>
                <w:rFonts w:cs="Calibri"/>
                <w:sz w:val="24"/>
                <w:szCs w:val="24"/>
              </w:rPr>
              <w:t>CALM1</w:t>
            </w:r>
          </w:p>
        </w:tc>
        <w:tc>
          <w:tcPr>
            <w:tcW w:w="1440" w:type="dxa"/>
            <w:tcBorders>
              <w:top w:val="nil"/>
              <w:left w:val="nil"/>
              <w:bottom w:val="single" w:sz="4" w:space="0" w:color="auto"/>
              <w:right w:val="single" w:sz="4" w:space="0" w:color="auto"/>
            </w:tcBorders>
            <w:noWrap/>
            <w:vAlign w:val="center"/>
            <w:hideMark/>
          </w:tcPr>
          <w:p w14:paraId="7A0E37B4" w14:textId="77777777" w:rsidR="00E775E0" w:rsidRPr="000F27B6" w:rsidRDefault="00E775E0" w:rsidP="00E775E0">
            <w:pPr>
              <w:jc w:val="both"/>
              <w:rPr>
                <w:rFonts w:cs="Calibri"/>
                <w:sz w:val="24"/>
                <w:szCs w:val="24"/>
              </w:rPr>
            </w:pPr>
            <w:r w:rsidRPr="000F27B6">
              <w:rPr>
                <w:rFonts w:cs="Calibri"/>
                <w:sz w:val="24"/>
                <w:szCs w:val="24"/>
              </w:rPr>
              <w:t>COL5A3</w:t>
            </w:r>
          </w:p>
        </w:tc>
        <w:tc>
          <w:tcPr>
            <w:tcW w:w="1440" w:type="dxa"/>
            <w:tcBorders>
              <w:top w:val="nil"/>
              <w:left w:val="nil"/>
              <w:bottom w:val="single" w:sz="4" w:space="0" w:color="auto"/>
              <w:right w:val="single" w:sz="4" w:space="0" w:color="auto"/>
            </w:tcBorders>
            <w:noWrap/>
            <w:vAlign w:val="center"/>
            <w:hideMark/>
          </w:tcPr>
          <w:p w14:paraId="0E7BE623" w14:textId="77777777" w:rsidR="00E775E0" w:rsidRPr="000F27B6" w:rsidRDefault="00E775E0" w:rsidP="00E775E0">
            <w:pPr>
              <w:jc w:val="both"/>
              <w:rPr>
                <w:rFonts w:cs="Calibri"/>
                <w:sz w:val="24"/>
                <w:szCs w:val="24"/>
              </w:rPr>
            </w:pPr>
            <w:r w:rsidRPr="000F27B6">
              <w:rPr>
                <w:rFonts w:cs="Calibri"/>
                <w:sz w:val="24"/>
                <w:szCs w:val="24"/>
              </w:rPr>
              <w:t>KCNJ2</w:t>
            </w:r>
          </w:p>
        </w:tc>
        <w:tc>
          <w:tcPr>
            <w:tcW w:w="1440" w:type="dxa"/>
            <w:tcBorders>
              <w:top w:val="nil"/>
              <w:left w:val="nil"/>
              <w:bottom w:val="single" w:sz="4" w:space="0" w:color="auto"/>
              <w:right w:val="single" w:sz="4" w:space="0" w:color="auto"/>
            </w:tcBorders>
            <w:noWrap/>
            <w:vAlign w:val="center"/>
            <w:hideMark/>
          </w:tcPr>
          <w:p w14:paraId="42387600" w14:textId="77777777" w:rsidR="00E775E0" w:rsidRPr="000F27B6" w:rsidRDefault="00E775E0" w:rsidP="00E775E0">
            <w:pPr>
              <w:jc w:val="both"/>
              <w:rPr>
                <w:rFonts w:cs="Calibri"/>
                <w:sz w:val="24"/>
                <w:szCs w:val="24"/>
              </w:rPr>
            </w:pPr>
            <w:r w:rsidRPr="000F27B6">
              <w:rPr>
                <w:rFonts w:cs="Calibri"/>
                <w:sz w:val="24"/>
                <w:szCs w:val="24"/>
              </w:rPr>
              <w:t>MYOZ2</w:t>
            </w:r>
          </w:p>
        </w:tc>
        <w:tc>
          <w:tcPr>
            <w:tcW w:w="1440" w:type="dxa"/>
            <w:tcBorders>
              <w:top w:val="nil"/>
              <w:left w:val="nil"/>
              <w:bottom w:val="single" w:sz="4" w:space="0" w:color="auto"/>
              <w:right w:val="single" w:sz="4" w:space="0" w:color="auto"/>
            </w:tcBorders>
            <w:noWrap/>
            <w:vAlign w:val="center"/>
            <w:hideMark/>
          </w:tcPr>
          <w:p w14:paraId="0B13BB11" w14:textId="77777777" w:rsidR="00E775E0" w:rsidRPr="000F27B6" w:rsidRDefault="00E775E0" w:rsidP="00E775E0">
            <w:pPr>
              <w:jc w:val="both"/>
              <w:rPr>
                <w:rFonts w:cs="Calibri"/>
                <w:sz w:val="24"/>
                <w:szCs w:val="24"/>
              </w:rPr>
            </w:pPr>
            <w:r w:rsidRPr="000F27B6">
              <w:rPr>
                <w:rFonts w:cs="Calibri"/>
                <w:sz w:val="24"/>
                <w:szCs w:val="24"/>
              </w:rPr>
              <w:t>SEPN1</w:t>
            </w:r>
          </w:p>
        </w:tc>
        <w:tc>
          <w:tcPr>
            <w:tcW w:w="1440" w:type="dxa"/>
            <w:tcBorders>
              <w:top w:val="nil"/>
              <w:left w:val="nil"/>
              <w:bottom w:val="single" w:sz="4" w:space="0" w:color="auto"/>
              <w:right w:val="single" w:sz="4" w:space="0" w:color="auto"/>
            </w:tcBorders>
            <w:noWrap/>
            <w:vAlign w:val="center"/>
            <w:hideMark/>
          </w:tcPr>
          <w:p w14:paraId="0EFC1F38" w14:textId="77777777" w:rsidR="00E775E0" w:rsidRPr="000F27B6" w:rsidRDefault="00E775E0" w:rsidP="00E775E0">
            <w:pPr>
              <w:jc w:val="both"/>
              <w:rPr>
                <w:rFonts w:cs="Calibri"/>
                <w:sz w:val="24"/>
                <w:szCs w:val="24"/>
              </w:rPr>
            </w:pPr>
            <w:r w:rsidRPr="000F27B6">
              <w:rPr>
                <w:rFonts w:cs="Calibri"/>
                <w:sz w:val="24"/>
                <w:szCs w:val="24"/>
              </w:rPr>
              <w:t>TRPM4</w:t>
            </w:r>
          </w:p>
        </w:tc>
      </w:tr>
      <w:tr w:rsidR="00E775E0" w:rsidRPr="000F27B6" w14:paraId="40B55C01" w14:textId="77777777" w:rsidTr="00E775E0">
        <w:trPr>
          <w:trHeight w:hRule="exact" w:val="397"/>
        </w:trPr>
        <w:tc>
          <w:tcPr>
            <w:tcW w:w="1440" w:type="dxa"/>
            <w:tcBorders>
              <w:top w:val="nil"/>
              <w:left w:val="single" w:sz="4" w:space="0" w:color="auto"/>
              <w:bottom w:val="single" w:sz="4" w:space="0" w:color="auto"/>
              <w:right w:val="single" w:sz="4" w:space="0" w:color="auto"/>
            </w:tcBorders>
            <w:noWrap/>
            <w:vAlign w:val="center"/>
            <w:hideMark/>
          </w:tcPr>
          <w:p w14:paraId="1D364385" w14:textId="77777777" w:rsidR="00E775E0" w:rsidRPr="000F27B6" w:rsidRDefault="00E775E0" w:rsidP="00E775E0">
            <w:pPr>
              <w:jc w:val="both"/>
              <w:rPr>
                <w:rFonts w:cs="Calibri"/>
                <w:sz w:val="24"/>
                <w:szCs w:val="24"/>
              </w:rPr>
            </w:pPr>
            <w:r w:rsidRPr="000F27B6">
              <w:rPr>
                <w:rFonts w:cs="Calibri"/>
                <w:sz w:val="24"/>
                <w:szCs w:val="24"/>
              </w:rPr>
              <w:t>CALR3</w:t>
            </w:r>
          </w:p>
        </w:tc>
        <w:tc>
          <w:tcPr>
            <w:tcW w:w="1440" w:type="dxa"/>
            <w:tcBorders>
              <w:top w:val="nil"/>
              <w:left w:val="nil"/>
              <w:bottom w:val="single" w:sz="4" w:space="0" w:color="auto"/>
              <w:right w:val="single" w:sz="4" w:space="0" w:color="auto"/>
            </w:tcBorders>
            <w:noWrap/>
            <w:vAlign w:val="center"/>
            <w:hideMark/>
          </w:tcPr>
          <w:p w14:paraId="45C9132B" w14:textId="77777777" w:rsidR="00E775E0" w:rsidRPr="000F27B6" w:rsidRDefault="00E775E0" w:rsidP="00E775E0">
            <w:pPr>
              <w:jc w:val="both"/>
              <w:rPr>
                <w:rFonts w:cs="Calibri"/>
                <w:sz w:val="24"/>
                <w:szCs w:val="24"/>
              </w:rPr>
            </w:pPr>
            <w:r w:rsidRPr="000F27B6">
              <w:rPr>
                <w:rFonts w:cs="Calibri"/>
                <w:sz w:val="24"/>
                <w:szCs w:val="24"/>
              </w:rPr>
              <w:t>COL5A4</w:t>
            </w:r>
          </w:p>
        </w:tc>
        <w:tc>
          <w:tcPr>
            <w:tcW w:w="1440" w:type="dxa"/>
            <w:tcBorders>
              <w:top w:val="nil"/>
              <w:left w:val="nil"/>
              <w:bottom w:val="single" w:sz="4" w:space="0" w:color="auto"/>
              <w:right w:val="single" w:sz="4" w:space="0" w:color="auto"/>
            </w:tcBorders>
            <w:noWrap/>
            <w:vAlign w:val="center"/>
            <w:hideMark/>
          </w:tcPr>
          <w:p w14:paraId="4DF127E5" w14:textId="77777777" w:rsidR="00E775E0" w:rsidRPr="000F27B6" w:rsidRDefault="00E775E0" w:rsidP="00E775E0">
            <w:pPr>
              <w:jc w:val="both"/>
              <w:rPr>
                <w:rFonts w:cs="Calibri"/>
                <w:sz w:val="24"/>
                <w:szCs w:val="24"/>
              </w:rPr>
            </w:pPr>
            <w:r w:rsidRPr="000F27B6">
              <w:rPr>
                <w:rFonts w:cs="Calibri"/>
                <w:sz w:val="24"/>
                <w:szCs w:val="24"/>
              </w:rPr>
              <w:t>KCNJ5</w:t>
            </w:r>
          </w:p>
        </w:tc>
        <w:tc>
          <w:tcPr>
            <w:tcW w:w="1440" w:type="dxa"/>
            <w:tcBorders>
              <w:top w:val="nil"/>
              <w:left w:val="nil"/>
              <w:bottom w:val="single" w:sz="4" w:space="0" w:color="auto"/>
              <w:right w:val="single" w:sz="4" w:space="0" w:color="auto"/>
            </w:tcBorders>
            <w:noWrap/>
            <w:vAlign w:val="center"/>
            <w:hideMark/>
          </w:tcPr>
          <w:p w14:paraId="37945CC6" w14:textId="77777777" w:rsidR="00E775E0" w:rsidRPr="000F27B6" w:rsidRDefault="00E775E0" w:rsidP="00E775E0">
            <w:pPr>
              <w:jc w:val="both"/>
              <w:rPr>
                <w:rFonts w:cs="Calibri"/>
                <w:sz w:val="24"/>
                <w:szCs w:val="24"/>
              </w:rPr>
            </w:pPr>
            <w:r w:rsidRPr="000F27B6">
              <w:rPr>
                <w:rFonts w:cs="Calibri"/>
                <w:sz w:val="24"/>
                <w:szCs w:val="24"/>
              </w:rPr>
              <w:t>MYPN</w:t>
            </w:r>
          </w:p>
        </w:tc>
        <w:tc>
          <w:tcPr>
            <w:tcW w:w="1440" w:type="dxa"/>
            <w:tcBorders>
              <w:top w:val="nil"/>
              <w:left w:val="nil"/>
              <w:bottom w:val="single" w:sz="4" w:space="0" w:color="auto"/>
              <w:right w:val="single" w:sz="4" w:space="0" w:color="auto"/>
            </w:tcBorders>
            <w:noWrap/>
            <w:vAlign w:val="center"/>
            <w:hideMark/>
          </w:tcPr>
          <w:p w14:paraId="51B7F6F0" w14:textId="77777777" w:rsidR="00E775E0" w:rsidRPr="000F27B6" w:rsidRDefault="00E775E0" w:rsidP="00E775E0">
            <w:pPr>
              <w:jc w:val="both"/>
              <w:rPr>
                <w:rFonts w:cs="Calibri"/>
                <w:sz w:val="24"/>
                <w:szCs w:val="24"/>
              </w:rPr>
            </w:pPr>
            <w:r w:rsidRPr="000F27B6">
              <w:rPr>
                <w:rFonts w:cs="Calibri"/>
                <w:sz w:val="24"/>
                <w:szCs w:val="24"/>
              </w:rPr>
              <w:t>SGCB</w:t>
            </w:r>
          </w:p>
        </w:tc>
        <w:tc>
          <w:tcPr>
            <w:tcW w:w="1440" w:type="dxa"/>
            <w:tcBorders>
              <w:top w:val="nil"/>
              <w:left w:val="nil"/>
              <w:bottom w:val="single" w:sz="4" w:space="0" w:color="auto"/>
              <w:right w:val="single" w:sz="4" w:space="0" w:color="auto"/>
            </w:tcBorders>
            <w:noWrap/>
            <w:vAlign w:val="center"/>
            <w:hideMark/>
          </w:tcPr>
          <w:p w14:paraId="19893B51" w14:textId="77777777" w:rsidR="00E775E0" w:rsidRPr="000F27B6" w:rsidRDefault="00E775E0" w:rsidP="00E775E0">
            <w:pPr>
              <w:jc w:val="both"/>
              <w:rPr>
                <w:rFonts w:cs="Calibri"/>
                <w:sz w:val="24"/>
                <w:szCs w:val="24"/>
              </w:rPr>
            </w:pPr>
            <w:r w:rsidRPr="000F27B6">
              <w:rPr>
                <w:rFonts w:cs="Calibri"/>
                <w:sz w:val="24"/>
                <w:szCs w:val="24"/>
              </w:rPr>
              <w:t>TTN</w:t>
            </w:r>
          </w:p>
        </w:tc>
      </w:tr>
      <w:tr w:rsidR="00E775E0" w:rsidRPr="000F27B6" w14:paraId="677E4A9A" w14:textId="77777777" w:rsidTr="00E775E0">
        <w:trPr>
          <w:trHeight w:hRule="exact" w:val="397"/>
        </w:trPr>
        <w:tc>
          <w:tcPr>
            <w:tcW w:w="1440" w:type="dxa"/>
            <w:tcBorders>
              <w:top w:val="nil"/>
              <w:left w:val="single" w:sz="4" w:space="0" w:color="auto"/>
              <w:bottom w:val="single" w:sz="4" w:space="0" w:color="auto"/>
              <w:right w:val="single" w:sz="4" w:space="0" w:color="auto"/>
            </w:tcBorders>
            <w:noWrap/>
            <w:vAlign w:val="center"/>
            <w:hideMark/>
          </w:tcPr>
          <w:p w14:paraId="08977A71" w14:textId="77777777" w:rsidR="00E775E0" w:rsidRPr="000F27B6" w:rsidRDefault="00E775E0" w:rsidP="00E775E0">
            <w:pPr>
              <w:jc w:val="both"/>
              <w:rPr>
                <w:rFonts w:cs="Calibri"/>
                <w:sz w:val="24"/>
                <w:szCs w:val="24"/>
              </w:rPr>
            </w:pPr>
            <w:r w:rsidRPr="000F27B6">
              <w:rPr>
                <w:rFonts w:cs="Calibri"/>
                <w:sz w:val="24"/>
                <w:szCs w:val="24"/>
              </w:rPr>
              <w:t>CASQ2</w:t>
            </w:r>
          </w:p>
        </w:tc>
        <w:tc>
          <w:tcPr>
            <w:tcW w:w="1440" w:type="dxa"/>
            <w:tcBorders>
              <w:top w:val="nil"/>
              <w:left w:val="nil"/>
              <w:bottom w:val="single" w:sz="4" w:space="0" w:color="auto"/>
              <w:right w:val="single" w:sz="4" w:space="0" w:color="auto"/>
            </w:tcBorders>
            <w:noWrap/>
            <w:vAlign w:val="center"/>
            <w:hideMark/>
          </w:tcPr>
          <w:p w14:paraId="3640FFFE" w14:textId="77777777" w:rsidR="00E775E0" w:rsidRPr="000F27B6" w:rsidRDefault="00E775E0" w:rsidP="00E775E0">
            <w:pPr>
              <w:jc w:val="both"/>
              <w:rPr>
                <w:rFonts w:cs="Calibri"/>
                <w:sz w:val="24"/>
                <w:szCs w:val="24"/>
              </w:rPr>
            </w:pPr>
            <w:r w:rsidRPr="000F27B6">
              <w:rPr>
                <w:rFonts w:cs="Calibri"/>
                <w:sz w:val="24"/>
                <w:szCs w:val="24"/>
              </w:rPr>
              <w:t>COX16</w:t>
            </w:r>
          </w:p>
        </w:tc>
        <w:tc>
          <w:tcPr>
            <w:tcW w:w="1440" w:type="dxa"/>
            <w:tcBorders>
              <w:top w:val="nil"/>
              <w:left w:val="nil"/>
              <w:bottom w:val="single" w:sz="4" w:space="0" w:color="auto"/>
              <w:right w:val="single" w:sz="4" w:space="0" w:color="auto"/>
            </w:tcBorders>
            <w:noWrap/>
            <w:vAlign w:val="center"/>
            <w:hideMark/>
          </w:tcPr>
          <w:p w14:paraId="76A97CED" w14:textId="77777777" w:rsidR="00E775E0" w:rsidRPr="000F27B6" w:rsidRDefault="00E775E0" w:rsidP="00E775E0">
            <w:pPr>
              <w:jc w:val="both"/>
              <w:rPr>
                <w:rFonts w:cs="Calibri"/>
                <w:sz w:val="24"/>
                <w:szCs w:val="24"/>
              </w:rPr>
            </w:pPr>
            <w:r w:rsidRPr="000F27B6">
              <w:rPr>
                <w:rFonts w:cs="Calibri"/>
                <w:sz w:val="24"/>
                <w:szCs w:val="24"/>
              </w:rPr>
              <w:t>KCNJ8</w:t>
            </w:r>
          </w:p>
        </w:tc>
        <w:tc>
          <w:tcPr>
            <w:tcW w:w="1440" w:type="dxa"/>
            <w:tcBorders>
              <w:top w:val="nil"/>
              <w:left w:val="nil"/>
              <w:bottom w:val="single" w:sz="4" w:space="0" w:color="auto"/>
              <w:right w:val="single" w:sz="4" w:space="0" w:color="auto"/>
            </w:tcBorders>
            <w:noWrap/>
            <w:vAlign w:val="center"/>
            <w:hideMark/>
          </w:tcPr>
          <w:p w14:paraId="5F2A7F24" w14:textId="77777777" w:rsidR="00E775E0" w:rsidRPr="000F27B6" w:rsidRDefault="00E775E0" w:rsidP="00E775E0">
            <w:pPr>
              <w:jc w:val="both"/>
              <w:rPr>
                <w:rFonts w:cs="Calibri"/>
                <w:sz w:val="24"/>
                <w:szCs w:val="24"/>
              </w:rPr>
            </w:pPr>
            <w:r w:rsidRPr="000F27B6">
              <w:rPr>
                <w:rFonts w:cs="Calibri"/>
                <w:sz w:val="24"/>
                <w:szCs w:val="24"/>
              </w:rPr>
              <w:t>NEXN</w:t>
            </w:r>
          </w:p>
        </w:tc>
        <w:tc>
          <w:tcPr>
            <w:tcW w:w="1440" w:type="dxa"/>
            <w:tcBorders>
              <w:top w:val="nil"/>
              <w:left w:val="nil"/>
              <w:bottom w:val="single" w:sz="4" w:space="0" w:color="auto"/>
              <w:right w:val="single" w:sz="4" w:space="0" w:color="auto"/>
            </w:tcBorders>
            <w:noWrap/>
            <w:vAlign w:val="center"/>
            <w:hideMark/>
          </w:tcPr>
          <w:p w14:paraId="7C5C6968" w14:textId="77777777" w:rsidR="00E775E0" w:rsidRPr="000F27B6" w:rsidRDefault="00E775E0" w:rsidP="00E775E0">
            <w:pPr>
              <w:jc w:val="both"/>
              <w:rPr>
                <w:rFonts w:cs="Calibri"/>
                <w:sz w:val="24"/>
                <w:szCs w:val="24"/>
              </w:rPr>
            </w:pPr>
            <w:r w:rsidRPr="000F27B6">
              <w:rPr>
                <w:rFonts w:cs="Calibri"/>
                <w:sz w:val="24"/>
                <w:szCs w:val="24"/>
              </w:rPr>
              <w:t>SGCD</w:t>
            </w:r>
          </w:p>
        </w:tc>
        <w:tc>
          <w:tcPr>
            <w:tcW w:w="1440" w:type="dxa"/>
            <w:tcBorders>
              <w:top w:val="nil"/>
              <w:left w:val="nil"/>
              <w:bottom w:val="single" w:sz="4" w:space="0" w:color="auto"/>
              <w:right w:val="single" w:sz="4" w:space="0" w:color="auto"/>
            </w:tcBorders>
            <w:noWrap/>
            <w:vAlign w:val="center"/>
            <w:hideMark/>
          </w:tcPr>
          <w:p w14:paraId="0044B91D" w14:textId="77777777" w:rsidR="00E775E0" w:rsidRPr="000F27B6" w:rsidRDefault="00E775E0" w:rsidP="00E775E0">
            <w:pPr>
              <w:jc w:val="both"/>
              <w:rPr>
                <w:rFonts w:cs="Calibri"/>
                <w:sz w:val="24"/>
                <w:szCs w:val="24"/>
              </w:rPr>
            </w:pPr>
            <w:r w:rsidRPr="000F27B6">
              <w:rPr>
                <w:rFonts w:cs="Calibri"/>
                <w:sz w:val="24"/>
                <w:szCs w:val="24"/>
              </w:rPr>
              <w:t>TTR</w:t>
            </w:r>
          </w:p>
        </w:tc>
      </w:tr>
      <w:tr w:rsidR="00E775E0" w:rsidRPr="000F27B6" w14:paraId="0D1A3491" w14:textId="77777777" w:rsidTr="00E775E0">
        <w:trPr>
          <w:trHeight w:hRule="exact" w:val="397"/>
        </w:trPr>
        <w:tc>
          <w:tcPr>
            <w:tcW w:w="1440" w:type="dxa"/>
            <w:tcBorders>
              <w:top w:val="nil"/>
              <w:left w:val="single" w:sz="4" w:space="0" w:color="auto"/>
              <w:bottom w:val="single" w:sz="4" w:space="0" w:color="auto"/>
              <w:right w:val="single" w:sz="4" w:space="0" w:color="auto"/>
            </w:tcBorders>
            <w:noWrap/>
            <w:vAlign w:val="center"/>
            <w:hideMark/>
          </w:tcPr>
          <w:p w14:paraId="7300D135" w14:textId="77777777" w:rsidR="00E775E0" w:rsidRPr="000F27B6" w:rsidRDefault="00E775E0" w:rsidP="00E775E0">
            <w:pPr>
              <w:jc w:val="both"/>
              <w:rPr>
                <w:rFonts w:cs="Calibri"/>
                <w:sz w:val="24"/>
                <w:szCs w:val="24"/>
              </w:rPr>
            </w:pPr>
            <w:r w:rsidRPr="000F27B6">
              <w:rPr>
                <w:rFonts w:cs="Calibri"/>
                <w:sz w:val="24"/>
                <w:szCs w:val="24"/>
              </w:rPr>
              <w:t>CAV3</w:t>
            </w:r>
          </w:p>
        </w:tc>
        <w:tc>
          <w:tcPr>
            <w:tcW w:w="1440" w:type="dxa"/>
            <w:tcBorders>
              <w:top w:val="nil"/>
              <w:left w:val="nil"/>
              <w:bottom w:val="single" w:sz="4" w:space="0" w:color="auto"/>
              <w:right w:val="single" w:sz="4" w:space="0" w:color="auto"/>
            </w:tcBorders>
            <w:noWrap/>
            <w:vAlign w:val="center"/>
            <w:hideMark/>
          </w:tcPr>
          <w:p w14:paraId="0166CFA0" w14:textId="77777777" w:rsidR="00E775E0" w:rsidRPr="000F27B6" w:rsidRDefault="00E775E0" w:rsidP="00E775E0">
            <w:pPr>
              <w:jc w:val="both"/>
              <w:rPr>
                <w:rFonts w:cs="Calibri"/>
                <w:sz w:val="24"/>
                <w:szCs w:val="24"/>
              </w:rPr>
            </w:pPr>
            <w:r w:rsidRPr="000F27B6">
              <w:rPr>
                <w:rFonts w:cs="Calibri"/>
                <w:sz w:val="24"/>
                <w:szCs w:val="24"/>
              </w:rPr>
              <w:t>COL5A3</w:t>
            </w:r>
          </w:p>
        </w:tc>
        <w:tc>
          <w:tcPr>
            <w:tcW w:w="1440" w:type="dxa"/>
            <w:tcBorders>
              <w:top w:val="nil"/>
              <w:left w:val="nil"/>
              <w:bottom w:val="single" w:sz="4" w:space="0" w:color="auto"/>
              <w:right w:val="single" w:sz="4" w:space="0" w:color="auto"/>
            </w:tcBorders>
            <w:noWrap/>
            <w:vAlign w:val="center"/>
            <w:hideMark/>
          </w:tcPr>
          <w:p w14:paraId="6037D9DB" w14:textId="77777777" w:rsidR="00E775E0" w:rsidRPr="000F27B6" w:rsidRDefault="00E775E0" w:rsidP="00E775E0">
            <w:pPr>
              <w:jc w:val="both"/>
              <w:rPr>
                <w:rFonts w:cs="Calibri"/>
                <w:sz w:val="24"/>
                <w:szCs w:val="24"/>
              </w:rPr>
            </w:pPr>
            <w:r w:rsidRPr="000F27B6">
              <w:rPr>
                <w:rFonts w:cs="Calibri"/>
                <w:sz w:val="24"/>
                <w:szCs w:val="24"/>
              </w:rPr>
              <w:t>KCNQ1</w:t>
            </w:r>
          </w:p>
        </w:tc>
        <w:tc>
          <w:tcPr>
            <w:tcW w:w="1440" w:type="dxa"/>
            <w:tcBorders>
              <w:top w:val="nil"/>
              <w:left w:val="nil"/>
              <w:bottom w:val="single" w:sz="4" w:space="0" w:color="auto"/>
              <w:right w:val="single" w:sz="4" w:space="0" w:color="auto"/>
            </w:tcBorders>
            <w:noWrap/>
            <w:vAlign w:val="center"/>
            <w:hideMark/>
          </w:tcPr>
          <w:p w14:paraId="59AD9142" w14:textId="77777777" w:rsidR="00E775E0" w:rsidRPr="000F27B6" w:rsidRDefault="00E775E0" w:rsidP="00E775E0">
            <w:pPr>
              <w:jc w:val="both"/>
              <w:rPr>
                <w:rFonts w:cs="Calibri"/>
                <w:sz w:val="24"/>
                <w:szCs w:val="24"/>
              </w:rPr>
            </w:pPr>
            <w:r w:rsidRPr="000F27B6">
              <w:rPr>
                <w:rFonts w:cs="Calibri"/>
                <w:sz w:val="24"/>
                <w:szCs w:val="24"/>
              </w:rPr>
              <w:t>NKX2-5</w:t>
            </w:r>
          </w:p>
        </w:tc>
        <w:tc>
          <w:tcPr>
            <w:tcW w:w="1440" w:type="dxa"/>
            <w:tcBorders>
              <w:top w:val="nil"/>
              <w:left w:val="nil"/>
              <w:bottom w:val="single" w:sz="4" w:space="0" w:color="auto"/>
              <w:right w:val="single" w:sz="4" w:space="0" w:color="auto"/>
            </w:tcBorders>
            <w:noWrap/>
            <w:vAlign w:val="center"/>
            <w:hideMark/>
          </w:tcPr>
          <w:p w14:paraId="72AA6917" w14:textId="77777777" w:rsidR="00E775E0" w:rsidRPr="000F27B6" w:rsidRDefault="00E775E0" w:rsidP="00E775E0">
            <w:pPr>
              <w:jc w:val="both"/>
              <w:rPr>
                <w:rFonts w:cs="Calibri"/>
                <w:sz w:val="24"/>
                <w:szCs w:val="24"/>
              </w:rPr>
            </w:pPr>
            <w:r w:rsidRPr="000F27B6">
              <w:rPr>
                <w:rFonts w:cs="Calibri"/>
                <w:sz w:val="24"/>
                <w:szCs w:val="24"/>
              </w:rPr>
              <w:t>SGCG</w:t>
            </w:r>
          </w:p>
        </w:tc>
        <w:tc>
          <w:tcPr>
            <w:tcW w:w="1440" w:type="dxa"/>
            <w:tcBorders>
              <w:top w:val="nil"/>
              <w:left w:val="nil"/>
              <w:bottom w:val="single" w:sz="4" w:space="0" w:color="auto"/>
              <w:right w:val="single" w:sz="4" w:space="0" w:color="auto"/>
            </w:tcBorders>
            <w:noWrap/>
            <w:vAlign w:val="center"/>
            <w:hideMark/>
          </w:tcPr>
          <w:p w14:paraId="0E8E8893" w14:textId="77777777" w:rsidR="00E775E0" w:rsidRPr="000F27B6" w:rsidRDefault="00E775E0" w:rsidP="00E775E0">
            <w:pPr>
              <w:jc w:val="both"/>
              <w:rPr>
                <w:rFonts w:cs="Calibri"/>
                <w:sz w:val="24"/>
                <w:szCs w:val="24"/>
              </w:rPr>
            </w:pPr>
            <w:r w:rsidRPr="000F27B6">
              <w:rPr>
                <w:rFonts w:cs="Calibri"/>
                <w:sz w:val="24"/>
                <w:szCs w:val="24"/>
              </w:rPr>
              <w:t>TXNRD2</w:t>
            </w:r>
          </w:p>
        </w:tc>
      </w:tr>
      <w:tr w:rsidR="00E775E0" w:rsidRPr="000F27B6" w14:paraId="29CBE2B8" w14:textId="77777777" w:rsidTr="00E775E0">
        <w:trPr>
          <w:trHeight w:hRule="exact" w:val="397"/>
        </w:trPr>
        <w:tc>
          <w:tcPr>
            <w:tcW w:w="1440" w:type="dxa"/>
            <w:tcBorders>
              <w:top w:val="nil"/>
              <w:left w:val="single" w:sz="4" w:space="0" w:color="auto"/>
              <w:bottom w:val="single" w:sz="4" w:space="0" w:color="auto"/>
              <w:right w:val="single" w:sz="4" w:space="0" w:color="auto"/>
            </w:tcBorders>
            <w:noWrap/>
            <w:vAlign w:val="center"/>
            <w:hideMark/>
          </w:tcPr>
          <w:p w14:paraId="415F44E4" w14:textId="77777777" w:rsidR="00E775E0" w:rsidRPr="000F27B6" w:rsidRDefault="00E775E0" w:rsidP="00E775E0">
            <w:pPr>
              <w:jc w:val="both"/>
              <w:rPr>
                <w:rFonts w:cs="Calibri"/>
                <w:sz w:val="24"/>
                <w:szCs w:val="24"/>
              </w:rPr>
            </w:pPr>
            <w:r w:rsidRPr="000F27B6">
              <w:rPr>
                <w:rFonts w:cs="Calibri"/>
                <w:sz w:val="24"/>
                <w:szCs w:val="24"/>
              </w:rPr>
              <w:t>CBL</w:t>
            </w:r>
          </w:p>
        </w:tc>
        <w:tc>
          <w:tcPr>
            <w:tcW w:w="1440" w:type="dxa"/>
            <w:tcBorders>
              <w:top w:val="nil"/>
              <w:left w:val="nil"/>
              <w:bottom w:val="single" w:sz="4" w:space="0" w:color="auto"/>
              <w:right w:val="single" w:sz="4" w:space="0" w:color="auto"/>
            </w:tcBorders>
            <w:noWrap/>
            <w:vAlign w:val="center"/>
            <w:hideMark/>
          </w:tcPr>
          <w:p w14:paraId="7EE2AABA" w14:textId="77777777" w:rsidR="00E775E0" w:rsidRPr="000F27B6" w:rsidRDefault="00E775E0" w:rsidP="00E775E0">
            <w:pPr>
              <w:jc w:val="both"/>
              <w:rPr>
                <w:rFonts w:cs="Calibri"/>
                <w:sz w:val="24"/>
                <w:szCs w:val="24"/>
              </w:rPr>
            </w:pPr>
            <w:r w:rsidRPr="000F27B6">
              <w:rPr>
                <w:rFonts w:cs="Calibri"/>
                <w:sz w:val="24"/>
                <w:szCs w:val="24"/>
              </w:rPr>
              <w:t>COL5A4</w:t>
            </w:r>
          </w:p>
        </w:tc>
        <w:tc>
          <w:tcPr>
            <w:tcW w:w="1440" w:type="dxa"/>
            <w:tcBorders>
              <w:top w:val="nil"/>
              <w:left w:val="nil"/>
              <w:bottom w:val="single" w:sz="4" w:space="0" w:color="auto"/>
              <w:right w:val="single" w:sz="4" w:space="0" w:color="auto"/>
            </w:tcBorders>
            <w:noWrap/>
            <w:vAlign w:val="center"/>
            <w:hideMark/>
          </w:tcPr>
          <w:p w14:paraId="58BCA1D9" w14:textId="77777777" w:rsidR="00E775E0" w:rsidRPr="000F27B6" w:rsidRDefault="00E775E0" w:rsidP="00E775E0">
            <w:pPr>
              <w:jc w:val="both"/>
              <w:rPr>
                <w:rFonts w:cs="Calibri"/>
                <w:sz w:val="24"/>
                <w:szCs w:val="24"/>
              </w:rPr>
            </w:pPr>
            <w:r w:rsidRPr="000F27B6">
              <w:rPr>
                <w:rFonts w:cs="Calibri"/>
                <w:sz w:val="24"/>
                <w:szCs w:val="24"/>
              </w:rPr>
              <w:t>KLF10</w:t>
            </w:r>
          </w:p>
        </w:tc>
        <w:tc>
          <w:tcPr>
            <w:tcW w:w="1440" w:type="dxa"/>
            <w:tcBorders>
              <w:top w:val="nil"/>
              <w:left w:val="nil"/>
              <w:bottom w:val="single" w:sz="4" w:space="0" w:color="auto"/>
              <w:right w:val="single" w:sz="4" w:space="0" w:color="auto"/>
            </w:tcBorders>
            <w:noWrap/>
            <w:vAlign w:val="center"/>
            <w:hideMark/>
          </w:tcPr>
          <w:p w14:paraId="5799DA79" w14:textId="77777777" w:rsidR="00E775E0" w:rsidRPr="000F27B6" w:rsidRDefault="00E775E0" w:rsidP="00E775E0">
            <w:pPr>
              <w:jc w:val="both"/>
              <w:rPr>
                <w:rFonts w:cs="Calibri"/>
                <w:sz w:val="24"/>
                <w:szCs w:val="24"/>
              </w:rPr>
            </w:pPr>
            <w:r w:rsidRPr="000F27B6">
              <w:rPr>
                <w:rFonts w:cs="Calibri"/>
                <w:sz w:val="24"/>
                <w:szCs w:val="24"/>
              </w:rPr>
              <w:t>NODAL</w:t>
            </w:r>
          </w:p>
        </w:tc>
        <w:tc>
          <w:tcPr>
            <w:tcW w:w="1440" w:type="dxa"/>
            <w:tcBorders>
              <w:top w:val="nil"/>
              <w:left w:val="nil"/>
              <w:bottom w:val="single" w:sz="4" w:space="0" w:color="auto"/>
              <w:right w:val="single" w:sz="4" w:space="0" w:color="auto"/>
            </w:tcBorders>
            <w:noWrap/>
            <w:vAlign w:val="center"/>
            <w:hideMark/>
          </w:tcPr>
          <w:p w14:paraId="445F293A" w14:textId="77777777" w:rsidR="00E775E0" w:rsidRPr="000F27B6" w:rsidRDefault="00E775E0" w:rsidP="00E775E0">
            <w:pPr>
              <w:jc w:val="both"/>
              <w:rPr>
                <w:rFonts w:cs="Calibri"/>
                <w:sz w:val="24"/>
                <w:szCs w:val="24"/>
              </w:rPr>
            </w:pPr>
            <w:r w:rsidRPr="000F27B6">
              <w:rPr>
                <w:rFonts w:cs="Calibri"/>
                <w:sz w:val="24"/>
                <w:szCs w:val="24"/>
              </w:rPr>
              <w:t>SHOC2</w:t>
            </w:r>
          </w:p>
        </w:tc>
        <w:tc>
          <w:tcPr>
            <w:tcW w:w="1440" w:type="dxa"/>
            <w:tcBorders>
              <w:top w:val="nil"/>
              <w:left w:val="nil"/>
              <w:bottom w:val="single" w:sz="4" w:space="0" w:color="auto"/>
              <w:right w:val="single" w:sz="4" w:space="0" w:color="auto"/>
            </w:tcBorders>
            <w:noWrap/>
            <w:vAlign w:val="center"/>
            <w:hideMark/>
          </w:tcPr>
          <w:p w14:paraId="11BD64AC" w14:textId="77777777" w:rsidR="00E775E0" w:rsidRPr="000F27B6" w:rsidRDefault="00E775E0" w:rsidP="00E775E0">
            <w:pPr>
              <w:jc w:val="both"/>
              <w:rPr>
                <w:rFonts w:cs="Calibri"/>
                <w:sz w:val="24"/>
                <w:szCs w:val="24"/>
              </w:rPr>
            </w:pPr>
            <w:r w:rsidRPr="000F27B6">
              <w:rPr>
                <w:rFonts w:cs="Calibri"/>
                <w:sz w:val="24"/>
                <w:szCs w:val="24"/>
              </w:rPr>
              <w:t>VCL</w:t>
            </w:r>
          </w:p>
        </w:tc>
      </w:tr>
      <w:tr w:rsidR="00E775E0" w:rsidRPr="000F27B6" w14:paraId="452D1849" w14:textId="77777777" w:rsidTr="00E775E0">
        <w:trPr>
          <w:trHeight w:hRule="exact" w:val="397"/>
        </w:trPr>
        <w:tc>
          <w:tcPr>
            <w:tcW w:w="1440" w:type="dxa"/>
            <w:tcBorders>
              <w:top w:val="nil"/>
              <w:left w:val="single" w:sz="4" w:space="0" w:color="auto"/>
              <w:bottom w:val="single" w:sz="4" w:space="0" w:color="auto"/>
              <w:right w:val="single" w:sz="4" w:space="0" w:color="auto"/>
            </w:tcBorders>
            <w:noWrap/>
            <w:vAlign w:val="center"/>
            <w:hideMark/>
          </w:tcPr>
          <w:p w14:paraId="0DC56438" w14:textId="77777777" w:rsidR="00E775E0" w:rsidRPr="000F27B6" w:rsidRDefault="00E775E0" w:rsidP="00E775E0">
            <w:pPr>
              <w:jc w:val="both"/>
              <w:rPr>
                <w:rFonts w:cs="Calibri"/>
                <w:sz w:val="24"/>
                <w:szCs w:val="24"/>
              </w:rPr>
            </w:pPr>
            <w:r w:rsidRPr="000F27B6">
              <w:rPr>
                <w:rFonts w:cs="Calibri"/>
                <w:sz w:val="24"/>
                <w:szCs w:val="24"/>
              </w:rPr>
              <w:t>CBS</w:t>
            </w:r>
          </w:p>
        </w:tc>
        <w:tc>
          <w:tcPr>
            <w:tcW w:w="1440" w:type="dxa"/>
            <w:tcBorders>
              <w:top w:val="nil"/>
              <w:left w:val="nil"/>
              <w:bottom w:val="single" w:sz="4" w:space="0" w:color="auto"/>
              <w:right w:val="single" w:sz="4" w:space="0" w:color="auto"/>
            </w:tcBorders>
            <w:noWrap/>
            <w:vAlign w:val="center"/>
            <w:hideMark/>
          </w:tcPr>
          <w:p w14:paraId="68A274BC" w14:textId="77777777" w:rsidR="00E775E0" w:rsidRPr="000F27B6" w:rsidRDefault="00E775E0" w:rsidP="00E775E0">
            <w:pPr>
              <w:jc w:val="both"/>
              <w:rPr>
                <w:rFonts w:cs="Calibri"/>
                <w:sz w:val="24"/>
                <w:szCs w:val="24"/>
              </w:rPr>
            </w:pPr>
            <w:r w:rsidRPr="000F27B6">
              <w:rPr>
                <w:rFonts w:cs="Calibri"/>
                <w:sz w:val="24"/>
                <w:szCs w:val="24"/>
              </w:rPr>
              <w:t>COX16</w:t>
            </w:r>
          </w:p>
        </w:tc>
        <w:tc>
          <w:tcPr>
            <w:tcW w:w="1440" w:type="dxa"/>
            <w:tcBorders>
              <w:top w:val="nil"/>
              <w:left w:val="nil"/>
              <w:bottom w:val="single" w:sz="4" w:space="0" w:color="auto"/>
              <w:right w:val="single" w:sz="4" w:space="0" w:color="auto"/>
            </w:tcBorders>
            <w:noWrap/>
            <w:vAlign w:val="center"/>
            <w:hideMark/>
          </w:tcPr>
          <w:p w14:paraId="3B653992" w14:textId="77777777" w:rsidR="00E775E0" w:rsidRPr="000F27B6" w:rsidRDefault="00E775E0" w:rsidP="00E775E0">
            <w:pPr>
              <w:jc w:val="both"/>
              <w:rPr>
                <w:rFonts w:cs="Calibri"/>
                <w:sz w:val="24"/>
                <w:szCs w:val="24"/>
              </w:rPr>
            </w:pPr>
            <w:r w:rsidRPr="000F27B6">
              <w:rPr>
                <w:rFonts w:cs="Calibri"/>
                <w:sz w:val="24"/>
                <w:szCs w:val="24"/>
              </w:rPr>
              <w:t>KRAS</w:t>
            </w:r>
          </w:p>
        </w:tc>
        <w:tc>
          <w:tcPr>
            <w:tcW w:w="1440" w:type="dxa"/>
            <w:tcBorders>
              <w:top w:val="nil"/>
              <w:left w:val="nil"/>
              <w:bottom w:val="single" w:sz="4" w:space="0" w:color="auto"/>
              <w:right w:val="single" w:sz="4" w:space="0" w:color="auto"/>
            </w:tcBorders>
            <w:noWrap/>
            <w:vAlign w:val="center"/>
            <w:hideMark/>
          </w:tcPr>
          <w:p w14:paraId="355E77BF" w14:textId="77777777" w:rsidR="00E775E0" w:rsidRPr="000F27B6" w:rsidRDefault="00E775E0" w:rsidP="00E775E0">
            <w:pPr>
              <w:jc w:val="both"/>
              <w:rPr>
                <w:rFonts w:cs="Calibri"/>
                <w:sz w:val="24"/>
                <w:szCs w:val="24"/>
              </w:rPr>
            </w:pPr>
            <w:r w:rsidRPr="000F27B6">
              <w:rPr>
                <w:rFonts w:cs="Calibri"/>
                <w:sz w:val="24"/>
                <w:szCs w:val="24"/>
              </w:rPr>
              <w:t>NOTCH1</w:t>
            </w:r>
          </w:p>
        </w:tc>
        <w:tc>
          <w:tcPr>
            <w:tcW w:w="1440" w:type="dxa"/>
            <w:tcBorders>
              <w:top w:val="nil"/>
              <w:left w:val="nil"/>
              <w:bottom w:val="single" w:sz="4" w:space="0" w:color="auto"/>
              <w:right w:val="single" w:sz="4" w:space="0" w:color="auto"/>
            </w:tcBorders>
            <w:noWrap/>
            <w:vAlign w:val="center"/>
            <w:hideMark/>
          </w:tcPr>
          <w:p w14:paraId="0424AED6" w14:textId="77777777" w:rsidR="00E775E0" w:rsidRPr="000F27B6" w:rsidRDefault="00E775E0" w:rsidP="00E775E0">
            <w:pPr>
              <w:jc w:val="both"/>
              <w:rPr>
                <w:rFonts w:cs="Calibri"/>
                <w:sz w:val="24"/>
                <w:szCs w:val="24"/>
              </w:rPr>
            </w:pPr>
            <w:r w:rsidRPr="000F27B6">
              <w:rPr>
                <w:rFonts w:cs="Calibri"/>
                <w:sz w:val="24"/>
                <w:szCs w:val="24"/>
              </w:rPr>
              <w:t>SLC25A4</w:t>
            </w:r>
          </w:p>
        </w:tc>
        <w:tc>
          <w:tcPr>
            <w:tcW w:w="1440" w:type="dxa"/>
            <w:tcBorders>
              <w:top w:val="nil"/>
              <w:left w:val="nil"/>
              <w:bottom w:val="single" w:sz="4" w:space="0" w:color="auto"/>
              <w:right w:val="single" w:sz="4" w:space="0" w:color="auto"/>
            </w:tcBorders>
            <w:noWrap/>
            <w:vAlign w:val="center"/>
            <w:hideMark/>
          </w:tcPr>
          <w:p w14:paraId="0E53F00F" w14:textId="77777777" w:rsidR="00E775E0" w:rsidRPr="000F27B6" w:rsidRDefault="00E775E0" w:rsidP="00E775E0">
            <w:pPr>
              <w:jc w:val="both"/>
              <w:rPr>
                <w:rFonts w:cs="Calibri"/>
                <w:sz w:val="24"/>
                <w:szCs w:val="24"/>
              </w:rPr>
            </w:pPr>
            <w:r w:rsidRPr="000F27B6">
              <w:rPr>
                <w:rFonts w:cs="Calibri"/>
                <w:sz w:val="24"/>
                <w:szCs w:val="24"/>
              </w:rPr>
              <w:t>ZBTB17</w:t>
            </w:r>
          </w:p>
        </w:tc>
      </w:tr>
      <w:tr w:rsidR="00E775E0" w:rsidRPr="000F27B6" w14:paraId="47266A57" w14:textId="77777777" w:rsidTr="00E775E0">
        <w:trPr>
          <w:trHeight w:hRule="exact" w:val="397"/>
        </w:trPr>
        <w:tc>
          <w:tcPr>
            <w:tcW w:w="1440" w:type="dxa"/>
            <w:tcBorders>
              <w:top w:val="nil"/>
              <w:left w:val="single" w:sz="4" w:space="0" w:color="auto"/>
              <w:bottom w:val="single" w:sz="4" w:space="0" w:color="auto"/>
              <w:right w:val="single" w:sz="4" w:space="0" w:color="auto"/>
            </w:tcBorders>
            <w:noWrap/>
            <w:vAlign w:val="center"/>
            <w:hideMark/>
          </w:tcPr>
          <w:p w14:paraId="6E098222" w14:textId="77777777" w:rsidR="00E775E0" w:rsidRPr="000F27B6" w:rsidRDefault="00E775E0" w:rsidP="00E775E0">
            <w:pPr>
              <w:jc w:val="both"/>
              <w:rPr>
                <w:rFonts w:cs="Calibri"/>
                <w:sz w:val="24"/>
                <w:szCs w:val="24"/>
              </w:rPr>
            </w:pPr>
            <w:r w:rsidRPr="000F27B6">
              <w:rPr>
                <w:rFonts w:cs="Calibri"/>
                <w:sz w:val="24"/>
                <w:szCs w:val="24"/>
              </w:rPr>
              <w:t>CETP</w:t>
            </w:r>
          </w:p>
        </w:tc>
        <w:tc>
          <w:tcPr>
            <w:tcW w:w="1440" w:type="dxa"/>
            <w:tcBorders>
              <w:top w:val="nil"/>
              <w:left w:val="nil"/>
              <w:bottom w:val="single" w:sz="4" w:space="0" w:color="auto"/>
              <w:right w:val="single" w:sz="4" w:space="0" w:color="auto"/>
            </w:tcBorders>
            <w:noWrap/>
            <w:vAlign w:val="center"/>
            <w:hideMark/>
          </w:tcPr>
          <w:p w14:paraId="7DD2357A" w14:textId="77777777" w:rsidR="00E775E0" w:rsidRPr="000F27B6" w:rsidRDefault="00E775E0" w:rsidP="00E775E0">
            <w:pPr>
              <w:jc w:val="both"/>
              <w:rPr>
                <w:rFonts w:cs="Calibri"/>
                <w:sz w:val="24"/>
                <w:szCs w:val="24"/>
              </w:rPr>
            </w:pPr>
            <w:r w:rsidRPr="000F27B6">
              <w:rPr>
                <w:rFonts w:cs="Calibri"/>
                <w:sz w:val="24"/>
                <w:szCs w:val="24"/>
              </w:rPr>
              <w:t>CREB3L4</w:t>
            </w:r>
          </w:p>
        </w:tc>
        <w:tc>
          <w:tcPr>
            <w:tcW w:w="1440" w:type="dxa"/>
            <w:tcBorders>
              <w:top w:val="nil"/>
              <w:left w:val="nil"/>
              <w:bottom w:val="single" w:sz="4" w:space="0" w:color="auto"/>
              <w:right w:val="single" w:sz="4" w:space="0" w:color="auto"/>
            </w:tcBorders>
            <w:noWrap/>
            <w:vAlign w:val="center"/>
            <w:hideMark/>
          </w:tcPr>
          <w:p w14:paraId="045A9584" w14:textId="77777777" w:rsidR="00E775E0" w:rsidRPr="000F27B6" w:rsidRDefault="00E775E0" w:rsidP="00E775E0">
            <w:pPr>
              <w:jc w:val="both"/>
              <w:rPr>
                <w:rFonts w:cs="Calibri"/>
                <w:sz w:val="24"/>
                <w:szCs w:val="24"/>
              </w:rPr>
            </w:pPr>
            <w:r w:rsidRPr="000F27B6">
              <w:rPr>
                <w:rFonts w:cs="Calibri"/>
                <w:sz w:val="24"/>
                <w:szCs w:val="24"/>
              </w:rPr>
              <w:t>LAMA2</w:t>
            </w:r>
          </w:p>
        </w:tc>
        <w:tc>
          <w:tcPr>
            <w:tcW w:w="1440" w:type="dxa"/>
            <w:tcBorders>
              <w:top w:val="nil"/>
              <w:left w:val="nil"/>
              <w:bottom w:val="single" w:sz="4" w:space="0" w:color="auto"/>
              <w:right w:val="single" w:sz="4" w:space="0" w:color="auto"/>
            </w:tcBorders>
            <w:noWrap/>
            <w:vAlign w:val="center"/>
            <w:hideMark/>
          </w:tcPr>
          <w:p w14:paraId="222696BD" w14:textId="77777777" w:rsidR="00E775E0" w:rsidRPr="000F27B6" w:rsidRDefault="00E775E0" w:rsidP="00E775E0">
            <w:pPr>
              <w:jc w:val="both"/>
              <w:rPr>
                <w:rFonts w:cs="Calibri"/>
                <w:sz w:val="24"/>
                <w:szCs w:val="24"/>
              </w:rPr>
            </w:pPr>
            <w:r w:rsidRPr="000F27B6">
              <w:rPr>
                <w:rFonts w:cs="Calibri"/>
                <w:sz w:val="24"/>
                <w:szCs w:val="24"/>
              </w:rPr>
              <w:t>NPPA</w:t>
            </w:r>
          </w:p>
        </w:tc>
        <w:tc>
          <w:tcPr>
            <w:tcW w:w="1440" w:type="dxa"/>
            <w:tcBorders>
              <w:top w:val="nil"/>
              <w:left w:val="nil"/>
              <w:bottom w:val="single" w:sz="4" w:space="0" w:color="auto"/>
              <w:right w:val="single" w:sz="4" w:space="0" w:color="auto"/>
            </w:tcBorders>
            <w:noWrap/>
            <w:vAlign w:val="center"/>
            <w:hideMark/>
          </w:tcPr>
          <w:p w14:paraId="3D718376" w14:textId="77777777" w:rsidR="00E775E0" w:rsidRPr="000F27B6" w:rsidRDefault="00E775E0" w:rsidP="00E775E0">
            <w:pPr>
              <w:jc w:val="both"/>
              <w:rPr>
                <w:rFonts w:cs="Calibri"/>
                <w:sz w:val="24"/>
                <w:szCs w:val="24"/>
              </w:rPr>
            </w:pPr>
            <w:r w:rsidRPr="000F27B6">
              <w:rPr>
                <w:rFonts w:cs="Calibri"/>
                <w:sz w:val="24"/>
                <w:szCs w:val="24"/>
              </w:rPr>
              <w:t>SLC2A10</w:t>
            </w:r>
          </w:p>
        </w:tc>
        <w:tc>
          <w:tcPr>
            <w:tcW w:w="1440" w:type="dxa"/>
            <w:tcBorders>
              <w:top w:val="nil"/>
              <w:left w:val="nil"/>
              <w:bottom w:val="single" w:sz="4" w:space="0" w:color="auto"/>
              <w:right w:val="single" w:sz="4" w:space="0" w:color="auto"/>
            </w:tcBorders>
            <w:noWrap/>
            <w:vAlign w:val="center"/>
            <w:hideMark/>
          </w:tcPr>
          <w:p w14:paraId="46CD258D" w14:textId="77777777" w:rsidR="00E775E0" w:rsidRPr="000F27B6" w:rsidRDefault="00E775E0" w:rsidP="00E775E0">
            <w:pPr>
              <w:jc w:val="both"/>
              <w:rPr>
                <w:rFonts w:cs="Calibri"/>
                <w:sz w:val="24"/>
                <w:szCs w:val="24"/>
              </w:rPr>
            </w:pPr>
            <w:r w:rsidRPr="000F27B6">
              <w:rPr>
                <w:rFonts w:cs="Calibri"/>
                <w:sz w:val="24"/>
                <w:szCs w:val="24"/>
              </w:rPr>
              <w:t>ZHX3</w:t>
            </w:r>
          </w:p>
        </w:tc>
      </w:tr>
      <w:tr w:rsidR="00E775E0" w:rsidRPr="000F27B6" w14:paraId="650771A3" w14:textId="77777777" w:rsidTr="00E775E0">
        <w:trPr>
          <w:trHeight w:hRule="exact" w:val="397"/>
        </w:trPr>
        <w:tc>
          <w:tcPr>
            <w:tcW w:w="1440" w:type="dxa"/>
            <w:tcBorders>
              <w:top w:val="nil"/>
              <w:left w:val="single" w:sz="4" w:space="0" w:color="auto"/>
              <w:bottom w:val="single" w:sz="4" w:space="0" w:color="auto"/>
              <w:right w:val="single" w:sz="4" w:space="0" w:color="auto"/>
            </w:tcBorders>
            <w:noWrap/>
            <w:vAlign w:val="center"/>
            <w:hideMark/>
          </w:tcPr>
          <w:p w14:paraId="27CA5676" w14:textId="77777777" w:rsidR="00E775E0" w:rsidRPr="000F27B6" w:rsidRDefault="00E775E0" w:rsidP="00E775E0">
            <w:pPr>
              <w:jc w:val="both"/>
              <w:rPr>
                <w:rFonts w:cs="Calibri"/>
                <w:sz w:val="24"/>
                <w:szCs w:val="24"/>
              </w:rPr>
            </w:pPr>
            <w:r w:rsidRPr="000F27B6">
              <w:rPr>
                <w:rFonts w:cs="Calibri"/>
                <w:sz w:val="24"/>
                <w:szCs w:val="24"/>
              </w:rPr>
              <w:t>COL3A1</w:t>
            </w:r>
          </w:p>
        </w:tc>
        <w:tc>
          <w:tcPr>
            <w:tcW w:w="1440" w:type="dxa"/>
            <w:tcBorders>
              <w:top w:val="nil"/>
              <w:left w:val="nil"/>
              <w:bottom w:val="single" w:sz="4" w:space="0" w:color="auto"/>
              <w:right w:val="single" w:sz="4" w:space="0" w:color="auto"/>
            </w:tcBorders>
            <w:noWrap/>
            <w:vAlign w:val="center"/>
            <w:hideMark/>
          </w:tcPr>
          <w:p w14:paraId="1863B1F4" w14:textId="77777777" w:rsidR="00E775E0" w:rsidRPr="000F27B6" w:rsidRDefault="00E775E0" w:rsidP="00E775E0">
            <w:pPr>
              <w:jc w:val="both"/>
              <w:rPr>
                <w:rFonts w:cs="Calibri"/>
                <w:sz w:val="24"/>
                <w:szCs w:val="24"/>
              </w:rPr>
            </w:pPr>
            <w:r w:rsidRPr="000F27B6">
              <w:rPr>
                <w:rFonts w:cs="Calibri"/>
                <w:sz w:val="24"/>
                <w:szCs w:val="24"/>
              </w:rPr>
              <w:t>COL5A3</w:t>
            </w:r>
          </w:p>
        </w:tc>
        <w:tc>
          <w:tcPr>
            <w:tcW w:w="1440" w:type="dxa"/>
            <w:tcBorders>
              <w:top w:val="nil"/>
              <w:left w:val="nil"/>
              <w:bottom w:val="single" w:sz="4" w:space="0" w:color="auto"/>
              <w:right w:val="single" w:sz="4" w:space="0" w:color="auto"/>
            </w:tcBorders>
            <w:noWrap/>
            <w:vAlign w:val="center"/>
            <w:hideMark/>
          </w:tcPr>
          <w:p w14:paraId="43AEA340" w14:textId="77777777" w:rsidR="00E775E0" w:rsidRPr="000F27B6" w:rsidRDefault="00E775E0" w:rsidP="00E775E0">
            <w:pPr>
              <w:jc w:val="both"/>
              <w:rPr>
                <w:rFonts w:cs="Calibri"/>
                <w:sz w:val="24"/>
                <w:szCs w:val="24"/>
              </w:rPr>
            </w:pPr>
            <w:r w:rsidRPr="000F27B6">
              <w:rPr>
                <w:rFonts w:cs="Calibri"/>
                <w:sz w:val="24"/>
                <w:szCs w:val="24"/>
              </w:rPr>
              <w:t>LAMA4</w:t>
            </w:r>
          </w:p>
        </w:tc>
        <w:tc>
          <w:tcPr>
            <w:tcW w:w="1440" w:type="dxa"/>
            <w:tcBorders>
              <w:top w:val="nil"/>
              <w:left w:val="nil"/>
              <w:bottom w:val="single" w:sz="4" w:space="0" w:color="auto"/>
              <w:right w:val="single" w:sz="4" w:space="0" w:color="auto"/>
            </w:tcBorders>
            <w:noWrap/>
            <w:vAlign w:val="center"/>
            <w:hideMark/>
          </w:tcPr>
          <w:p w14:paraId="1DB99E47" w14:textId="77777777" w:rsidR="00E775E0" w:rsidRPr="000F27B6" w:rsidRDefault="00E775E0" w:rsidP="00E775E0">
            <w:pPr>
              <w:jc w:val="both"/>
              <w:rPr>
                <w:rFonts w:cs="Calibri"/>
                <w:sz w:val="24"/>
                <w:szCs w:val="24"/>
              </w:rPr>
            </w:pPr>
            <w:r w:rsidRPr="000F27B6">
              <w:rPr>
                <w:rFonts w:cs="Calibri"/>
                <w:sz w:val="24"/>
                <w:szCs w:val="24"/>
              </w:rPr>
              <w:t>NRAS</w:t>
            </w:r>
          </w:p>
        </w:tc>
        <w:tc>
          <w:tcPr>
            <w:tcW w:w="1440" w:type="dxa"/>
            <w:tcBorders>
              <w:top w:val="nil"/>
              <w:left w:val="nil"/>
              <w:bottom w:val="single" w:sz="4" w:space="0" w:color="auto"/>
              <w:right w:val="single" w:sz="4" w:space="0" w:color="auto"/>
            </w:tcBorders>
            <w:noWrap/>
            <w:vAlign w:val="center"/>
            <w:hideMark/>
          </w:tcPr>
          <w:p w14:paraId="74F9BCF7" w14:textId="77777777" w:rsidR="00E775E0" w:rsidRPr="000F27B6" w:rsidRDefault="00E775E0" w:rsidP="00E775E0">
            <w:pPr>
              <w:jc w:val="both"/>
              <w:rPr>
                <w:rFonts w:cs="Calibri"/>
                <w:sz w:val="24"/>
                <w:szCs w:val="24"/>
              </w:rPr>
            </w:pPr>
            <w:r w:rsidRPr="000F27B6">
              <w:rPr>
                <w:rFonts w:cs="Calibri"/>
                <w:sz w:val="24"/>
                <w:szCs w:val="24"/>
              </w:rPr>
              <w:t>SMAD3</w:t>
            </w:r>
          </w:p>
        </w:tc>
        <w:tc>
          <w:tcPr>
            <w:tcW w:w="1440" w:type="dxa"/>
            <w:tcBorders>
              <w:top w:val="nil"/>
              <w:left w:val="nil"/>
              <w:bottom w:val="single" w:sz="4" w:space="0" w:color="auto"/>
              <w:right w:val="single" w:sz="4" w:space="0" w:color="auto"/>
            </w:tcBorders>
            <w:noWrap/>
            <w:vAlign w:val="center"/>
            <w:hideMark/>
          </w:tcPr>
          <w:p w14:paraId="2BD35242" w14:textId="77777777" w:rsidR="00E775E0" w:rsidRPr="000F27B6" w:rsidRDefault="00E775E0" w:rsidP="00E775E0">
            <w:pPr>
              <w:jc w:val="both"/>
              <w:rPr>
                <w:rFonts w:cs="Calibri"/>
                <w:sz w:val="24"/>
                <w:szCs w:val="24"/>
              </w:rPr>
            </w:pPr>
            <w:r w:rsidRPr="000F27B6">
              <w:rPr>
                <w:rFonts w:cs="Calibri"/>
                <w:sz w:val="24"/>
                <w:szCs w:val="24"/>
              </w:rPr>
              <w:t>ZIC3</w:t>
            </w:r>
          </w:p>
        </w:tc>
      </w:tr>
    </w:tbl>
    <w:p w14:paraId="28DF09C7" w14:textId="20880D56" w:rsidR="0026066A" w:rsidRPr="00E775E0" w:rsidRDefault="0026066A">
      <w:pPr>
        <w:spacing w:after="0" w:line="240" w:lineRule="auto"/>
        <w:rPr>
          <w:rFonts w:cs="Calibri"/>
          <w:sz w:val="24"/>
          <w:szCs w:val="24"/>
        </w:rPr>
      </w:pPr>
    </w:p>
    <w:p w14:paraId="447092F5" w14:textId="77777777" w:rsidR="0026066A" w:rsidRDefault="0026066A">
      <w:pPr>
        <w:spacing w:after="0" w:line="240" w:lineRule="auto"/>
        <w:rPr>
          <w:rFonts w:asciiTheme="minorHAnsi" w:hAnsiTheme="minorHAnsi" w:cs="Arial"/>
          <w:b/>
          <w:sz w:val="24"/>
          <w:szCs w:val="24"/>
        </w:rPr>
      </w:pPr>
    </w:p>
    <w:p w14:paraId="1ED4D578" w14:textId="77777777" w:rsidR="0026066A" w:rsidRDefault="0026066A">
      <w:pPr>
        <w:spacing w:after="0" w:line="240" w:lineRule="auto"/>
        <w:rPr>
          <w:rFonts w:asciiTheme="minorHAnsi" w:hAnsiTheme="minorHAnsi" w:cs="Arial"/>
          <w:b/>
          <w:sz w:val="24"/>
          <w:szCs w:val="24"/>
        </w:rPr>
      </w:pPr>
    </w:p>
    <w:p w14:paraId="4731B5B1" w14:textId="77777777" w:rsidR="0026066A" w:rsidRDefault="0026066A">
      <w:pPr>
        <w:spacing w:after="0" w:line="240" w:lineRule="auto"/>
        <w:rPr>
          <w:rFonts w:asciiTheme="minorHAnsi" w:hAnsiTheme="minorHAnsi" w:cs="Arial"/>
          <w:b/>
          <w:sz w:val="24"/>
          <w:szCs w:val="24"/>
        </w:rPr>
      </w:pPr>
    </w:p>
    <w:p w14:paraId="0031691C" w14:textId="2BB3E569" w:rsidR="009E7B84" w:rsidRDefault="009E7B84">
      <w:pPr>
        <w:spacing w:after="0" w:line="240" w:lineRule="auto"/>
        <w:rPr>
          <w:rFonts w:asciiTheme="minorHAnsi" w:hAnsiTheme="minorHAnsi" w:cs="Arial"/>
          <w:b/>
          <w:sz w:val="24"/>
          <w:szCs w:val="24"/>
        </w:rPr>
      </w:pPr>
    </w:p>
    <w:p w14:paraId="2F74BAB2" w14:textId="2C2B186E" w:rsidR="00F24CA7" w:rsidRDefault="00F24CA7">
      <w:pPr>
        <w:spacing w:after="0" w:line="240" w:lineRule="auto"/>
        <w:rPr>
          <w:rFonts w:asciiTheme="minorHAnsi" w:hAnsiTheme="minorHAnsi" w:cs="Arial"/>
          <w:b/>
          <w:sz w:val="24"/>
          <w:szCs w:val="24"/>
        </w:rPr>
      </w:pPr>
    </w:p>
    <w:p w14:paraId="0C54FEAB" w14:textId="33BA9D45" w:rsidR="00F24CA7" w:rsidRDefault="00F24CA7">
      <w:pPr>
        <w:spacing w:after="0" w:line="240" w:lineRule="auto"/>
        <w:rPr>
          <w:rFonts w:asciiTheme="minorHAnsi" w:hAnsiTheme="minorHAnsi" w:cs="Arial"/>
          <w:b/>
          <w:sz w:val="24"/>
          <w:szCs w:val="24"/>
        </w:rPr>
      </w:pPr>
    </w:p>
    <w:p w14:paraId="19302DEB" w14:textId="685E5FA5" w:rsidR="00F24CA7" w:rsidRDefault="00F24CA7">
      <w:pPr>
        <w:spacing w:after="0" w:line="240" w:lineRule="auto"/>
        <w:rPr>
          <w:rFonts w:asciiTheme="minorHAnsi" w:hAnsiTheme="minorHAnsi" w:cs="Arial"/>
          <w:b/>
          <w:sz w:val="24"/>
          <w:szCs w:val="24"/>
        </w:rPr>
      </w:pPr>
    </w:p>
    <w:p w14:paraId="07881D87" w14:textId="0BE17CB1" w:rsidR="00F24CA7" w:rsidRDefault="00F24CA7">
      <w:pPr>
        <w:spacing w:after="0" w:line="240" w:lineRule="auto"/>
        <w:rPr>
          <w:rFonts w:asciiTheme="minorHAnsi" w:hAnsiTheme="minorHAnsi" w:cs="Arial"/>
          <w:b/>
          <w:sz w:val="24"/>
          <w:szCs w:val="24"/>
        </w:rPr>
      </w:pPr>
    </w:p>
    <w:p w14:paraId="64795210" w14:textId="1D4E1FC2" w:rsidR="00F24CA7" w:rsidRDefault="00F24CA7">
      <w:pPr>
        <w:spacing w:after="0" w:line="240" w:lineRule="auto"/>
        <w:rPr>
          <w:rFonts w:asciiTheme="minorHAnsi" w:hAnsiTheme="minorHAnsi" w:cs="Arial"/>
          <w:b/>
          <w:sz w:val="24"/>
          <w:szCs w:val="24"/>
        </w:rPr>
      </w:pPr>
    </w:p>
    <w:p w14:paraId="59251730" w14:textId="7EF771BD" w:rsidR="00F24CA7" w:rsidRDefault="00F24CA7">
      <w:pPr>
        <w:spacing w:after="0" w:line="240" w:lineRule="auto"/>
        <w:rPr>
          <w:rFonts w:asciiTheme="minorHAnsi" w:hAnsiTheme="minorHAnsi" w:cs="Arial"/>
          <w:b/>
          <w:sz w:val="24"/>
          <w:szCs w:val="24"/>
        </w:rPr>
      </w:pPr>
    </w:p>
    <w:p w14:paraId="75D34FAD" w14:textId="77777777" w:rsidR="00F24CA7" w:rsidRDefault="00F24CA7">
      <w:pPr>
        <w:spacing w:after="0" w:line="240" w:lineRule="auto"/>
        <w:rPr>
          <w:rFonts w:asciiTheme="minorHAnsi" w:hAnsiTheme="minorHAnsi" w:cs="Arial"/>
          <w:b/>
          <w:sz w:val="24"/>
          <w:szCs w:val="24"/>
        </w:rPr>
      </w:pPr>
    </w:p>
    <w:p w14:paraId="6BB4BBE2" w14:textId="77777777" w:rsidR="00E775E0" w:rsidRDefault="00E775E0">
      <w:pPr>
        <w:spacing w:after="0" w:line="240" w:lineRule="auto"/>
        <w:rPr>
          <w:rFonts w:asciiTheme="minorHAnsi" w:hAnsiTheme="minorHAnsi" w:cs="Arial"/>
          <w:b/>
          <w:sz w:val="24"/>
          <w:szCs w:val="24"/>
        </w:rPr>
      </w:pPr>
    </w:p>
    <w:p w14:paraId="70A4E223" w14:textId="77777777" w:rsidR="00E775E0" w:rsidRDefault="00E775E0">
      <w:pPr>
        <w:spacing w:after="0" w:line="240" w:lineRule="auto"/>
        <w:rPr>
          <w:rFonts w:asciiTheme="minorHAnsi" w:hAnsiTheme="minorHAnsi" w:cs="Arial"/>
          <w:b/>
          <w:sz w:val="24"/>
          <w:szCs w:val="24"/>
        </w:rPr>
      </w:pPr>
    </w:p>
    <w:p w14:paraId="6E17FAC7" w14:textId="77777777" w:rsidR="00E775E0" w:rsidRDefault="00E775E0">
      <w:pPr>
        <w:spacing w:after="0" w:line="240" w:lineRule="auto"/>
        <w:rPr>
          <w:rFonts w:asciiTheme="minorHAnsi" w:hAnsiTheme="minorHAnsi" w:cs="Arial"/>
          <w:b/>
          <w:sz w:val="24"/>
          <w:szCs w:val="24"/>
        </w:rPr>
      </w:pPr>
    </w:p>
    <w:p w14:paraId="7B994360" w14:textId="77777777" w:rsidR="00E775E0" w:rsidRDefault="00E775E0">
      <w:pPr>
        <w:spacing w:after="0" w:line="240" w:lineRule="auto"/>
        <w:rPr>
          <w:rFonts w:asciiTheme="minorHAnsi" w:hAnsiTheme="minorHAnsi" w:cs="Arial"/>
          <w:b/>
          <w:sz w:val="24"/>
          <w:szCs w:val="24"/>
        </w:rPr>
      </w:pPr>
    </w:p>
    <w:p w14:paraId="32C68B7F" w14:textId="77777777" w:rsidR="00E775E0" w:rsidRDefault="00E775E0">
      <w:pPr>
        <w:spacing w:after="0" w:line="240" w:lineRule="auto"/>
        <w:rPr>
          <w:rFonts w:asciiTheme="minorHAnsi" w:hAnsiTheme="minorHAnsi" w:cs="Arial"/>
          <w:b/>
          <w:sz w:val="24"/>
          <w:szCs w:val="24"/>
        </w:rPr>
      </w:pPr>
    </w:p>
    <w:p w14:paraId="54DAF497" w14:textId="77777777" w:rsidR="00E775E0" w:rsidRDefault="00E775E0">
      <w:pPr>
        <w:spacing w:after="0" w:line="240" w:lineRule="auto"/>
        <w:rPr>
          <w:rFonts w:asciiTheme="minorHAnsi" w:hAnsiTheme="minorHAnsi" w:cs="Arial"/>
          <w:b/>
          <w:sz w:val="24"/>
          <w:szCs w:val="24"/>
        </w:rPr>
      </w:pPr>
    </w:p>
    <w:p w14:paraId="10C39B58" w14:textId="77777777" w:rsidR="00E775E0" w:rsidRDefault="00E775E0">
      <w:pPr>
        <w:spacing w:after="0" w:line="240" w:lineRule="auto"/>
        <w:rPr>
          <w:rFonts w:asciiTheme="minorHAnsi" w:hAnsiTheme="minorHAnsi" w:cs="Arial"/>
          <w:b/>
          <w:sz w:val="24"/>
          <w:szCs w:val="24"/>
        </w:rPr>
      </w:pPr>
    </w:p>
    <w:p w14:paraId="02DF153A" w14:textId="77777777" w:rsidR="00E775E0" w:rsidRDefault="00E775E0">
      <w:pPr>
        <w:spacing w:after="0" w:line="240" w:lineRule="auto"/>
        <w:rPr>
          <w:rFonts w:asciiTheme="minorHAnsi" w:hAnsiTheme="minorHAnsi" w:cs="Arial"/>
          <w:b/>
          <w:sz w:val="24"/>
          <w:szCs w:val="24"/>
        </w:rPr>
      </w:pPr>
    </w:p>
    <w:p w14:paraId="3FDA4157" w14:textId="77777777" w:rsidR="00E775E0" w:rsidRDefault="00E775E0">
      <w:pPr>
        <w:spacing w:after="0" w:line="240" w:lineRule="auto"/>
        <w:rPr>
          <w:rFonts w:asciiTheme="minorHAnsi" w:hAnsiTheme="minorHAnsi" w:cs="Arial"/>
          <w:b/>
          <w:sz w:val="24"/>
          <w:szCs w:val="24"/>
        </w:rPr>
      </w:pPr>
    </w:p>
    <w:p w14:paraId="0F8B7BD6" w14:textId="77777777" w:rsidR="00E775E0" w:rsidRDefault="00E775E0">
      <w:pPr>
        <w:spacing w:after="0" w:line="240" w:lineRule="auto"/>
        <w:rPr>
          <w:rFonts w:asciiTheme="minorHAnsi" w:hAnsiTheme="minorHAnsi" w:cs="Arial"/>
          <w:b/>
          <w:sz w:val="24"/>
          <w:szCs w:val="24"/>
        </w:rPr>
      </w:pPr>
    </w:p>
    <w:p w14:paraId="169B0F78" w14:textId="77777777" w:rsidR="00E775E0" w:rsidRDefault="00E775E0">
      <w:pPr>
        <w:spacing w:after="0" w:line="240" w:lineRule="auto"/>
        <w:rPr>
          <w:rFonts w:asciiTheme="minorHAnsi" w:hAnsiTheme="minorHAnsi" w:cs="Arial"/>
          <w:b/>
          <w:sz w:val="24"/>
          <w:szCs w:val="24"/>
        </w:rPr>
      </w:pPr>
    </w:p>
    <w:p w14:paraId="71BB3346" w14:textId="77777777" w:rsidR="00E775E0" w:rsidRDefault="00E775E0">
      <w:pPr>
        <w:spacing w:after="0" w:line="240" w:lineRule="auto"/>
        <w:rPr>
          <w:rFonts w:asciiTheme="minorHAnsi" w:hAnsiTheme="minorHAnsi" w:cs="Arial"/>
          <w:b/>
          <w:sz w:val="24"/>
          <w:szCs w:val="24"/>
        </w:rPr>
      </w:pPr>
    </w:p>
    <w:p w14:paraId="5ED063C4" w14:textId="1E746EAA" w:rsidR="00E775E0" w:rsidRDefault="00E775E0">
      <w:pPr>
        <w:spacing w:after="0" w:line="240" w:lineRule="auto"/>
        <w:rPr>
          <w:rFonts w:asciiTheme="minorHAnsi" w:hAnsiTheme="minorHAnsi" w:cs="Arial"/>
          <w:b/>
          <w:sz w:val="24"/>
          <w:szCs w:val="24"/>
        </w:rPr>
        <w:sectPr w:rsidR="00E775E0" w:rsidSect="00E775E0">
          <w:footerReference w:type="default" r:id="rId12"/>
          <w:pgSz w:w="11906" w:h="16838"/>
          <w:pgMar w:top="1440" w:right="1440" w:bottom="1440" w:left="1440" w:header="708" w:footer="708" w:gutter="0"/>
          <w:cols w:space="708"/>
          <w:docGrid w:linePitch="360"/>
        </w:sectPr>
      </w:pPr>
    </w:p>
    <w:p w14:paraId="11D88392" w14:textId="41E73B07" w:rsidR="003934A6" w:rsidRPr="000F27B6" w:rsidRDefault="007A420C">
      <w:pPr>
        <w:spacing w:after="0" w:line="240" w:lineRule="auto"/>
        <w:rPr>
          <w:rFonts w:asciiTheme="minorHAnsi" w:hAnsiTheme="minorHAnsi" w:cs="Arial"/>
          <w:b/>
          <w:sz w:val="24"/>
          <w:szCs w:val="24"/>
        </w:rPr>
      </w:pPr>
      <w:r w:rsidRPr="000F27B6">
        <w:rPr>
          <w:rFonts w:asciiTheme="minorHAnsi" w:hAnsiTheme="minorHAnsi" w:cs="Arial"/>
          <w:b/>
          <w:sz w:val="24"/>
          <w:szCs w:val="24"/>
        </w:rPr>
        <w:lastRenderedPageBreak/>
        <w:t xml:space="preserve">Table </w:t>
      </w:r>
      <w:r w:rsidR="00097D34" w:rsidRPr="000F27B6">
        <w:rPr>
          <w:rFonts w:asciiTheme="minorHAnsi" w:hAnsiTheme="minorHAnsi" w:cs="Arial"/>
          <w:b/>
          <w:sz w:val="24"/>
          <w:szCs w:val="24"/>
        </w:rPr>
        <w:t>2</w:t>
      </w:r>
      <w:r w:rsidRPr="000F27B6">
        <w:rPr>
          <w:rFonts w:asciiTheme="minorHAnsi" w:hAnsiTheme="minorHAnsi" w:cs="Arial"/>
          <w:b/>
          <w:sz w:val="24"/>
          <w:szCs w:val="24"/>
        </w:rPr>
        <w:t>.</w:t>
      </w:r>
      <w:r w:rsidRPr="000F27B6">
        <w:rPr>
          <w:rFonts w:asciiTheme="minorHAnsi" w:hAnsiTheme="minorHAnsi" w:cs="Arial"/>
          <w:sz w:val="24"/>
          <w:szCs w:val="24"/>
        </w:rPr>
        <w:t xml:space="preserve"> </w:t>
      </w:r>
      <w:r w:rsidR="00251749" w:rsidRPr="000F27B6">
        <w:rPr>
          <w:rFonts w:asciiTheme="minorHAnsi" w:hAnsiTheme="minorHAnsi" w:cs="Arial"/>
          <w:sz w:val="24"/>
          <w:szCs w:val="24"/>
        </w:rPr>
        <w:t>Rare variants</w:t>
      </w:r>
      <w:r w:rsidR="003934A6" w:rsidRPr="000F27B6">
        <w:rPr>
          <w:rFonts w:asciiTheme="minorHAnsi" w:hAnsiTheme="minorHAnsi" w:cs="Arial"/>
          <w:sz w:val="24"/>
          <w:szCs w:val="24"/>
        </w:rPr>
        <w:t xml:space="preserve"> in sudden death victims</w:t>
      </w:r>
      <w:r w:rsidR="002B3164" w:rsidRPr="000F27B6">
        <w:rPr>
          <w:rFonts w:asciiTheme="minorHAnsi" w:hAnsiTheme="minorHAnsi" w:cs="Arial"/>
          <w:sz w:val="24"/>
          <w:szCs w:val="24"/>
        </w:rPr>
        <w:t>.</w:t>
      </w:r>
    </w:p>
    <w:p w14:paraId="3A3C2A51" w14:textId="77777777" w:rsidR="003934A6" w:rsidRPr="000F27B6" w:rsidRDefault="003934A6">
      <w:pPr>
        <w:spacing w:after="0" w:line="240" w:lineRule="auto"/>
        <w:rPr>
          <w:sz w:val="24"/>
          <w:szCs w:val="24"/>
        </w:rPr>
      </w:pPr>
    </w:p>
    <w:p w14:paraId="31303AB2" w14:textId="77777777" w:rsidR="003934A6" w:rsidRPr="000F27B6" w:rsidRDefault="003934A6">
      <w:pPr>
        <w:spacing w:after="0" w:line="240" w:lineRule="auto"/>
        <w:rPr>
          <w:sz w:val="24"/>
          <w:szCs w:val="24"/>
        </w:rPr>
      </w:pPr>
    </w:p>
    <w:tbl>
      <w:tblPr>
        <w:tblStyle w:val="TableGrid"/>
        <w:tblW w:w="12362" w:type="dxa"/>
        <w:tblInd w:w="-176" w:type="dxa"/>
        <w:tblLayout w:type="fixed"/>
        <w:tblLook w:val="04A0" w:firstRow="1" w:lastRow="0" w:firstColumn="1" w:lastColumn="0" w:noHBand="0" w:noVBand="1"/>
      </w:tblPr>
      <w:tblGrid>
        <w:gridCol w:w="1038"/>
        <w:gridCol w:w="1440"/>
        <w:gridCol w:w="2229"/>
        <w:gridCol w:w="1560"/>
        <w:gridCol w:w="1559"/>
        <w:gridCol w:w="1559"/>
        <w:gridCol w:w="1418"/>
        <w:gridCol w:w="1559"/>
      </w:tblGrid>
      <w:tr w:rsidR="00894DDF" w:rsidRPr="000F27B6" w14:paraId="7F452C85" w14:textId="77777777" w:rsidTr="00980E88">
        <w:trPr>
          <w:trHeight w:val="978"/>
        </w:trPr>
        <w:tc>
          <w:tcPr>
            <w:tcW w:w="1038" w:type="dxa"/>
            <w:tcBorders>
              <w:top w:val="single" w:sz="4" w:space="0" w:color="auto"/>
              <w:left w:val="single" w:sz="4" w:space="0" w:color="auto"/>
              <w:bottom w:val="single" w:sz="4" w:space="0" w:color="auto"/>
              <w:right w:val="single" w:sz="4" w:space="0" w:color="auto"/>
            </w:tcBorders>
          </w:tcPr>
          <w:p w14:paraId="68B07874" w14:textId="193A984F" w:rsidR="00894DDF" w:rsidRPr="000F27B6" w:rsidRDefault="00894DDF">
            <w:pPr>
              <w:spacing w:after="0" w:line="240" w:lineRule="auto"/>
              <w:rPr>
                <w:rFonts w:asciiTheme="minorHAnsi" w:hAnsiTheme="minorHAnsi" w:cs="Arial"/>
                <w:b/>
                <w:sz w:val="24"/>
                <w:szCs w:val="24"/>
              </w:rPr>
            </w:pPr>
            <w:r>
              <w:rPr>
                <w:rFonts w:asciiTheme="minorHAnsi" w:hAnsiTheme="minorHAnsi" w:cs="Arial"/>
                <w:b/>
                <w:sz w:val="24"/>
                <w:szCs w:val="24"/>
              </w:rPr>
              <w:t>N</w:t>
            </w:r>
          </w:p>
        </w:tc>
        <w:tc>
          <w:tcPr>
            <w:tcW w:w="1440" w:type="dxa"/>
            <w:tcBorders>
              <w:top w:val="single" w:sz="4" w:space="0" w:color="auto"/>
              <w:left w:val="single" w:sz="4" w:space="0" w:color="auto"/>
              <w:bottom w:val="single" w:sz="4" w:space="0" w:color="auto"/>
              <w:right w:val="single" w:sz="4" w:space="0" w:color="auto"/>
            </w:tcBorders>
            <w:hideMark/>
          </w:tcPr>
          <w:p w14:paraId="22488D44" w14:textId="6A0F5157" w:rsidR="00894DDF" w:rsidRPr="000F27B6" w:rsidRDefault="00894DDF">
            <w:pPr>
              <w:spacing w:after="0" w:line="240" w:lineRule="auto"/>
              <w:rPr>
                <w:rFonts w:asciiTheme="minorHAnsi" w:hAnsiTheme="minorHAnsi" w:cs="Arial"/>
                <w:b/>
                <w:sz w:val="24"/>
                <w:szCs w:val="24"/>
              </w:rPr>
            </w:pPr>
            <w:r w:rsidRPr="000F27B6">
              <w:rPr>
                <w:rFonts w:asciiTheme="minorHAnsi" w:hAnsiTheme="minorHAnsi" w:cs="Arial"/>
                <w:b/>
                <w:sz w:val="24"/>
                <w:szCs w:val="24"/>
              </w:rPr>
              <w:t>Gene</w:t>
            </w:r>
          </w:p>
        </w:tc>
        <w:tc>
          <w:tcPr>
            <w:tcW w:w="2229" w:type="dxa"/>
            <w:tcBorders>
              <w:top w:val="single" w:sz="4" w:space="0" w:color="auto"/>
              <w:left w:val="single" w:sz="4" w:space="0" w:color="auto"/>
              <w:bottom w:val="single" w:sz="4" w:space="0" w:color="auto"/>
              <w:right w:val="single" w:sz="4" w:space="0" w:color="auto"/>
            </w:tcBorders>
            <w:hideMark/>
          </w:tcPr>
          <w:p w14:paraId="546031EF" w14:textId="77777777" w:rsidR="00894DDF" w:rsidRPr="000F27B6" w:rsidRDefault="00894DDF">
            <w:pPr>
              <w:spacing w:after="0" w:line="240" w:lineRule="auto"/>
              <w:rPr>
                <w:rFonts w:asciiTheme="minorHAnsi" w:hAnsiTheme="minorHAnsi" w:cs="Arial"/>
                <w:b/>
                <w:sz w:val="24"/>
                <w:szCs w:val="24"/>
              </w:rPr>
            </w:pPr>
            <w:r w:rsidRPr="000F27B6">
              <w:rPr>
                <w:rFonts w:asciiTheme="minorHAnsi" w:hAnsiTheme="minorHAnsi" w:cs="Arial"/>
                <w:b/>
                <w:sz w:val="24"/>
                <w:szCs w:val="24"/>
              </w:rPr>
              <w:t>Protein Name</w:t>
            </w:r>
          </w:p>
        </w:tc>
        <w:tc>
          <w:tcPr>
            <w:tcW w:w="1560" w:type="dxa"/>
            <w:tcBorders>
              <w:top w:val="single" w:sz="4" w:space="0" w:color="auto"/>
              <w:left w:val="single" w:sz="4" w:space="0" w:color="auto"/>
              <w:bottom w:val="single" w:sz="4" w:space="0" w:color="auto"/>
              <w:right w:val="single" w:sz="4" w:space="0" w:color="auto"/>
            </w:tcBorders>
            <w:hideMark/>
          </w:tcPr>
          <w:p w14:paraId="09687B90" w14:textId="77777777" w:rsidR="00894DDF" w:rsidRPr="000F27B6" w:rsidRDefault="00894DDF">
            <w:pPr>
              <w:spacing w:after="0" w:line="240" w:lineRule="auto"/>
              <w:rPr>
                <w:rFonts w:asciiTheme="minorHAnsi" w:hAnsiTheme="minorHAnsi" w:cs="Arial"/>
                <w:b/>
                <w:sz w:val="24"/>
                <w:szCs w:val="24"/>
              </w:rPr>
            </w:pPr>
            <w:proofErr w:type="spellStart"/>
            <w:r w:rsidRPr="000F27B6">
              <w:rPr>
                <w:rFonts w:asciiTheme="minorHAnsi" w:hAnsiTheme="minorHAnsi" w:cs="Arial"/>
                <w:b/>
                <w:sz w:val="24"/>
                <w:szCs w:val="24"/>
              </w:rPr>
              <w:t>c.DNA</w:t>
            </w:r>
            <w:proofErr w:type="spellEnd"/>
            <w:r w:rsidRPr="000F27B6">
              <w:rPr>
                <w:rFonts w:asciiTheme="minorHAnsi" w:hAnsiTheme="minorHAnsi" w:cs="Arial"/>
                <w:b/>
                <w:sz w:val="24"/>
                <w:szCs w:val="24"/>
              </w:rPr>
              <w:t xml:space="preserve"> change</w:t>
            </w:r>
          </w:p>
        </w:tc>
        <w:tc>
          <w:tcPr>
            <w:tcW w:w="1559" w:type="dxa"/>
            <w:tcBorders>
              <w:top w:val="single" w:sz="4" w:space="0" w:color="auto"/>
              <w:left w:val="single" w:sz="4" w:space="0" w:color="auto"/>
              <w:bottom w:val="single" w:sz="4" w:space="0" w:color="auto"/>
              <w:right w:val="single" w:sz="4" w:space="0" w:color="auto"/>
            </w:tcBorders>
            <w:hideMark/>
          </w:tcPr>
          <w:p w14:paraId="0858FFB5" w14:textId="77777777" w:rsidR="00894DDF" w:rsidRPr="000F27B6" w:rsidRDefault="00894DDF">
            <w:pPr>
              <w:spacing w:after="0" w:line="240" w:lineRule="auto"/>
              <w:rPr>
                <w:rFonts w:asciiTheme="minorHAnsi" w:hAnsiTheme="minorHAnsi" w:cs="Arial"/>
                <w:b/>
                <w:sz w:val="24"/>
                <w:szCs w:val="24"/>
              </w:rPr>
            </w:pPr>
            <w:r w:rsidRPr="000F27B6">
              <w:rPr>
                <w:rFonts w:asciiTheme="minorHAnsi" w:hAnsiTheme="minorHAnsi" w:cs="Arial"/>
                <w:b/>
                <w:sz w:val="24"/>
                <w:szCs w:val="24"/>
              </w:rPr>
              <w:t>p. amino acid change</w:t>
            </w:r>
          </w:p>
        </w:tc>
        <w:tc>
          <w:tcPr>
            <w:tcW w:w="1559" w:type="dxa"/>
            <w:tcBorders>
              <w:top w:val="single" w:sz="4" w:space="0" w:color="auto"/>
              <w:left w:val="single" w:sz="4" w:space="0" w:color="auto"/>
              <w:bottom w:val="single" w:sz="4" w:space="0" w:color="auto"/>
              <w:right w:val="single" w:sz="4" w:space="0" w:color="auto"/>
            </w:tcBorders>
            <w:hideMark/>
          </w:tcPr>
          <w:p w14:paraId="595685AA" w14:textId="77777777" w:rsidR="00894DDF" w:rsidRPr="000F27B6" w:rsidRDefault="00894DDF">
            <w:pPr>
              <w:spacing w:after="0" w:line="240" w:lineRule="auto"/>
              <w:rPr>
                <w:rFonts w:asciiTheme="minorHAnsi" w:hAnsiTheme="minorHAnsi" w:cs="Arial"/>
                <w:b/>
                <w:sz w:val="24"/>
                <w:szCs w:val="24"/>
              </w:rPr>
            </w:pPr>
            <w:proofErr w:type="spellStart"/>
            <w:r w:rsidRPr="000F27B6">
              <w:rPr>
                <w:rFonts w:asciiTheme="minorHAnsi" w:hAnsiTheme="minorHAnsi" w:cs="Arial"/>
                <w:b/>
                <w:sz w:val="24"/>
                <w:szCs w:val="24"/>
              </w:rPr>
              <w:t>ExAC</w:t>
            </w:r>
            <w:proofErr w:type="spellEnd"/>
            <w:r w:rsidRPr="000F27B6">
              <w:rPr>
                <w:rFonts w:asciiTheme="minorHAnsi" w:hAnsiTheme="minorHAnsi" w:cs="Arial"/>
                <w:b/>
                <w:sz w:val="24"/>
                <w:szCs w:val="24"/>
              </w:rPr>
              <w:t xml:space="preserve"> MAF</w:t>
            </w:r>
          </w:p>
        </w:tc>
        <w:tc>
          <w:tcPr>
            <w:tcW w:w="1418" w:type="dxa"/>
            <w:tcBorders>
              <w:top w:val="single" w:sz="4" w:space="0" w:color="auto"/>
              <w:left w:val="single" w:sz="4" w:space="0" w:color="auto"/>
              <w:bottom w:val="single" w:sz="4" w:space="0" w:color="auto"/>
              <w:right w:val="single" w:sz="4" w:space="0" w:color="auto"/>
            </w:tcBorders>
            <w:hideMark/>
          </w:tcPr>
          <w:p w14:paraId="6752AC76" w14:textId="77777777" w:rsidR="00894DDF" w:rsidRPr="000F27B6" w:rsidRDefault="00894DDF">
            <w:pPr>
              <w:spacing w:after="0" w:line="240" w:lineRule="auto"/>
              <w:rPr>
                <w:rFonts w:asciiTheme="minorHAnsi" w:hAnsiTheme="minorHAnsi" w:cs="Arial"/>
                <w:b/>
                <w:sz w:val="24"/>
                <w:szCs w:val="24"/>
              </w:rPr>
            </w:pPr>
            <w:r w:rsidRPr="000F27B6">
              <w:rPr>
                <w:rFonts w:asciiTheme="minorHAnsi" w:hAnsiTheme="minorHAnsi" w:cs="Arial"/>
                <w:b/>
                <w:sz w:val="24"/>
                <w:szCs w:val="24"/>
              </w:rPr>
              <w:t>CADD</w:t>
            </w:r>
          </w:p>
        </w:tc>
        <w:tc>
          <w:tcPr>
            <w:tcW w:w="1559" w:type="dxa"/>
            <w:tcBorders>
              <w:top w:val="single" w:sz="4" w:space="0" w:color="auto"/>
              <w:left w:val="single" w:sz="4" w:space="0" w:color="auto"/>
              <w:bottom w:val="single" w:sz="4" w:space="0" w:color="auto"/>
              <w:right w:val="single" w:sz="4" w:space="0" w:color="auto"/>
            </w:tcBorders>
            <w:hideMark/>
          </w:tcPr>
          <w:p w14:paraId="69AF25AC" w14:textId="77777777" w:rsidR="00894DDF" w:rsidRPr="000F27B6" w:rsidRDefault="00894DDF">
            <w:pPr>
              <w:spacing w:after="0" w:line="240" w:lineRule="auto"/>
              <w:rPr>
                <w:rFonts w:asciiTheme="minorHAnsi" w:hAnsiTheme="minorHAnsi" w:cs="Arial"/>
                <w:b/>
                <w:sz w:val="24"/>
                <w:szCs w:val="24"/>
              </w:rPr>
            </w:pPr>
            <w:r w:rsidRPr="000F27B6">
              <w:rPr>
                <w:rFonts w:asciiTheme="minorHAnsi" w:hAnsiTheme="minorHAnsi" w:cs="Arial"/>
                <w:b/>
                <w:sz w:val="24"/>
                <w:szCs w:val="24"/>
              </w:rPr>
              <w:t>ACMG</w:t>
            </w:r>
          </w:p>
        </w:tc>
      </w:tr>
      <w:tr w:rsidR="00894DDF" w:rsidRPr="000F27B6" w14:paraId="58C52A42" w14:textId="77777777" w:rsidTr="00980E88">
        <w:trPr>
          <w:trHeight w:hRule="exact" w:val="1021"/>
        </w:trPr>
        <w:tc>
          <w:tcPr>
            <w:tcW w:w="1038" w:type="dxa"/>
            <w:tcBorders>
              <w:top w:val="single" w:sz="4" w:space="0" w:color="auto"/>
              <w:left w:val="single" w:sz="4" w:space="0" w:color="auto"/>
              <w:bottom w:val="single" w:sz="4" w:space="0" w:color="auto"/>
              <w:right w:val="single" w:sz="4" w:space="0" w:color="auto"/>
            </w:tcBorders>
          </w:tcPr>
          <w:p w14:paraId="7996C1FE" w14:textId="5D0F005D" w:rsidR="00894DDF" w:rsidRPr="000F27B6" w:rsidRDefault="00CD6848" w:rsidP="004F026E">
            <w:pPr>
              <w:spacing w:after="0" w:line="240" w:lineRule="auto"/>
              <w:rPr>
                <w:rFonts w:asciiTheme="minorHAnsi" w:hAnsiTheme="minorHAnsi" w:cs="Arial"/>
                <w:sz w:val="24"/>
                <w:szCs w:val="24"/>
              </w:rPr>
            </w:pPr>
            <w:r>
              <w:rPr>
                <w:rFonts w:asciiTheme="minorHAnsi" w:hAnsiTheme="minorHAnsi" w:cs="Arial"/>
                <w:sz w:val="24"/>
                <w:szCs w:val="24"/>
              </w:rPr>
              <w:t>20</w:t>
            </w:r>
          </w:p>
        </w:tc>
        <w:tc>
          <w:tcPr>
            <w:tcW w:w="1440" w:type="dxa"/>
            <w:tcBorders>
              <w:top w:val="single" w:sz="4" w:space="0" w:color="auto"/>
              <w:left w:val="single" w:sz="4" w:space="0" w:color="auto"/>
              <w:bottom w:val="single" w:sz="4" w:space="0" w:color="auto"/>
              <w:right w:val="single" w:sz="4" w:space="0" w:color="auto"/>
            </w:tcBorders>
            <w:hideMark/>
          </w:tcPr>
          <w:p w14:paraId="1BC9DFE2" w14:textId="5509F206" w:rsidR="00894DDF" w:rsidRPr="000F27B6" w:rsidRDefault="00894DDF" w:rsidP="004F026E">
            <w:pPr>
              <w:spacing w:after="0" w:line="240" w:lineRule="auto"/>
              <w:rPr>
                <w:rFonts w:asciiTheme="minorHAnsi" w:hAnsiTheme="minorHAnsi" w:cs="Arial"/>
                <w:sz w:val="24"/>
                <w:szCs w:val="24"/>
              </w:rPr>
            </w:pPr>
            <w:r w:rsidRPr="000F27B6">
              <w:rPr>
                <w:rFonts w:asciiTheme="minorHAnsi" w:hAnsiTheme="minorHAnsi" w:cs="Arial"/>
                <w:sz w:val="24"/>
                <w:szCs w:val="24"/>
              </w:rPr>
              <w:t>KCNQ1</w:t>
            </w:r>
          </w:p>
        </w:tc>
        <w:tc>
          <w:tcPr>
            <w:tcW w:w="2229" w:type="dxa"/>
            <w:tcBorders>
              <w:top w:val="single" w:sz="4" w:space="0" w:color="auto"/>
              <w:left w:val="single" w:sz="4" w:space="0" w:color="auto"/>
              <w:bottom w:val="single" w:sz="4" w:space="0" w:color="auto"/>
              <w:right w:val="single" w:sz="4" w:space="0" w:color="auto"/>
            </w:tcBorders>
            <w:hideMark/>
          </w:tcPr>
          <w:p w14:paraId="2A9E946E" w14:textId="77777777" w:rsidR="00894DDF" w:rsidRPr="000F27B6" w:rsidRDefault="00894DDF" w:rsidP="004F026E">
            <w:pPr>
              <w:spacing w:after="0" w:line="240" w:lineRule="auto"/>
              <w:rPr>
                <w:rFonts w:asciiTheme="minorHAnsi" w:hAnsiTheme="minorHAnsi" w:cs="Arial"/>
                <w:sz w:val="24"/>
                <w:szCs w:val="24"/>
              </w:rPr>
            </w:pPr>
            <w:r w:rsidRPr="000F27B6">
              <w:rPr>
                <w:rFonts w:asciiTheme="minorHAnsi" w:hAnsiTheme="minorHAnsi" w:cs="Arial"/>
                <w:sz w:val="24"/>
                <w:szCs w:val="24"/>
              </w:rPr>
              <w:t>Potassium voltage gated channel 1</w:t>
            </w:r>
          </w:p>
        </w:tc>
        <w:tc>
          <w:tcPr>
            <w:tcW w:w="1560" w:type="dxa"/>
            <w:tcBorders>
              <w:top w:val="single" w:sz="4" w:space="0" w:color="auto"/>
              <w:left w:val="single" w:sz="4" w:space="0" w:color="auto"/>
              <w:bottom w:val="single" w:sz="4" w:space="0" w:color="auto"/>
              <w:right w:val="single" w:sz="4" w:space="0" w:color="auto"/>
            </w:tcBorders>
            <w:hideMark/>
          </w:tcPr>
          <w:p w14:paraId="20B103B3" w14:textId="77777777" w:rsidR="00894DDF" w:rsidRPr="000F27B6" w:rsidRDefault="00894DDF" w:rsidP="004F026E">
            <w:pPr>
              <w:spacing w:after="0" w:line="240" w:lineRule="auto"/>
              <w:rPr>
                <w:rFonts w:asciiTheme="minorHAnsi" w:hAnsiTheme="minorHAnsi" w:cs="Arial"/>
                <w:sz w:val="24"/>
                <w:szCs w:val="24"/>
              </w:rPr>
            </w:pPr>
            <w:r w:rsidRPr="000F27B6">
              <w:rPr>
                <w:rFonts w:asciiTheme="minorHAnsi" w:hAnsiTheme="minorHAnsi" w:cs="Arial"/>
                <w:sz w:val="24"/>
                <w:szCs w:val="24"/>
              </w:rPr>
              <w:t>c.569G&gt;A</w:t>
            </w:r>
          </w:p>
        </w:tc>
        <w:tc>
          <w:tcPr>
            <w:tcW w:w="1559" w:type="dxa"/>
            <w:tcBorders>
              <w:top w:val="single" w:sz="4" w:space="0" w:color="auto"/>
              <w:left w:val="single" w:sz="4" w:space="0" w:color="auto"/>
              <w:bottom w:val="single" w:sz="4" w:space="0" w:color="auto"/>
              <w:right w:val="single" w:sz="4" w:space="0" w:color="auto"/>
            </w:tcBorders>
            <w:hideMark/>
          </w:tcPr>
          <w:p w14:paraId="41E7A54C" w14:textId="77777777" w:rsidR="00894DDF" w:rsidRPr="000F27B6" w:rsidRDefault="00894DDF" w:rsidP="004F026E">
            <w:pPr>
              <w:spacing w:after="0" w:line="240" w:lineRule="auto"/>
              <w:rPr>
                <w:rFonts w:asciiTheme="minorHAnsi" w:hAnsiTheme="minorHAnsi" w:cs="Arial"/>
                <w:sz w:val="24"/>
                <w:szCs w:val="24"/>
              </w:rPr>
            </w:pPr>
            <w:r w:rsidRPr="000F27B6">
              <w:rPr>
                <w:rFonts w:asciiTheme="minorHAnsi" w:hAnsiTheme="minorHAnsi" w:cs="Arial"/>
                <w:sz w:val="24"/>
                <w:szCs w:val="24"/>
              </w:rPr>
              <w:t>p.Arg190Gln</w:t>
            </w:r>
          </w:p>
        </w:tc>
        <w:tc>
          <w:tcPr>
            <w:tcW w:w="1559" w:type="dxa"/>
            <w:tcBorders>
              <w:top w:val="single" w:sz="4" w:space="0" w:color="auto"/>
              <w:left w:val="single" w:sz="4" w:space="0" w:color="auto"/>
              <w:bottom w:val="single" w:sz="4" w:space="0" w:color="auto"/>
              <w:right w:val="single" w:sz="4" w:space="0" w:color="auto"/>
            </w:tcBorders>
            <w:hideMark/>
          </w:tcPr>
          <w:p w14:paraId="6EBD2215" w14:textId="77777777" w:rsidR="00894DDF" w:rsidRPr="000F27B6" w:rsidRDefault="00894DDF" w:rsidP="004F026E">
            <w:pPr>
              <w:spacing w:after="0" w:line="240" w:lineRule="auto"/>
              <w:rPr>
                <w:rFonts w:asciiTheme="minorHAnsi" w:hAnsiTheme="minorHAnsi" w:cs="Arial"/>
                <w:sz w:val="24"/>
                <w:szCs w:val="24"/>
              </w:rPr>
            </w:pPr>
            <w:r w:rsidRPr="000F27B6">
              <w:rPr>
                <w:rFonts w:asciiTheme="minorHAnsi" w:hAnsiTheme="minorHAnsi" w:cs="Arial"/>
                <w:sz w:val="24"/>
                <w:szCs w:val="24"/>
              </w:rPr>
              <w:t>0</w:t>
            </w:r>
          </w:p>
        </w:tc>
        <w:tc>
          <w:tcPr>
            <w:tcW w:w="1418" w:type="dxa"/>
            <w:tcBorders>
              <w:top w:val="single" w:sz="4" w:space="0" w:color="auto"/>
              <w:left w:val="single" w:sz="4" w:space="0" w:color="auto"/>
              <w:bottom w:val="single" w:sz="4" w:space="0" w:color="auto"/>
              <w:right w:val="single" w:sz="4" w:space="0" w:color="auto"/>
            </w:tcBorders>
            <w:hideMark/>
          </w:tcPr>
          <w:p w14:paraId="68D178C9" w14:textId="77777777" w:rsidR="00894DDF" w:rsidRPr="000F27B6" w:rsidRDefault="00894DDF" w:rsidP="004F026E">
            <w:pPr>
              <w:spacing w:after="0" w:line="240" w:lineRule="auto"/>
              <w:rPr>
                <w:rFonts w:asciiTheme="minorHAnsi" w:hAnsiTheme="minorHAnsi" w:cs="Arial"/>
                <w:sz w:val="24"/>
                <w:szCs w:val="24"/>
              </w:rPr>
            </w:pPr>
            <w:r w:rsidRPr="000F27B6">
              <w:rPr>
                <w:rFonts w:asciiTheme="minorHAnsi" w:hAnsiTheme="minorHAnsi" w:cs="Arial"/>
                <w:sz w:val="24"/>
                <w:szCs w:val="24"/>
              </w:rPr>
              <w:t>35</w:t>
            </w:r>
          </w:p>
        </w:tc>
        <w:tc>
          <w:tcPr>
            <w:tcW w:w="1559" w:type="dxa"/>
            <w:tcBorders>
              <w:top w:val="single" w:sz="4" w:space="0" w:color="auto"/>
              <w:left w:val="single" w:sz="4" w:space="0" w:color="auto"/>
              <w:bottom w:val="single" w:sz="4" w:space="0" w:color="auto"/>
              <w:right w:val="single" w:sz="4" w:space="0" w:color="auto"/>
            </w:tcBorders>
            <w:hideMark/>
          </w:tcPr>
          <w:p w14:paraId="4713AC48" w14:textId="77777777" w:rsidR="00894DDF" w:rsidRPr="000F27B6" w:rsidRDefault="00894DDF" w:rsidP="004F026E">
            <w:pPr>
              <w:spacing w:after="0" w:line="240" w:lineRule="auto"/>
              <w:rPr>
                <w:rFonts w:asciiTheme="minorHAnsi" w:hAnsiTheme="minorHAnsi" w:cs="Arial"/>
                <w:sz w:val="24"/>
                <w:szCs w:val="24"/>
              </w:rPr>
            </w:pPr>
            <w:r w:rsidRPr="000F27B6">
              <w:rPr>
                <w:rFonts w:asciiTheme="minorHAnsi" w:hAnsiTheme="minorHAnsi" w:cs="Arial"/>
                <w:sz w:val="24"/>
                <w:szCs w:val="24"/>
              </w:rPr>
              <w:t>Pathogenic</w:t>
            </w:r>
          </w:p>
        </w:tc>
      </w:tr>
      <w:tr w:rsidR="00894DDF" w:rsidRPr="000F27B6" w14:paraId="2601DD78" w14:textId="77777777" w:rsidTr="00980E88">
        <w:trPr>
          <w:trHeight w:hRule="exact" w:val="1021"/>
        </w:trPr>
        <w:tc>
          <w:tcPr>
            <w:tcW w:w="1038" w:type="dxa"/>
            <w:tcBorders>
              <w:top w:val="single" w:sz="4" w:space="0" w:color="auto"/>
              <w:left w:val="single" w:sz="4" w:space="0" w:color="auto"/>
              <w:bottom w:val="single" w:sz="4" w:space="0" w:color="auto"/>
              <w:right w:val="single" w:sz="4" w:space="0" w:color="auto"/>
            </w:tcBorders>
          </w:tcPr>
          <w:p w14:paraId="536518F6" w14:textId="15F1FD75" w:rsidR="00894DDF" w:rsidRPr="000F27B6" w:rsidRDefault="00CD6848" w:rsidP="00251749">
            <w:pPr>
              <w:spacing w:after="0" w:line="240" w:lineRule="auto"/>
              <w:rPr>
                <w:rFonts w:asciiTheme="minorHAnsi" w:hAnsiTheme="minorHAnsi" w:cs="Arial"/>
                <w:sz w:val="24"/>
                <w:szCs w:val="24"/>
              </w:rPr>
            </w:pPr>
            <w:r>
              <w:rPr>
                <w:rFonts w:asciiTheme="minorHAnsi" w:hAnsiTheme="minorHAnsi" w:cs="Arial"/>
                <w:sz w:val="24"/>
                <w:szCs w:val="24"/>
              </w:rPr>
              <w:t>40</w:t>
            </w:r>
          </w:p>
        </w:tc>
        <w:tc>
          <w:tcPr>
            <w:tcW w:w="1440" w:type="dxa"/>
            <w:tcBorders>
              <w:top w:val="single" w:sz="4" w:space="0" w:color="auto"/>
              <w:left w:val="single" w:sz="4" w:space="0" w:color="auto"/>
              <w:bottom w:val="single" w:sz="4" w:space="0" w:color="auto"/>
              <w:right w:val="single" w:sz="4" w:space="0" w:color="auto"/>
            </w:tcBorders>
          </w:tcPr>
          <w:p w14:paraId="1EF31998" w14:textId="279D2A1B" w:rsidR="00894DDF" w:rsidRPr="000F27B6" w:rsidRDefault="00894DDF" w:rsidP="00251749">
            <w:pPr>
              <w:spacing w:after="0" w:line="240" w:lineRule="auto"/>
              <w:rPr>
                <w:rFonts w:asciiTheme="minorHAnsi" w:hAnsiTheme="minorHAnsi" w:cs="Arial"/>
                <w:sz w:val="24"/>
                <w:szCs w:val="24"/>
              </w:rPr>
            </w:pPr>
            <w:r w:rsidRPr="000F27B6">
              <w:rPr>
                <w:rFonts w:asciiTheme="minorHAnsi" w:hAnsiTheme="minorHAnsi" w:cs="Arial"/>
                <w:sz w:val="24"/>
                <w:szCs w:val="24"/>
              </w:rPr>
              <w:t>KCNH2</w:t>
            </w:r>
          </w:p>
        </w:tc>
        <w:tc>
          <w:tcPr>
            <w:tcW w:w="2229" w:type="dxa"/>
            <w:tcBorders>
              <w:top w:val="single" w:sz="4" w:space="0" w:color="auto"/>
              <w:left w:val="single" w:sz="4" w:space="0" w:color="auto"/>
              <w:bottom w:val="single" w:sz="4" w:space="0" w:color="auto"/>
              <w:right w:val="single" w:sz="4" w:space="0" w:color="auto"/>
            </w:tcBorders>
          </w:tcPr>
          <w:p w14:paraId="6F299A1B"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Potassium voltage gated channel 2</w:t>
            </w:r>
          </w:p>
        </w:tc>
        <w:tc>
          <w:tcPr>
            <w:tcW w:w="1560" w:type="dxa"/>
            <w:tcBorders>
              <w:top w:val="single" w:sz="4" w:space="0" w:color="auto"/>
              <w:left w:val="single" w:sz="4" w:space="0" w:color="auto"/>
              <w:bottom w:val="single" w:sz="4" w:space="0" w:color="auto"/>
              <w:right w:val="single" w:sz="4" w:space="0" w:color="auto"/>
            </w:tcBorders>
          </w:tcPr>
          <w:p w14:paraId="2A09FF5C"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c.2453C&gt;T</w:t>
            </w:r>
          </w:p>
        </w:tc>
        <w:tc>
          <w:tcPr>
            <w:tcW w:w="1559" w:type="dxa"/>
            <w:tcBorders>
              <w:top w:val="single" w:sz="4" w:space="0" w:color="auto"/>
              <w:left w:val="single" w:sz="4" w:space="0" w:color="auto"/>
              <w:bottom w:val="single" w:sz="4" w:space="0" w:color="auto"/>
              <w:right w:val="single" w:sz="4" w:space="0" w:color="auto"/>
            </w:tcBorders>
          </w:tcPr>
          <w:p w14:paraId="5C964882"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p.Ser818Leu</w:t>
            </w:r>
          </w:p>
        </w:tc>
        <w:tc>
          <w:tcPr>
            <w:tcW w:w="1559" w:type="dxa"/>
            <w:tcBorders>
              <w:top w:val="single" w:sz="4" w:space="0" w:color="auto"/>
              <w:left w:val="single" w:sz="4" w:space="0" w:color="auto"/>
              <w:bottom w:val="single" w:sz="4" w:space="0" w:color="auto"/>
              <w:right w:val="single" w:sz="4" w:space="0" w:color="auto"/>
            </w:tcBorders>
          </w:tcPr>
          <w:p w14:paraId="0C688623"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0</w:t>
            </w:r>
          </w:p>
        </w:tc>
        <w:tc>
          <w:tcPr>
            <w:tcW w:w="1418" w:type="dxa"/>
            <w:tcBorders>
              <w:top w:val="single" w:sz="4" w:space="0" w:color="auto"/>
              <w:left w:val="single" w:sz="4" w:space="0" w:color="auto"/>
              <w:bottom w:val="single" w:sz="4" w:space="0" w:color="auto"/>
              <w:right w:val="single" w:sz="4" w:space="0" w:color="auto"/>
            </w:tcBorders>
          </w:tcPr>
          <w:p w14:paraId="20EE9734"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7C2B58FD"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Pathogenic</w:t>
            </w:r>
          </w:p>
        </w:tc>
      </w:tr>
      <w:tr w:rsidR="00894DDF" w:rsidRPr="000F27B6" w14:paraId="5C4FBAB2" w14:textId="77777777" w:rsidTr="00980E88">
        <w:trPr>
          <w:trHeight w:hRule="exact" w:val="1021"/>
        </w:trPr>
        <w:tc>
          <w:tcPr>
            <w:tcW w:w="1038" w:type="dxa"/>
            <w:tcBorders>
              <w:top w:val="single" w:sz="4" w:space="0" w:color="auto"/>
              <w:left w:val="single" w:sz="4" w:space="0" w:color="auto"/>
              <w:bottom w:val="single" w:sz="4" w:space="0" w:color="auto"/>
              <w:right w:val="single" w:sz="4" w:space="0" w:color="auto"/>
            </w:tcBorders>
          </w:tcPr>
          <w:p w14:paraId="637729A3" w14:textId="1B4AAE7C" w:rsidR="00894DDF" w:rsidRPr="000F27B6" w:rsidRDefault="00FD779B">
            <w:pPr>
              <w:spacing w:after="0" w:line="240" w:lineRule="auto"/>
              <w:rPr>
                <w:rFonts w:asciiTheme="minorHAnsi" w:hAnsiTheme="minorHAnsi" w:cs="Arial"/>
                <w:sz w:val="24"/>
                <w:szCs w:val="24"/>
              </w:rPr>
            </w:pPr>
            <w:r>
              <w:rPr>
                <w:rFonts w:asciiTheme="minorHAnsi" w:hAnsiTheme="minorHAnsi" w:cs="Arial"/>
                <w:sz w:val="24"/>
                <w:szCs w:val="24"/>
              </w:rPr>
              <w:t>36</w:t>
            </w:r>
          </w:p>
        </w:tc>
        <w:tc>
          <w:tcPr>
            <w:tcW w:w="1440" w:type="dxa"/>
            <w:tcBorders>
              <w:top w:val="single" w:sz="4" w:space="0" w:color="auto"/>
              <w:left w:val="single" w:sz="4" w:space="0" w:color="auto"/>
              <w:bottom w:val="single" w:sz="4" w:space="0" w:color="auto"/>
              <w:right w:val="single" w:sz="4" w:space="0" w:color="auto"/>
            </w:tcBorders>
          </w:tcPr>
          <w:p w14:paraId="309A0C4D" w14:textId="687B7652"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LAMP2</w:t>
            </w:r>
          </w:p>
        </w:tc>
        <w:tc>
          <w:tcPr>
            <w:tcW w:w="8325" w:type="dxa"/>
            <w:gridSpan w:val="5"/>
            <w:tcBorders>
              <w:top w:val="single" w:sz="4" w:space="0" w:color="auto"/>
              <w:left w:val="single" w:sz="4" w:space="0" w:color="auto"/>
              <w:bottom w:val="single" w:sz="4" w:space="0" w:color="auto"/>
              <w:right w:val="single" w:sz="4" w:space="0" w:color="auto"/>
            </w:tcBorders>
          </w:tcPr>
          <w:p w14:paraId="20D6B94C" w14:textId="77777777" w:rsidR="00894DDF" w:rsidRPr="000F27B6" w:rsidRDefault="00894DDF" w:rsidP="00251749">
            <w:pPr>
              <w:spacing w:after="0" w:line="240" w:lineRule="auto"/>
              <w:jc w:val="center"/>
              <w:rPr>
                <w:rFonts w:asciiTheme="minorHAnsi" w:hAnsiTheme="minorHAnsi" w:cs="Arial"/>
                <w:sz w:val="24"/>
                <w:szCs w:val="24"/>
              </w:rPr>
            </w:pPr>
            <w:r w:rsidRPr="000F27B6">
              <w:rPr>
                <w:rFonts w:asciiTheme="minorHAnsi" w:hAnsiTheme="minorHAnsi" w:cs="Arial"/>
                <w:sz w:val="24"/>
                <w:szCs w:val="24"/>
              </w:rPr>
              <w:t>Deletion of ~136kb of chromosome X, band q24</w:t>
            </w:r>
          </w:p>
        </w:tc>
        <w:tc>
          <w:tcPr>
            <w:tcW w:w="1559" w:type="dxa"/>
            <w:tcBorders>
              <w:top w:val="single" w:sz="4" w:space="0" w:color="auto"/>
              <w:left w:val="single" w:sz="4" w:space="0" w:color="auto"/>
              <w:bottom w:val="single" w:sz="4" w:space="0" w:color="auto"/>
              <w:right w:val="single" w:sz="4" w:space="0" w:color="auto"/>
            </w:tcBorders>
          </w:tcPr>
          <w:p w14:paraId="688F4B7C"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Pathogenic</w:t>
            </w:r>
          </w:p>
        </w:tc>
      </w:tr>
      <w:tr w:rsidR="00894DDF" w:rsidRPr="000F27B6" w14:paraId="5104D2C4" w14:textId="77777777" w:rsidTr="00980E88">
        <w:trPr>
          <w:trHeight w:hRule="exact" w:val="1021"/>
        </w:trPr>
        <w:tc>
          <w:tcPr>
            <w:tcW w:w="1038" w:type="dxa"/>
            <w:tcBorders>
              <w:top w:val="single" w:sz="4" w:space="0" w:color="auto"/>
              <w:left w:val="single" w:sz="4" w:space="0" w:color="auto"/>
              <w:bottom w:val="single" w:sz="4" w:space="0" w:color="auto"/>
              <w:right w:val="single" w:sz="4" w:space="0" w:color="auto"/>
            </w:tcBorders>
          </w:tcPr>
          <w:p w14:paraId="2D7892E6" w14:textId="6B3FD87F" w:rsidR="00894DDF" w:rsidRPr="000F27B6" w:rsidRDefault="00FD779B">
            <w:pPr>
              <w:spacing w:after="0" w:line="240" w:lineRule="auto"/>
              <w:rPr>
                <w:rFonts w:asciiTheme="minorHAnsi" w:hAnsiTheme="minorHAnsi" w:cs="Arial"/>
                <w:sz w:val="24"/>
                <w:szCs w:val="24"/>
              </w:rPr>
            </w:pPr>
            <w:r>
              <w:rPr>
                <w:rFonts w:asciiTheme="minorHAnsi" w:hAnsiTheme="minorHAnsi" w:cs="Arial"/>
                <w:sz w:val="24"/>
                <w:szCs w:val="24"/>
              </w:rPr>
              <w:t>41</w:t>
            </w:r>
          </w:p>
        </w:tc>
        <w:tc>
          <w:tcPr>
            <w:tcW w:w="1440" w:type="dxa"/>
            <w:tcBorders>
              <w:top w:val="single" w:sz="4" w:space="0" w:color="auto"/>
              <w:left w:val="single" w:sz="4" w:space="0" w:color="auto"/>
              <w:bottom w:val="single" w:sz="4" w:space="0" w:color="auto"/>
              <w:right w:val="single" w:sz="4" w:space="0" w:color="auto"/>
            </w:tcBorders>
            <w:hideMark/>
          </w:tcPr>
          <w:p w14:paraId="79BA3905" w14:textId="6D854A19"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RYR1</w:t>
            </w:r>
          </w:p>
        </w:tc>
        <w:tc>
          <w:tcPr>
            <w:tcW w:w="2229" w:type="dxa"/>
            <w:tcBorders>
              <w:top w:val="single" w:sz="4" w:space="0" w:color="auto"/>
              <w:left w:val="single" w:sz="4" w:space="0" w:color="auto"/>
              <w:bottom w:val="single" w:sz="4" w:space="0" w:color="auto"/>
              <w:right w:val="single" w:sz="4" w:space="0" w:color="auto"/>
            </w:tcBorders>
            <w:hideMark/>
          </w:tcPr>
          <w:p w14:paraId="782A6668"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Ryanodine Receptor, skeletal muscle</w:t>
            </w:r>
          </w:p>
        </w:tc>
        <w:tc>
          <w:tcPr>
            <w:tcW w:w="1560" w:type="dxa"/>
            <w:tcBorders>
              <w:top w:val="single" w:sz="4" w:space="0" w:color="auto"/>
              <w:left w:val="single" w:sz="4" w:space="0" w:color="auto"/>
              <w:bottom w:val="single" w:sz="4" w:space="0" w:color="auto"/>
              <w:right w:val="single" w:sz="4" w:space="0" w:color="auto"/>
            </w:tcBorders>
            <w:hideMark/>
          </w:tcPr>
          <w:p w14:paraId="0DA78BB6"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c.1901T&gt;C</w:t>
            </w:r>
          </w:p>
        </w:tc>
        <w:tc>
          <w:tcPr>
            <w:tcW w:w="1559" w:type="dxa"/>
            <w:tcBorders>
              <w:top w:val="single" w:sz="4" w:space="0" w:color="auto"/>
              <w:left w:val="single" w:sz="4" w:space="0" w:color="auto"/>
              <w:bottom w:val="single" w:sz="4" w:space="0" w:color="auto"/>
              <w:right w:val="single" w:sz="4" w:space="0" w:color="auto"/>
            </w:tcBorders>
            <w:hideMark/>
          </w:tcPr>
          <w:p w14:paraId="6FA77631"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p.Ile634Thr</w:t>
            </w:r>
          </w:p>
        </w:tc>
        <w:tc>
          <w:tcPr>
            <w:tcW w:w="1559" w:type="dxa"/>
            <w:tcBorders>
              <w:top w:val="single" w:sz="4" w:space="0" w:color="auto"/>
              <w:left w:val="single" w:sz="4" w:space="0" w:color="auto"/>
              <w:bottom w:val="single" w:sz="4" w:space="0" w:color="auto"/>
              <w:right w:val="single" w:sz="4" w:space="0" w:color="auto"/>
            </w:tcBorders>
            <w:hideMark/>
          </w:tcPr>
          <w:p w14:paraId="066E3508"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0.00001</w:t>
            </w:r>
          </w:p>
        </w:tc>
        <w:tc>
          <w:tcPr>
            <w:tcW w:w="1418" w:type="dxa"/>
            <w:tcBorders>
              <w:top w:val="single" w:sz="4" w:space="0" w:color="auto"/>
              <w:left w:val="single" w:sz="4" w:space="0" w:color="auto"/>
              <w:bottom w:val="single" w:sz="4" w:space="0" w:color="auto"/>
              <w:right w:val="single" w:sz="4" w:space="0" w:color="auto"/>
            </w:tcBorders>
            <w:hideMark/>
          </w:tcPr>
          <w:p w14:paraId="4CF537DE"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12</w:t>
            </w:r>
          </w:p>
        </w:tc>
        <w:tc>
          <w:tcPr>
            <w:tcW w:w="1559" w:type="dxa"/>
            <w:tcBorders>
              <w:top w:val="single" w:sz="4" w:space="0" w:color="auto"/>
              <w:left w:val="single" w:sz="4" w:space="0" w:color="auto"/>
              <w:bottom w:val="single" w:sz="4" w:space="0" w:color="auto"/>
              <w:right w:val="single" w:sz="4" w:space="0" w:color="auto"/>
            </w:tcBorders>
            <w:hideMark/>
          </w:tcPr>
          <w:p w14:paraId="766D0FD2"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VUS</w:t>
            </w:r>
          </w:p>
        </w:tc>
      </w:tr>
      <w:tr w:rsidR="00894DDF" w:rsidRPr="000F27B6" w14:paraId="138B42CA" w14:textId="77777777" w:rsidTr="00980E88">
        <w:trPr>
          <w:trHeight w:hRule="exact" w:val="1021"/>
        </w:trPr>
        <w:tc>
          <w:tcPr>
            <w:tcW w:w="1038" w:type="dxa"/>
            <w:tcBorders>
              <w:top w:val="single" w:sz="4" w:space="0" w:color="auto"/>
              <w:left w:val="single" w:sz="4" w:space="0" w:color="auto"/>
              <w:bottom w:val="single" w:sz="4" w:space="0" w:color="auto"/>
              <w:right w:val="single" w:sz="4" w:space="0" w:color="auto"/>
            </w:tcBorders>
          </w:tcPr>
          <w:p w14:paraId="2648890E" w14:textId="316C619B" w:rsidR="00894DDF" w:rsidRPr="000F27B6" w:rsidRDefault="00FD779B">
            <w:pPr>
              <w:spacing w:after="0" w:line="240" w:lineRule="auto"/>
              <w:rPr>
                <w:rFonts w:asciiTheme="minorHAnsi" w:hAnsiTheme="minorHAnsi" w:cs="Arial"/>
                <w:sz w:val="24"/>
                <w:szCs w:val="24"/>
              </w:rPr>
            </w:pPr>
            <w:r>
              <w:rPr>
                <w:rFonts w:asciiTheme="minorHAnsi" w:hAnsiTheme="minorHAnsi" w:cs="Arial"/>
                <w:sz w:val="24"/>
                <w:szCs w:val="24"/>
              </w:rPr>
              <w:t>41</w:t>
            </w:r>
          </w:p>
        </w:tc>
        <w:tc>
          <w:tcPr>
            <w:tcW w:w="1440" w:type="dxa"/>
            <w:tcBorders>
              <w:top w:val="single" w:sz="4" w:space="0" w:color="auto"/>
              <w:left w:val="single" w:sz="4" w:space="0" w:color="auto"/>
              <w:bottom w:val="single" w:sz="4" w:space="0" w:color="auto"/>
              <w:right w:val="single" w:sz="4" w:space="0" w:color="auto"/>
            </w:tcBorders>
            <w:hideMark/>
          </w:tcPr>
          <w:p w14:paraId="41167D33" w14:textId="05A8581A"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CBL</w:t>
            </w:r>
          </w:p>
        </w:tc>
        <w:tc>
          <w:tcPr>
            <w:tcW w:w="2229" w:type="dxa"/>
            <w:tcBorders>
              <w:top w:val="single" w:sz="4" w:space="0" w:color="auto"/>
              <w:left w:val="single" w:sz="4" w:space="0" w:color="auto"/>
              <w:bottom w:val="single" w:sz="4" w:space="0" w:color="auto"/>
              <w:right w:val="single" w:sz="4" w:space="0" w:color="auto"/>
            </w:tcBorders>
            <w:hideMark/>
          </w:tcPr>
          <w:p w14:paraId="16CDD8C2"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Casitas B-lineage lymphoma</w:t>
            </w:r>
          </w:p>
        </w:tc>
        <w:tc>
          <w:tcPr>
            <w:tcW w:w="1560" w:type="dxa"/>
            <w:tcBorders>
              <w:top w:val="single" w:sz="4" w:space="0" w:color="auto"/>
              <w:left w:val="single" w:sz="4" w:space="0" w:color="auto"/>
              <w:bottom w:val="single" w:sz="4" w:space="0" w:color="auto"/>
              <w:right w:val="single" w:sz="4" w:space="0" w:color="auto"/>
            </w:tcBorders>
            <w:hideMark/>
          </w:tcPr>
          <w:p w14:paraId="72014C09"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c.2461G&gt;A</w:t>
            </w:r>
          </w:p>
        </w:tc>
        <w:tc>
          <w:tcPr>
            <w:tcW w:w="1559" w:type="dxa"/>
            <w:tcBorders>
              <w:top w:val="single" w:sz="4" w:space="0" w:color="auto"/>
              <w:left w:val="single" w:sz="4" w:space="0" w:color="auto"/>
              <w:bottom w:val="single" w:sz="4" w:space="0" w:color="auto"/>
              <w:right w:val="single" w:sz="4" w:space="0" w:color="auto"/>
            </w:tcBorders>
            <w:hideMark/>
          </w:tcPr>
          <w:p w14:paraId="36CEF300"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p.Glu821Lys</w:t>
            </w:r>
          </w:p>
        </w:tc>
        <w:tc>
          <w:tcPr>
            <w:tcW w:w="1559" w:type="dxa"/>
            <w:tcBorders>
              <w:top w:val="single" w:sz="4" w:space="0" w:color="auto"/>
              <w:left w:val="single" w:sz="4" w:space="0" w:color="auto"/>
              <w:bottom w:val="single" w:sz="4" w:space="0" w:color="auto"/>
              <w:right w:val="single" w:sz="4" w:space="0" w:color="auto"/>
            </w:tcBorders>
            <w:hideMark/>
          </w:tcPr>
          <w:p w14:paraId="3C4D190C"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0.00002</w:t>
            </w:r>
          </w:p>
        </w:tc>
        <w:tc>
          <w:tcPr>
            <w:tcW w:w="1418" w:type="dxa"/>
            <w:tcBorders>
              <w:top w:val="single" w:sz="4" w:space="0" w:color="auto"/>
              <w:left w:val="single" w:sz="4" w:space="0" w:color="auto"/>
              <w:bottom w:val="single" w:sz="4" w:space="0" w:color="auto"/>
              <w:right w:val="single" w:sz="4" w:space="0" w:color="auto"/>
            </w:tcBorders>
            <w:hideMark/>
          </w:tcPr>
          <w:p w14:paraId="74C6B739"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20</w:t>
            </w:r>
          </w:p>
        </w:tc>
        <w:tc>
          <w:tcPr>
            <w:tcW w:w="1559" w:type="dxa"/>
            <w:tcBorders>
              <w:top w:val="single" w:sz="4" w:space="0" w:color="auto"/>
              <w:left w:val="single" w:sz="4" w:space="0" w:color="auto"/>
              <w:bottom w:val="single" w:sz="4" w:space="0" w:color="auto"/>
              <w:right w:val="single" w:sz="4" w:space="0" w:color="auto"/>
            </w:tcBorders>
            <w:hideMark/>
          </w:tcPr>
          <w:p w14:paraId="06700C0F"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VUS</w:t>
            </w:r>
          </w:p>
        </w:tc>
      </w:tr>
      <w:tr w:rsidR="00894DDF" w:rsidRPr="000F27B6" w14:paraId="7BDAF439" w14:textId="77777777" w:rsidTr="00980E88">
        <w:trPr>
          <w:trHeight w:hRule="exact" w:val="1021"/>
        </w:trPr>
        <w:tc>
          <w:tcPr>
            <w:tcW w:w="1038" w:type="dxa"/>
            <w:tcBorders>
              <w:top w:val="single" w:sz="4" w:space="0" w:color="auto"/>
              <w:left w:val="single" w:sz="4" w:space="0" w:color="auto"/>
              <w:bottom w:val="single" w:sz="4" w:space="0" w:color="auto"/>
              <w:right w:val="single" w:sz="4" w:space="0" w:color="auto"/>
            </w:tcBorders>
          </w:tcPr>
          <w:p w14:paraId="78FF23A6" w14:textId="0259964D" w:rsidR="00894DDF" w:rsidRPr="000F27B6" w:rsidRDefault="00FD779B">
            <w:pPr>
              <w:spacing w:after="0" w:line="240" w:lineRule="auto"/>
              <w:rPr>
                <w:rFonts w:asciiTheme="minorHAnsi" w:hAnsiTheme="minorHAnsi" w:cs="Arial"/>
                <w:sz w:val="24"/>
                <w:szCs w:val="24"/>
              </w:rPr>
            </w:pPr>
            <w:r>
              <w:rPr>
                <w:rFonts w:asciiTheme="minorHAnsi" w:hAnsiTheme="minorHAnsi" w:cs="Arial"/>
                <w:sz w:val="24"/>
                <w:szCs w:val="24"/>
              </w:rPr>
              <w:t>25</w:t>
            </w:r>
          </w:p>
        </w:tc>
        <w:tc>
          <w:tcPr>
            <w:tcW w:w="1440" w:type="dxa"/>
            <w:tcBorders>
              <w:top w:val="single" w:sz="4" w:space="0" w:color="auto"/>
              <w:left w:val="single" w:sz="4" w:space="0" w:color="auto"/>
              <w:bottom w:val="single" w:sz="4" w:space="0" w:color="auto"/>
              <w:right w:val="single" w:sz="4" w:space="0" w:color="auto"/>
            </w:tcBorders>
            <w:hideMark/>
          </w:tcPr>
          <w:p w14:paraId="608E00B8" w14:textId="47BEACFC"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FBN1</w:t>
            </w:r>
          </w:p>
        </w:tc>
        <w:tc>
          <w:tcPr>
            <w:tcW w:w="2229" w:type="dxa"/>
            <w:tcBorders>
              <w:top w:val="single" w:sz="4" w:space="0" w:color="auto"/>
              <w:left w:val="single" w:sz="4" w:space="0" w:color="auto"/>
              <w:bottom w:val="single" w:sz="4" w:space="0" w:color="auto"/>
              <w:right w:val="single" w:sz="4" w:space="0" w:color="auto"/>
            </w:tcBorders>
            <w:hideMark/>
          </w:tcPr>
          <w:p w14:paraId="42BE7BAB"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Fibrillin 1</w:t>
            </w:r>
          </w:p>
        </w:tc>
        <w:tc>
          <w:tcPr>
            <w:tcW w:w="1560" w:type="dxa"/>
            <w:tcBorders>
              <w:top w:val="single" w:sz="4" w:space="0" w:color="auto"/>
              <w:left w:val="single" w:sz="4" w:space="0" w:color="auto"/>
              <w:bottom w:val="single" w:sz="4" w:space="0" w:color="auto"/>
              <w:right w:val="single" w:sz="4" w:space="0" w:color="auto"/>
            </w:tcBorders>
            <w:hideMark/>
          </w:tcPr>
          <w:p w14:paraId="209B2D62"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c.442+15G&gt;T</w:t>
            </w:r>
          </w:p>
        </w:tc>
        <w:tc>
          <w:tcPr>
            <w:tcW w:w="1559" w:type="dxa"/>
            <w:tcBorders>
              <w:top w:val="single" w:sz="4" w:space="0" w:color="auto"/>
              <w:left w:val="single" w:sz="4" w:space="0" w:color="auto"/>
              <w:bottom w:val="single" w:sz="4" w:space="0" w:color="auto"/>
              <w:right w:val="single" w:sz="4" w:space="0" w:color="auto"/>
            </w:tcBorders>
          </w:tcPr>
          <w:p w14:paraId="7C28CF68" w14:textId="77777777" w:rsidR="00894DDF" w:rsidRPr="000F27B6" w:rsidRDefault="00894DDF">
            <w:pPr>
              <w:spacing w:after="0" w:line="240" w:lineRule="auto"/>
              <w:rPr>
                <w:rFonts w:asciiTheme="minorHAnsi" w:hAnsiTheme="minorHAnsi" w:cs="Arial"/>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44A9BB92"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0.00006</w:t>
            </w:r>
          </w:p>
        </w:tc>
        <w:tc>
          <w:tcPr>
            <w:tcW w:w="1418" w:type="dxa"/>
            <w:tcBorders>
              <w:top w:val="single" w:sz="4" w:space="0" w:color="auto"/>
              <w:left w:val="single" w:sz="4" w:space="0" w:color="auto"/>
              <w:bottom w:val="single" w:sz="4" w:space="0" w:color="auto"/>
              <w:right w:val="single" w:sz="4" w:space="0" w:color="auto"/>
            </w:tcBorders>
            <w:hideMark/>
          </w:tcPr>
          <w:p w14:paraId="3E8DB45E"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14:paraId="5D4D5C4E"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Likely benign</w:t>
            </w:r>
          </w:p>
        </w:tc>
      </w:tr>
      <w:tr w:rsidR="00894DDF" w:rsidRPr="000F27B6" w14:paraId="24F78843" w14:textId="77777777" w:rsidTr="00980E88">
        <w:trPr>
          <w:trHeight w:hRule="exact" w:val="1021"/>
        </w:trPr>
        <w:tc>
          <w:tcPr>
            <w:tcW w:w="1038" w:type="dxa"/>
            <w:tcBorders>
              <w:top w:val="single" w:sz="4" w:space="0" w:color="auto"/>
              <w:left w:val="single" w:sz="4" w:space="0" w:color="auto"/>
              <w:bottom w:val="single" w:sz="4" w:space="0" w:color="auto"/>
              <w:right w:val="single" w:sz="4" w:space="0" w:color="auto"/>
            </w:tcBorders>
          </w:tcPr>
          <w:p w14:paraId="0F693DB4" w14:textId="1AD5C8C4" w:rsidR="00894DDF" w:rsidRPr="000F27B6" w:rsidRDefault="00735D75">
            <w:pPr>
              <w:spacing w:after="0" w:line="240" w:lineRule="auto"/>
              <w:rPr>
                <w:rFonts w:asciiTheme="minorHAnsi" w:hAnsiTheme="minorHAnsi" w:cs="Arial"/>
                <w:sz w:val="24"/>
                <w:szCs w:val="24"/>
              </w:rPr>
            </w:pPr>
            <w:r>
              <w:rPr>
                <w:rFonts w:asciiTheme="minorHAnsi" w:hAnsiTheme="minorHAnsi" w:cs="Arial"/>
                <w:sz w:val="24"/>
                <w:szCs w:val="24"/>
              </w:rPr>
              <w:t>3</w:t>
            </w:r>
          </w:p>
        </w:tc>
        <w:tc>
          <w:tcPr>
            <w:tcW w:w="1440" w:type="dxa"/>
            <w:tcBorders>
              <w:top w:val="single" w:sz="4" w:space="0" w:color="auto"/>
              <w:left w:val="single" w:sz="4" w:space="0" w:color="auto"/>
              <w:bottom w:val="single" w:sz="4" w:space="0" w:color="auto"/>
              <w:right w:val="single" w:sz="4" w:space="0" w:color="auto"/>
            </w:tcBorders>
            <w:hideMark/>
          </w:tcPr>
          <w:p w14:paraId="19D83162" w14:textId="6F078AEB"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LAMA2</w:t>
            </w:r>
          </w:p>
        </w:tc>
        <w:tc>
          <w:tcPr>
            <w:tcW w:w="2229" w:type="dxa"/>
            <w:tcBorders>
              <w:top w:val="single" w:sz="4" w:space="0" w:color="auto"/>
              <w:left w:val="single" w:sz="4" w:space="0" w:color="auto"/>
              <w:bottom w:val="single" w:sz="4" w:space="0" w:color="auto"/>
              <w:right w:val="single" w:sz="4" w:space="0" w:color="auto"/>
            </w:tcBorders>
            <w:hideMark/>
          </w:tcPr>
          <w:p w14:paraId="15EB4E0D"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 xml:space="preserve">Laminin alpha 2 </w:t>
            </w:r>
          </w:p>
        </w:tc>
        <w:tc>
          <w:tcPr>
            <w:tcW w:w="1560" w:type="dxa"/>
            <w:tcBorders>
              <w:top w:val="single" w:sz="4" w:space="0" w:color="auto"/>
              <w:left w:val="single" w:sz="4" w:space="0" w:color="auto"/>
              <w:bottom w:val="single" w:sz="4" w:space="0" w:color="auto"/>
              <w:right w:val="single" w:sz="4" w:space="0" w:color="auto"/>
            </w:tcBorders>
            <w:hideMark/>
          </w:tcPr>
          <w:p w14:paraId="7F1E0D34"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c.2611C&gt;T</w:t>
            </w:r>
          </w:p>
        </w:tc>
        <w:tc>
          <w:tcPr>
            <w:tcW w:w="1559" w:type="dxa"/>
            <w:tcBorders>
              <w:top w:val="single" w:sz="4" w:space="0" w:color="auto"/>
              <w:left w:val="single" w:sz="4" w:space="0" w:color="auto"/>
              <w:bottom w:val="single" w:sz="4" w:space="0" w:color="auto"/>
              <w:right w:val="single" w:sz="4" w:space="0" w:color="auto"/>
            </w:tcBorders>
            <w:hideMark/>
          </w:tcPr>
          <w:p w14:paraId="3EED84D8"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p.Leu871Phe</w:t>
            </w:r>
          </w:p>
        </w:tc>
        <w:tc>
          <w:tcPr>
            <w:tcW w:w="1559" w:type="dxa"/>
            <w:tcBorders>
              <w:top w:val="single" w:sz="4" w:space="0" w:color="auto"/>
              <w:left w:val="single" w:sz="4" w:space="0" w:color="auto"/>
              <w:bottom w:val="single" w:sz="4" w:space="0" w:color="auto"/>
              <w:right w:val="single" w:sz="4" w:space="0" w:color="auto"/>
            </w:tcBorders>
            <w:hideMark/>
          </w:tcPr>
          <w:p w14:paraId="390E1D2C"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0.000008</w:t>
            </w:r>
          </w:p>
        </w:tc>
        <w:tc>
          <w:tcPr>
            <w:tcW w:w="1418" w:type="dxa"/>
            <w:tcBorders>
              <w:top w:val="single" w:sz="4" w:space="0" w:color="auto"/>
              <w:left w:val="single" w:sz="4" w:space="0" w:color="auto"/>
              <w:bottom w:val="single" w:sz="4" w:space="0" w:color="auto"/>
              <w:right w:val="single" w:sz="4" w:space="0" w:color="auto"/>
            </w:tcBorders>
            <w:hideMark/>
          </w:tcPr>
          <w:p w14:paraId="6D81FE7E"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22</w:t>
            </w:r>
          </w:p>
        </w:tc>
        <w:tc>
          <w:tcPr>
            <w:tcW w:w="1559" w:type="dxa"/>
            <w:tcBorders>
              <w:top w:val="single" w:sz="4" w:space="0" w:color="auto"/>
              <w:left w:val="single" w:sz="4" w:space="0" w:color="auto"/>
              <w:bottom w:val="single" w:sz="4" w:space="0" w:color="auto"/>
              <w:right w:val="single" w:sz="4" w:space="0" w:color="auto"/>
            </w:tcBorders>
            <w:hideMark/>
          </w:tcPr>
          <w:p w14:paraId="2F0D1BFD"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VUS</w:t>
            </w:r>
          </w:p>
        </w:tc>
      </w:tr>
      <w:tr w:rsidR="00894DDF" w:rsidRPr="000F27B6" w14:paraId="06F4DBC7" w14:textId="77777777" w:rsidTr="00980E88">
        <w:trPr>
          <w:trHeight w:hRule="exact" w:val="1021"/>
        </w:trPr>
        <w:tc>
          <w:tcPr>
            <w:tcW w:w="1038" w:type="dxa"/>
            <w:tcBorders>
              <w:top w:val="single" w:sz="4" w:space="0" w:color="auto"/>
              <w:left w:val="single" w:sz="4" w:space="0" w:color="auto"/>
              <w:bottom w:val="single" w:sz="4" w:space="0" w:color="auto"/>
              <w:right w:val="single" w:sz="4" w:space="0" w:color="auto"/>
            </w:tcBorders>
          </w:tcPr>
          <w:p w14:paraId="2C0B68D6" w14:textId="5818E5D0" w:rsidR="00894DDF" w:rsidRPr="000F27B6" w:rsidRDefault="00735D75">
            <w:pPr>
              <w:spacing w:after="0" w:line="240" w:lineRule="auto"/>
              <w:rPr>
                <w:rFonts w:asciiTheme="minorHAnsi" w:hAnsiTheme="minorHAnsi" w:cs="Arial"/>
                <w:sz w:val="24"/>
                <w:szCs w:val="24"/>
              </w:rPr>
            </w:pPr>
            <w:r>
              <w:rPr>
                <w:rFonts w:asciiTheme="minorHAnsi" w:hAnsiTheme="minorHAnsi" w:cs="Arial"/>
                <w:sz w:val="24"/>
                <w:szCs w:val="24"/>
              </w:rPr>
              <w:lastRenderedPageBreak/>
              <w:t>14</w:t>
            </w:r>
          </w:p>
        </w:tc>
        <w:tc>
          <w:tcPr>
            <w:tcW w:w="1440" w:type="dxa"/>
            <w:tcBorders>
              <w:top w:val="single" w:sz="4" w:space="0" w:color="auto"/>
              <w:left w:val="single" w:sz="4" w:space="0" w:color="auto"/>
              <w:bottom w:val="single" w:sz="4" w:space="0" w:color="auto"/>
              <w:right w:val="single" w:sz="4" w:space="0" w:color="auto"/>
            </w:tcBorders>
            <w:hideMark/>
          </w:tcPr>
          <w:p w14:paraId="47333387" w14:textId="5370DE42"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MYOZ2</w:t>
            </w:r>
          </w:p>
        </w:tc>
        <w:tc>
          <w:tcPr>
            <w:tcW w:w="2229" w:type="dxa"/>
            <w:tcBorders>
              <w:top w:val="single" w:sz="4" w:space="0" w:color="auto"/>
              <w:left w:val="single" w:sz="4" w:space="0" w:color="auto"/>
              <w:bottom w:val="single" w:sz="4" w:space="0" w:color="auto"/>
              <w:right w:val="single" w:sz="4" w:space="0" w:color="auto"/>
            </w:tcBorders>
            <w:hideMark/>
          </w:tcPr>
          <w:p w14:paraId="124C9CEF"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Myozenin 2</w:t>
            </w:r>
          </w:p>
        </w:tc>
        <w:tc>
          <w:tcPr>
            <w:tcW w:w="1560" w:type="dxa"/>
            <w:tcBorders>
              <w:top w:val="single" w:sz="4" w:space="0" w:color="auto"/>
              <w:left w:val="single" w:sz="4" w:space="0" w:color="auto"/>
              <w:bottom w:val="single" w:sz="4" w:space="0" w:color="auto"/>
              <w:right w:val="single" w:sz="4" w:space="0" w:color="auto"/>
            </w:tcBorders>
            <w:hideMark/>
          </w:tcPr>
          <w:p w14:paraId="202D3CF7"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c.302C&gt;A</w:t>
            </w:r>
          </w:p>
        </w:tc>
        <w:tc>
          <w:tcPr>
            <w:tcW w:w="1559" w:type="dxa"/>
            <w:tcBorders>
              <w:top w:val="single" w:sz="4" w:space="0" w:color="auto"/>
              <w:left w:val="single" w:sz="4" w:space="0" w:color="auto"/>
              <w:bottom w:val="single" w:sz="4" w:space="0" w:color="auto"/>
              <w:right w:val="single" w:sz="4" w:space="0" w:color="auto"/>
            </w:tcBorders>
            <w:hideMark/>
          </w:tcPr>
          <w:p w14:paraId="028895CB"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p.Ser101*</w:t>
            </w:r>
          </w:p>
        </w:tc>
        <w:tc>
          <w:tcPr>
            <w:tcW w:w="1559" w:type="dxa"/>
            <w:tcBorders>
              <w:top w:val="single" w:sz="4" w:space="0" w:color="auto"/>
              <w:left w:val="single" w:sz="4" w:space="0" w:color="auto"/>
              <w:bottom w:val="single" w:sz="4" w:space="0" w:color="auto"/>
              <w:right w:val="single" w:sz="4" w:space="0" w:color="auto"/>
            </w:tcBorders>
            <w:hideMark/>
          </w:tcPr>
          <w:p w14:paraId="4CE739DA"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0.00002</w:t>
            </w:r>
          </w:p>
        </w:tc>
        <w:tc>
          <w:tcPr>
            <w:tcW w:w="1418" w:type="dxa"/>
            <w:tcBorders>
              <w:top w:val="single" w:sz="4" w:space="0" w:color="auto"/>
              <w:left w:val="single" w:sz="4" w:space="0" w:color="auto"/>
              <w:bottom w:val="single" w:sz="4" w:space="0" w:color="auto"/>
              <w:right w:val="single" w:sz="4" w:space="0" w:color="auto"/>
            </w:tcBorders>
            <w:hideMark/>
          </w:tcPr>
          <w:p w14:paraId="5DA3475F"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36</w:t>
            </w:r>
          </w:p>
        </w:tc>
        <w:tc>
          <w:tcPr>
            <w:tcW w:w="1559" w:type="dxa"/>
            <w:tcBorders>
              <w:top w:val="single" w:sz="4" w:space="0" w:color="auto"/>
              <w:left w:val="single" w:sz="4" w:space="0" w:color="auto"/>
              <w:bottom w:val="single" w:sz="4" w:space="0" w:color="auto"/>
              <w:right w:val="single" w:sz="4" w:space="0" w:color="auto"/>
            </w:tcBorders>
            <w:hideMark/>
          </w:tcPr>
          <w:p w14:paraId="5BF5FCEC"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VUS</w:t>
            </w:r>
          </w:p>
        </w:tc>
      </w:tr>
      <w:tr w:rsidR="00894DDF" w:rsidRPr="000F27B6" w14:paraId="653BE424" w14:textId="77777777" w:rsidTr="00980E88">
        <w:trPr>
          <w:trHeight w:hRule="exact" w:val="1021"/>
        </w:trPr>
        <w:tc>
          <w:tcPr>
            <w:tcW w:w="1038" w:type="dxa"/>
            <w:tcBorders>
              <w:top w:val="single" w:sz="4" w:space="0" w:color="auto"/>
              <w:left w:val="single" w:sz="4" w:space="0" w:color="auto"/>
              <w:bottom w:val="single" w:sz="4" w:space="0" w:color="auto"/>
              <w:right w:val="single" w:sz="4" w:space="0" w:color="auto"/>
            </w:tcBorders>
          </w:tcPr>
          <w:p w14:paraId="3DD3EFA5" w14:textId="695B2BC3" w:rsidR="00894DDF" w:rsidRPr="000F27B6" w:rsidRDefault="00735D75">
            <w:pPr>
              <w:spacing w:after="0" w:line="240" w:lineRule="auto"/>
              <w:rPr>
                <w:rFonts w:asciiTheme="minorHAnsi" w:hAnsiTheme="minorHAnsi" w:cs="Arial"/>
                <w:sz w:val="24"/>
                <w:szCs w:val="24"/>
              </w:rPr>
            </w:pPr>
            <w:r>
              <w:rPr>
                <w:rFonts w:asciiTheme="minorHAnsi" w:hAnsiTheme="minorHAnsi" w:cs="Arial"/>
                <w:sz w:val="24"/>
                <w:szCs w:val="24"/>
              </w:rPr>
              <w:t>14</w:t>
            </w:r>
          </w:p>
        </w:tc>
        <w:tc>
          <w:tcPr>
            <w:tcW w:w="1440" w:type="dxa"/>
            <w:tcBorders>
              <w:top w:val="single" w:sz="4" w:space="0" w:color="auto"/>
              <w:left w:val="single" w:sz="4" w:space="0" w:color="auto"/>
              <w:bottom w:val="single" w:sz="4" w:space="0" w:color="auto"/>
              <w:right w:val="single" w:sz="4" w:space="0" w:color="auto"/>
            </w:tcBorders>
            <w:hideMark/>
          </w:tcPr>
          <w:p w14:paraId="7AA0264C" w14:textId="4CC1B1EF"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COL5A1</w:t>
            </w:r>
          </w:p>
        </w:tc>
        <w:tc>
          <w:tcPr>
            <w:tcW w:w="2229" w:type="dxa"/>
            <w:tcBorders>
              <w:top w:val="single" w:sz="4" w:space="0" w:color="auto"/>
              <w:left w:val="single" w:sz="4" w:space="0" w:color="auto"/>
              <w:bottom w:val="single" w:sz="4" w:space="0" w:color="auto"/>
              <w:right w:val="single" w:sz="4" w:space="0" w:color="auto"/>
            </w:tcBorders>
            <w:hideMark/>
          </w:tcPr>
          <w:p w14:paraId="6CEA3CF9"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Collagen Type V Alpha-1</w:t>
            </w:r>
          </w:p>
        </w:tc>
        <w:tc>
          <w:tcPr>
            <w:tcW w:w="1560" w:type="dxa"/>
            <w:tcBorders>
              <w:top w:val="single" w:sz="4" w:space="0" w:color="auto"/>
              <w:left w:val="single" w:sz="4" w:space="0" w:color="auto"/>
              <w:bottom w:val="single" w:sz="4" w:space="0" w:color="auto"/>
              <w:right w:val="single" w:sz="4" w:space="0" w:color="auto"/>
            </w:tcBorders>
            <w:hideMark/>
          </w:tcPr>
          <w:p w14:paraId="713216F6"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c.2493C&gt;T</w:t>
            </w:r>
          </w:p>
        </w:tc>
        <w:tc>
          <w:tcPr>
            <w:tcW w:w="1559" w:type="dxa"/>
            <w:tcBorders>
              <w:top w:val="single" w:sz="4" w:space="0" w:color="auto"/>
              <w:left w:val="single" w:sz="4" w:space="0" w:color="auto"/>
              <w:bottom w:val="single" w:sz="4" w:space="0" w:color="auto"/>
              <w:right w:val="single" w:sz="4" w:space="0" w:color="auto"/>
            </w:tcBorders>
            <w:hideMark/>
          </w:tcPr>
          <w:p w14:paraId="29A7DAF9"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p.Ile831Ile</w:t>
            </w:r>
          </w:p>
        </w:tc>
        <w:tc>
          <w:tcPr>
            <w:tcW w:w="1559" w:type="dxa"/>
            <w:tcBorders>
              <w:top w:val="single" w:sz="4" w:space="0" w:color="auto"/>
              <w:left w:val="single" w:sz="4" w:space="0" w:color="auto"/>
              <w:bottom w:val="single" w:sz="4" w:space="0" w:color="auto"/>
              <w:right w:val="single" w:sz="4" w:space="0" w:color="auto"/>
            </w:tcBorders>
            <w:hideMark/>
          </w:tcPr>
          <w:p w14:paraId="278842D2"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0.0001</w:t>
            </w:r>
          </w:p>
        </w:tc>
        <w:tc>
          <w:tcPr>
            <w:tcW w:w="1418" w:type="dxa"/>
            <w:tcBorders>
              <w:top w:val="single" w:sz="4" w:space="0" w:color="auto"/>
              <w:left w:val="single" w:sz="4" w:space="0" w:color="auto"/>
              <w:bottom w:val="single" w:sz="4" w:space="0" w:color="auto"/>
              <w:right w:val="single" w:sz="4" w:space="0" w:color="auto"/>
            </w:tcBorders>
            <w:hideMark/>
          </w:tcPr>
          <w:p w14:paraId="31784D41"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8</w:t>
            </w:r>
          </w:p>
        </w:tc>
        <w:tc>
          <w:tcPr>
            <w:tcW w:w="1559" w:type="dxa"/>
            <w:tcBorders>
              <w:top w:val="single" w:sz="4" w:space="0" w:color="auto"/>
              <w:left w:val="single" w:sz="4" w:space="0" w:color="auto"/>
              <w:bottom w:val="single" w:sz="4" w:space="0" w:color="auto"/>
              <w:right w:val="single" w:sz="4" w:space="0" w:color="auto"/>
            </w:tcBorders>
            <w:hideMark/>
          </w:tcPr>
          <w:p w14:paraId="6F387DB8"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Likely benign</w:t>
            </w:r>
          </w:p>
        </w:tc>
      </w:tr>
      <w:tr w:rsidR="00894DDF" w:rsidRPr="000F27B6" w14:paraId="7478E5D4" w14:textId="77777777" w:rsidTr="00980E88">
        <w:trPr>
          <w:trHeight w:hRule="exact" w:val="1021"/>
        </w:trPr>
        <w:tc>
          <w:tcPr>
            <w:tcW w:w="1038" w:type="dxa"/>
            <w:tcBorders>
              <w:top w:val="single" w:sz="4" w:space="0" w:color="auto"/>
              <w:left w:val="single" w:sz="4" w:space="0" w:color="auto"/>
              <w:bottom w:val="single" w:sz="4" w:space="0" w:color="auto"/>
              <w:right w:val="single" w:sz="4" w:space="0" w:color="auto"/>
            </w:tcBorders>
          </w:tcPr>
          <w:p w14:paraId="6182410C" w14:textId="57660FBD" w:rsidR="00894DDF" w:rsidRPr="000F27B6" w:rsidRDefault="00735D75">
            <w:pPr>
              <w:spacing w:after="0" w:line="240" w:lineRule="auto"/>
              <w:rPr>
                <w:rFonts w:asciiTheme="minorHAnsi" w:hAnsiTheme="minorHAnsi" w:cs="Arial"/>
                <w:sz w:val="24"/>
                <w:szCs w:val="24"/>
              </w:rPr>
            </w:pPr>
            <w:r>
              <w:rPr>
                <w:rFonts w:asciiTheme="minorHAnsi" w:hAnsiTheme="minorHAnsi" w:cs="Arial"/>
                <w:sz w:val="24"/>
                <w:szCs w:val="24"/>
              </w:rPr>
              <w:t>16</w:t>
            </w:r>
          </w:p>
        </w:tc>
        <w:tc>
          <w:tcPr>
            <w:tcW w:w="1440" w:type="dxa"/>
            <w:tcBorders>
              <w:top w:val="single" w:sz="4" w:space="0" w:color="auto"/>
              <w:left w:val="single" w:sz="4" w:space="0" w:color="auto"/>
              <w:bottom w:val="single" w:sz="4" w:space="0" w:color="auto"/>
              <w:right w:val="single" w:sz="4" w:space="0" w:color="auto"/>
            </w:tcBorders>
            <w:hideMark/>
          </w:tcPr>
          <w:p w14:paraId="45AC3349" w14:textId="069D7445"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APOB</w:t>
            </w:r>
          </w:p>
        </w:tc>
        <w:tc>
          <w:tcPr>
            <w:tcW w:w="2229" w:type="dxa"/>
            <w:tcBorders>
              <w:top w:val="single" w:sz="4" w:space="0" w:color="auto"/>
              <w:left w:val="single" w:sz="4" w:space="0" w:color="auto"/>
              <w:bottom w:val="single" w:sz="4" w:space="0" w:color="auto"/>
              <w:right w:val="single" w:sz="4" w:space="0" w:color="auto"/>
            </w:tcBorders>
            <w:hideMark/>
          </w:tcPr>
          <w:p w14:paraId="7A385B2C"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Apolipoprotein B</w:t>
            </w:r>
          </w:p>
        </w:tc>
        <w:tc>
          <w:tcPr>
            <w:tcW w:w="1560" w:type="dxa"/>
            <w:tcBorders>
              <w:top w:val="single" w:sz="4" w:space="0" w:color="auto"/>
              <w:left w:val="single" w:sz="4" w:space="0" w:color="auto"/>
              <w:bottom w:val="single" w:sz="4" w:space="0" w:color="auto"/>
              <w:right w:val="single" w:sz="4" w:space="0" w:color="auto"/>
            </w:tcBorders>
            <w:hideMark/>
          </w:tcPr>
          <w:p w14:paraId="5F0E9727"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c.9140C&gt;T</w:t>
            </w:r>
          </w:p>
        </w:tc>
        <w:tc>
          <w:tcPr>
            <w:tcW w:w="1559" w:type="dxa"/>
            <w:tcBorders>
              <w:top w:val="single" w:sz="4" w:space="0" w:color="auto"/>
              <w:left w:val="single" w:sz="4" w:space="0" w:color="auto"/>
              <w:bottom w:val="single" w:sz="4" w:space="0" w:color="auto"/>
              <w:right w:val="single" w:sz="4" w:space="0" w:color="auto"/>
            </w:tcBorders>
            <w:hideMark/>
          </w:tcPr>
          <w:p w14:paraId="4DC989DC"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p.Thr3047Met</w:t>
            </w:r>
          </w:p>
        </w:tc>
        <w:tc>
          <w:tcPr>
            <w:tcW w:w="1559" w:type="dxa"/>
            <w:tcBorders>
              <w:top w:val="single" w:sz="4" w:space="0" w:color="auto"/>
              <w:left w:val="single" w:sz="4" w:space="0" w:color="auto"/>
              <w:bottom w:val="single" w:sz="4" w:space="0" w:color="auto"/>
              <w:right w:val="single" w:sz="4" w:space="0" w:color="auto"/>
            </w:tcBorders>
            <w:hideMark/>
          </w:tcPr>
          <w:p w14:paraId="47BA9CD4"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0.00004</w:t>
            </w:r>
          </w:p>
        </w:tc>
        <w:tc>
          <w:tcPr>
            <w:tcW w:w="1418" w:type="dxa"/>
            <w:tcBorders>
              <w:top w:val="single" w:sz="4" w:space="0" w:color="auto"/>
              <w:left w:val="single" w:sz="4" w:space="0" w:color="auto"/>
              <w:bottom w:val="single" w:sz="4" w:space="0" w:color="auto"/>
              <w:right w:val="single" w:sz="4" w:space="0" w:color="auto"/>
            </w:tcBorders>
            <w:hideMark/>
          </w:tcPr>
          <w:p w14:paraId="5D1F5E09"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8</w:t>
            </w:r>
          </w:p>
        </w:tc>
        <w:tc>
          <w:tcPr>
            <w:tcW w:w="1559" w:type="dxa"/>
            <w:tcBorders>
              <w:top w:val="single" w:sz="4" w:space="0" w:color="auto"/>
              <w:left w:val="single" w:sz="4" w:space="0" w:color="auto"/>
              <w:bottom w:val="single" w:sz="4" w:space="0" w:color="auto"/>
              <w:right w:val="single" w:sz="4" w:space="0" w:color="auto"/>
            </w:tcBorders>
            <w:hideMark/>
          </w:tcPr>
          <w:p w14:paraId="17676420"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VUS</w:t>
            </w:r>
          </w:p>
        </w:tc>
      </w:tr>
      <w:tr w:rsidR="00894DDF" w:rsidRPr="000F27B6" w14:paraId="7834316F" w14:textId="77777777" w:rsidTr="00980E88">
        <w:trPr>
          <w:trHeight w:hRule="exact" w:val="1021"/>
        </w:trPr>
        <w:tc>
          <w:tcPr>
            <w:tcW w:w="1038" w:type="dxa"/>
            <w:tcBorders>
              <w:top w:val="single" w:sz="4" w:space="0" w:color="auto"/>
              <w:left w:val="single" w:sz="4" w:space="0" w:color="auto"/>
              <w:bottom w:val="single" w:sz="4" w:space="0" w:color="auto"/>
              <w:right w:val="single" w:sz="4" w:space="0" w:color="auto"/>
            </w:tcBorders>
          </w:tcPr>
          <w:p w14:paraId="580CE201" w14:textId="4A23D5DD" w:rsidR="00894DDF" w:rsidRPr="000F27B6" w:rsidRDefault="005F3BBB">
            <w:pPr>
              <w:spacing w:after="0" w:line="240" w:lineRule="auto"/>
              <w:rPr>
                <w:rFonts w:asciiTheme="minorHAnsi" w:hAnsiTheme="minorHAnsi" w:cs="Arial"/>
                <w:sz w:val="24"/>
                <w:szCs w:val="24"/>
              </w:rPr>
            </w:pPr>
            <w:r>
              <w:rPr>
                <w:rFonts w:asciiTheme="minorHAnsi" w:hAnsiTheme="minorHAnsi" w:cs="Arial"/>
                <w:sz w:val="24"/>
                <w:szCs w:val="24"/>
              </w:rPr>
              <w:t>18</w:t>
            </w:r>
          </w:p>
        </w:tc>
        <w:tc>
          <w:tcPr>
            <w:tcW w:w="1440" w:type="dxa"/>
            <w:tcBorders>
              <w:top w:val="single" w:sz="4" w:space="0" w:color="auto"/>
              <w:left w:val="single" w:sz="4" w:space="0" w:color="auto"/>
              <w:bottom w:val="single" w:sz="4" w:space="0" w:color="auto"/>
              <w:right w:val="single" w:sz="4" w:space="0" w:color="auto"/>
            </w:tcBorders>
            <w:hideMark/>
          </w:tcPr>
          <w:p w14:paraId="5D15FDC9" w14:textId="5D065C39"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ZBTB17</w:t>
            </w:r>
          </w:p>
        </w:tc>
        <w:tc>
          <w:tcPr>
            <w:tcW w:w="2229" w:type="dxa"/>
            <w:tcBorders>
              <w:top w:val="single" w:sz="4" w:space="0" w:color="auto"/>
              <w:left w:val="single" w:sz="4" w:space="0" w:color="auto"/>
              <w:bottom w:val="single" w:sz="4" w:space="0" w:color="auto"/>
              <w:right w:val="single" w:sz="4" w:space="0" w:color="auto"/>
            </w:tcBorders>
            <w:hideMark/>
          </w:tcPr>
          <w:p w14:paraId="2FB5E6F4"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Zinc finger and BTB domain protein 17</w:t>
            </w:r>
          </w:p>
        </w:tc>
        <w:tc>
          <w:tcPr>
            <w:tcW w:w="1560" w:type="dxa"/>
            <w:tcBorders>
              <w:top w:val="single" w:sz="4" w:space="0" w:color="auto"/>
              <w:left w:val="single" w:sz="4" w:space="0" w:color="auto"/>
              <w:bottom w:val="single" w:sz="4" w:space="0" w:color="auto"/>
              <w:right w:val="single" w:sz="4" w:space="0" w:color="auto"/>
            </w:tcBorders>
            <w:hideMark/>
          </w:tcPr>
          <w:p w14:paraId="7069FDCC"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c.646G&gt;C</w:t>
            </w:r>
          </w:p>
        </w:tc>
        <w:tc>
          <w:tcPr>
            <w:tcW w:w="1559" w:type="dxa"/>
            <w:tcBorders>
              <w:top w:val="single" w:sz="4" w:space="0" w:color="auto"/>
              <w:left w:val="single" w:sz="4" w:space="0" w:color="auto"/>
              <w:bottom w:val="single" w:sz="4" w:space="0" w:color="auto"/>
              <w:right w:val="single" w:sz="4" w:space="0" w:color="auto"/>
            </w:tcBorders>
            <w:hideMark/>
          </w:tcPr>
          <w:p w14:paraId="2D3A6F2D"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p.Glu216Gln</w:t>
            </w:r>
          </w:p>
        </w:tc>
        <w:tc>
          <w:tcPr>
            <w:tcW w:w="1559" w:type="dxa"/>
            <w:tcBorders>
              <w:top w:val="single" w:sz="4" w:space="0" w:color="auto"/>
              <w:left w:val="single" w:sz="4" w:space="0" w:color="auto"/>
              <w:bottom w:val="single" w:sz="4" w:space="0" w:color="auto"/>
              <w:right w:val="single" w:sz="4" w:space="0" w:color="auto"/>
            </w:tcBorders>
            <w:hideMark/>
          </w:tcPr>
          <w:p w14:paraId="35C7D2C3"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0.000008</w:t>
            </w:r>
          </w:p>
        </w:tc>
        <w:tc>
          <w:tcPr>
            <w:tcW w:w="1418" w:type="dxa"/>
            <w:tcBorders>
              <w:top w:val="single" w:sz="4" w:space="0" w:color="auto"/>
              <w:left w:val="single" w:sz="4" w:space="0" w:color="auto"/>
              <w:bottom w:val="single" w:sz="4" w:space="0" w:color="auto"/>
              <w:right w:val="single" w:sz="4" w:space="0" w:color="auto"/>
            </w:tcBorders>
            <w:hideMark/>
          </w:tcPr>
          <w:p w14:paraId="4DED4C45"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10</w:t>
            </w:r>
          </w:p>
        </w:tc>
        <w:tc>
          <w:tcPr>
            <w:tcW w:w="1559" w:type="dxa"/>
            <w:tcBorders>
              <w:top w:val="single" w:sz="4" w:space="0" w:color="auto"/>
              <w:left w:val="single" w:sz="4" w:space="0" w:color="auto"/>
              <w:bottom w:val="single" w:sz="4" w:space="0" w:color="auto"/>
              <w:right w:val="single" w:sz="4" w:space="0" w:color="auto"/>
            </w:tcBorders>
            <w:hideMark/>
          </w:tcPr>
          <w:p w14:paraId="2393CD35"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VUS</w:t>
            </w:r>
          </w:p>
        </w:tc>
      </w:tr>
      <w:tr w:rsidR="00894DDF" w:rsidRPr="000F27B6" w14:paraId="7D71F3E1" w14:textId="77777777" w:rsidTr="00980E88">
        <w:trPr>
          <w:trHeight w:hRule="exact" w:val="1021"/>
        </w:trPr>
        <w:tc>
          <w:tcPr>
            <w:tcW w:w="1038" w:type="dxa"/>
            <w:tcBorders>
              <w:top w:val="single" w:sz="4" w:space="0" w:color="auto"/>
              <w:left w:val="single" w:sz="4" w:space="0" w:color="auto"/>
              <w:bottom w:val="single" w:sz="4" w:space="0" w:color="auto"/>
              <w:right w:val="single" w:sz="4" w:space="0" w:color="auto"/>
            </w:tcBorders>
          </w:tcPr>
          <w:p w14:paraId="20660753" w14:textId="6258696F" w:rsidR="00894DDF" w:rsidRPr="000F27B6" w:rsidRDefault="005F3BBB">
            <w:pPr>
              <w:spacing w:after="0" w:line="240" w:lineRule="auto"/>
              <w:rPr>
                <w:rFonts w:asciiTheme="minorHAnsi" w:hAnsiTheme="minorHAnsi" w:cs="Arial"/>
                <w:sz w:val="24"/>
                <w:szCs w:val="24"/>
              </w:rPr>
            </w:pPr>
            <w:r>
              <w:rPr>
                <w:rFonts w:asciiTheme="minorHAnsi" w:hAnsiTheme="minorHAnsi" w:cs="Arial"/>
                <w:sz w:val="24"/>
                <w:szCs w:val="24"/>
              </w:rPr>
              <w:t>18</w:t>
            </w:r>
          </w:p>
        </w:tc>
        <w:tc>
          <w:tcPr>
            <w:tcW w:w="1440" w:type="dxa"/>
            <w:tcBorders>
              <w:top w:val="single" w:sz="4" w:space="0" w:color="auto"/>
              <w:left w:val="single" w:sz="4" w:space="0" w:color="auto"/>
              <w:bottom w:val="single" w:sz="4" w:space="0" w:color="auto"/>
              <w:right w:val="single" w:sz="4" w:space="0" w:color="auto"/>
            </w:tcBorders>
            <w:hideMark/>
          </w:tcPr>
          <w:p w14:paraId="05595E99" w14:textId="01471E6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VCL</w:t>
            </w:r>
          </w:p>
        </w:tc>
        <w:tc>
          <w:tcPr>
            <w:tcW w:w="2229" w:type="dxa"/>
            <w:tcBorders>
              <w:top w:val="single" w:sz="4" w:space="0" w:color="auto"/>
              <w:left w:val="single" w:sz="4" w:space="0" w:color="auto"/>
              <w:bottom w:val="single" w:sz="4" w:space="0" w:color="auto"/>
              <w:right w:val="single" w:sz="4" w:space="0" w:color="auto"/>
            </w:tcBorders>
            <w:hideMark/>
          </w:tcPr>
          <w:p w14:paraId="508EBD04"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Vinculin</w:t>
            </w:r>
          </w:p>
        </w:tc>
        <w:tc>
          <w:tcPr>
            <w:tcW w:w="1560" w:type="dxa"/>
            <w:tcBorders>
              <w:top w:val="single" w:sz="4" w:space="0" w:color="auto"/>
              <w:left w:val="single" w:sz="4" w:space="0" w:color="auto"/>
              <w:bottom w:val="single" w:sz="4" w:space="0" w:color="auto"/>
              <w:right w:val="single" w:sz="4" w:space="0" w:color="auto"/>
            </w:tcBorders>
            <w:hideMark/>
          </w:tcPr>
          <w:p w14:paraId="0EF62D74"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c.1048A&gt;C</w:t>
            </w:r>
          </w:p>
        </w:tc>
        <w:tc>
          <w:tcPr>
            <w:tcW w:w="1559" w:type="dxa"/>
            <w:tcBorders>
              <w:top w:val="single" w:sz="4" w:space="0" w:color="auto"/>
              <w:left w:val="single" w:sz="4" w:space="0" w:color="auto"/>
              <w:bottom w:val="single" w:sz="4" w:space="0" w:color="auto"/>
              <w:right w:val="single" w:sz="4" w:space="0" w:color="auto"/>
            </w:tcBorders>
            <w:hideMark/>
          </w:tcPr>
          <w:p w14:paraId="153A7D4E"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p.Met350Leu</w:t>
            </w:r>
          </w:p>
        </w:tc>
        <w:tc>
          <w:tcPr>
            <w:tcW w:w="1559" w:type="dxa"/>
            <w:tcBorders>
              <w:top w:val="single" w:sz="4" w:space="0" w:color="auto"/>
              <w:left w:val="single" w:sz="4" w:space="0" w:color="auto"/>
              <w:bottom w:val="single" w:sz="4" w:space="0" w:color="auto"/>
              <w:right w:val="single" w:sz="4" w:space="0" w:color="auto"/>
            </w:tcBorders>
            <w:hideMark/>
          </w:tcPr>
          <w:p w14:paraId="7FE5DBB8"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0</w:t>
            </w:r>
          </w:p>
        </w:tc>
        <w:tc>
          <w:tcPr>
            <w:tcW w:w="1418" w:type="dxa"/>
            <w:tcBorders>
              <w:top w:val="single" w:sz="4" w:space="0" w:color="auto"/>
              <w:left w:val="single" w:sz="4" w:space="0" w:color="auto"/>
              <w:bottom w:val="single" w:sz="4" w:space="0" w:color="auto"/>
              <w:right w:val="single" w:sz="4" w:space="0" w:color="auto"/>
            </w:tcBorders>
            <w:hideMark/>
          </w:tcPr>
          <w:p w14:paraId="302B1F80"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18</w:t>
            </w:r>
          </w:p>
        </w:tc>
        <w:tc>
          <w:tcPr>
            <w:tcW w:w="1559" w:type="dxa"/>
            <w:tcBorders>
              <w:top w:val="single" w:sz="4" w:space="0" w:color="auto"/>
              <w:left w:val="single" w:sz="4" w:space="0" w:color="auto"/>
              <w:bottom w:val="single" w:sz="4" w:space="0" w:color="auto"/>
              <w:right w:val="single" w:sz="4" w:space="0" w:color="auto"/>
            </w:tcBorders>
            <w:hideMark/>
          </w:tcPr>
          <w:p w14:paraId="01643C82"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VUS</w:t>
            </w:r>
          </w:p>
        </w:tc>
      </w:tr>
      <w:tr w:rsidR="00894DDF" w:rsidRPr="000F27B6" w14:paraId="4F5FF7F7" w14:textId="77777777" w:rsidTr="00980E88">
        <w:trPr>
          <w:trHeight w:hRule="exact" w:val="1021"/>
        </w:trPr>
        <w:tc>
          <w:tcPr>
            <w:tcW w:w="1038" w:type="dxa"/>
            <w:tcBorders>
              <w:top w:val="single" w:sz="4" w:space="0" w:color="auto"/>
              <w:left w:val="single" w:sz="4" w:space="0" w:color="auto"/>
              <w:bottom w:val="single" w:sz="4" w:space="0" w:color="auto"/>
              <w:right w:val="single" w:sz="4" w:space="0" w:color="auto"/>
            </w:tcBorders>
          </w:tcPr>
          <w:p w14:paraId="2A96F579" w14:textId="2E116107" w:rsidR="00894DDF" w:rsidRPr="000F27B6" w:rsidRDefault="005F3BBB">
            <w:pPr>
              <w:spacing w:after="0" w:line="240" w:lineRule="auto"/>
              <w:rPr>
                <w:rFonts w:asciiTheme="minorHAnsi" w:hAnsiTheme="minorHAnsi" w:cs="Arial"/>
                <w:sz w:val="24"/>
                <w:szCs w:val="24"/>
              </w:rPr>
            </w:pPr>
            <w:r>
              <w:rPr>
                <w:rFonts w:asciiTheme="minorHAnsi" w:hAnsiTheme="minorHAnsi" w:cs="Arial"/>
                <w:sz w:val="24"/>
                <w:szCs w:val="24"/>
              </w:rPr>
              <w:t>38</w:t>
            </w:r>
          </w:p>
        </w:tc>
        <w:tc>
          <w:tcPr>
            <w:tcW w:w="1440" w:type="dxa"/>
            <w:tcBorders>
              <w:top w:val="single" w:sz="4" w:space="0" w:color="auto"/>
              <w:left w:val="single" w:sz="4" w:space="0" w:color="auto"/>
              <w:bottom w:val="single" w:sz="4" w:space="0" w:color="auto"/>
              <w:right w:val="single" w:sz="4" w:space="0" w:color="auto"/>
            </w:tcBorders>
            <w:hideMark/>
          </w:tcPr>
          <w:p w14:paraId="17A608D6" w14:textId="0533AD96"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LTB2</w:t>
            </w:r>
          </w:p>
        </w:tc>
        <w:tc>
          <w:tcPr>
            <w:tcW w:w="2229" w:type="dxa"/>
            <w:tcBorders>
              <w:top w:val="single" w:sz="4" w:space="0" w:color="auto"/>
              <w:left w:val="single" w:sz="4" w:space="0" w:color="auto"/>
              <w:bottom w:val="single" w:sz="4" w:space="0" w:color="auto"/>
              <w:right w:val="single" w:sz="4" w:space="0" w:color="auto"/>
            </w:tcBorders>
            <w:hideMark/>
          </w:tcPr>
          <w:p w14:paraId="57ADAFC4"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Latent transforming growth factor beta</w:t>
            </w:r>
          </w:p>
        </w:tc>
        <w:tc>
          <w:tcPr>
            <w:tcW w:w="1560" w:type="dxa"/>
            <w:tcBorders>
              <w:top w:val="single" w:sz="4" w:space="0" w:color="auto"/>
              <w:left w:val="single" w:sz="4" w:space="0" w:color="auto"/>
              <w:bottom w:val="single" w:sz="4" w:space="0" w:color="auto"/>
              <w:right w:val="single" w:sz="4" w:space="0" w:color="auto"/>
            </w:tcBorders>
            <w:hideMark/>
          </w:tcPr>
          <w:p w14:paraId="3D3CCA9E"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c.2995G&gt;A</w:t>
            </w:r>
          </w:p>
        </w:tc>
        <w:tc>
          <w:tcPr>
            <w:tcW w:w="1559" w:type="dxa"/>
            <w:tcBorders>
              <w:top w:val="single" w:sz="4" w:space="0" w:color="auto"/>
              <w:left w:val="single" w:sz="4" w:space="0" w:color="auto"/>
              <w:bottom w:val="single" w:sz="4" w:space="0" w:color="auto"/>
              <w:right w:val="single" w:sz="4" w:space="0" w:color="auto"/>
            </w:tcBorders>
            <w:hideMark/>
          </w:tcPr>
          <w:p w14:paraId="6035F620"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p.glu999lys</w:t>
            </w:r>
          </w:p>
        </w:tc>
        <w:tc>
          <w:tcPr>
            <w:tcW w:w="1559" w:type="dxa"/>
            <w:tcBorders>
              <w:top w:val="single" w:sz="4" w:space="0" w:color="auto"/>
              <w:left w:val="single" w:sz="4" w:space="0" w:color="auto"/>
              <w:bottom w:val="single" w:sz="4" w:space="0" w:color="auto"/>
              <w:right w:val="single" w:sz="4" w:space="0" w:color="auto"/>
            </w:tcBorders>
            <w:hideMark/>
          </w:tcPr>
          <w:p w14:paraId="11300497"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0.00002</w:t>
            </w:r>
          </w:p>
        </w:tc>
        <w:tc>
          <w:tcPr>
            <w:tcW w:w="1418" w:type="dxa"/>
            <w:tcBorders>
              <w:top w:val="single" w:sz="4" w:space="0" w:color="auto"/>
              <w:left w:val="single" w:sz="4" w:space="0" w:color="auto"/>
              <w:bottom w:val="single" w:sz="4" w:space="0" w:color="auto"/>
              <w:right w:val="single" w:sz="4" w:space="0" w:color="auto"/>
            </w:tcBorders>
            <w:hideMark/>
          </w:tcPr>
          <w:p w14:paraId="7A2CDBF6"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 xml:space="preserve">24 </w:t>
            </w:r>
          </w:p>
        </w:tc>
        <w:tc>
          <w:tcPr>
            <w:tcW w:w="1559" w:type="dxa"/>
            <w:tcBorders>
              <w:top w:val="single" w:sz="4" w:space="0" w:color="auto"/>
              <w:left w:val="single" w:sz="4" w:space="0" w:color="auto"/>
              <w:bottom w:val="single" w:sz="4" w:space="0" w:color="auto"/>
              <w:right w:val="single" w:sz="4" w:space="0" w:color="auto"/>
            </w:tcBorders>
            <w:hideMark/>
          </w:tcPr>
          <w:p w14:paraId="25FF54AB"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VUS</w:t>
            </w:r>
          </w:p>
        </w:tc>
      </w:tr>
      <w:tr w:rsidR="00894DDF" w:rsidRPr="000F27B6" w14:paraId="4F2F3C4F" w14:textId="77777777" w:rsidTr="00980E88">
        <w:trPr>
          <w:trHeight w:hRule="exact" w:val="1021"/>
        </w:trPr>
        <w:tc>
          <w:tcPr>
            <w:tcW w:w="1038" w:type="dxa"/>
            <w:tcBorders>
              <w:top w:val="single" w:sz="4" w:space="0" w:color="auto"/>
              <w:left w:val="single" w:sz="4" w:space="0" w:color="auto"/>
              <w:bottom w:val="single" w:sz="4" w:space="0" w:color="auto"/>
              <w:right w:val="single" w:sz="4" w:space="0" w:color="auto"/>
            </w:tcBorders>
          </w:tcPr>
          <w:p w14:paraId="3C5C8820" w14:textId="33DE2B67" w:rsidR="00894DDF" w:rsidRPr="000F27B6" w:rsidRDefault="008A061F">
            <w:pPr>
              <w:spacing w:after="0" w:line="240" w:lineRule="auto"/>
              <w:rPr>
                <w:rFonts w:asciiTheme="minorHAnsi" w:hAnsiTheme="minorHAnsi" w:cs="Arial"/>
                <w:sz w:val="24"/>
                <w:szCs w:val="24"/>
              </w:rPr>
            </w:pPr>
            <w:r>
              <w:rPr>
                <w:rFonts w:asciiTheme="minorHAnsi" w:hAnsiTheme="minorHAnsi" w:cs="Arial"/>
                <w:sz w:val="24"/>
                <w:szCs w:val="24"/>
              </w:rPr>
              <w:t>19</w:t>
            </w:r>
          </w:p>
        </w:tc>
        <w:tc>
          <w:tcPr>
            <w:tcW w:w="1440" w:type="dxa"/>
            <w:tcBorders>
              <w:top w:val="single" w:sz="4" w:space="0" w:color="auto"/>
              <w:left w:val="single" w:sz="4" w:space="0" w:color="auto"/>
              <w:bottom w:val="single" w:sz="4" w:space="0" w:color="auto"/>
              <w:right w:val="single" w:sz="4" w:space="0" w:color="auto"/>
            </w:tcBorders>
            <w:hideMark/>
          </w:tcPr>
          <w:p w14:paraId="2FB8A263" w14:textId="7C53F7F6"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ZHX3</w:t>
            </w:r>
          </w:p>
        </w:tc>
        <w:tc>
          <w:tcPr>
            <w:tcW w:w="2229" w:type="dxa"/>
            <w:tcBorders>
              <w:top w:val="single" w:sz="4" w:space="0" w:color="auto"/>
              <w:left w:val="single" w:sz="4" w:space="0" w:color="auto"/>
              <w:bottom w:val="single" w:sz="4" w:space="0" w:color="auto"/>
              <w:right w:val="single" w:sz="4" w:space="0" w:color="auto"/>
            </w:tcBorders>
            <w:hideMark/>
          </w:tcPr>
          <w:p w14:paraId="593A79C5"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Zinc fingers and homeobox protein 3</w:t>
            </w:r>
          </w:p>
        </w:tc>
        <w:tc>
          <w:tcPr>
            <w:tcW w:w="1560" w:type="dxa"/>
            <w:tcBorders>
              <w:top w:val="single" w:sz="4" w:space="0" w:color="auto"/>
              <w:left w:val="single" w:sz="4" w:space="0" w:color="auto"/>
              <w:bottom w:val="single" w:sz="4" w:space="0" w:color="auto"/>
              <w:right w:val="single" w:sz="4" w:space="0" w:color="auto"/>
            </w:tcBorders>
            <w:hideMark/>
          </w:tcPr>
          <w:p w14:paraId="335E512F"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c.886C&gt;T</w:t>
            </w:r>
          </w:p>
        </w:tc>
        <w:tc>
          <w:tcPr>
            <w:tcW w:w="1559" w:type="dxa"/>
            <w:tcBorders>
              <w:top w:val="single" w:sz="4" w:space="0" w:color="auto"/>
              <w:left w:val="single" w:sz="4" w:space="0" w:color="auto"/>
              <w:bottom w:val="single" w:sz="4" w:space="0" w:color="auto"/>
              <w:right w:val="single" w:sz="4" w:space="0" w:color="auto"/>
            </w:tcBorders>
            <w:hideMark/>
          </w:tcPr>
          <w:p w14:paraId="445D5104"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p.Leu296Phe</w:t>
            </w:r>
          </w:p>
        </w:tc>
        <w:tc>
          <w:tcPr>
            <w:tcW w:w="1559" w:type="dxa"/>
            <w:tcBorders>
              <w:top w:val="single" w:sz="4" w:space="0" w:color="auto"/>
              <w:left w:val="single" w:sz="4" w:space="0" w:color="auto"/>
              <w:bottom w:val="single" w:sz="4" w:space="0" w:color="auto"/>
              <w:right w:val="single" w:sz="4" w:space="0" w:color="auto"/>
            </w:tcBorders>
            <w:hideMark/>
          </w:tcPr>
          <w:p w14:paraId="4AF9D13B"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0.00003</w:t>
            </w:r>
          </w:p>
        </w:tc>
        <w:tc>
          <w:tcPr>
            <w:tcW w:w="1418" w:type="dxa"/>
            <w:tcBorders>
              <w:top w:val="single" w:sz="4" w:space="0" w:color="auto"/>
              <w:left w:val="single" w:sz="4" w:space="0" w:color="auto"/>
              <w:bottom w:val="single" w:sz="4" w:space="0" w:color="auto"/>
              <w:right w:val="single" w:sz="4" w:space="0" w:color="auto"/>
            </w:tcBorders>
            <w:hideMark/>
          </w:tcPr>
          <w:p w14:paraId="6CDCA8E9"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16</w:t>
            </w:r>
          </w:p>
        </w:tc>
        <w:tc>
          <w:tcPr>
            <w:tcW w:w="1559" w:type="dxa"/>
            <w:tcBorders>
              <w:top w:val="single" w:sz="4" w:space="0" w:color="auto"/>
              <w:left w:val="single" w:sz="4" w:space="0" w:color="auto"/>
              <w:bottom w:val="single" w:sz="4" w:space="0" w:color="auto"/>
              <w:right w:val="single" w:sz="4" w:space="0" w:color="auto"/>
            </w:tcBorders>
            <w:hideMark/>
          </w:tcPr>
          <w:p w14:paraId="6848E2BC"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VUS</w:t>
            </w:r>
          </w:p>
        </w:tc>
      </w:tr>
      <w:tr w:rsidR="00894DDF" w:rsidRPr="000F27B6" w14:paraId="2F68066C" w14:textId="77777777" w:rsidTr="00980E88">
        <w:trPr>
          <w:trHeight w:hRule="exact" w:val="1021"/>
        </w:trPr>
        <w:tc>
          <w:tcPr>
            <w:tcW w:w="1038" w:type="dxa"/>
            <w:tcBorders>
              <w:top w:val="single" w:sz="4" w:space="0" w:color="auto"/>
              <w:left w:val="single" w:sz="4" w:space="0" w:color="auto"/>
              <w:bottom w:val="single" w:sz="4" w:space="0" w:color="auto"/>
              <w:right w:val="single" w:sz="4" w:space="0" w:color="auto"/>
            </w:tcBorders>
          </w:tcPr>
          <w:p w14:paraId="38BBC671" w14:textId="14CAB097" w:rsidR="00894DDF" w:rsidRPr="000F27B6" w:rsidRDefault="0008373C">
            <w:pPr>
              <w:spacing w:after="0" w:line="240" w:lineRule="auto"/>
              <w:rPr>
                <w:rFonts w:asciiTheme="minorHAnsi" w:hAnsiTheme="minorHAnsi" w:cs="Arial"/>
                <w:sz w:val="24"/>
                <w:szCs w:val="24"/>
              </w:rPr>
            </w:pPr>
            <w:r>
              <w:rPr>
                <w:rFonts w:asciiTheme="minorHAnsi" w:hAnsiTheme="minorHAnsi" w:cs="Arial"/>
                <w:sz w:val="24"/>
                <w:szCs w:val="24"/>
              </w:rPr>
              <w:t>16</w:t>
            </w:r>
          </w:p>
        </w:tc>
        <w:tc>
          <w:tcPr>
            <w:tcW w:w="1440" w:type="dxa"/>
            <w:tcBorders>
              <w:top w:val="single" w:sz="4" w:space="0" w:color="auto"/>
              <w:left w:val="single" w:sz="4" w:space="0" w:color="auto"/>
              <w:bottom w:val="single" w:sz="4" w:space="0" w:color="auto"/>
              <w:right w:val="single" w:sz="4" w:space="0" w:color="auto"/>
            </w:tcBorders>
            <w:hideMark/>
          </w:tcPr>
          <w:p w14:paraId="62297FC2" w14:textId="44DEF723"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SALL4</w:t>
            </w:r>
          </w:p>
        </w:tc>
        <w:tc>
          <w:tcPr>
            <w:tcW w:w="2229" w:type="dxa"/>
            <w:tcBorders>
              <w:top w:val="single" w:sz="4" w:space="0" w:color="auto"/>
              <w:left w:val="single" w:sz="4" w:space="0" w:color="auto"/>
              <w:bottom w:val="single" w:sz="4" w:space="0" w:color="auto"/>
              <w:right w:val="single" w:sz="4" w:space="0" w:color="auto"/>
            </w:tcBorders>
            <w:hideMark/>
          </w:tcPr>
          <w:p w14:paraId="6D17263E"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Sal-like protein 4</w:t>
            </w:r>
          </w:p>
        </w:tc>
        <w:tc>
          <w:tcPr>
            <w:tcW w:w="1560" w:type="dxa"/>
            <w:tcBorders>
              <w:top w:val="single" w:sz="4" w:space="0" w:color="auto"/>
              <w:left w:val="single" w:sz="4" w:space="0" w:color="auto"/>
              <w:bottom w:val="single" w:sz="4" w:space="0" w:color="auto"/>
              <w:right w:val="single" w:sz="4" w:space="0" w:color="auto"/>
            </w:tcBorders>
            <w:hideMark/>
          </w:tcPr>
          <w:p w14:paraId="2C230087"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c.203G&gt;A</w:t>
            </w:r>
          </w:p>
        </w:tc>
        <w:tc>
          <w:tcPr>
            <w:tcW w:w="1559" w:type="dxa"/>
            <w:tcBorders>
              <w:top w:val="single" w:sz="4" w:space="0" w:color="auto"/>
              <w:left w:val="single" w:sz="4" w:space="0" w:color="auto"/>
              <w:bottom w:val="single" w:sz="4" w:space="0" w:color="auto"/>
              <w:right w:val="single" w:sz="4" w:space="0" w:color="auto"/>
            </w:tcBorders>
            <w:hideMark/>
          </w:tcPr>
          <w:p w14:paraId="55D7F303"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p.Arg68Gln</w:t>
            </w:r>
          </w:p>
        </w:tc>
        <w:tc>
          <w:tcPr>
            <w:tcW w:w="1559" w:type="dxa"/>
            <w:tcBorders>
              <w:top w:val="single" w:sz="4" w:space="0" w:color="auto"/>
              <w:left w:val="single" w:sz="4" w:space="0" w:color="auto"/>
              <w:bottom w:val="single" w:sz="4" w:space="0" w:color="auto"/>
              <w:right w:val="single" w:sz="4" w:space="0" w:color="auto"/>
            </w:tcBorders>
            <w:hideMark/>
          </w:tcPr>
          <w:p w14:paraId="5892AE3A"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0.0003</w:t>
            </w:r>
          </w:p>
        </w:tc>
        <w:tc>
          <w:tcPr>
            <w:tcW w:w="1418" w:type="dxa"/>
            <w:tcBorders>
              <w:top w:val="single" w:sz="4" w:space="0" w:color="auto"/>
              <w:left w:val="single" w:sz="4" w:space="0" w:color="auto"/>
              <w:bottom w:val="single" w:sz="4" w:space="0" w:color="auto"/>
              <w:right w:val="single" w:sz="4" w:space="0" w:color="auto"/>
            </w:tcBorders>
            <w:hideMark/>
          </w:tcPr>
          <w:p w14:paraId="0E32D5BE"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12</w:t>
            </w:r>
          </w:p>
        </w:tc>
        <w:tc>
          <w:tcPr>
            <w:tcW w:w="1559" w:type="dxa"/>
            <w:tcBorders>
              <w:top w:val="single" w:sz="4" w:space="0" w:color="auto"/>
              <w:left w:val="single" w:sz="4" w:space="0" w:color="auto"/>
              <w:bottom w:val="single" w:sz="4" w:space="0" w:color="auto"/>
              <w:right w:val="single" w:sz="4" w:space="0" w:color="auto"/>
            </w:tcBorders>
            <w:hideMark/>
          </w:tcPr>
          <w:p w14:paraId="4F3E985D"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VUS</w:t>
            </w:r>
          </w:p>
        </w:tc>
      </w:tr>
      <w:tr w:rsidR="00894DDF" w:rsidRPr="000F27B6" w14:paraId="63FA87FD" w14:textId="77777777" w:rsidTr="00980E88">
        <w:trPr>
          <w:trHeight w:hRule="exact" w:val="1021"/>
        </w:trPr>
        <w:tc>
          <w:tcPr>
            <w:tcW w:w="1038" w:type="dxa"/>
            <w:tcBorders>
              <w:top w:val="single" w:sz="4" w:space="0" w:color="auto"/>
              <w:left w:val="single" w:sz="4" w:space="0" w:color="auto"/>
              <w:bottom w:val="single" w:sz="4" w:space="0" w:color="auto"/>
              <w:right w:val="single" w:sz="4" w:space="0" w:color="auto"/>
            </w:tcBorders>
          </w:tcPr>
          <w:p w14:paraId="474D1A80" w14:textId="0018D8E9" w:rsidR="00894DDF" w:rsidRPr="000F27B6" w:rsidRDefault="0008373C">
            <w:pPr>
              <w:spacing w:after="0" w:line="240" w:lineRule="auto"/>
              <w:rPr>
                <w:rFonts w:asciiTheme="minorHAnsi" w:hAnsiTheme="minorHAnsi" w:cs="Arial"/>
                <w:sz w:val="24"/>
                <w:szCs w:val="24"/>
              </w:rPr>
            </w:pPr>
            <w:r>
              <w:rPr>
                <w:rFonts w:asciiTheme="minorHAnsi" w:hAnsiTheme="minorHAnsi" w:cs="Arial"/>
                <w:sz w:val="24"/>
                <w:szCs w:val="24"/>
              </w:rPr>
              <w:lastRenderedPageBreak/>
              <w:t>25</w:t>
            </w:r>
          </w:p>
        </w:tc>
        <w:tc>
          <w:tcPr>
            <w:tcW w:w="1440" w:type="dxa"/>
            <w:tcBorders>
              <w:top w:val="single" w:sz="4" w:space="0" w:color="auto"/>
              <w:left w:val="single" w:sz="4" w:space="0" w:color="auto"/>
              <w:bottom w:val="single" w:sz="4" w:space="0" w:color="auto"/>
              <w:right w:val="single" w:sz="4" w:space="0" w:color="auto"/>
            </w:tcBorders>
            <w:hideMark/>
          </w:tcPr>
          <w:p w14:paraId="44CB2085" w14:textId="16B8B6E5"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CBS</w:t>
            </w:r>
          </w:p>
        </w:tc>
        <w:tc>
          <w:tcPr>
            <w:tcW w:w="2229" w:type="dxa"/>
            <w:tcBorders>
              <w:top w:val="single" w:sz="4" w:space="0" w:color="auto"/>
              <w:left w:val="single" w:sz="4" w:space="0" w:color="auto"/>
              <w:bottom w:val="single" w:sz="4" w:space="0" w:color="auto"/>
              <w:right w:val="single" w:sz="4" w:space="0" w:color="auto"/>
            </w:tcBorders>
          </w:tcPr>
          <w:p w14:paraId="3FAB6C80" w14:textId="77777777" w:rsidR="00894DDF" w:rsidRPr="000F27B6" w:rsidRDefault="00894DDF">
            <w:pPr>
              <w:spacing w:before="100" w:beforeAutospacing="1" w:after="100" w:afterAutospacing="1" w:line="240" w:lineRule="auto"/>
              <w:outlineLvl w:val="0"/>
              <w:rPr>
                <w:rFonts w:asciiTheme="minorHAnsi" w:eastAsia="Times New Roman" w:hAnsiTheme="minorHAnsi" w:cs="Arial"/>
                <w:bCs/>
                <w:kern w:val="36"/>
                <w:sz w:val="24"/>
                <w:szCs w:val="24"/>
              </w:rPr>
            </w:pPr>
            <w:r w:rsidRPr="000F27B6">
              <w:rPr>
                <w:rFonts w:asciiTheme="minorHAnsi" w:eastAsia="Times New Roman" w:hAnsiTheme="minorHAnsi" w:cs="Arial"/>
                <w:bCs/>
                <w:kern w:val="36"/>
                <w:sz w:val="24"/>
                <w:szCs w:val="24"/>
              </w:rPr>
              <w:t>Cystathionine beta-synthase</w:t>
            </w:r>
          </w:p>
          <w:p w14:paraId="2E6E50B4" w14:textId="77777777" w:rsidR="00894DDF" w:rsidRPr="000F27B6" w:rsidRDefault="00894DDF">
            <w:pPr>
              <w:spacing w:after="0" w:line="240" w:lineRule="auto"/>
              <w:rPr>
                <w:rFonts w:asciiTheme="minorHAnsi" w:eastAsiaTheme="minorHAnsi" w:hAnsiTheme="minorHAnsi" w:cs="Arial"/>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591AD9F0"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c.935C&gt;A</w:t>
            </w:r>
          </w:p>
        </w:tc>
        <w:tc>
          <w:tcPr>
            <w:tcW w:w="1559" w:type="dxa"/>
            <w:tcBorders>
              <w:top w:val="single" w:sz="4" w:space="0" w:color="auto"/>
              <w:left w:val="single" w:sz="4" w:space="0" w:color="auto"/>
              <w:bottom w:val="single" w:sz="4" w:space="0" w:color="auto"/>
              <w:right w:val="single" w:sz="4" w:space="0" w:color="auto"/>
            </w:tcBorders>
            <w:hideMark/>
          </w:tcPr>
          <w:p w14:paraId="7627B024"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p.Pro312His</w:t>
            </w:r>
          </w:p>
        </w:tc>
        <w:tc>
          <w:tcPr>
            <w:tcW w:w="1559" w:type="dxa"/>
            <w:tcBorders>
              <w:top w:val="single" w:sz="4" w:space="0" w:color="auto"/>
              <w:left w:val="single" w:sz="4" w:space="0" w:color="auto"/>
              <w:bottom w:val="single" w:sz="4" w:space="0" w:color="auto"/>
              <w:right w:val="single" w:sz="4" w:space="0" w:color="auto"/>
            </w:tcBorders>
            <w:hideMark/>
          </w:tcPr>
          <w:p w14:paraId="6B9D3AC1"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0.00000008</w:t>
            </w:r>
          </w:p>
        </w:tc>
        <w:tc>
          <w:tcPr>
            <w:tcW w:w="1418" w:type="dxa"/>
            <w:tcBorders>
              <w:top w:val="single" w:sz="4" w:space="0" w:color="auto"/>
              <w:left w:val="single" w:sz="4" w:space="0" w:color="auto"/>
              <w:bottom w:val="single" w:sz="4" w:space="0" w:color="auto"/>
              <w:right w:val="single" w:sz="4" w:space="0" w:color="auto"/>
            </w:tcBorders>
            <w:hideMark/>
          </w:tcPr>
          <w:p w14:paraId="09E3EAB0"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17</w:t>
            </w:r>
          </w:p>
        </w:tc>
        <w:tc>
          <w:tcPr>
            <w:tcW w:w="1559" w:type="dxa"/>
            <w:tcBorders>
              <w:top w:val="single" w:sz="4" w:space="0" w:color="auto"/>
              <w:left w:val="single" w:sz="4" w:space="0" w:color="auto"/>
              <w:bottom w:val="single" w:sz="4" w:space="0" w:color="auto"/>
              <w:right w:val="single" w:sz="4" w:space="0" w:color="auto"/>
            </w:tcBorders>
            <w:hideMark/>
          </w:tcPr>
          <w:p w14:paraId="07AF1D0F"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VUS</w:t>
            </w:r>
          </w:p>
        </w:tc>
      </w:tr>
      <w:tr w:rsidR="00894DDF" w:rsidRPr="000F27B6" w14:paraId="41F431ED" w14:textId="77777777" w:rsidTr="00980E88">
        <w:trPr>
          <w:trHeight w:hRule="exact" w:val="1021"/>
        </w:trPr>
        <w:tc>
          <w:tcPr>
            <w:tcW w:w="1038" w:type="dxa"/>
            <w:tcBorders>
              <w:top w:val="single" w:sz="4" w:space="0" w:color="auto"/>
              <w:left w:val="single" w:sz="4" w:space="0" w:color="auto"/>
              <w:bottom w:val="single" w:sz="4" w:space="0" w:color="auto"/>
              <w:right w:val="single" w:sz="4" w:space="0" w:color="auto"/>
            </w:tcBorders>
          </w:tcPr>
          <w:p w14:paraId="0496EE0F" w14:textId="2215DA8E" w:rsidR="00894DDF" w:rsidRPr="000F27B6" w:rsidRDefault="0008373C">
            <w:pPr>
              <w:spacing w:after="0" w:line="240" w:lineRule="auto"/>
              <w:rPr>
                <w:rFonts w:asciiTheme="minorHAnsi" w:hAnsiTheme="minorHAnsi" w:cs="Arial"/>
                <w:sz w:val="24"/>
                <w:szCs w:val="24"/>
              </w:rPr>
            </w:pPr>
            <w:r>
              <w:rPr>
                <w:rFonts w:asciiTheme="minorHAnsi" w:hAnsiTheme="minorHAnsi" w:cs="Arial"/>
                <w:sz w:val="24"/>
                <w:szCs w:val="24"/>
              </w:rPr>
              <w:t>41</w:t>
            </w:r>
          </w:p>
        </w:tc>
        <w:tc>
          <w:tcPr>
            <w:tcW w:w="1440" w:type="dxa"/>
            <w:tcBorders>
              <w:top w:val="single" w:sz="4" w:space="0" w:color="auto"/>
              <w:left w:val="single" w:sz="4" w:space="0" w:color="auto"/>
              <w:bottom w:val="single" w:sz="4" w:space="0" w:color="auto"/>
              <w:right w:val="single" w:sz="4" w:space="0" w:color="auto"/>
            </w:tcBorders>
            <w:hideMark/>
          </w:tcPr>
          <w:p w14:paraId="1D3FCFF3" w14:textId="73FE79E3"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TXNRD2</w:t>
            </w:r>
          </w:p>
        </w:tc>
        <w:tc>
          <w:tcPr>
            <w:tcW w:w="2229" w:type="dxa"/>
            <w:tcBorders>
              <w:top w:val="single" w:sz="4" w:space="0" w:color="auto"/>
              <w:left w:val="single" w:sz="4" w:space="0" w:color="auto"/>
              <w:bottom w:val="single" w:sz="4" w:space="0" w:color="auto"/>
              <w:right w:val="single" w:sz="4" w:space="0" w:color="auto"/>
            </w:tcBorders>
            <w:hideMark/>
          </w:tcPr>
          <w:p w14:paraId="34196B5B" w14:textId="77777777" w:rsidR="00894DDF" w:rsidRPr="000F27B6" w:rsidRDefault="00894DDF">
            <w:pPr>
              <w:spacing w:before="100" w:beforeAutospacing="1" w:after="100" w:afterAutospacing="1" w:line="240" w:lineRule="auto"/>
              <w:outlineLvl w:val="0"/>
              <w:rPr>
                <w:rFonts w:asciiTheme="minorHAnsi" w:eastAsia="Times New Roman" w:hAnsiTheme="minorHAnsi" w:cs="Arial"/>
                <w:bCs/>
                <w:kern w:val="36"/>
                <w:sz w:val="24"/>
                <w:szCs w:val="24"/>
              </w:rPr>
            </w:pPr>
            <w:r w:rsidRPr="000F27B6">
              <w:rPr>
                <w:rFonts w:asciiTheme="minorHAnsi" w:eastAsia="Times New Roman" w:hAnsiTheme="minorHAnsi" w:cs="Arial"/>
                <w:bCs/>
                <w:kern w:val="36"/>
                <w:sz w:val="24"/>
                <w:szCs w:val="24"/>
              </w:rPr>
              <w:t>Thioredoxin reductase2</w:t>
            </w:r>
          </w:p>
        </w:tc>
        <w:tc>
          <w:tcPr>
            <w:tcW w:w="1560" w:type="dxa"/>
            <w:tcBorders>
              <w:top w:val="single" w:sz="4" w:space="0" w:color="auto"/>
              <w:left w:val="single" w:sz="4" w:space="0" w:color="auto"/>
              <w:bottom w:val="single" w:sz="4" w:space="0" w:color="auto"/>
              <w:right w:val="single" w:sz="4" w:space="0" w:color="auto"/>
            </w:tcBorders>
            <w:hideMark/>
          </w:tcPr>
          <w:p w14:paraId="4E383FE0" w14:textId="77777777" w:rsidR="00894DDF" w:rsidRPr="000F27B6" w:rsidRDefault="00894DDF">
            <w:pPr>
              <w:spacing w:after="0" w:line="240" w:lineRule="auto"/>
              <w:rPr>
                <w:rFonts w:asciiTheme="minorHAnsi" w:eastAsiaTheme="minorHAnsi" w:hAnsiTheme="minorHAnsi" w:cs="Arial"/>
                <w:sz w:val="24"/>
                <w:szCs w:val="24"/>
              </w:rPr>
            </w:pPr>
            <w:r w:rsidRPr="000F27B6">
              <w:rPr>
                <w:rFonts w:asciiTheme="minorHAnsi" w:hAnsiTheme="minorHAnsi" w:cs="Arial"/>
                <w:sz w:val="24"/>
                <w:szCs w:val="24"/>
              </w:rPr>
              <w:t>c.940G&gt;T</w:t>
            </w:r>
          </w:p>
        </w:tc>
        <w:tc>
          <w:tcPr>
            <w:tcW w:w="1559" w:type="dxa"/>
            <w:tcBorders>
              <w:top w:val="single" w:sz="4" w:space="0" w:color="auto"/>
              <w:left w:val="single" w:sz="4" w:space="0" w:color="auto"/>
              <w:bottom w:val="single" w:sz="4" w:space="0" w:color="auto"/>
              <w:right w:val="single" w:sz="4" w:space="0" w:color="auto"/>
            </w:tcBorders>
            <w:hideMark/>
          </w:tcPr>
          <w:p w14:paraId="5EF74898"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p.Asp314Tyr</w:t>
            </w:r>
          </w:p>
        </w:tc>
        <w:tc>
          <w:tcPr>
            <w:tcW w:w="1559" w:type="dxa"/>
            <w:tcBorders>
              <w:top w:val="single" w:sz="4" w:space="0" w:color="auto"/>
              <w:left w:val="single" w:sz="4" w:space="0" w:color="auto"/>
              <w:bottom w:val="single" w:sz="4" w:space="0" w:color="auto"/>
              <w:right w:val="single" w:sz="4" w:space="0" w:color="auto"/>
            </w:tcBorders>
            <w:hideMark/>
          </w:tcPr>
          <w:p w14:paraId="4FA8CF5A"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0.00008</w:t>
            </w:r>
          </w:p>
        </w:tc>
        <w:tc>
          <w:tcPr>
            <w:tcW w:w="1418" w:type="dxa"/>
            <w:tcBorders>
              <w:top w:val="single" w:sz="4" w:space="0" w:color="auto"/>
              <w:left w:val="single" w:sz="4" w:space="0" w:color="auto"/>
              <w:bottom w:val="single" w:sz="4" w:space="0" w:color="auto"/>
              <w:right w:val="single" w:sz="4" w:space="0" w:color="auto"/>
            </w:tcBorders>
            <w:hideMark/>
          </w:tcPr>
          <w:p w14:paraId="1A278B43"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13</w:t>
            </w:r>
          </w:p>
        </w:tc>
        <w:tc>
          <w:tcPr>
            <w:tcW w:w="1559" w:type="dxa"/>
            <w:tcBorders>
              <w:top w:val="single" w:sz="4" w:space="0" w:color="auto"/>
              <w:left w:val="single" w:sz="4" w:space="0" w:color="auto"/>
              <w:bottom w:val="single" w:sz="4" w:space="0" w:color="auto"/>
              <w:right w:val="single" w:sz="4" w:space="0" w:color="auto"/>
            </w:tcBorders>
            <w:hideMark/>
          </w:tcPr>
          <w:p w14:paraId="7A163B77"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VUS</w:t>
            </w:r>
          </w:p>
        </w:tc>
      </w:tr>
      <w:tr w:rsidR="00894DDF" w:rsidRPr="000F27B6" w14:paraId="3C5CBE2B" w14:textId="77777777" w:rsidTr="00980E88">
        <w:trPr>
          <w:trHeight w:hRule="exact" w:val="1021"/>
        </w:trPr>
        <w:tc>
          <w:tcPr>
            <w:tcW w:w="1038" w:type="dxa"/>
            <w:tcBorders>
              <w:top w:val="single" w:sz="4" w:space="0" w:color="auto"/>
              <w:left w:val="single" w:sz="4" w:space="0" w:color="auto"/>
              <w:bottom w:val="single" w:sz="4" w:space="0" w:color="auto"/>
              <w:right w:val="single" w:sz="4" w:space="0" w:color="auto"/>
            </w:tcBorders>
          </w:tcPr>
          <w:p w14:paraId="3FA4B615" w14:textId="0F3BF409" w:rsidR="00894DDF" w:rsidRPr="000F27B6" w:rsidRDefault="0008373C">
            <w:pPr>
              <w:spacing w:after="0" w:line="240" w:lineRule="auto"/>
              <w:rPr>
                <w:rFonts w:asciiTheme="minorHAnsi" w:hAnsiTheme="minorHAnsi" w:cs="Arial"/>
                <w:sz w:val="24"/>
                <w:szCs w:val="24"/>
              </w:rPr>
            </w:pPr>
            <w:r>
              <w:rPr>
                <w:rFonts w:asciiTheme="minorHAnsi" w:hAnsiTheme="minorHAnsi" w:cs="Arial"/>
                <w:sz w:val="24"/>
                <w:szCs w:val="24"/>
              </w:rPr>
              <w:t>24</w:t>
            </w:r>
          </w:p>
        </w:tc>
        <w:tc>
          <w:tcPr>
            <w:tcW w:w="1440" w:type="dxa"/>
            <w:tcBorders>
              <w:top w:val="single" w:sz="4" w:space="0" w:color="auto"/>
              <w:left w:val="single" w:sz="4" w:space="0" w:color="auto"/>
              <w:bottom w:val="single" w:sz="4" w:space="0" w:color="auto"/>
              <w:right w:val="single" w:sz="4" w:space="0" w:color="auto"/>
            </w:tcBorders>
            <w:hideMark/>
          </w:tcPr>
          <w:p w14:paraId="502C27F0" w14:textId="2D375AD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SCN5A</w:t>
            </w:r>
          </w:p>
        </w:tc>
        <w:tc>
          <w:tcPr>
            <w:tcW w:w="2229" w:type="dxa"/>
            <w:tcBorders>
              <w:top w:val="single" w:sz="4" w:space="0" w:color="auto"/>
              <w:left w:val="single" w:sz="4" w:space="0" w:color="auto"/>
              <w:bottom w:val="single" w:sz="4" w:space="0" w:color="auto"/>
              <w:right w:val="single" w:sz="4" w:space="0" w:color="auto"/>
            </w:tcBorders>
            <w:hideMark/>
          </w:tcPr>
          <w:p w14:paraId="49051008" w14:textId="77777777" w:rsidR="00894DDF" w:rsidRPr="000F27B6" w:rsidRDefault="00894DDF">
            <w:pPr>
              <w:spacing w:before="100" w:beforeAutospacing="1" w:after="100" w:afterAutospacing="1" w:line="240" w:lineRule="auto"/>
              <w:outlineLvl w:val="0"/>
              <w:rPr>
                <w:rFonts w:asciiTheme="minorHAnsi" w:eastAsia="Times New Roman" w:hAnsiTheme="minorHAnsi" w:cs="Arial"/>
                <w:bCs/>
                <w:kern w:val="36"/>
                <w:sz w:val="24"/>
                <w:szCs w:val="24"/>
              </w:rPr>
            </w:pPr>
            <w:r w:rsidRPr="000F27B6">
              <w:rPr>
                <w:rFonts w:asciiTheme="minorHAnsi" w:eastAsia="Times New Roman" w:hAnsiTheme="minorHAnsi" w:cs="Arial"/>
                <w:bCs/>
                <w:kern w:val="36"/>
                <w:sz w:val="24"/>
                <w:szCs w:val="24"/>
              </w:rPr>
              <w:t>Voltage gated sodium channel</w:t>
            </w:r>
          </w:p>
        </w:tc>
        <w:tc>
          <w:tcPr>
            <w:tcW w:w="1560" w:type="dxa"/>
            <w:tcBorders>
              <w:top w:val="single" w:sz="4" w:space="0" w:color="auto"/>
              <w:left w:val="single" w:sz="4" w:space="0" w:color="auto"/>
              <w:bottom w:val="single" w:sz="4" w:space="0" w:color="auto"/>
              <w:right w:val="single" w:sz="4" w:space="0" w:color="auto"/>
            </w:tcBorders>
            <w:hideMark/>
          </w:tcPr>
          <w:p w14:paraId="6244E7AF" w14:textId="77777777" w:rsidR="00894DDF" w:rsidRPr="000F27B6" w:rsidRDefault="00894DDF">
            <w:pPr>
              <w:spacing w:after="0" w:line="240" w:lineRule="auto"/>
              <w:rPr>
                <w:rFonts w:asciiTheme="minorHAnsi" w:eastAsiaTheme="minorHAnsi" w:hAnsiTheme="minorHAnsi" w:cs="Arial"/>
                <w:sz w:val="24"/>
                <w:szCs w:val="24"/>
              </w:rPr>
            </w:pPr>
            <w:r w:rsidRPr="000F27B6">
              <w:rPr>
                <w:rFonts w:asciiTheme="minorHAnsi" w:hAnsiTheme="minorHAnsi" w:cs="Arial"/>
                <w:sz w:val="24"/>
                <w:szCs w:val="24"/>
              </w:rPr>
              <w:t>c.392+3A&gt;G</w:t>
            </w:r>
          </w:p>
        </w:tc>
        <w:tc>
          <w:tcPr>
            <w:tcW w:w="1559" w:type="dxa"/>
            <w:tcBorders>
              <w:top w:val="single" w:sz="4" w:space="0" w:color="auto"/>
              <w:left w:val="single" w:sz="4" w:space="0" w:color="auto"/>
              <w:bottom w:val="single" w:sz="4" w:space="0" w:color="auto"/>
              <w:right w:val="single" w:sz="4" w:space="0" w:color="auto"/>
            </w:tcBorders>
          </w:tcPr>
          <w:p w14:paraId="08790A2E" w14:textId="77777777" w:rsidR="00894DDF" w:rsidRPr="000F27B6" w:rsidRDefault="00894DDF">
            <w:pPr>
              <w:spacing w:after="0" w:line="240" w:lineRule="auto"/>
              <w:rPr>
                <w:rFonts w:asciiTheme="minorHAnsi" w:hAnsiTheme="minorHAnsi" w:cs="Arial"/>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268845E1"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0</w:t>
            </w:r>
          </w:p>
        </w:tc>
        <w:tc>
          <w:tcPr>
            <w:tcW w:w="1418" w:type="dxa"/>
            <w:tcBorders>
              <w:top w:val="single" w:sz="4" w:space="0" w:color="auto"/>
              <w:left w:val="single" w:sz="4" w:space="0" w:color="auto"/>
              <w:bottom w:val="single" w:sz="4" w:space="0" w:color="auto"/>
              <w:right w:val="single" w:sz="4" w:space="0" w:color="auto"/>
            </w:tcBorders>
            <w:hideMark/>
          </w:tcPr>
          <w:p w14:paraId="54ED80EF"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16</w:t>
            </w:r>
          </w:p>
        </w:tc>
        <w:tc>
          <w:tcPr>
            <w:tcW w:w="1559" w:type="dxa"/>
            <w:tcBorders>
              <w:top w:val="single" w:sz="4" w:space="0" w:color="auto"/>
              <w:left w:val="single" w:sz="4" w:space="0" w:color="auto"/>
              <w:bottom w:val="single" w:sz="4" w:space="0" w:color="auto"/>
              <w:right w:val="single" w:sz="4" w:space="0" w:color="auto"/>
            </w:tcBorders>
            <w:hideMark/>
          </w:tcPr>
          <w:p w14:paraId="36783381"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VUS</w:t>
            </w:r>
          </w:p>
        </w:tc>
      </w:tr>
      <w:tr w:rsidR="00894DDF" w:rsidRPr="000F27B6" w14:paraId="5CE21118" w14:textId="77777777" w:rsidTr="00980E88">
        <w:trPr>
          <w:trHeight w:hRule="exact" w:val="1021"/>
        </w:trPr>
        <w:tc>
          <w:tcPr>
            <w:tcW w:w="1038" w:type="dxa"/>
            <w:tcBorders>
              <w:top w:val="single" w:sz="4" w:space="0" w:color="auto"/>
              <w:left w:val="single" w:sz="4" w:space="0" w:color="auto"/>
              <w:bottom w:val="single" w:sz="4" w:space="0" w:color="auto"/>
              <w:right w:val="single" w:sz="4" w:space="0" w:color="auto"/>
            </w:tcBorders>
          </w:tcPr>
          <w:p w14:paraId="2D878A1C" w14:textId="4C4D8985" w:rsidR="00894DDF" w:rsidRPr="000F27B6" w:rsidRDefault="0008373C">
            <w:pPr>
              <w:spacing w:after="0" w:line="240" w:lineRule="auto"/>
              <w:rPr>
                <w:rFonts w:asciiTheme="minorHAnsi" w:hAnsiTheme="minorHAnsi" w:cs="Arial"/>
                <w:sz w:val="24"/>
                <w:szCs w:val="24"/>
              </w:rPr>
            </w:pPr>
            <w:r>
              <w:rPr>
                <w:rFonts w:asciiTheme="minorHAnsi" w:hAnsiTheme="minorHAnsi" w:cs="Arial"/>
                <w:sz w:val="24"/>
                <w:szCs w:val="24"/>
              </w:rPr>
              <w:t>16</w:t>
            </w:r>
          </w:p>
        </w:tc>
        <w:tc>
          <w:tcPr>
            <w:tcW w:w="1440" w:type="dxa"/>
            <w:tcBorders>
              <w:top w:val="single" w:sz="4" w:space="0" w:color="auto"/>
              <w:left w:val="single" w:sz="4" w:space="0" w:color="auto"/>
              <w:bottom w:val="single" w:sz="4" w:space="0" w:color="auto"/>
              <w:right w:val="single" w:sz="4" w:space="0" w:color="auto"/>
            </w:tcBorders>
            <w:hideMark/>
          </w:tcPr>
          <w:p w14:paraId="4CF85D73" w14:textId="2CEA2483"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MYL3</w:t>
            </w:r>
          </w:p>
        </w:tc>
        <w:tc>
          <w:tcPr>
            <w:tcW w:w="2229" w:type="dxa"/>
            <w:tcBorders>
              <w:top w:val="single" w:sz="4" w:space="0" w:color="auto"/>
              <w:left w:val="single" w:sz="4" w:space="0" w:color="auto"/>
              <w:bottom w:val="single" w:sz="4" w:space="0" w:color="auto"/>
              <w:right w:val="single" w:sz="4" w:space="0" w:color="auto"/>
            </w:tcBorders>
            <w:hideMark/>
          </w:tcPr>
          <w:p w14:paraId="6F25D8D8" w14:textId="77777777" w:rsidR="00894DDF" w:rsidRPr="000F27B6" w:rsidRDefault="00894DDF">
            <w:pPr>
              <w:spacing w:before="100" w:beforeAutospacing="1" w:after="100" w:afterAutospacing="1" w:line="240" w:lineRule="auto"/>
              <w:outlineLvl w:val="0"/>
              <w:rPr>
                <w:rFonts w:asciiTheme="minorHAnsi" w:eastAsia="Times New Roman" w:hAnsiTheme="minorHAnsi" w:cs="Arial"/>
                <w:bCs/>
                <w:kern w:val="36"/>
                <w:sz w:val="24"/>
                <w:szCs w:val="24"/>
              </w:rPr>
            </w:pPr>
            <w:r w:rsidRPr="000F27B6">
              <w:rPr>
                <w:rFonts w:asciiTheme="minorHAnsi" w:eastAsia="Times New Roman" w:hAnsiTheme="minorHAnsi" w:cs="Arial"/>
                <w:bCs/>
                <w:kern w:val="36"/>
                <w:sz w:val="24"/>
                <w:szCs w:val="24"/>
              </w:rPr>
              <w:t>Myosin light chain</w:t>
            </w:r>
          </w:p>
        </w:tc>
        <w:tc>
          <w:tcPr>
            <w:tcW w:w="1560" w:type="dxa"/>
            <w:tcBorders>
              <w:top w:val="single" w:sz="4" w:space="0" w:color="auto"/>
              <w:left w:val="single" w:sz="4" w:space="0" w:color="auto"/>
              <w:bottom w:val="single" w:sz="4" w:space="0" w:color="auto"/>
              <w:right w:val="single" w:sz="4" w:space="0" w:color="auto"/>
            </w:tcBorders>
            <w:hideMark/>
          </w:tcPr>
          <w:p w14:paraId="19FCCF08" w14:textId="77777777" w:rsidR="00894DDF" w:rsidRPr="000F27B6" w:rsidRDefault="00894DDF">
            <w:pPr>
              <w:spacing w:after="0" w:line="240" w:lineRule="auto"/>
              <w:rPr>
                <w:rFonts w:asciiTheme="minorHAnsi" w:eastAsiaTheme="minorHAnsi" w:hAnsiTheme="minorHAnsi" w:cs="Arial"/>
                <w:sz w:val="24"/>
                <w:szCs w:val="24"/>
              </w:rPr>
            </w:pPr>
            <w:r w:rsidRPr="000F27B6">
              <w:rPr>
                <w:rFonts w:asciiTheme="minorHAnsi" w:hAnsiTheme="minorHAnsi" w:cs="Arial"/>
                <w:sz w:val="24"/>
                <w:szCs w:val="24"/>
              </w:rPr>
              <w:t>c.502G&gt;A</w:t>
            </w:r>
          </w:p>
        </w:tc>
        <w:tc>
          <w:tcPr>
            <w:tcW w:w="1559" w:type="dxa"/>
            <w:tcBorders>
              <w:top w:val="single" w:sz="4" w:space="0" w:color="auto"/>
              <w:left w:val="single" w:sz="4" w:space="0" w:color="auto"/>
              <w:bottom w:val="single" w:sz="4" w:space="0" w:color="auto"/>
              <w:right w:val="single" w:sz="4" w:space="0" w:color="auto"/>
            </w:tcBorders>
            <w:hideMark/>
          </w:tcPr>
          <w:p w14:paraId="129F236D"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p.Glu168Lys</w:t>
            </w:r>
          </w:p>
        </w:tc>
        <w:tc>
          <w:tcPr>
            <w:tcW w:w="1559" w:type="dxa"/>
            <w:tcBorders>
              <w:top w:val="single" w:sz="4" w:space="0" w:color="auto"/>
              <w:left w:val="single" w:sz="4" w:space="0" w:color="auto"/>
              <w:bottom w:val="single" w:sz="4" w:space="0" w:color="auto"/>
              <w:right w:val="single" w:sz="4" w:space="0" w:color="auto"/>
            </w:tcBorders>
            <w:hideMark/>
          </w:tcPr>
          <w:p w14:paraId="7E1EC4F1"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0</w:t>
            </w:r>
          </w:p>
        </w:tc>
        <w:tc>
          <w:tcPr>
            <w:tcW w:w="1418" w:type="dxa"/>
            <w:tcBorders>
              <w:top w:val="single" w:sz="4" w:space="0" w:color="auto"/>
              <w:left w:val="single" w:sz="4" w:space="0" w:color="auto"/>
              <w:bottom w:val="single" w:sz="4" w:space="0" w:color="auto"/>
              <w:right w:val="single" w:sz="4" w:space="0" w:color="auto"/>
            </w:tcBorders>
            <w:hideMark/>
          </w:tcPr>
          <w:p w14:paraId="7D76422A"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24</w:t>
            </w:r>
          </w:p>
        </w:tc>
        <w:tc>
          <w:tcPr>
            <w:tcW w:w="1559" w:type="dxa"/>
            <w:tcBorders>
              <w:top w:val="single" w:sz="4" w:space="0" w:color="auto"/>
              <w:left w:val="single" w:sz="4" w:space="0" w:color="auto"/>
              <w:bottom w:val="single" w:sz="4" w:space="0" w:color="auto"/>
              <w:right w:val="single" w:sz="4" w:space="0" w:color="auto"/>
            </w:tcBorders>
            <w:hideMark/>
          </w:tcPr>
          <w:p w14:paraId="3CD545C3"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VUS</w:t>
            </w:r>
          </w:p>
        </w:tc>
      </w:tr>
      <w:tr w:rsidR="00894DDF" w:rsidRPr="000F27B6" w14:paraId="05DD66FF" w14:textId="77777777" w:rsidTr="00980E88">
        <w:trPr>
          <w:trHeight w:hRule="exact" w:val="1021"/>
        </w:trPr>
        <w:tc>
          <w:tcPr>
            <w:tcW w:w="1038" w:type="dxa"/>
            <w:tcBorders>
              <w:top w:val="single" w:sz="4" w:space="0" w:color="auto"/>
              <w:left w:val="single" w:sz="4" w:space="0" w:color="auto"/>
              <w:bottom w:val="single" w:sz="4" w:space="0" w:color="auto"/>
              <w:right w:val="single" w:sz="4" w:space="0" w:color="auto"/>
            </w:tcBorders>
          </w:tcPr>
          <w:p w14:paraId="3DB30201" w14:textId="3434EC3C" w:rsidR="00894DDF" w:rsidRPr="000F27B6" w:rsidRDefault="0008373C">
            <w:pPr>
              <w:spacing w:after="0" w:line="240" w:lineRule="auto"/>
              <w:rPr>
                <w:rFonts w:asciiTheme="minorHAnsi" w:hAnsiTheme="minorHAnsi" w:cs="Arial"/>
                <w:sz w:val="24"/>
                <w:szCs w:val="24"/>
              </w:rPr>
            </w:pPr>
            <w:r>
              <w:rPr>
                <w:rFonts w:asciiTheme="minorHAnsi" w:hAnsiTheme="minorHAnsi" w:cs="Arial"/>
                <w:sz w:val="24"/>
                <w:szCs w:val="24"/>
              </w:rPr>
              <w:t>41</w:t>
            </w:r>
          </w:p>
        </w:tc>
        <w:tc>
          <w:tcPr>
            <w:tcW w:w="1440" w:type="dxa"/>
            <w:tcBorders>
              <w:top w:val="single" w:sz="4" w:space="0" w:color="auto"/>
              <w:left w:val="single" w:sz="4" w:space="0" w:color="auto"/>
              <w:bottom w:val="single" w:sz="4" w:space="0" w:color="auto"/>
              <w:right w:val="single" w:sz="4" w:space="0" w:color="auto"/>
            </w:tcBorders>
            <w:hideMark/>
          </w:tcPr>
          <w:p w14:paraId="67B6BBF4" w14:textId="43CA29D1"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HFE</w:t>
            </w:r>
          </w:p>
        </w:tc>
        <w:tc>
          <w:tcPr>
            <w:tcW w:w="2229" w:type="dxa"/>
            <w:tcBorders>
              <w:top w:val="single" w:sz="4" w:space="0" w:color="auto"/>
              <w:left w:val="single" w:sz="4" w:space="0" w:color="auto"/>
              <w:bottom w:val="single" w:sz="4" w:space="0" w:color="auto"/>
              <w:right w:val="single" w:sz="4" w:space="0" w:color="auto"/>
            </w:tcBorders>
            <w:hideMark/>
          </w:tcPr>
          <w:p w14:paraId="6855719B" w14:textId="68A7A2AE" w:rsidR="00894DDF" w:rsidRPr="000F27B6" w:rsidRDefault="00894DDF">
            <w:pPr>
              <w:spacing w:before="100" w:beforeAutospacing="1" w:after="100" w:afterAutospacing="1" w:line="240" w:lineRule="auto"/>
              <w:outlineLvl w:val="0"/>
              <w:rPr>
                <w:rFonts w:asciiTheme="minorHAnsi" w:eastAsia="Times New Roman" w:hAnsiTheme="minorHAnsi" w:cs="Arial"/>
                <w:bCs/>
                <w:kern w:val="36"/>
                <w:sz w:val="24"/>
                <w:szCs w:val="24"/>
              </w:rPr>
            </w:pPr>
            <w:r w:rsidRPr="000F27B6">
              <w:rPr>
                <w:rFonts w:asciiTheme="minorHAnsi" w:eastAsia="Times New Roman" w:hAnsiTheme="minorHAnsi" w:cs="Arial"/>
                <w:bCs/>
                <w:kern w:val="36"/>
                <w:sz w:val="24"/>
                <w:szCs w:val="24"/>
              </w:rPr>
              <w:t>Human hereditary haemoch</w:t>
            </w:r>
            <w:r w:rsidR="00980E88">
              <w:rPr>
                <w:rFonts w:asciiTheme="minorHAnsi" w:eastAsia="Times New Roman" w:hAnsiTheme="minorHAnsi" w:cs="Arial"/>
                <w:bCs/>
                <w:kern w:val="36"/>
                <w:sz w:val="24"/>
                <w:szCs w:val="24"/>
              </w:rPr>
              <w:t>romatosis</w:t>
            </w:r>
          </w:p>
        </w:tc>
        <w:tc>
          <w:tcPr>
            <w:tcW w:w="1560" w:type="dxa"/>
            <w:tcBorders>
              <w:top w:val="single" w:sz="4" w:space="0" w:color="auto"/>
              <w:left w:val="single" w:sz="4" w:space="0" w:color="auto"/>
              <w:bottom w:val="single" w:sz="4" w:space="0" w:color="auto"/>
              <w:right w:val="single" w:sz="4" w:space="0" w:color="auto"/>
            </w:tcBorders>
            <w:hideMark/>
          </w:tcPr>
          <w:p w14:paraId="30F42BB7" w14:textId="77777777" w:rsidR="00894DDF" w:rsidRPr="000F27B6" w:rsidRDefault="00894DDF">
            <w:pPr>
              <w:spacing w:after="0" w:line="240" w:lineRule="auto"/>
              <w:rPr>
                <w:rFonts w:asciiTheme="minorHAnsi" w:eastAsiaTheme="minorHAnsi" w:hAnsiTheme="minorHAnsi" w:cs="Arial"/>
                <w:sz w:val="24"/>
                <w:szCs w:val="24"/>
              </w:rPr>
            </w:pPr>
            <w:r w:rsidRPr="000F27B6">
              <w:rPr>
                <w:rFonts w:asciiTheme="minorHAnsi" w:hAnsiTheme="minorHAnsi" w:cs="Arial"/>
                <w:sz w:val="24"/>
                <w:szCs w:val="24"/>
              </w:rPr>
              <w:t>c.764G&gt;A</w:t>
            </w:r>
          </w:p>
        </w:tc>
        <w:tc>
          <w:tcPr>
            <w:tcW w:w="1559" w:type="dxa"/>
            <w:tcBorders>
              <w:top w:val="single" w:sz="4" w:space="0" w:color="auto"/>
              <w:left w:val="single" w:sz="4" w:space="0" w:color="auto"/>
              <w:bottom w:val="single" w:sz="4" w:space="0" w:color="auto"/>
              <w:right w:val="single" w:sz="4" w:space="0" w:color="auto"/>
            </w:tcBorders>
            <w:hideMark/>
          </w:tcPr>
          <w:p w14:paraId="223DCE3E"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p.Arg255His</w:t>
            </w:r>
          </w:p>
        </w:tc>
        <w:tc>
          <w:tcPr>
            <w:tcW w:w="1559" w:type="dxa"/>
            <w:tcBorders>
              <w:top w:val="single" w:sz="4" w:space="0" w:color="auto"/>
              <w:left w:val="single" w:sz="4" w:space="0" w:color="auto"/>
              <w:bottom w:val="single" w:sz="4" w:space="0" w:color="auto"/>
              <w:right w:val="single" w:sz="4" w:space="0" w:color="auto"/>
            </w:tcBorders>
            <w:hideMark/>
          </w:tcPr>
          <w:p w14:paraId="381DF44B"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0.00008</w:t>
            </w:r>
          </w:p>
        </w:tc>
        <w:tc>
          <w:tcPr>
            <w:tcW w:w="1418" w:type="dxa"/>
            <w:tcBorders>
              <w:top w:val="single" w:sz="4" w:space="0" w:color="auto"/>
              <w:left w:val="single" w:sz="4" w:space="0" w:color="auto"/>
              <w:bottom w:val="single" w:sz="4" w:space="0" w:color="auto"/>
              <w:right w:val="single" w:sz="4" w:space="0" w:color="auto"/>
            </w:tcBorders>
            <w:hideMark/>
          </w:tcPr>
          <w:p w14:paraId="7031BDEE"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8</w:t>
            </w:r>
          </w:p>
        </w:tc>
        <w:tc>
          <w:tcPr>
            <w:tcW w:w="1559" w:type="dxa"/>
            <w:tcBorders>
              <w:top w:val="single" w:sz="4" w:space="0" w:color="auto"/>
              <w:left w:val="single" w:sz="4" w:space="0" w:color="auto"/>
              <w:bottom w:val="single" w:sz="4" w:space="0" w:color="auto"/>
              <w:right w:val="single" w:sz="4" w:space="0" w:color="auto"/>
            </w:tcBorders>
            <w:hideMark/>
          </w:tcPr>
          <w:p w14:paraId="3F5047C0"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VUS</w:t>
            </w:r>
          </w:p>
        </w:tc>
      </w:tr>
      <w:tr w:rsidR="00894DDF" w:rsidRPr="000F27B6" w14:paraId="364E1F18" w14:textId="77777777" w:rsidTr="00980E88">
        <w:trPr>
          <w:trHeight w:hRule="exact" w:val="1021"/>
        </w:trPr>
        <w:tc>
          <w:tcPr>
            <w:tcW w:w="1038" w:type="dxa"/>
            <w:tcBorders>
              <w:top w:val="single" w:sz="4" w:space="0" w:color="auto"/>
              <w:left w:val="single" w:sz="4" w:space="0" w:color="auto"/>
              <w:bottom w:val="single" w:sz="4" w:space="0" w:color="auto"/>
              <w:right w:val="single" w:sz="4" w:space="0" w:color="auto"/>
            </w:tcBorders>
          </w:tcPr>
          <w:p w14:paraId="74D9EE4D" w14:textId="535A6ACD" w:rsidR="00894DDF" w:rsidRPr="000F27B6" w:rsidRDefault="0008373C">
            <w:pPr>
              <w:spacing w:after="0" w:line="240" w:lineRule="auto"/>
              <w:rPr>
                <w:rFonts w:asciiTheme="minorHAnsi" w:hAnsiTheme="minorHAnsi" w:cs="Arial"/>
                <w:sz w:val="24"/>
                <w:szCs w:val="24"/>
              </w:rPr>
            </w:pPr>
            <w:r>
              <w:rPr>
                <w:rFonts w:asciiTheme="minorHAnsi" w:hAnsiTheme="minorHAnsi" w:cs="Arial"/>
                <w:sz w:val="24"/>
                <w:szCs w:val="24"/>
              </w:rPr>
              <w:t>41</w:t>
            </w:r>
          </w:p>
        </w:tc>
        <w:tc>
          <w:tcPr>
            <w:tcW w:w="1440" w:type="dxa"/>
            <w:tcBorders>
              <w:top w:val="single" w:sz="4" w:space="0" w:color="auto"/>
              <w:left w:val="single" w:sz="4" w:space="0" w:color="auto"/>
              <w:bottom w:val="single" w:sz="4" w:space="0" w:color="auto"/>
              <w:right w:val="single" w:sz="4" w:space="0" w:color="auto"/>
            </w:tcBorders>
            <w:hideMark/>
          </w:tcPr>
          <w:p w14:paraId="19C4FABD" w14:textId="1760BA5B"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DPP6</w:t>
            </w:r>
          </w:p>
        </w:tc>
        <w:tc>
          <w:tcPr>
            <w:tcW w:w="2229" w:type="dxa"/>
            <w:tcBorders>
              <w:top w:val="single" w:sz="4" w:space="0" w:color="auto"/>
              <w:left w:val="single" w:sz="4" w:space="0" w:color="auto"/>
              <w:bottom w:val="single" w:sz="4" w:space="0" w:color="auto"/>
              <w:right w:val="single" w:sz="4" w:space="0" w:color="auto"/>
            </w:tcBorders>
            <w:hideMark/>
          </w:tcPr>
          <w:p w14:paraId="34D3DDAE" w14:textId="77777777" w:rsidR="00894DDF" w:rsidRPr="000F27B6" w:rsidRDefault="00894DDF">
            <w:pPr>
              <w:spacing w:before="100" w:beforeAutospacing="1" w:after="100" w:afterAutospacing="1" w:line="240" w:lineRule="auto"/>
              <w:outlineLvl w:val="0"/>
              <w:rPr>
                <w:rFonts w:asciiTheme="minorHAnsi" w:eastAsia="Times New Roman" w:hAnsiTheme="minorHAnsi" w:cs="Arial"/>
                <w:bCs/>
                <w:kern w:val="36"/>
                <w:sz w:val="24"/>
                <w:szCs w:val="24"/>
              </w:rPr>
            </w:pPr>
            <w:r w:rsidRPr="000F27B6">
              <w:rPr>
                <w:rFonts w:asciiTheme="minorHAnsi" w:eastAsia="Times New Roman" w:hAnsiTheme="minorHAnsi" w:cs="Arial"/>
                <w:bCs/>
                <w:kern w:val="36"/>
                <w:sz w:val="24"/>
                <w:szCs w:val="24"/>
              </w:rPr>
              <w:t>Dipeptidyl aminopeptidase-like protein 6</w:t>
            </w:r>
          </w:p>
        </w:tc>
        <w:tc>
          <w:tcPr>
            <w:tcW w:w="1560" w:type="dxa"/>
            <w:tcBorders>
              <w:top w:val="single" w:sz="4" w:space="0" w:color="auto"/>
              <w:left w:val="single" w:sz="4" w:space="0" w:color="auto"/>
              <w:bottom w:val="single" w:sz="4" w:space="0" w:color="auto"/>
              <w:right w:val="single" w:sz="4" w:space="0" w:color="auto"/>
            </w:tcBorders>
            <w:hideMark/>
          </w:tcPr>
          <w:p w14:paraId="3EEC3ED1" w14:textId="77777777" w:rsidR="00894DDF" w:rsidRPr="000F27B6" w:rsidRDefault="00894DDF">
            <w:pPr>
              <w:spacing w:after="0" w:line="240" w:lineRule="auto"/>
              <w:rPr>
                <w:rFonts w:asciiTheme="minorHAnsi" w:eastAsiaTheme="minorHAnsi" w:hAnsiTheme="minorHAnsi" w:cs="Arial"/>
                <w:sz w:val="24"/>
                <w:szCs w:val="24"/>
              </w:rPr>
            </w:pPr>
            <w:r w:rsidRPr="000F27B6">
              <w:rPr>
                <w:rFonts w:asciiTheme="minorHAnsi" w:hAnsiTheme="minorHAnsi" w:cs="Arial"/>
                <w:sz w:val="24"/>
                <w:szCs w:val="24"/>
              </w:rPr>
              <w:t>c.203G&gt;A</w:t>
            </w:r>
          </w:p>
        </w:tc>
        <w:tc>
          <w:tcPr>
            <w:tcW w:w="1559" w:type="dxa"/>
            <w:tcBorders>
              <w:top w:val="single" w:sz="4" w:space="0" w:color="auto"/>
              <w:left w:val="single" w:sz="4" w:space="0" w:color="auto"/>
              <w:bottom w:val="single" w:sz="4" w:space="0" w:color="auto"/>
              <w:right w:val="single" w:sz="4" w:space="0" w:color="auto"/>
            </w:tcBorders>
            <w:hideMark/>
          </w:tcPr>
          <w:p w14:paraId="0832B344"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p.Arg68Gln</w:t>
            </w:r>
          </w:p>
        </w:tc>
        <w:tc>
          <w:tcPr>
            <w:tcW w:w="1559" w:type="dxa"/>
            <w:tcBorders>
              <w:top w:val="single" w:sz="4" w:space="0" w:color="auto"/>
              <w:left w:val="single" w:sz="4" w:space="0" w:color="auto"/>
              <w:bottom w:val="single" w:sz="4" w:space="0" w:color="auto"/>
              <w:right w:val="single" w:sz="4" w:space="0" w:color="auto"/>
            </w:tcBorders>
            <w:hideMark/>
          </w:tcPr>
          <w:p w14:paraId="1C13FB4A"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0</w:t>
            </w:r>
          </w:p>
        </w:tc>
        <w:tc>
          <w:tcPr>
            <w:tcW w:w="1418" w:type="dxa"/>
            <w:tcBorders>
              <w:top w:val="single" w:sz="4" w:space="0" w:color="auto"/>
              <w:left w:val="single" w:sz="4" w:space="0" w:color="auto"/>
              <w:bottom w:val="single" w:sz="4" w:space="0" w:color="auto"/>
              <w:right w:val="single" w:sz="4" w:space="0" w:color="auto"/>
            </w:tcBorders>
            <w:hideMark/>
          </w:tcPr>
          <w:p w14:paraId="459C1994"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10</w:t>
            </w:r>
          </w:p>
        </w:tc>
        <w:tc>
          <w:tcPr>
            <w:tcW w:w="1559" w:type="dxa"/>
            <w:tcBorders>
              <w:top w:val="single" w:sz="4" w:space="0" w:color="auto"/>
              <w:left w:val="single" w:sz="4" w:space="0" w:color="auto"/>
              <w:bottom w:val="single" w:sz="4" w:space="0" w:color="auto"/>
              <w:right w:val="single" w:sz="4" w:space="0" w:color="auto"/>
            </w:tcBorders>
            <w:hideMark/>
          </w:tcPr>
          <w:p w14:paraId="108E187D"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VUS</w:t>
            </w:r>
          </w:p>
        </w:tc>
      </w:tr>
      <w:tr w:rsidR="00894DDF" w:rsidRPr="000F27B6" w14:paraId="6A94A91E" w14:textId="77777777" w:rsidTr="00980E88">
        <w:trPr>
          <w:trHeight w:hRule="exact" w:val="1021"/>
        </w:trPr>
        <w:tc>
          <w:tcPr>
            <w:tcW w:w="1038" w:type="dxa"/>
            <w:tcBorders>
              <w:top w:val="single" w:sz="4" w:space="0" w:color="auto"/>
              <w:left w:val="single" w:sz="4" w:space="0" w:color="auto"/>
              <w:bottom w:val="single" w:sz="4" w:space="0" w:color="auto"/>
              <w:right w:val="single" w:sz="4" w:space="0" w:color="auto"/>
            </w:tcBorders>
          </w:tcPr>
          <w:p w14:paraId="4BFE1F19" w14:textId="3A3F8E14" w:rsidR="00894DDF" w:rsidRPr="000F27B6" w:rsidRDefault="0008373C">
            <w:pPr>
              <w:spacing w:after="0" w:line="240" w:lineRule="auto"/>
              <w:rPr>
                <w:rFonts w:asciiTheme="minorHAnsi" w:hAnsiTheme="minorHAnsi" w:cs="Arial"/>
                <w:sz w:val="24"/>
                <w:szCs w:val="24"/>
              </w:rPr>
            </w:pPr>
            <w:r>
              <w:rPr>
                <w:rFonts w:asciiTheme="minorHAnsi" w:hAnsiTheme="minorHAnsi" w:cs="Arial"/>
                <w:sz w:val="24"/>
                <w:szCs w:val="24"/>
              </w:rPr>
              <w:t>16</w:t>
            </w:r>
          </w:p>
        </w:tc>
        <w:tc>
          <w:tcPr>
            <w:tcW w:w="1440" w:type="dxa"/>
            <w:tcBorders>
              <w:top w:val="single" w:sz="4" w:space="0" w:color="auto"/>
              <w:left w:val="single" w:sz="4" w:space="0" w:color="auto"/>
              <w:bottom w:val="single" w:sz="4" w:space="0" w:color="auto"/>
              <w:right w:val="single" w:sz="4" w:space="0" w:color="auto"/>
            </w:tcBorders>
            <w:hideMark/>
          </w:tcPr>
          <w:p w14:paraId="6E0BB196" w14:textId="6797F77B"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DSP</w:t>
            </w:r>
          </w:p>
        </w:tc>
        <w:tc>
          <w:tcPr>
            <w:tcW w:w="2229" w:type="dxa"/>
            <w:tcBorders>
              <w:top w:val="single" w:sz="4" w:space="0" w:color="auto"/>
              <w:left w:val="single" w:sz="4" w:space="0" w:color="auto"/>
              <w:bottom w:val="single" w:sz="4" w:space="0" w:color="auto"/>
              <w:right w:val="single" w:sz="4" w:space="0" w:color="auto"/>
            </w:tcBorders>
            <w:hideMark/>
          </w:tcPr>
          <w:p w14:paraId="51A8A779" w14:textId="77777777" w:rsidR="00894DDF" w:rsidRPr="000F27B6" w:rsidRDefault="00894DDF">
            <w:pPr>
              <w:spacing w:before="100" w:beforeAutospacing="1" w:after="100" w:afterAutospacing="1" w:line="240" w:lineRule="auto"/>
              <w:outlineLvl w:val="0"/>
              <w:rPr>
                <w:rFonts w:asciiTheme="minorHAnsi" w:eastAsia="Times New Roman" w:hAnsiTheme="minorHAnsi" w:cs="Arial"/>
                <w:bCs/>
                <w:kern w:val="36"/>
                <w:sz w:val="24"/>
                <w:szCs w:val="24"/>
              </w:rPr>
            </w:pPr>
            <w:proofErr w:type="spellStart"/>
            <w:r w:rsidRPr="000F27B6">
              <w:rPr>
                <w:rFonts w:asciiTheme="minorHAnsi" w:eastAsia="Times New Roman" w:hAnsiTheme="minorHAnsi" w:cs="Arial"/>
                <w:bCs/>
                <w:kern w:val="36"/>
                <w:sz w:val="24"/>
                <w:szCs w:val="24"/>
              </w:rPr>
              <w:t>Desmoplakin</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4E2DC105" w14:textId="77777777" w:rsidR="00894DDF" w:rsidRPr="000F27B6" w:rsidRDefault="00894DDF">
            <w:pPr>
              <w:spacing w:after="0" w:line="240" w:lineRule="auto"/>
              <w:rPr>
                <w:rFonts w:asciiTheme="minorHAnsi" w:eastAsiaTheme="minorHAnsi" w:hAnsiTheme="minorHAnsi" w:cs="Arial"/>
                <w:sz w:val="24"/>
                <w:szCs w:val="24"/>
              </w:rPr>
            </w:pPr>
            <w:r w:rsidRPr="000F27B6">
              <w:rPr>
                <w:rFonts w:asciiTheme="minorHAnsi" w:hAnsiTheme="minorHAnsi" w:cs="Arial"/>
                <w:sz w:val="24"/>
                <w:szCs w:val="24"/>
              </w:rPr>
              <w:t>c.4303G&gt;C</w:t>
            </w:r>
          </w:p>
        </w:tc>
        <w:tc>
          <w:tcPr>
            <w:tcW w:w="1559" w:type="dxa"/>
            <w:tcBorders>
              <w:top w:val="single" w:sz="4" w:space="0" w:color="auto"/>
              <w:left w:val="single" w:sz="4" w:space="0" w:color="auto"/>
              <w:bottom w:val="single" w:sz="4" w:space="0" w:color="auto"/>
              <w:right w:val="single" w:sz="4" w:space="0" w:color="auto"/>
            </w:tcBorders>
            <w:hideMark/>
          </w:tcPr>
          <w:p w14:paraId="4C52C484"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p.Ala1435Pro</w:t>
            </w:r>
          </w:p>
        </w:tc>
        <w:tc>
          <w:tcPr>
            <w:tcW w:w="1559" w:type="dxa"/>
            <w:tcBorders>
              <w:top w:val="single" w:sz="4" w:space="0" w:color="auto"/>
              <w:left w:val="single" w:sz="4" w:space="0" w:color="auto"/>
              <w:bottom w:val="single" w:sz="4" w:space="0" w:color="auto"/>
              <w:right w:val="single" w:sz="4" w:space="0" w:color="auto"/>
            </w:tcBorders>
            <w:hideMark/>
          </w:tcPr>
          <w:p w14:paraId="1E49E4C8"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0.000008</w:t>
            </w:r>
          </w:p>
        </w:tc>
        <w:tc>
          <w:tcPr>
            <w:tcW w:w="1418" w:type="dxa"/>
            <w:tcBorders>
              <w:top w:val="single" w:sz="4" w:space="0" w:color="auto"/>
              <w:left w:val="single" w:sz="4" w:space="0" w:color="auto"/>
              <w:bottom w:val="single" w:sz="4" w:space="0" w:color="auto"/>
              <w:right w:val="single" w:sz="4" w:space="0" w:color="auto"/>
            </w:tcBorders>
            <w:hideMark/>
          </w:tcPr>
          <w:p w14:paraId="13DA848E"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15</w:t>
            </w:r>
          </w:p>
        </w:tc>
        <w:tc>
          <w:tcPr>
            <w:tcW w:w="1559" w:type="dxa"/>
            <w:tcBorders>
              <w:top w:val="single" w:sz="4" w:space="0" w:color="auto"/>
              <w:left w:val="single" w:sz="4" w:space="0" w:color="auto"/>
              <w:bottom w:val="single" w:sz="4" w:space="0" w:color="auto"/>
              <w:right w:val="single" w:sz="4" w:space="0" w:color="auto"/>
            </w:tcBorders>
            <w:hideMark/>
          </w:tcPr>
          <w:p w14:paraId="411C0265"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VUS</w:t>
            </w:r>
          </w:p>
        </w:tc>
      </w:tr>
      <w:tr w:rsidR="00894DDF" w:rsidRPr="000F27B6" w14:paraId="53E7A225" w14:textId="77777777" w:rsidTr="00980E88">
        <w:trPr>
          <w:trHeight w:hRule="exact" w:val="1021"/>
        </w:trPr>
        <w:tc>
          <w:tcPr>
            <w:tcW w:w="1038" w:type="dxa"/>
            <w:tcBorders>
              <w:top w:val="single" w:sz="4" w:space="0" w:color="auto"/>
              <w:left w:val="single" w:sz="4" w:space="0" w:color="auto"/>
              <w:bottom w:val="single" w:sz="4" w:space="0" w:color="auto"/>
              <w:right w:val="single" w:sz="4" w:space="0" w:color="auto"/>
            </w:tcBorders>
          </w:tcPr>
          <w:p w14:paraId="4D1176D9" w14:textId="0A5CA092" w:rsidR="00894DDF" w:rsidRPr="000F27B6" w:rsidRDefault="0008373C">
            <w:pPr>
              <w:spacing w:after="0" w:line="240" w:lineRule="auto"/>
              <w:rPr>
                <w:rFonts w:asciiTheme="minorHAnsi" w:hAnsiTheme="minorHAnsi" w:cs="Arial"/>
                <w:sz w:val="24"/>
                <w:szCs w:val="24"/>
              </w:rPr>
            </w:pPr>
            <w:r>
              <w:rPr>
                <w:rFonts w:asciiTheme="minorHAnsi" w:hAnsiTheme="minorHAnsi" w:cs="Arial"/>
                <w:sz w:val="24"/>
                <w:szCs w:val="24"/>
              </w:rPr>
              <w:t>38,</w:t>
            </w:r>
            <w:r w:rsidR="003303FD">
              <w:rPr>
                <w:rFonts w:asciiTheme="minorHAnsi" w:hAnsiTheme="minorHAnsi" w:cs="Arial"/>
                <w:sz w:val="24"/>
                <w:szCs w:val="24"/>
              </w:rPr>
              <w:t xml:space="preserve"> 20</w:t>
            </w:r>
          </w:p>
        </w:tc>
        <w:tc>
          <w:tcPr>
            <w:tcW w:w="1440" w:type="dxa"/>
            <w:tcBorders>
              <w:top w:val="single" w:sz="4" w:space="0" w:color="auto"/>
              <w:left w:val="single" w:sz="4" w:space="0" w:color="auto"/>
              <w:bottom w:val="single" w:sz="4" w:space="0" w:color="auto"/>
              <w:right w:val="single" w:sz="4" w:space="0" w:color="auto"/>
            </w:tcBorders>
            <w:hideMark/>
          </w:tcPr>
          <w:p w14:paraId="6428C83A" w14:textId="6EFBCDC2"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SDHA</w:t>
            </w:r>
          </w:p>
        </w:tc>
        <w:tc>
          <w:tcPr>
            <w:tcW w:w="2229" w:type="dxa"/>
            <w:tcBorders>
              <w:top w:val="single" w:sz="4" w:space="0" w:color="auto"/>
              <w:left w:val="single" w:sz="4" w:space="0" w:color="auto"/>
              <w:bottom w:val="single" w:sz="4" w:space="0" w:color="auto"/>
              <w:right w:val="single" w:sz="4" w:space="0" w:color="auto"/>
            </w:tcBorders>
            <w:hideMark/>
          </w:tcPr>
          <w:p w14:paraId="0B963B3B" w14:textId="77777777" w:rsidR="00894DDF" w:rsidRPr="000F27B6" w:rsidRDefault="00894DDF">
            <w:pPr>
              <w:spacing w:before="100" w:beforeAutospacing="1" w:after="100" w:afterAutospacing="1" w:line="240" w:lineRule="auto"/>
              <w:outlineLvl w:val="0"/>
              <w:rPr>
                <w:rFonts w:asciiTheme="minorHAnsi" w:eastAsia="Times New Roman" w:hAnsiTheme="minorHAnsi" w:cs="Arial"/>
                <w:bCs/>
                <w:kern w:val="36"/>
                <w:sz w:val="24"/>
                <w:szCs w:val="24"/>
              </w:rPr>
            </w:pPr>
            <w:r w:rsidRPr="000F27B6">
              <w:rPr>
                <w:rFonts w:asciiTheme="minorHAnsi" w:eastAsia="Times New Roman" w:hAnsiTheme="minorHAnsi" w:cs="Arial"/>
                <w:bCs/>
                <w:kern w:val="36"/>
                <w:sz w:val="24"/>
                <w:szCs w:val="24"/>
              </w:rPr>
              <w:t>Succinate dehydrogenase</w:t>
            </w:r>
          </w:p>
        </w:tc>
        <w:tc>
          <w:tcPr>
            <w:tcW w:w="1560" w:type="dxa"/>
            <w:tcBorders>
              <w:top w:val="single" w:sz="4" w:space="0" w:color="auto"/>
              <w:left w:val="single" w:sz="4" w:space="0" w:color="auto"/>
              <w:bottom w:val="single" w:sz="4" w:space="0" w:color="auto"/>
              <w:right w:val="single" w:sz="4" w:space="0" w:color="auto"/>
            </w:tcBorders>
            <w:hideMark/>
          </w:tcPr>
          <w:p w14:paraId="1D6AF7F7" w14:textId="77777777" w:rsidR="00894DDF" w:rsidRPr="000F27B6" w:rsidRDefault="00894DDF">
            <w:pPr>
              <w:spacing w:after="0" w:line="240" w:lineRule="auto"/>
              <w:rPr>
                <w:rFonts w:asciiTheme="minorHAnsi" w:eastAsiaTheme="minorHAnsi" w:hAnsiTheme="minorHAnsi" w:cs="Arial"/>
                <w:sz w:val="24"/>
                <w:szCs w:val="24"/>
              </w:rPr>
            </w:pPr>
            <w:r w:rsidRPr="000F27B6">
              <w:rPr>
                <w:rFonts w:asciiTheme="minorHAnsi" w:hAnsiTheme="minorHAnsi" w:cs="Arial"/>
                <w:sz w:val="24"/>
                <w:szCs w:val="24"/>
              </w:rPr>
              <w:t>c.1337T&gt;C</w:t>
            </w:r>
          </w:p>
        </w:tc>
        <w:tc>
          <w:tcPr>
            <w:tcW w:w="1559" w:type="dxa"/>
            <w:tcBorders>
              <w:top w:val="single" w:sz="4" w:space="0" w:color="auto"/>
              <w:left w:val="single" w:sz="4" w:space="0" w:color="auto"/>
              <w:bottom w:val="single" w:sz="4" w:space="0" w:color="auto"/>
              <w:right w:val="single" w:sz="4" w:space="0" w:color="auto"/>
            </w:tcBorders>
            <w:hideMark/>
          </w:tcPr>
          <w:p w14:paraId="2BB774AE"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p.Val446Ala</w:t>
            </w:r>
          </w:p>
        </w:tc>
        <w:tc>
          <w:tcPr>
            <w:tcW w:w="1559" w:type="dxa"/>
            <w:tcBorders>
              <w:top w:val="single" w:sz="4" w:space="0" w:color="auto"/>
              <w:left w:val="single" w:sz="4" w:space="0" w:color="auto"/>
              <w:bottom w:val="single" w:sz="4" w:space="0" w:color="auto"/>
              <w:right w:val="single" w:sz="4" w:space="0" w:color="auto"/>
            </w:tcBorders>
            <w:hideMark/>
          </w:tcPr>
          <w:p w14:paraId="380408A9"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0.00009</w:t>
            </w:r>
          </w:p>
        </w:tc>
        <w:tc>
          <w:tcPr>
            <w:tcW w:w="1418" w:type="dxa"/>
            <w:tcBorders>
              <w:top w:val="single" w:sz="4" w:space="0" w:color="auto"/>
              <w:left w:val="single" w:sz="4" w:space="0" w:color="auto"/>
              <w:bottom w:val="single" w:sz="4" w:space="0" w:color="auto"/>
              <w:right w:val="single" w:sz="4" w:space="0" w:color="auto"/>
            </w:tcBorders>
            <w:hideMark/>
          </w:tcPr>
          <w:p w14:paraId="0DCCFFE2"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18</w:t>
            </w:r>
          </w:p>
        </w:tc>
        <w:tc>
          <w:tcPr>
            <w:tcW w:w="1559" w:type="dxa"/>
            <w:tcBorders>
              <w:top w:val="single" w:sz="4" w:space="0" w:color="auto"/>
              <w:left w:val="single" w:sz="4" w:space="0" w:color="auto"/>
              <w:bottom w:val="single" w:sz="4" w:space="0" w:color="auto"/>
              <w:right w:val="single" w:sz="4" w:space="0" w:color="auto"/>
            </w:tcBorders>
            <w:hideMark/>
          </w:tcPr>
          <w:p w14:paraId="0C813554"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VUS</w:t>
            </w:r>
          </w:p>
        </w:tc>
      </w:tr>
      <w:tr w:rsidR="00894DDF" w:rsidRPr="000F27B6" w14:paraId="00590EAA" w14:textId="77777777" w:rsidTr="00980E88">
        <w:trPr>
          <w:trHeight w:hRule="exact" w:val="1021"/>
        </w:trPr>
        <w:tc>
          <w:tcPr>
            <w:tcW w:w="1038" w:type="dxa"/>
            <w:tcBorders>
              <w:top w:val="single" w:sz="4" w:space="0" w:color="auto"/>
              <w:left w:val="single" w:sz="4" w:space="0" w:color="auto"/>
              <w:bottom w:val="single" w:sz="4" w:space="0" w:color="auto"/>
              <w:right w:val="single" w:sz="4" w:space="0" w:color="auto"/>
            </w:tcBorders>
          </w:tcPr>
          <w:p w14:paraId="291890C2" w14:textId="10E38CD7" w:rsidR="00894DDF" w:rsidRPr="000F27B6" w:rsidRDefault="003303FD">
            <w:pPr>
              <w:spacing w:after="0" w:line="240" w:lineRule="auto"/>
              <w:rPr>
                <w:rFonts w:asciiTheme="minorHAnsi" w:hAnsiTheme="minorHAnsi" w:cs="Arial"/>
                <w:sz w:val="24"/>
                <w:szCs w:val="24"/>
              </w:rPr>
            </w:pPr>
            <w:r>
              <w:rPr>
                <w:rFonts w:asciiTheme="minorHAnsi" w:hAnsiTheme="minorHAnsi" w:cs="Arial"/>
                <w:sz w:val="24"/>
                <w:szCs w:val="24"/>
              </w:rPr>
              <w:lastRenderedPageBreak/>
              <w:t>38, 20</w:t>
            </w:r>
          </w:p>
        </w:tc>
        <w:tc>
          <w:tcPr>
            <w:tcW w:w="1440" w:type="dxa"/>
            <w:tcBorders>
              <w:top w:val="single" w:sz="4" w:space="0" w:color="auto"/>
              <w:left w:val="single" w:sz="4" w:space="0" w:color="auto"/>
              <w:bottom w:val="single" w:sz="4" w:space="0" w:color="auto"/>
              <w:right w:val="single" w:sz="4" w:space="0" w:color="auto"/>
            </w:tcBorders>
            <w:hideMark/>
          </w:tcPr>
          <w:p w14:paraId="78443BFB" w14:textId="320947E9"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SDHA</w:t>
            </w:r>
          </w:p>
        </w:tc>
        <w:tc>
          <w:tcPr>
            <w:tcW w:w="2229" w:type="dxa"/>
            <w:tcBorders>
              <w:top w:val="single" w:sz="4" w:space="0" w:color="auto"/>
              <w:left w:val="single" w:sz="4" w:space="0" w:color="auto"/>
              <w:bottom w:val="single" w:sz="4" w:space="0" w:color="auto"/>
              <w:right w:val="single" w:sz="4" w:space="0" w:color="auto"/>
            </w:tcBorders>
            <w:hideMark/>
          </w:tcPr>
          <w:p w14:paraId="6CBE0484" w14:textId="77777777" w:rsidR="00894DDF" w:rsidRPr="000F27B6" w:rsidRDefault="00894DDF">
            <w:pPr>
              <w:spacing w:before="100" w:beforeAutospacing="1" w:after="100" w:afterAutospacing="1" w:line="240" w:lineRule="auto"/>
              <w:outlineLvl w:val="0"/>
              <w:rPr>
                <w:rFonts w:asciiTheme="minorHAnsi" w:eastAsia="Times New Roman" w:hAnsiTheme="minorHAnsi" w:cs="Arial"/>
                <w:bCs/>
                <w:kern w:val="36"/>
                <w:sz w:val="24"/>
                <w:szCs w:val="24"/>
              </w:rPr>
            </w:pPr>
            <w:r w:rsidRPr="000F27B6">
              <w:rPr>
                <w:rFonts w:asciiTheme="minorHAnsi" w:eastAsia="Times New Roman" w:hAnsiTheme="minorHAnsi" w:cs="Arial"/>
                <w:bCs/>
                <w:kern w:val="36"/>
                <w:sz w:val="24"/>
                <w:szCs w:val="24"/>
              </w:rPr>
              <w:t>Succinate dehydrogenase</w:t>
            </w:r>
          </w:p>
        </w:tc>
        <w:tc>
          <w:tcPr>
            <w:tcW w:w="1560" w:type="dxa"/>
            <w:tcBorders>
              <w:top w:val="single" w:sz="4" w:space="0" w:color="auto"/>
              <w:left w:val="single" w:sz="4" w:space="0" w:color="auto"/>
              <w:bottom w:val="single" w:sz="4" w:space="0" w:color="auto"/>
              <w:right w:val="single" w:sz="4" w:space="0" w:color="auto"/>
            </w:tcBorders>
            <w:hideMark/>
          </w:tcPr>
          <w:p w14:paraId="50C0315D" w14:textId="77777777" w:rsidR="00894DDF" w:rsidRPr="000F27B6" w:rsidRDefault="00894DDF">
            <w:pPr>
              <w:spacing w:after="0" w:line="240" w:lineRule="auto"/>
              <w:rPr>
                <w:rFonts w:asciiTheme="minorHAnsi" w:eastAsiaTheme="minorHAnsi" w:hAnsiTheme="minorHAnsi" w:cs="Arial"/>
                <w:sz w:val="24"/>
                <w:szCs w:val="24"/>
              </w:rPr>
            </w:pPr>
            <w:r w:rsidRPr="000F27B6">
              <w:rPr>
                <w:rFonts w:asciiTheme="minorHAnsi" w:hAnsiTheme="minorHAnsi" w:cs="Arial"/>
                <w:sz w:val="24"/>
                <w:szCs w:val="24"/>
              </w:rPr>
              <w:t>c.1202C&gt;T</w:t>
            </w:r>
          </w:p>
        </w:tc>
        <w:tc>
          <w:tcPr>
            <w:tcW w:w="1559" w:type="dxa"/>
            <w:tcBorders>
              <w:top w:val="single" w:sz="4" w:space="0" w:color="auto"/>
              <w:left w:val="single" w:sz="4" w:space="0" w:color="auto"/>
              <w:bottom w:val="single" w:sz="4" w:space="0" w:color="auto"/>
              <w:right w:val="single" w:sz="4" w:space="0" w:color="auto"/>
            </w:tcBorders>
            <w:hideMark/>
          </w:tcPr>
          <w:p w14:paraId="7832AEE6"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p.Ala401Val</w:t>
            </w:r>
          </w:p>
        </w:tc>
        <w:tc>
          <w:tcPr>
            <w:tcW w:w="1559" w:type="dxa"/>
            <w:tcBorders>
              <w:top w:val="single" w:sz="4" w:space="0" w:color="auto"/>
              <w:left w:val="single" w:sz="4" w:space="0" w:color="auto"/>
              <w:bottom w:val="single" w:sz="4" w:space="0" w:color="auto"/>
              <w:right w:val="single" w:sz="4" w:space="0" w:color="auto"/>
            </w:tcBorders>
            <w:hideMark/>
          </w:tcPr>
          <w:p w14:paraId="4B6C9FE5"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0.00009</w:t>
            </w:r>
          </w:p>
        </w:tc>
        <w:tc>
          <w:tcPr>
            <w:tcW w:w="1418" w:type="dxa"/>
            <w:tcBorders>
              <w:top w:val="single" w:sz="4" w:space="0" w:color="auto"/>
              <w:left w:val="single" w:sz="4" w:space="0" w:color="auto"/>
              <w:bottom w:val="single" w:sz="4" w:space="0" w:color="auto"/>
              <w:right w:val="single" w:sz="4" w:space="0" w:color="auto"/>
            </w:tcBorders>
            <w:hideMark/>
          </w:tcPr>
          <w:p w14:paraId="213EF53A"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22</w:t>
            </w:r>
          </w:p>
        </w:tc>
        <w:tc>
          <w:tcPr>
            <w:tcW w:w="1559" w:type="dxa"/>
            <w:tcBorders>
              <w:top w:val="single" w:sz="4" w:space="0" w:color="auto"/>
              <w:left w:val="single" w:sz="4" w:space="0" w:color="auto"/>
              <w:bottom w:val="single" w:sz="4" w:space="0" w:color="auto"/>
              <w:right w:val="single" w:sz="4" w:space="0" w:color="auto"/>
            </w:tcBorders>
            <w:hideMark/>
          </w:tcPr>
          <w:p w14:paraId="07526E2B"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VUS</w:t>
            </w:r>
          </w:p>
        </w:tc>
      </w:tr>
      <w:tr w:rsidR="00894DDF" w:rsidRPr="000F27B6" w14:paraId="3745CA3B" w14:textId="77777777" w:rsidTr="00980E88">
        <w:trPr>
          <w:trHeight w:hRule="exact" w:val="1021"/>
        </w:trPr>
        <w:tc>
          <w:tcPr>
            <w:tcW w:w="1038" w:type="dxa"/>
            <w:tcBorders>
              <w:top w:val="single" w:sz="4" w:space="0" w:color="auto"/>
              <w:left w:val="single" w:sz="4" w:space="0" w:color="auto"/>
              <w:bottom w:val="single" w:sz="4" w:space="0" w:color="auto"/>
              <w:right w:val="single" w:sz="4" w:space="0" w:color="auto"/>
            </w:tcBorders>
          </w:tcPr>
          <w:p w14:paraId="083CC961" w14:textId="5CC854DD" w:rsidR="00894DDF" w:rsidRPr="000F27B6" w:rsidRDefault="003303FD">
            <w:pPr>
              <w:spacing w:after="0" w:line="240" w:lineRule="auto"/>
              <w:rPr>
                <w:rFonts w:asciiTheme="minorHAnsi" w:hAnsiTheme="minorHAnsi" w:cs="Arial"/>
                <w:sz w:val="24"/>
                <w:szCs w:val="24"/>
              </w:rPr>
            </w:pPr>
            <w:r>
              <w:rPr>
                <w:rFonts w:asciiTheme="minorHAnsi" w:hAnsiTheme="minorHAnsi" w:cs="Arial"/>
                <w:sz w:val="24"/>
                <w:szCs w:val="24"/>
              </w:rPr>
              <w:t>16</w:t>
            </w:r>
          </w:p>
        </w:tc>
        <w:tc>
          <w:tcPr>
            <w:tcW w:w="1440" w:type="dxa"/>
            <w:tcBorders>
              <w:top w:val="single" w:sz="4" w:space="0" w:color="auto"/>
              <w:left w:val="single" w:sz="4" w:space="0" w:color="auto"/>
              <w:bottom w:val="single" w:sz="4" w:space="0" w:color="auto"/>
              <w:right w:val="single" w:sz="4" w:space="0" w:color="auto"/>
            </w:tcBorders>
            <w:hideMark/>
          </w:tcPr>
          <w:p w14:paraId="73943538" w14:textId="2E763786"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CACNB2</w:t>
            </w:r>
          </w:p>
        </w:tc>
        <w:tc>
          <w:tcPr>
            <w:tcW w:w="2229" w:type="dxa"/>
            <w:tcBorders>
              <w:top w:val="single" w:sz="4" w:space="0" w:color="auto"/>
              <w:left w:val="single" w:sz="4" w:space="0" w:color="auto"/>
              <w:bottom w:val="single" w:sz="4" w:space="0" w:color="auto"/>
              <w:right w:val="single" w:sz="4" w:space="0" w:color="auto"/>
            </w:tcBorders>
            <w:hideMark/>
          </w:tcPr>
          <w:p w14:paraId="17CA9EA8" w14:textId="77777777" w:rsidR="00894DDF" w:rsidRPr="000F27B6" w:rsidRDefault="00894DDF">
            <w:pPr>
              <w:spacing w:before="100" w:beforeAutospacing="1" w:after="100" w:afterAutospacing="1" w:line="240" w:lineRule="auto"/>
              <w:outlineLvl w:val="0"/>
              <w:rPr>
                <w:rFonts w:asciiTheme="minorHAnsi" w:eastAsia="Times New Roman" w:hAnsiTheme="minorHAnsi" w:cs="Arial"/>
                <w:bCs/>
                <w:kern w:val="36"/>
                <w:sz w:val="24"/>
                <w:szCs w:val="24"/>
              </w:rPr>
            </w:pPr>
            <w:r w:rsidRPr="000F27B6">
              <w:rPr>
                <w:rFonts w:asciiTheme="minorHAnsi" w:eastAsia="Times New Roman" w:hAnsiTheme="minorHAnsi" w:cs="Arial"/>
                <w:bCs/>
                <w:kern w:val="36"/>
                <w:sz w:val="24"/>
                <w:szCs w:val="24"/>
              </w:rPr>
              <w:t>Voltage dependent calcium channel</w:t>
            </w:r>
          </w:p>
        </w:tc>
        <w:tc>
          <w:tcPr>
            <w:tcW w:w="1560" w:type="dxa"/>
            <w:tcBorders>
              <w:top w:val="single" w:sz="4" w:space="0" w:color="auto"/>
              <w:left w:val="single" w:sz="4" w:space="0" w:color="auto"/>
              <w:bottom w:val="single" w:sz="4" w:space="0" w:color="auto"/>
              <w:right w:val="single" w:sz="4" w:space="0" w:color="auto"/>
            </w:tcBorders>
          </w:tcPr>
          <w:p w14:paraId="533557E4" w14:textId="77777777" w:rsidR="00894DDF" w:rsidRPr="000F27B6" w:rsidRDefault="00894DDF">
            <w:pPr>
              <w:spacing w:after="0" w:line="240" w:lineRule="auto"/>
              <w:rPr>
                <w:rFonts w:asciiTheme="minorHAnsi" w:eastAsia="Times New Roman" w:hAnsiTheme="minorHAnsi" w:cs="Arial"/>
                <w:sz w:val="24"/>
                <w:szCs w:val="24"/>
              </w:rPr>
            </w:pPr>
            <w:r w:rsidRPr="000F27B6">
              <w:rPr>
                <w:rFonts w:asciiTheme="minorHAnsi" w:eastAsia="Times New Roman" w:hAnsiTheme="minorHAnsi" w:cs="Arial"/>
                <w:sz w:val="24"/>
                <w:szCs w:val="24"/>
              </w:rPr>
              <w:t>c.372_39delAGTCA</w:t>
            </w:r>
          </w:p>
          <w:p w14:paraId="40799CE5" w14:textId="77777777" w:rsidR="00894DDF" w:rsidRPr="000F27B6" w:rsidRDefault="00894DDF">
            <w:pPr>
              <w:spacing w:after="0" w:line="240" w:lineRule="auto"/>
              <w:rPr>
                <w:rFonts w:asciiTheme="minorHAnsi" w:eastAsiaTheme="minorHAnsi" w:hAnsiTheme="minorHAnsi" w:cs="Arial"/>
                <w:sz w:val="24"/>
                <w:szCs w:val="24"/>
              </w:rPr>
            </w:pPr>
          </w:p>
        </w:tc>
        <w:tc>
          <w:tcPr>
            <w:tcW w:w="1559" w:type="dxa"/>
            <w:tcBorders>
              <w:top w:val="single" w:sz="4" w:space="0" w:color="auto"/>
              <w:left w:val="single" w:sz="4" w:space="0" w:color="auto"/>
              <w:bottom w:val="single" w:sz="4" w:space="0" w:color="auto"/>
              <w:right w:val="single" w:sz="4" w:space="0" w:color="auto"/>
            </w:tcBorders>
          </w:tcPr>
          <w:p w14:paraId="1484D995" w14:textId="77777777" w:rsidR="00894DDF" w:rsidRPr="000F27B6" w:rsidRDefault="00894DDF">
            <w:pPr>
              <w:spacing w:after="0" w:line="240" w:lineRule="auto"/>
              <w:rPr>
                <w:rFonts w:asciiTheme="minorHAnsi" w:eastAsia="Times New Roman" w:hAnsiTheme="minorHAnsi" w:cs="Arial"/>
                <w:sz w:val="24"/>
                <w:szCs w:val="24"/>
              </w:rPr>
            </w:pPr>
            <w:r w:rsidRPr="000F27B6">
              <w:rPr>
                <w:rFonts w:asciiTheme="minorHAnsi" w:eastAsia="Times New Roman" w:hAnsiTheme="minorHAnsi" w:cs="Arial"/>
                <w:sz w:val="24"/>
                <w:szCs w:val="24"/>
              </w:rPr>
              <w:t>p.Ser13_Tyr14del</w:t>
            </w:r>
          </w:p>
          <w:p w14:paraId="479BDB2E" w14:textId="77777777" w:rsidR="00894DDF" w:rsidRPr="000F27B6" w:rsidRDefault="00894DDF">
            <w:pPr>
              <w:spacing w:after="0" w:line="240" w:lineRule="auto"/>
              <w:rPr>
                <w:rFonts w:asciiTheme="minorHAnsi" w:eastAsiaTheme="minorHAnsi" w:hAnsiTheme="minorHAnsi" w:cs="Arial"/>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41345A70"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0</w:t>
            </w:r>
          </w:p>
        </w:tc>
        <w:tc>
          <w:tcPr>
            <w:tcW w:w="1418" w:type="dxa"/>
            <w:tcBorders>
              <w:top w:val="single" w:sz="4" w:space="0" w:color="auto"/>
              <w:left w:val="single" w:sz="4" w:space="0" w:color="auto"/>
              <w:bottom w:val="single" w:sz="4" w:space="0" w:color="auto"/>
              <w:right w:val="single" w:sz="4" w:space="0" w:color="auto"/>
            </w:tcBorders>
            <w:hideMark/>
          </w:tcPr>
          <w:p w14:paraId="107E55A7"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Null</w:t>
            </w:r>
          </w:p>
        </w:tc>
        <w:tc>
          <w:tcPr>
            <w:tcW w:w="1559" w:type="dxa"/>
            <w:tcBorders>
              <w:top w:val="single" w:sz="4" w:space="0" w:color="auto"/>
              <w:left w:val="single" w:sz="4" w:space="0" w:color="auto"/>
              <w:bottom w:val="single" w:sz="4" w:space="0" w:color="auto"/>
              <w:right w:val="single" w:sz="4" w:space="0" w:color="auto"/>
            </w:tcBorders>
            <w:hideMark/>
          </w:tcPr>
          <w:p w14:paraId="59A8AEC6" w14:textId="77777777" w:rsidR="00894DDF" w:rsidRPr="000F27B6" w:rsidRDefault="00894DDF">
            <w:pPr>
              <w:spacing w:after="0" w:line="240" w:lineRule="auto"/>
              <w:rPr>
                <w:rFonts w:asciiTheme="minorHAnsi" w:hAnsiTheme="minorHAnsi" w:cs="Arial"/>
                <w:sz w:val="24"/>
                <w:szCs w:val="24"/>
              </w:rPr>
            </w:pPr>
            <w:r w:rsidRPr="000F27B6">
              <w:rPr>
                <w:rFonts w:asciiTheme="minorHAnsi" w:hAnsiTheme="minorHAnsi" w:cs="Arial"/>
                <w:sz w:val="24"/>
                <w:szCs w:val="24"/>
              </w:rPr>
              <w:t>VUS</w:t>
            </w:r>
          </w:p>
        </w:tc>
      </w:tr>
      <w:tr w:rsidR="00894DDF" w:rsidRPr="000F27B6" w14:paraId="07E0120B" w14:textId="77777777" w:rsidTr="00980E88">
        <w:trPr>
          <w:trHeight w:hRule="exact" w:val="1021"/>
        </w:trPr>
        <w:tc>
          <w:tcPr>
            <w:tcW w:w="1038" w:type="dxa"/>
          </w:tcPr>
          <w:p w14:paraId="4D4AA434" w14:textId="72CB5584" w:rsidR="00894DDF" w:rsidRPr="000F27B6" w:rsidRDefault="007A67C0" w:rsidP="00B1707C">
            <w:pPr>
              <w:rPr>
                <w:rFonts w:ascii="Arial" w:hAnsi="Arial" w:cs="Arial"/>
                <w:sz w:val="20"/>
                <w:szCs w:val="20"/>
              </w:rPr>
            </w:pPr>
            <w:r>
              <w:rPr>
                <w:rFonts w:ascii="Arial" w:hAnsi="Arial" w:cs="Arial"/>
                <w:sz w:val="20"/>
                <w:szCs w:val="20"/>
              </w:rPr>
              <w:t>22</w:t>
            </w:r>
          </w:p>
        </w:tc>
        <w:tc>
          <w:tcPr>
            <w:tcW w:w="1440" w:type="dxa"/>
          </w:tcPr>
          <w:p w14:paraId="0B6C0D48" w14:textId="1F063C79" w:rsidR="00894DDF" w:rsidRPr="000F27B6" w:rsidRDefault="00894DDF" w:rsidP="00B1707C">
            <w:pPr>
              <w:rPr>
                <w:rFonts w:ascii="Arial" w:hAnsi="Arial" w:cs="Arial"/>
                <w:sz w:val="20"/>
                <w:szCs w:val="20"/>
              </w:rPr>
            </w:pPr>
            <w:r w:rsidRPr="000F27B6">
              <w:rPr>
                <w:rFonts w:ascii="Arial" w:hAnsi="Arial" w:cs="Arial"/>
                <w:sz w:val="20"/>
                <w:szCs w:val="20"/>
              </w:rPr>
              <w:t>CRYAB</w:t>
            </w:r>
          </w:p>
        </w:tc>
        <w:tc>
          <w:tcPr>
            <w:tcW w:w="2229" w:type="dxa"/>
          </w:tcPr>
          <w:p w14:paraId="4B464072" w14:textId="77777777" w:rsidR="00894DDF" w:rsidRPr="000F27B6" w:rsidRDefault="00894DDF" w:rsidP="00B1707C">
            <w:pPr>
              <w:spacing w:before="100" w:beforeAutospacing="1" w:after="100" w:afterAutospacing="1"/>
              <w:outlineLvl w:val="0"/>
              <w:rPr>
                <w:rFonts w:ascii="Arial" w:eastAsia="Times New Roman" w:hAnsi="Arial" w:cs="Arial"/>
                <w:bCs/>
                <w:kern w:val="36"/>
                <w:sz w:val="20"/>
                <w:szCs w:val="20"/>
              </w:rPr>
            </w:pPr>
            <w:r w:rsidRPr="000F27B6">
              <w:rPr>
                <w:rFonts w:ascii="Arial" w:eastAsia="Times New Roman" w:hAnsi="Arial" w:cs="Arial"/>
                <w:bCs/>
                <w:kern w:val="36"/>
                <w:sz w:val="20"/>
                <w:szCs w:val="20"/>
              </w:rPr>
              <w:t>Alpha B Crystallin</w:t>
            </w:r>
          </w:p>
        </w:tc>
        <w:tc>
          <w:tcPr>
            <w:tcW w:w="1560" w:type="dxa"/>
          </w:tcPr>
          <w:p w14:paraId="61234594" w14:textId="77777777" w:rsidR="00894DDF" w:rsidRPr="000F27B6" w:rsidRDefault="00894DDF" w:rsidP="00B1707C">
            <w:pPr>
              <w:rPr>
                <w:rFonts w:ascii="Arial" w:eastAsia="Times New Roman" w:hAnsi="Arial" w:cs="Arial"/>
                <w:sz w:val="20"/>
                <w:szCs w:val="20"/>
              </w:rPr>
            </w:pPr>
            <w:r w:rsidRPr="000F27B6">
              <w:rPr>
                <w:rFonts w:ascii="Arial" w:eastAsia="Times New Roman" w:hAnsi="Arial" w:cs="Arial"/>
                <w:sz w:val="20"/>
                <w:szCs w:val="20"/>
              </w:rPr>
              <w:t>c.343delT</w:t>
            </w:r>
          </w:p>
        </w:tc>
        <w:tc>
          <w:tcPr>
            <w:tcW w:w="1559" w:type="dxa"/>
          </w:tcPr>
          <w:p w14:paraId="21313BC0" w14:textId="77777777" w:rsidR="00894DDF" w:rsidRPr="000F27B6" w:rsidRDefault="00894DDF" w:rsidP="00B1707C">
            <w:pPr>
              <w:rPr>
                <w:rFonts w:ascii="Arial" w:eastAsia="Times New Roman" w:hAnsi="Arial" w:cs="Arial"/>
                <w:sz w:val="20"/>
                <w:szCs w:val="20"/>
              </w:rPr>
            </w:pPr>
            <w:r w:rsidRPr="000F27B6">
              <w:rPr>
                <w:rFonts w:ascii="Arial" w:eastAsia="Times New Roman" w:hAnsi="Arial" w:cs="Arial"/>
                <w:sz w:val="20"/>
                <w:szCs w:val="20"/>
              </w:rPr>
              <w:t>p.Ser115Profs</w:t>
            </w:r>
          </w:p>
        </w:tc>
        <w:tc>
          <w:tcPr>
            <w:tcW w:w="1559" w:type="dxa"/>
          </w:tcPr>
          <w:p w14:paraId="78CDE753" w14:textId="77777777" w:rsidR="00894DDF" w:rsidRPr="000F27B6" w:rsidRDefault="00894DDF" w:rsidP="00B1707C">
            <w:pPr>
              <w:rPr>
                <w:rFonts w:ascii="Arial" w:hAnsi="Arial" w:cs="Arial"/>
                <w:sz w:val="20"/>
                <w:szCs w:val="20"/>
              </w:rPr>
            </w:pPr>
            <w:r w:rsidRPr="000F27B6">
              <w:rPr>
                <w:rFonts w:ascii="Arial" w:hAnsi="Arial" w:cs="Arial"/>
                <w:sz w:val="20"/>
                <w:szCs w:val="20"/>
              </w:rPr>
              <w:t>0</w:t>
            </w:r>
          </w:p>
        </w:tc>
        <w:tc>
          <w:tcPr>
            <w:tcW w:w="1418" w:type="dxa"/>
          </w:tcPr>
          <w:p w14:paraId="0E304C4C" w14:textId="77777777" w:rsidR="00894DDF" w:rsidRPr="000F27B6" w:rsidRDefault="00894DDF" w:rsidP="00B1707C">
            <w:pPr>
              <w:rPr>
                <w:rFonts w:ascii="Arial" w:hAnsi="Arial" w:cs="Arial"/>
                <w:sz w:val="20"/>
                <w:szCs w:val="20"/>
              </w:rPr>
            </w:pPr>
            <w:r w:rsidRPr="000F27B6">
              <w:rPr>
                <w:rFonts w:ascii="Arial" w:hAnsi="Arial" w:cs="Arial"/>
                <w:sz w:val="20"/>
                <w:szCs w:val="20"/>
              </w:rPr>
              <w:t>Null</w:t>
            </w:r>
          </w:p>
        </w:tc>
        <w:tc>
          <w:tcPr>
            <w:tcW w:w="1559" w:type="dxa"/>
          </w:tcPr>
          <w:p w14:paraId="6DEBBDDF" w14:textId="77777777" w:rsidR="00894DDF" w:rsidRPr="000F27B6" w:rsidRDefault="00894DDF" w:rsidP="00B1707C">
            <w:pPr>
              <w:rPr>
                <w:rFonts w:ascii="Arial" w:hAnsi="Arial" w:cs="Arial"/>
                <w:sz w:val="20"/>
                <w:szCs w:val="20"/>
              </w:rPr>
            </w:pPr>
            <w:r w:rsidRPr="000F27B6">
              <w:rPr>
                <w:rFonts w:ascii="Arial" w:hAnsi="Arial" w:cs="Arial"/>
                <w:sz w:val="20"/>
                <w:szCs w:val="20"/>
              </w:rPr>
              <w:t>VUS</w:t>
            </w:r>
          </w:p>
        </w:tc>
      </w:tr>
      <w:tr w:rsidR="00894DDF" w:rsidRPr="000F27B6" w14:paraId="76BE34CC" w14:textId="77777777" w:rsidTr="00980E88">
        <w:trPr>
          <w:trHeight w:hRule="exact" w:val="1021"/>
        </w:trPr>
        <w:tc>
          <w:tcPr>
            <w:tcW w:w="1038" w:type="dxa"/>
          </w:tcPr>
          <w:p w14:paraId="2B9A8DFB" w14:textId="55F4F282" w:rsidR="00894DDF" w:rsidRPr="000F27B6" w:rsidRDefault="007A67C0" w:rsidP="00B1707C">
            <w:pPr>
              <w:rPr>
                <w:rFonts w:ascii="Arial" w:hAnsi="Arial" w:cs="Arial"/>
                <w:sz w:val="20"/>
                <w:szCs w:val="20"/>
              </w:rPr>
            </w:pPr>
            <w:r>
              <w:rPr>
                <w:rFonts w:ascii="Arial" w:hAnsi="Arial" w:cs="Arial"/>
                <w:sz w:val="20"/>
                <w:szCs w:val="20"/>
              </w:rPr>
              <w:t>22</w:t>
            </w:r>
          </w:p>
        </w:tc>
        <w:tc>
          <w:tcPr>
            <w:tcW w:w="1440" w:type="dxa"/>
          </w:tcPr>
          <w:p w14:paraId="3A20F78E" w14:textId="438A4C36" w:rsidR="00894DDF" w:rsidRPr="000F27B6" w:rsidRDefault="00894DDF" w:rsidP="00B1707C">
            <w:pPr>
              <w:rPr>
                <w:rFonts w:ascii="Arial" w:hAnsi="Arial" w:cs="Arial"/>
                <w:sz w:val="20"/>
                <w:szCs w:val="20"/>
              </w:rPr>
            </w:pPr>
            <w:r w:rsidRPr="000F27B6">
              <w:rPr>
                <w:rFonts w:ascii="Arial" w:hAnsi="Arial" w:cs="Arial"/>
                <w:sz w:val="20"/>
                <w:szCs w:val="20"/>
              </w:rPr>
              <w:t>LAMA2</w:t>
            </w:r>
          </w:p>
        </w:tc>
        <w:tc>
          <w:tcPr>
            <w:tcW w:w="2229" w:type="dxa"/>
          </w:tcPr>
          <w:p w14:paraId="1DC5C7F9" w14:textId="77777777" w:rsidR="00894DDF" w:rsidRPr="000F27B6" w:rsidRDefault="00894DDF" w:rsidP="00B1707C">
            <w:pPr>
              <w:spacing w:before="100" w:beforeAutospacing="1" w:after="100" w:afterAutospacing="1"/>
              <w:outlineLvl w:val="0"/>
              <w:rPr>
                <w:rFonts w:ascii="Arial" w:eastAsia="Times New Roman" w:hAnsi="Arial" w:cs="Arial"/>
                <w:bCs/>
                <w:kern w:val="36"/>
                <w:sz w:val="20"/>
                <w:szCs w:val="20"/>
              </w:rPr>
            </w:pPr>
            <w:r w:rsidRPr="000F27B6">
              <w:rPr>
                <w:rFonts w:ascii="Arial" w:eastAsia="Times New Roman" w:hAnsi="Arial" w:cs="Arial"/>
                <w:bCs/>
                <w:kern w:val="36"/>
                <w:sz w:val="20"/>
                <w:szCs w:val="20"/>
              </w:rPr>
              <w:t>Laminin, alpha 2</w:t>
            </w:r>
          </w:p>
        </w:tc>
        <w:tc>
          <w:tcPr>
            <w:tcW w:w="1560" w:type="dxa"/>
          </w:tcPr>
          <w:p w14:paraId="47955693" w14:textId="77777777" w:rsidR="00894DDF" w:rsidRPr="000F27B6" w:rsidRDefault="00894DDF" w:rsidP="00B1707C">
            <w:pPr>
              <w:rPr>
                <w:rFonts w:ascii="Arial" w:eastAsia="Times New Roman" w:hAnsi="Arial" w:cs="Arial"/>
                <w:sz w:val="20"/>
                <w:szCs w:val="20"/>
              </w:rPr>
            </w:pPr>
            <w:r w:rsidRPr="000F27B6">
              <w:rPr>
                <w:rFonts w:ascii="Arial" w:eastAsia="Times New Roman" w:hAnsi="Arial" w:cs="Arial"/>
                <w:sz w:val="20"/>
                <w:szCs w:val="20"/>
              </w:rPr>
              <w:t>c.5750_5753del</w:t>
            </w:r>
          </w:p>
        </w:tc>
        <w:tc>
          <w:tcPr>
            <w:tcW w:w="1559" w:type="dxa"/>
          </w:tcPr>
          <w:p w14:paraId="47272B4E" w14:textId="77777777" w:rsidR="00894DDF" w:rsidRPr="000F27B6" w:rsidRDefault="00894DDF" w:rsidP="00B1707C">
            <w:pPr>
              <w:rPr>
                <w:rFonts w:ascii="Arial" w:eastAsia="Times New Roman" w:hAnsi="Arial" w:cs="Arial"/>
                <w:sz w:val="20"/>
                <w:szCs w:val="20"/>
              </w:rPr>
            </w:pPr>
            <w:r w:rsidRPr="000F27B6">
              <w:rPr>
                <w:rFonts w:ascii="Arial" w:eastAsia="Times New Roman" w:hAnsi="Arial" w:cs="Arial"/>
                <w:sz w:val="20"/>
                <w:szCs w:val="20"/>
              </w:rPr>
              <w:t>p.1918del</w:t>
            </w:r>
          </w:p>
        </w:tc>
        <w:tc>
          <w:tcPr>
            <w:tcW w:w="1559" w:type="dxa"/>
          </w:tcPr>
          <w:p w14:paraId="44B52A60" w14:textId="77777777" w:rsidR="00894DDF" w:rsidRPr="000F27B6" w:rsidRDefault="00894DDF" w:rsidP="00B1707C">
            <w:pPr>
              <w:rPr>
                <w:rFonts w:ascii="Arial" w:hAnsi="Arial" w:cs="Arial"/>
                <w:sz w:val="20"/>
                <w:szCs w:val="20"/>
              </w:rPr>
            </w:pPr>
            <w:r w:rsidRPr="000F27B6">
              <w:rPr>
                <w:rFonts w:ascii="Arial" w:hAnsi="Arial" w:cs="Arial"/>
                <w:sz w:val="20"/>
                <w:szCs w:val="20"/>
              </w:rPr>
              <w:t>0</w:t>
            </w:r>
          </w:p>
        </w:tc>
        <w:tc>
          <w:tcPr>
            <w:tcW w:w="1418" w:type="dxa"/>
          </w:tcPr>
          <w:p w14:paraId="752772F3" w14:textId="77777777" w:rsidR="00894DDF" w:rsidRPr="000F27B6" w:rsidRDefault="00894DDF" w:rsidP="00B1707C">
            <w:pPr>
              <w:rPr>
                <w:rFonts w:ascii="Arial" w:hAnsi="Arial" w:cs="Arial"/>
                <w:sz w:val="20"/>
                <w:szCs w:val="20"/>
              </w:rPr>
            </w:pPr>
            <w:r w:rsidRPr="000F27B6">
              <w:rPr>
                <w:rFonts w:ascii="Arial" w:hAnsi="Arial" w:cs="Arial"/>
                <w:sz w:val="20"/>
                <w:szCs w:val="20"/>
              </w:rPr>
              <w:t>Null</w:t>
            </w:r>
          </w:p>
        </w:tc>
        <w:tc>
          <w:tcPr>
            <w:tcW w:w="1559" w:type="dxa"/>
          </w:tcPr>
          <w:p w14:paraId="0571B876" w14:textId="77777777" w:rsidR="00894DDF" w:rsidRPr="000F27B6" w:rsidRDefault="00894DDF" w:rsidP="00B1707C">
            <w:pPr>
              <w:rPr>
                <w:rFonts w:ascii="Arial" w:hAnsi="Arial" w:cs="Arial"/>
                <w:sz w:val="20"/>
                <w:szCs w:val="20"/>
              </w:rPr>
            </w:pPr>
            <w:r w:rsidRPr="000F27B6">
              <w:rPr>
                <w:rFonts w:ascii="Arial" w:hAnsi="Arial" w:cs="Arial"/>
                <w:sz w:val="20"/>
                <w:szCs w:val="20"/>
              </w:rPr>
              <w:t>VUS</w:t>
            </w:r>
          </w:p>
        </w:tc>
      </w:tr>
      <w:tr w:rsidR="00894DDF" w:rsidRPr="000F27B6" w14:paraId="4B0B8BA3" w14:textId="77777777" w:rsidTr="00980E88">
        <w:trPr>
          <w:trHeight w:hRule="exact" w:val="1021"/>
        </w:trPr>
        <w:tc>
          <w:tcPr>
            <w:tcW w:w="1038" w:type="dxa"/>
          </w:tcPr>
          <w:p w14:paraId="03D4E3FA" w14:textId="23994A29" w:rsidR="00894DDF" w:rsidRPr="000F27B6" w:rsidRDefault="007A67C0" w:rsidP="00B1707C">
            <w:pPr>
              <w:rPr>
                <w:rFonts w:ascii="Arial" w:hAnsi="Arial" w:cs="Arial"/>
                <w:sz w:val="20"/>
                <w:szCs w:val="20"/>
              </w:rPr>
            </w:pPr>
            <w:r>
              <w:rPr>
                <w:rFonts w:ascii="Arial" w:hAnsi="Arial" w:cs="Arial"/>
                <w:sz w:val="20"/>
                <w:szCs w:val="20"/>
              </w:rPr>
              <w:t>22</w:t>
            </w:r>
          </w:p>
        </w:tc>
        <w:tc>
          <w:tcPr>
            <w:tcW w:w="1440" w:type="dxa"/>
          </w:tcPr>
          <w:p w14:paraId="79FC5D35" w14:textId="6345B245" w:rsidR="00894DDF" w:rsidRPr="000F27B6" w:rsidRDefault="00894DDF" w:rsidP="00B1707C">
            <w:pPr>
              <w:rPr>
                <w:rFonts w:ascii="Arial" w:hAnsi="Arial" w:cs="Arial"/>
                <w:sz w:val="20"/>
                <w:szCs w:val="20"/>
              </w:rPr>
            </w:pPr>
            <w:r w:rsidRPr="000F27B6">
              <w:rPr>
                <w:rFonts w:ascii="Arial" w:hAnsi="Arial" w:cs="Arial"/>
                <w:sz w:val="20"/>
                <w:szCs w:val="20"/>
              </w:rPr>
              <w:t>SCN10A</w:t>
            </w:r>
          </w:p>
        </w:tc>
        <w:tc>
          <w:tcPr>
            <w:tcW w:w="2229" w:type="dxa"/>
          </w:tcPr>
          <w:p w14:paraId="6190B80F" w14:textId="77777777" w:rsidR="00894DDF" w:rsidRPr="000F27B6" w:rsidRDefault="00894DDF" w:rsidP="00B1707C">
            <w:pPr>
              <w:spacing w:before="100" w:beforeAutospacing="1" w:after="100" w:afterAutospacing="1"/>
              <w:outlineLvl w:val="0"/>
              <w:rPr>
                <w:rFonts w:ascii="Arial" w:eastAsia="Times New Roman" w:hAnsi="Arial" w:cs="Arial"/>
                <w:bCs/>
                <w:kern w:val="36"/>
                <w:sz w:val="20"/>
                <w:szCs w:val="20"/>
              </w:rPr>
            </w:pPr>
            <w:r w:rsidRPr="000F27B6">
              <w:rPr>
                <w:rFonts w:ascii="Arial" w:eastAsia="Times New Roman" w:hAnsi="Arial" w:cs="Arial"/>
                <w:bCs/>
                <w:kern w:val="36"/>
                <w:sz w:val="20"/>
                <w:szCs w:val="20"/>
              </w:rPr>
              <w:t>Voltage gated sodium channel type X</w:t>
            </w:r>
          </w:p>
        </w:tc>
        <w:tc>
          <w:tcPr>
            <w:tcW w:w="1560" w:type="dxa"/>
          </w:tcPr>
          <w:p w14:paraId="07F1F065" w14:textId="77777777" w:rsidR="00894DDF" w:rsidRPr="000F27B6" w:rsidRDefault="00894DDF" w:rsidP="00B1707C">
            <w:pPr>
              <w:rPr>
                <w:rFonts w:ascii="Arial" w:eastAsia="Times New Roman" w:hAnsi="Arial" w:cs="Arial"/>
                <w:sz w:val="20"/>
                <w:szCs w:val="20"/>
              </w:rPr>
            </w:pPr>
            <w:r w:rsidRPr="000F27B6">
              <w:rPr>
                <w:rFonts w:ascii="Arial" w:eastAsia="Times New Roman" w:hAnsi="Arial" w:cs="Arial"/>
                <w:sz w:val="20"/>
                <w:szCs w:val="20"/>
              </w:rPr>
              <w:t>c.71T&gt;C</w:t>
            </w:r>
          </w:p>
        </w:tc>
        <w:tc>
          <w:tcPr>
            <w:tcW w:w="1559" w:type="dxa"/>
          </w:tcPr>
          <w:p w14:paraId="679FF71B" w14:textId="77777777" w:rsidR="00894DDF" w:rsidRPr="000F27B6" w:rsidRDefault="00894DDF" w:rsidP="00B1707C">
            <w:pPr>
              <w:rPr>
                <w:rFonts w:ascii="Arial" w:eastAsia="Times New Roman" w:hAnsi="Arial" w:cs="Arial"/>
                <w:sz w:val="20"/>
                <w:szCs w:val="20"/>
              </w:rPr>
            </w:pPr>
            <w:r w:rsidRPr="000F27B6">
              <w:rPr>
                <w:rFonts w:ascii="Arial" w:eastAsia="Times New Roman" w:hAnsi="Arial" w:cs="Arial"/>
                <w:sz w:val="20"/>
                <w:szCs w:val="20"/>
              </w:rPr>
              <w:t>p.Ile24Thr</w:t>
            </w:r>
          </w:p>
        </w:tc>
        <w:tc>
          <w:tcPr>
            <w:tcW w:w="1559" w:type="dxa"/>
          </w:tcPr>
          <w:p w14:paraId="7ED7AB49" w14:textId="77777777" w:rsidR="00894DDF" w:rsidRPr="000F27B6" w:rsidRDefault="00894DDF" w:rsidP="00B1707C">
            <w:pPr>
              <w:rPr>
                <w:rFonts w:ascii="Arial" w:hAnsi="Arial" w:cs="Arial"/>
                <w:sz w:val="20"/>
                <w:szCs w:val="20"/>
              </w:rPr>
            </w:pPr>
            <w:r w:rsidRPr="000F27B6">
              <w:rPr>
                <w:rFonts w:ascii="Arial" w:hAnsi="Arial" w:cs="Arial"/>
                <w:sz w:val="20"/>
                <w:szCs w:val="20"/>
              </w:rPr>
              <w:t>0</w:t>
            </w:r>
          </w:p>
        </w:tc>
        <w:tc>
          <w:tcPr>
            <w:tcW w:w="1418" w:type="dxa"/>
          </w:tcPr>
          <w:p w14:paraId="32D2FF9D" w14:textId="77777777" w:rsidR="00894DDF" w:rsidRPr="000F27B6" w:rsidRDefault="00894DDF" w:rsidP="00B1707C">
            <w:pPr>
              <w:rPr>
                <w:rFonts w:ascii="Arial" w:hAnsi="Arial" w:cs="Arial"/>
                <w:sz w:val="20"/>
                <w:szCs w:val="20"/>
              </w:rPr>
            </w:pPr>
            <w:r w:rsidRPr="000F27B6">
              <w:rPr>
                <w:rFonts w:ascii="Arial" w:hAnsi="Arial" w:cs="Arial"/>
                <w:sz w:val="20"/>
                <w:szCs w:val="20"/>
              </w:rPr>
              <w:t>15</w:t>
            </w:r>
          </w:p>
        </w:tc>
        <w:tc>
          <w:tcPr>
            <w:tcW w:w="1559" w:type="dxa"/>
          </w:tcPr>
          <w:p w14:paraId="63A4F9AF" w14:textId="77777777" w:rsidR="00894DDF" w:rsidRPr="000F27B6" w:rsidRDefault="00894DDF" w:rsidP="00B1707C">
            <w:pPr>
              <w:rPr>
                <w:rFonts w:ascii="Arial" w:hAnsi="Arial" w:cs="Arial"/>
                <w:sz w:val="20"/>
                <w:szCs w:val="20"/>
              </w:rPr>
            </w:pPr>
            <w:r w:rsidRPr="000F27B6">
              <w:rPr>
                <w:rFonts w:ascii="Arial" w:hAnsi="Arial" w:cs="Arial"/>
                <w:sz w:val="20"/>
                <w:szCs w:val="20"/>
              </w:rPr>
              <w:t>VUS</w:t>
            </w:r>
          </w:p>
        </w:tc>
      </w:tr>
    </w:tbl>
    <w:p w14:paraId="14F8B69F" w14:textId="77777777" w:rsidR="00A86EBC" w:rsidRPr="000F27B6" w:rsidRDefault="00A86EBC" w:rsidP="00984581">
      <w:pPr>
        <w:spacing w:line="480" w:lineRule="auto"/>
        <w:rPr>
          <w:sz w:val="24"/>
          <w:szCs w:val="24"/>
        </w:rPr>
      </w:pPr>
    </w:p>
    <w:p w14:paraId="2482B367" w14:textId="77777777" w:rsidR="00A86EBC" w:rsidRPr="000F27B6" w:rsidRDefault="000D284F" w:rsidP="007E1168">
      <w:pPr>
        <w:spacing w:after="0" w:line="360" w:lineRule="auto"/>
        <w:rPr>
          <w:b/>
          <w:sz w:val="24"/>
          <w:szCs w:val="24"/>
        </w:rPr>
      </w:pPr>
      <w:r w:rsidRPr="000F27B6">
        <w:rPr>
          <w:b/>
          <w:sz w:val="24"/>
          <w:szCs w:val="24"/>
        </w:rPr>
        <w:t>Abbreviations:</w:t>
      </w:r>
      <w:r w:rsidR="006A6DCB" w:rsidRPr="000F27B6">
        <w:rPr>
          <w:b/>
          <w:sz w:val="24"/>
          <w:szCs w:val="24"/>
        </w:rPr>
        <w:t xml:space="preserve"> </w:t>
      </w:r>
      <w:r w:rsidR="006A6DCB" w:rsidRPr="000F27B6">
        <w:rPr>
          <w:sz w:val="24"/>
          <w:szCs w:val="24"/>
        </w:rPr>
        <w:t>ACM</w:t>
      </w:r>
      <w:r w:rsidR="003E78B2" w:rsidRPr="000F27B6">
        <w:rPr>
          <w:sz w:val="24"/>
          <w:szCs w:val="24"/>
        </w:rPr>
        <w:t>G</w:t>
      </w:r>
      <w:r w:rsidR="006A6DCB" w:rsidRPr="000F27B6">
        <w:rPr>
          <w:sz w:val="24"/>
          <w:szCs w:val="24"/>
        </w:rPr>
        <w:t>:</w:t>
      </w:r>
      <w:r w:rsidR="003E78B2" w:rsidRPr="000F27B6">
        <w:rPr>
          <w:sz w:val="24"/>
          <w:szCs w:val="24"/>
        </w:rPr>
        <w:t xml:space="preserve"> American College of Medical Genetics; CADD: Combined Annotation-Dependent Depletion</w:t>
      </w:r>
      <w:r w:rsidR="003E78B2" w:rsidRPr="000F27B6">
        <w:rPr>
          <w:b/>
          <w:sz w:val="24"/>
          <w:szCs w:val="24"/>
        </w:rPr>
        <w:t>.</w:t>
      </w:r>
    </w:p>
    <w:p w14:paraId="45292E64" w14:textId="77777777" w:rsidR="00527D37" w:rsidRPr="000F27B6" w:rsidRDefault="00527D37" w:rsidP="007E1168">
      <w:pPr>
        <w:spacing w:after="0" w:line="360" w:lineRule="auto"/>
        <w:rPr>
          <w:b/>
          <w:sz w:val="24"/>
          <w:szCs w:val="24"/>
        </w:rPr>
      </w:pPr>
    </w:p>
    <w:p w14:paraId="4052DBFB" w14:textId="77777777" w:rsidR="009912A7" w:rsidRPr="000F27B6" w:rsidRDefault="009912A7" w:rsidP="006671CC">
      <w:pPr>
        <w:spacing w:after="0" w:line="480" w:lineRule="auto"/>
        <w:rPr>
          <w:b/>
          <w:sz w:val="24"/>
          <w:szCs w:val="24"/>
        </w:rPr>
      </w:pPr>
    </w:p>
    <w:p w14:paraId="695E5BD3" w14:textId="77777777" w:rsidR="00E775E0" w:rsidRDefault="00E775E0" w:rsidP="006671CC">
      <w:pPr>
        <w:spacing w:after="0" w:line="480" w:lineRule="auto"/>
        <w:rPr>
          <w:b/>
          <w:sz w:val="24"/>
          <w:szCs w:val="24"/>
        </w:rPr>
        <w:sectPr w:rsidR="00E775E0" w:rsidSect="00E775E0">
          <w:pgSz w:w="16838" w:h="11906" w:orient="landscape"/>
          <w:pgMar w:top="1440" w:right="1440" w:bottom="1440" w:left="1440" w:header="709" w:footer="709" w:gutter="0"/>
          <w:cols w:space="708"/>
          <w:docGrid w:linePitch="360"/>
        </w:sectPr>
      </w:pPr>
    </w:p>
    <w:p w14:paraId="0DE92D6A" w14:textId="7B904971" w:rsidR="009912A7" w:rsidRPr="000F27B6" w:rsidRDefault="009912A7" w:rsidP="006671CC">
      <w:pPr>
        <w:spacing w:after="0" w:line="480" w:lineRule="auto"/>
        <w:rPr>
          <w:b/>
          <w:sz w:val="24"/>
          <w:szCs w:val="24"/>
        </w:rPr>
      </w:pPr>
    </w:p>
    <w:p w14:paraId="5631400A" w14:textId="77777777" w:rsidR="009912A7" w:rsidRPr="000F27B6" w:rsidRDefault="009912A7" w:rsidP="006671CC">
      <w:pPr>
        <w:spacing w:after="0" w:line="480" w:lineRule="auto"/>
        <w:rPr>
          <w:b/>
          <w:sz w:val="24"/>
          <w:szCs w:val="24"/>
        </w:rPr>
      </w:pPr>
    </w:p>
    <w:p w14:paraId="5B1755E0" w14:textId="77777777" w:rsidR="009912A7" w:rsidRPr="000F27B6" w:rsidRDefault="009912A7" w:rsidP="006671CC">
      <w:pPr>
        <w:spacing w:after="0" w:line="480" w:lineRule="auto"/>
        <w:rPr>
          <w:b/>
          <w:sz w:val="24"/>
          <w:szCs w:val="24"/>
        </w:rPr>
      </w:pPr>
    </w:p>
    <w:p w14:paraId="32C6FDBD" w14:textId="77777777" w:rsidR="00527D37" w:rsidRPr="000F27B6" w:rsidRDefault="00527D37" w:rsidP="007E1168">
      <w:pPr>
        <w:spacing w:after="0" w:line="360" w:lineRule="auto"/>
        <w:rPr>
          <w:b/>
          <w:sz w:val="24"/>
          <w:szCs w:val="24"/>
        </w:rPr>
      </w:pPr>
    </w:p>
    <w:p w14:paraId="6AA0A282" w14:textId="3FE6AA2B" w:rsidR="00527D37" w:rsidRPr="000F27B6" w:rsidRDefault="00527D37" w:rsidP="00F36159">
      <w:pPr>
        <w:spacing w:after="0" w:line="360" w:lineRule="auto"/>
        <w:rPr>
          <w:sz w:val="24"/>
          <w:szCs w:val="24"/>
        </w:rPr>
      </w:pPr>
    </w:p>
    <w:sectPr w:rsidR="00527D37" w:rsidRPr="000F27B6" w:rsidSect="00E775E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3525FA" w14:textId="77777777" w:rsidR="00D26D0D" w:rsidRDefault="00D26D0D" w:rsidP="000632C7">
      <w:pPr>
        <w:spacing w:after="0" w:line="240" w:lineRule="auto"/>
      </w:pPr>
      <w:r>
        <w:separator/>
      </w:r>
    </w:p>
  </w:endnote>
  <w:endnote w:type="continuationSeparator" w:id="0">
    <w:p w14:paraId="0FDCD324" w14:textId="77777777" w:rsidR="00D26D0D" w:rsidRDefault="00D26D0D" w:rsidP="000632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00000000" w:usb1="00000000" w:usb2="01000407" w:usb3="00000000" w:csb0="00020000" w:csb1="00000000"/>
  </w:font>
  <w:font w:name="Times-Roman">
    <w:altName w:val="Times New Roman"/>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D67E9" w14:textId="77777777" w:rsidR="00D26D0D" w:rsidRDefault="00D26D0D">
    <w:pPr>
      <w:pStyle w:val="Footer"/>
      <w:jc w:val="center"/>
    </w:pPr>
    <w:r>
      <w:fldChar w:fldCharType="begin"/>
    </w:r>
    <w:r>
      <w:instrText xml:space="preserve"> PAGE   \* MERGEFORMAT </w:instrText>
    </w:r>
    <w:r>
      <w:fldChar w:fldCharType="separate"/>
    </w:r>
    <w:r>
      <w:rPr>
        <w:noProof/>
      </w:rPr>
      <w:t>24</w:t>
    </w:r>
    <w:r>
      <w:rPr>
        <w:noProof/>
      </w:rPr>
      <w:fldChar w:fldCharType="end"/>
    </w:r>
  </w:p>
  <w:p w14:paraId="0D583435" w14:textId="77777777" w:rsidR="00D26D0D" w:rsidRDefault="00D26D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96837E" w14:textId="77777777" w:rsidR="00D26D0D" w:rsidRDefault="00D26D0D" w:rsidP="000632C7">
      <w:pPr>
        <w:spacing w:after="0" w:line="240" w:lineRule="auto"/>
      </w:pPr>
      <w:r>
        <w:separator/>
      </w:r>
    </w:p>
  </w:footnote>
  <w:footnote w:type="continuationSeparator" w:id="0">
    <w:p w14:paraId="64620AE9" w14:textId="77777777" w:rsidR="00D26D0D" w:rsidRDefault="00D26D0D" w:rsidP="000632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704FA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8817EB8"/>
    <w:multiLevelType w:val="hybridMultilevel"/>
    <w:tmpl w:val="B7ACC404"/>
    <w:lvl w:ilvl="0" w:tplc="FABCA3CE">
      <w:start w:val="357"/>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213D50"/>
    <w:multiLevelType w:val="hybridMultilevel"/>
    <w:tmpl w:val="66F2B3F2"/>
    <w:lvl w:ilvl="0" w:tplc="9E825A80">
      <w:start w:val="4"/>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A10347"/>
    <w:multiLevelType w:val="hybridMultilevel"/>
    <w:tmpl w:val="509CE05A"/>
    <w:lvl w:ilvl="0" w:tplc="AD423AFC">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3B4A0A"/>
    <w:multiLevelType w:val="hybridMultilevel"/>
    <w:tmpl w:val="6856066C"/>
    <w:lvl w:ilvl="0" w:tplc="ED5EE90E">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1F3692"/>
    <w:multiLevelType w:val="hybridMultilevel"/>
    <w:tmpl w:val="8D241CB2"/>
    <w:lvl w:ilvl="0" w:tplc="33D4A996">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E5554D"/>
    <w:multiLevelType w:val="hybridMultilevel"/>
    <w:tmpl w:val="15E41E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0A613E7"/>
    <w:multiLevelType w:val="hybridMultilevel"/>
    <w:tmpl w:val="229AE980"/>
    <w:lvl w:ilvl="0" w:tplc="DE3C4902">
      <w:numFmt w:val="bullet"/>
      <w:lvlText w:val=""/>
      <w:lvlJc w:val="left"/>
      <w:pPr>
        <w:ind w:left="720" w:hanging="360"/>
      </w:pPr>
      <w:rPr>
        <w:rFonts w:ascii="Symbol" w:eastAsia="Calibri" w:hAnsi="Symbol"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D8B4D34"/>
    <w:multiLevelType w:val="hybridMultilevel"/>
    <w:tmpl w:val="C21426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5"/>
  </w:num>
  <w:num w:numId="3">
    <w:abstractNumId w:val="4"/>
  </w:num>
  <w:num w:numId="4">
    <w:abstractNumId w:val="6"/>
  </w:num>
  <w:num w:numId="5">
    <w:abstractNumId w:val="8"/>
  </w:num>
  <w:num w:numId="6">
    <w:abstractNumId w:val="2"/>
  </w:num>
  <w:num w:numId="7">
    <w:abstractNumId w:val="0"/>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283"/>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Amer College Cardi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s9aweestpvr5pced9wbvzedjxwwwfdvd5z5w&quot;&gt;SD in sport&lt;record-ids&gt;&lt;item&gt;2&lt;/item&gt;&lt;item&gt;3&lt;/item&gt;&lt;item&gt;4&lt;/item&gt;&lt;item&gt;5&lt;/item&gt;&lt;item&gt;6&lt;/item&gt;&lt;item&gt;12&lt;/item&gt;&lt;item&gt;22&lt;/item&gt;&lt;item&gt;23&lt;/item&gt;&lt;item&gt;31&lt;/item&gt;&lt;item&gt;37&lt;/item&gt;&lt;item&gt;39&lt;/item&gt;&lt;item&gt;41&lt;/item&gt;&lt;item&gt;52&lt;/item&gt;&lt;item&gt;53&lt;/item&gt;&lt;item&gt;54&lt;/item&gt;&lt;item&gt;55&lt;/item&gt;&lt;item&gt;56&lt;/item&gt;&lt;item&gt;57&lt;/item&gt;&lt;item&gt;58&lt;/item&gt;&lt;item&gt;62&lt;/item&gt;&lt;item&gt;63&lt;/item&gt;&lt;item&gt;66&lt;/item&gt;&lt;item&gt;67&lt;/item&gt;&lt;item&gt;68&lt;/item&gt;&lt;item&gt;69&lt;/item&gt;&lt;item&gt;74&lt;/item&gt;&lt;item&gt;75&lt;/item&gt;&lt;/record-ids&gt;&lt;/item&gt;&lt;/Libraries&gt;"/>
  </w:docVars>
  <w:rsids>
    <w:rsidRoot w:val="00D44E95"/>
    <w:rsid w:val="00001EEA"/>
    <w:rsid w:val="00001F13"/>
    <w:rsid w:val="00001F54"/>
    <w:rsid w:val="00003355"/>
    <w:rsid w:val="00003B33"/>
    <w:rsid w:val="000045B0"/>
    <w:rsid w:val="00004B09"/>
    <w:rsid w:val="00005D61"/>
    <w:rsid w:val="00005EEE"/>
    <w:rsid w:val="000060F2"/>
    <w:rsid w:val="00006330"/>
    <w:rsid w:val="00006833"/>
    <w:rsid w:val="00006961"/>
    <w:rsid w:val="000069E7"/>
    <w:rsid w:val="000079E4"/>
    <w:rsid w:val="00007A72"/>
    <w:rsid w:val="00015535"/>
    <w:rsid w:val="00015E9B"/>
    <w:rsid w:val="00017898"/>
    <w:rsid w:val="000179C9"/>
    <w:rsid w:val="00020FB7"/>
    <w:rsid w:val="00020FF5"/>
    <w:rsid w:val="00022B9E"/>
    <w:rsid w:val="00022E1F"/>
    <w:rsid w:val="00023CA8"/>
    <w:rsid w:val="00024CF4"/>
    <w:rsid w:val="000250BA"/>
    <w:rsid w:val="00026D95"/>
    <w:rsid w:val="00034532"/>
    <w:rsid w:val="00034C4D"/>
    <w:rsid w:val="0003506D"/>
    <w:rsid w:val="00037543"/>
    <w:rsid w:val="00040A66"/>
    <w:rsid w:val="00041F54"/>
    <w:rsid w:val="000423C6"/>
    <w:rsid w:val="00042AF6"/>
    <w:rsid w:val="00042B13"/>
    <w:rsid w:val="000439FC"/>
    <w:rsid w:val="00043E55"/>
    <w:rsid w:val="0004524F"/>
    <w:rsid w:val="000453CD"/>
    <w:rsid w:val="0004599A"/>
    <w:rsid w:val="00045CF9"/>
    <w:rsid w:val="00047500"/>
    <w:rsid w:val="00047E21"/>
    <w:rsid w:val="00050843"/>
    <w:rsid w:val="00052303"/>
    <w:rsid w:val="00053C1A"/>
    <w:rsid w:val="00054716"/>
    <w:rsid w:val="00054EFC"/>
    <w:rsid w:val="00054F17"/>
    <w:rsid w:val="00055168"/>
    <w:rsid w:val="000554D2"/>
    <w:rsid w:val="0005560C"/>
    <w:rsid w:val="000563FF"/>
    <w:rsid w:val="00057F97"/>
    <w:rsid w:val="00060287"/>
    <w:rsid w:val="00060550"/>
    <w:rsid w:val="00060B72"/>
    <w:rsid w:val="00060BC0"/>
    <w:rsid w:val="00060DF9"/>
    <w:rsid w:val="000613F3"/>
    <w:rsid w:val="000632C7"/>
    <w:rsid w:val="000656F4"/>
    <w:rsid w:val="000658CA"/>
    <w:rsid w:val="00067E5A"/>
    <w:rsid w:val="00067FC4"/>
    <w:rsid w:val="00071FD8"/>
    <w:rsid w:val="000803FE"/>
    <w:rsid w:val="00080533"/>
    <w:rsid w:val="000812A0"/>
    <w:rsid w:val="000813EA"/>
    <w:rsid w:val="0008268D"/>
    <w:rsid w:val="0008373C"/>
    <w:rsid w:val="0008399E"/>
    <w:rsid w:val="00083BBA"/>
    <w:rsid w:val="000846F0"/>
    <w:rsid w:val="00084EE6"/>
    <w:rsid w:val="000858CD"/>
    <w:rsid w:val="000870E1"/>
    <w:rsid w:val="0009020E"/>
    <w:rsid w:val="000903E6"/>
    <w:rsid w:val="00093AEF"/>
    <w:rsid w:val="00094166"/>
    <w:rsid w:val="0009446C"/>
    <w:rsid w:val="00094A50"/>
    <w:rsid w:val="00095EEF"/>
    <w:rsid w:val="000966CE"/>
    <w:rsid w:val="00097D34"/>
    <w:rsid w:val="000A0348"/>
    <w:rsid w:val="000A0E6E"/>
    <w:rsid w:val="000A2F51"/>
    <w:rsid w:val="000A341A"/>
    <w:rsid w:val="000A359B"/>
    <w:rsid w:val="000A3A2F"/>
    <w:rsid w:val="000A4248"/>
    <w:rsid w:val="000A4CD0"/>
    <w:rsid w:val="000A4D7A"/>
    <w:rsid w:val="000A53FC"/>
    <w:rsid w:val="000A5EC5"/>
    <w:rsid w:val="000A641D"/>
    <w:rsid w:val="000A6E7E"/>
    <w:rsid w:val="000A6FF8"/>
    <w:rsid w:val="000A750C"/>
    <w:rsid w:val="000B07B2"/>
    <w:rsid w:val="000B0AC5"/>
    <w:rsid w:val="000B2EC8"/>
    <w:rsid w:val="000B2ED5"/>
    <w:rsid w:val="000B3B77"/>
    <w:rsid w:val="000B44E9"/>
    <w:rsid w:val="000B5A05"/>
    <w:rsid w:val="000B6621"/>
    <w:rsid w:val="000B70D3"/>
    <w:rsid w:val="000C2467"/>
    <w:rsid w:val="000C2A25"/>
    <w:rsid w:val="000C495A"/>
    <w:rsid w:val="000C4EC3"/>
    <w:rsid w:val="000C4FD1"/>
    <w:rsid w:val="000C555A"/>
    <w:rsid w:val="000C55DB"/>
    <w:rsid w:val="000C5714"/>
    <w:rsid w:val="000C7BEE"/>
    <w:rsid w:val="000D0E13"/>
    <w:rsid w:val="000D182F"/>
    <w:rsid w:val="000D1F33"/>
    <w:rsid w:val="000D216D"/>
    <w:rsid w:val="000D21E1"/>
    <w:rsid w:val="000D284F"/>
    <w:rsid w:val="000D5299"/>
    <w:rsid w:val="000D5E18"/>
    <w:rsid w:val="000D6D44"/>
    <w:rsid w:val="000E0C68"/>
    <w:rsid w:val="000E107C"/>
    <w:rsid w:val="000E11FD"/>
    <w:rsid w:val="000E13DE"/>
    <w:rsid w:val="000E23CA"/>
    <w:rsid w:val="000E3F8F"/>
    <w:rsid w:val="000E3FE1"/>
    <w:rsid w:val="000E5359"/>
    <w:rsid w:val="000E5469"/>
    <w:rsid w:val="000E5B74"/>
    <w:rsid w:val="000E75F4"/>
    <w:rsid w:val="000F1155"/>
    <w:rsid w:val="000F140D"/>
    <w:rsid w:val="000F1C01"/>
    <w:rsid w:val="000F27B6"/>
    <w:rsid w:val="000F4581"/>
    <w:rsid w:val="000F5403"/>
    <w:rsid w:val="000F7170"/>
    <w:rsid w:val="000F7210"/>
    <w:rsid w:val="000F7B9D"/>
    <w:rsid w:val="00100A24"/>
    <w:rsid w:val="0010118B"/>
    <w:rsid w:val="00101B81"/>
    <w:rsid w:val="0010302D"/>
    <w:rsid w:val="0010431F"/>
    <w:rsid w:val="001054CF"/>
    <w:rsid w:val="00105535"/>
    <w:rsid w:val="001055C3"/>
    <w:rsid w:val="00105E2C"/>
    <w:rsid w:val="0011062E"/>
    <w:rsid w:val="00110646"/>
    <w:rsid w:val="0011176E"/>
    <w:rsid w:val="00111F33"/>
    <w:rsid w:val="0011240E"/>
    <w:rsid w:val="00112610"/>
    <w:rsid w:val="0011431E"/>
    <w:rsid w:val="0011435F"/>
    <w:rsid w:val="001147E5"/>
    <w:rsid w:val="00115128"/>
    <w:rsid w:val="001170A6"/>
    <w:rsid w:val="0012096A"/>
    <w:rsid w:val="001221A8"/>
    <w:rsid w:val="00122F31"/>
    <w:rsid w:val="00123FC4"/>
    <w:rsid w:val="001258DC"/>
    <w:rsid w:val="0012673F"/>
    <w:rsid w:val="001302A9"/>
    <w:rsid w:val="00130D67"/>
    <w:rsid w:val="00131B4B"/>
    <w:rsid w:val="00132254"/>
    <w:rsid w:val="00133D79"/>
    <w:rsid w:val="00135199"/>
    <w:rsid w:val="00136CD4"/>
    <w:rsid w:val="00136EA5"/>
    <w:rsid w:val="00137A93"/>
    <w:rsid w:val="00142467"/>
    <w:rsid w:val="00143D44"/>
    <w:rsid w:val="00144F02"/>
    <w:rsid w:val="00144F87"/>
    <w:rsid w:val="00145BA4"/>
    <w:rsid w:val="00146315"/>
    <w:rsid w:val="0014681E"/>
    <w:rsid w:val="00146DD1"/>
    <w:rsid w:val="00147020"/>
    <w:rsid w:val="00147667"/>
    <w:rsid w:val="0015024D"/>
    <w:rsid w:val="0015092F"/>
    <w:rsid w:val="0015197F"/>
    <w:rsid w:val="00151A68"/>
    <w:rsid w:val="00152DBE"/>
    <w:rsid w:val="00152E51"/>
    <w:rsid w:val="00152F86"/>
    <w:rsid w:val="001562E7"/>
    <w:rsid w:val="001603F3"/>
    <w:rsid w:val="001606FA"/>
    <w:rsid w:val="0016157E"/>
    <w:rsid w:val="00161B03"/>
    <w:rsid w:val="00161BAB"/>
    <w:rsid w:val="00162FA2"/>
    <w:rsid w:val="00163048"/>
    <w:rsid w:val="0016315C"/>
    <w:rsid w:val="0016595B"/>
    <w:rsid w:val="00167877"/>
    <w:rsid w:val="00167B0C"/>
    <w:rsid w:val="00167D2A"/>
    <w:rsid w:val="00170562"/>
    <w:rsid w:val="00171D5B"/>
    <w:rsid w:val="00172C4F"/>
    <w:rsid w:val="00173552"/>
    <w:rsid w:val="001753C6"/>
    <w:rsid w:val="0017695D"/>
    <w:rsid w:val="00177CD1"/>
    <w:rsid w:val="00181AAE"/>
    <w:rsid w:val="001828B3"/>
    <w:rsid w:val="00183CBA"/>
    <w:rsid w:val="0018603A"/>
    <w:rsid w:val="0018656F"/>
    <w:rsid w:val="00190B44"/>
    <w:rsid w:val="00192785"/>
    <w:rsid w:val="0019298C"/>
    <w:rsid w:val="0019437A"/>
    <w:rsid w:val="00194593"/>
    <w:rsid w:val="00195686"/>
    <w:rsid w:val="00196D40"/>
    <w:rsid w:val="00196D4D"/>
    <w:rsid w:val="00197049"/>
    <w:rsid w:val="00197C2A"/>
    <w:rsid w:val="00197E38"/>
    <w:rsid w:val="001A114E"/>
    <w:rsid w:val="001A19B8"/>
    <w:rsid w:val="001A2398"/>
    <w:rsid w:val="001A3788"/>
    <w:rsid w:val="001A5048"/>
    <w:rsid w:val="001A56A8"/>
    <w:rsid w:val="001A5E48"/>
    <w:rsid w:val="001A5F24"/>
    <w:rsid w:val="001A7931"/>
    <w:rsid w:val="001B1283"/>
    <w:rsid w:val="001B198D"/>
    <w:rsid w:val="001B1A95"/>
    <w:rsid w:val="001B2109"/>
    <w:rsid w:val="001B24DA"/>
    <w:rsid w:val="001B3346"/>
    <w:rsid w:val="001B7894"/>
    <w:rsid w:val="001C0894"/>
    <w:rsid w:val="001C233B"/>
    <w:rsid w:val="001C249B"/>
    <w:rsid w:val="001C2FC1"/>
    <w:rsid w:val="001C552B"/>
    <w:rsid w:val="001D0A3B"/>
    <w:rsid w:val="001D2559"/>
    <w:rsid w:val="001D4CD6"/>
    <w:rsid w:val="001D6FCE"/>
    <w:rsid w:val="001D7B78"/>
    <w:rsid w:val="001E110B"/>
    <w:rsid w:val="001E4A28"/>
    <w:rsid w:val="001E4AA0"/>
    <w:rsid w:val="001E4E8B"/>
    <w:rsid w:val="001E538D"/>
    <w:rsid w:val="001E577B"/>
    <w:rsid w:val="001E6175"/>
    <w:rsid w:val="001E75F3"/>
    <w:rsid w:val="001F17DC"/>
    <w:rsid w:val="001F2C70"/>
    <w:rsid w:val="001F2CB9"/>
    <w:rsid w:val="001F3D0A"/>
    <w:rsid w:val="001F676A"/>
    <w:rsid w:val="001F6AF1"/>
    <w:rsid w:val="00200A7F"/>
    <w:rsid w:val="00200BA3"/>
    <w:rsid w:val="0020198C"/>
    <w:rsid w:val="00201A88"/>
    <w:rsid w:val="00203DAC"/>
    <w:rsid w:val="00205C6B"/>
    <w:rsid w:val="0020729E"/>
    <w:rsid w:val="00213D43"/>
    <w:rsid w:val="00216052"/>
    <w:rsid w:val="002169B0"/>
    <w:rsid w:val="00217B0B"/>
    <w:rsid w:val="00220132"/>
    <w:rsid w:val="00221F15"/>
    <w:rsid w:val="002234EB"/>
    <w:rsid w:val="00223C94"/>
    <w:rsid w:val="00224583"/>
    <w:rsid w:val="002252DF"/>
    <w:rsid w:val="002269D4"/>
    <w:rsid w:val="00227176"/>
    <w:rsid w:val="002271F5"/>
    <w:rsid w:val="0023164F"/>
    <w:rsid w:val="0023255F"/>
    <w:rsid w:val="002348FC"/>
    <w:rsid w:val="0023691C"/>
    <w:rsid w:val="00237600"/>
    <w:rsid w:val="00240F2C"/>
    <w:rsid w:val="002419C4"/>
    <w:rsid w:val="0024220A"/>
    <w:rsid w:val="00245BC8"/>
    <w:rsid w:val="00245CAD"/>
    <w:rsid w:val="0024632A"/>
    <w:rsid w:val="00246427"/>
    <w:rsid w:val="002467F7"/>
    <w:rsid w:val="00246916"/>
    <w:rsid w:val="00250510"/>
    <w:rsid w:val="0025082F"/>
    <w:rsid w:val="0025124D"/>
    <w:rsid w:val="002512C7"/>
    <w:rsid w:val="00251749"/>
    <w:rsid w:val="00251FEE"/>
    <w:rsid w:val="00252ADE"/>
    <w:rsid w:val="0025423D"/>
    <w:rsid w:val="002558A7"/>
    <w:rsid w:val="0025697D"/>
    <w:rsid w:val="0025758E"/>
    <w:rsid w:val="002605E8"/>
    <w:rsid w:val="0026066A"/>
    <w:rsid w:val="00261160"/>
    <w:rsid w:val="00261E2E"/>
    <w:rsid w:val="00262467"/>
    <w:rsid w:val="00263155"/>
    <w:rsid w:val="002632C7"/>
    <w:rsid w:val="0026331A"/>
    <w:rsid w:val="0026558D"/>
    <w:rsid w:val="00266272"/>
    <w:rsid w:val="00270951"/>
    <w:rsid w:val="00270AB1"/>
    <w:rsid w:val="00272083"/>
    <w:rsid w:val="00272671"/>
    <w:rsid w:val="0027364E"/>
    <w:rsid w:val="00274067"/>
    <w:rsid w:val="00274378"/>
    <w:rsid w:val="00274E4C"/>
    <w:rsid w:val="00275A5A"/>
    <w:rsid w:val="00275DBA"/>
    <w:rsid w:val="00276355"/>
    <w:rsid w:val="00276C76"/>
    <w:rsid w:val="00276E82"/>
    <w:rsid w:val="00281480"/>
    <w:rsid w:val="00281686"/>
    <w:rsid w:val="00281A9D"/>
    <w:rsid w:val="00284681"/>
    <w:rsid w:val="00285835"/>
    <w:rsid w:val="00286764"/>
    <w:rsid w:val="00287D72"/>
    <w:rsid w:val="00290814"/>
    <w:rsid w:val="0029208A"/>
    <w:rsid w:val="00293BC9"/>
    <w:rsid w:val="00295307"/>
    <w:rsid w:val="00295C4E"/>
    <w:rsid w:val="00296E63"/>
    <w:rsid w:val="00297C80"/>
    <w:rsid w:val="002A5011"/>
    <w:rsid w:val="002A6F00"/>
    <w:rsid w:val="002A7E61"/>
    <w:rsid w:val="002B0655"/>
    <w:rsid w:val="002B219B"/>
    <w:rsid w:val="002B3164"/>
    <w:rsid w:val="002B55A9"/>
    <w:rsid w:val="002B629D"/>
    <w:rsid w:val="002B77E3"/>
    <w:rsid w:val="002C1D71"/>
    <w:rsid w:val="002C2913"/>
    <w:rsid w:val="002C76D8"/>
    <w:rsid w:val="002D06AE"/>
    <w:rsid w:val="002D393F"/>
    <w:rsid w:val="002D6312"/>
    <w:rsid w:val="002D652B"/>
    <w:rsid w:val="002D7504"/>
    <w:rsid w:val="002E17C9"/>
    <w:rsid w:val="002E280D"/>
    <w:rsid w:val="002E3404"/>
    <w:rsid w:val="002E410E"/>
    <w:rsid w:val="002E494F"/>
    <w:rsid w:val="002E4B15"/>
    <w:rsid w:val="002E4CBC"/>
    <w:rsid w:val="002E51CD"/>
    <w:rsid w:val="002E529E"/>
    <w:rsid w:val="002E7074"/>
    <w:rsid w:val="002E7940"/>
    <w:rsid w:val="002E7DA6"/>
    <w:rsid w:val="002F1BFB"/>
    <w:rsid w:val="002F270D"/>
    <w:rsid w:val="002F3E41"/>
    <w:rsid w:val="002F6409"/>
    <w:rsid w:val="002F7180"/>
    <w:rsid w:val="00302D18"/>
    <w:rsid w:val="003075F4"/>
    <w:rsid w:val="00307702"/>
    <w:rsid w:val="0031075A"/>
    <w:rsid w:val="003112F5"/>
    <w:rsid w:val="0031316F"/>
    <w:rsid w:val="00313FA3"/>
    <w:rsid w:val="00314D4A"/>
    <w:rsid w:val="003158DB"/>
    <w:rsid w:val="0031614F"/>
    <w:rsid w:val="00316CA8"/>
    <w:rsid w:val="0031728E"/>
    <w:rsid w:val="003244EF"/>
    <w:rsid w:val="00324BF7"/>
    <w:rsid w:val="00324F4C"/>
    <w:rsid w:val="003261C3"/>
    <w:rsid w:val="003264DA"/>
    <w:rsid w:val="00327F91"/>
    <w:rsid w:val="003303FD"/>
    <w:rsid w:val="00330B61"/>
    <w:rsid w:val="00332C1E"/>
    <w:rsid w:val="003331FA"/>
    <w:rsid w:val="00334DA4"/>
    <w:rsid w:val="00335112"/>
    <w:rsid w:val="00337F04"/>
    <w:rsid w:val="003408E7"/>
    <w:rsid w:val="003433B0"/>
    <w:rsid w:val="00345026"/>
    <w:rsid w:val="003468A8"/>
    <w:rsid w:val="0035166B"/>
    <w:rsid w:val="00353139"/>
    <w:rsid w:val="0035626C"/>
    <w:rsid w:val="003612B9"/>
    <w:rsid w:val="00361A1C"/>
    <w:rsid w:val="00361D73"/>
    <w:rsid w:val="00361F17"/>
    <w:rsid w:val="00362595"/>
    <w:rsid w:val="003633E9"/>
    <w:rsid w:val="003635B0"/>
    <w:rsid w:val="00364A3A"/>
    <w:rsid w:val="00366069"/>
    <w:rsid w:val="00367C15"/>
    <w:rsid w:val="003703C2"/>
    <w:rsid w:val="00370CE9"/>
    <w:rsid w:val="00371309"/>
    <w:rsid w:val="003731D5"/>
    <w:rsid w:val="003744B0"/>
    <w:rsid w:val="00374896"/>
    <w:rsid w:val="003751C2"/>
    <w:rsid w:val="00375252"/>
    <w:rsid w:val="00375CBD"/>
    <w:rsid w:val="0037655C"/>
    <w:rsid w:val="003768E7"/>
    <w:rsid w:val="00377190"/>
    <w:rsid w:val="003803F1"/>
    <w:rsid w:val="00382922"/>
    <w:rsid w:val="003829AD"/>
    <w:rsid w:val="003832C3"/>
    <w:rsid w:val="00384CF2"/>
    <w:rsid w:val="00384FC8"/>
    <w:rsid w:val="003851D6"/>
    <w:rsid w:val="00385457"/>
    <w:rsid w:val="00386AD3"/>
    <w:rsid w:val="00387DD9"/>
    <w:rsid w:val="0039005C"/>
    <w:rsid w:val="0039022A"/>
    <w:rsid w:val="003904B7"/>
    <w:rsid w:val="0039122B"/>
    <w:rsid w:val="003934A6"/>
    <w:rsid w:val="00395875"/>
    <w:rsid w:val="003A1813"/>
    <w:rsid w:val="003A340B"/>
    <w:rsid w:val="003A4579"/>
    <w:rsid w:val="003A4629"/>
    <w:rsid w:val="003A6D7A"/>
    <w:rsid w:val="003A75B0"/>
    <w:rsid w:val="003A78E4"/>
    <w:rsid w:val="003B04D8"/>
    <w:rsid w:val="003B317D"/>
    <w:rsid w:val="003B38AB"/>
    <w:rsid w:val="003B78E3"/>
    <w:rsid w:val="003C1702"/>
    <w:rsid w:val="003C45AC"/>
    <w:rsid w:val="003C58E6"/>
    <w:rsid w:val="003C5F13"/>
    <w:rsid w:val="003C7DAA"/>
    <w:rsid w:val="003D046B"/>
    <w:rsid w:val="003D1F54"/>
    <w:rsid w:val="003D22F9"/>
    <w:rsid w:val="003D2C17"/>
    <w:rsid w:val="003D2E58"/>
    <w:rsid w:val="003D31ED"/>
    <w:rsid w:val="003D4409"/>
    <w:rsid w:val="003D73A9"/>
    <w:rsid w:val="003E024A"/>
    <w:rsid w:val="003E0F0B"/>
    <w:rsid w:val="003E10B8"/>
    <w:rsid w:val="003E1246"/>
    <w:rsid w:val="003E157C"/>
    <w:rsid w:val="003E213B"/>
    <w:rsid w:val="003E3A11"/>
    <w:rsid w:val="003E41DB"/>
    <w:rsid w:val="003E61C8"/>
    <w:rsid w:val="003E6BA3"/>
    <w:rsid w:val="003E78B2"/>
    <w:rsid w:val="003E7CB1"/>
    <w:rsid w:val="003E7EA7"/>
    <w:rsid w:val="003F18F4"/>
    <w:rsid w:val="003F2B6F"/>
    <w:rsid w:val="003F2C5A"/>
    <w:rsid w:val="003F6843"/>
    <w:rsid w:val="003F7865"/>
    <w:rsid w:val="004007AE"/>
    <w:rsid w:val="00402E0B"/>
    <w:rsid w:val="00404128"/>
    <w:rsid w:val="00404455"/>
    <w:rsid w:val="004044CF"/>
    <w:rsid w:val="0040455C"/>
    <w:rsid w:val="00405265"/>
    <w:rsid w:val="0040727F"/>
    <w:rsid w:val="00407FAC"/>
    <w:rsid w:val="004118D9"/>
    <w:rsid w:val="0041238A"/>
    <w:rsid w:val="004124E6"/>
    <w:rsid w:val="00416F12"/>
    <w:rsid w:val="0041787B"/>
    <w:rsid w:val="00420565"/>
    <w:rsid w:val="00421917"/>
    <w:rsid w:val="00422B3D"/>
    <w:rsid w:val="00422B8D"/>
    <w:rsid w:val="004234EA"/>
    <w:rsid w:val="00423B80"/>
    <w:rsid w:val="00424FCA"/>
    <w:rsid w:val="0042718C"/>
    <w:rsid w:val="00432301"/>
    <w:rsid w:val="00433285"/>
    <w:rsid w:val="00436EBD"/>
    <w:rsid w:val="004413AF"/>
    <w:rsid w:val="00441E7E"/>
    <w:rsid w:val="00446B1F"/>
    <w:rsid w:val="004478F0"/>
    <w:rsid w:val="004503EE"/>
    <w:rsid w:val="00450557"/>
    <w:rsid w:val="004507A7"/>
    <w:rsid w:val="004523B3"/>
    <w:rsid w:val="00453172"/>
    <w:rsid w:val="00454242"/>
    <w:rsid w:val="004556FB"/>
    <w:rsid w:val="004605DE"/>
    <w:rsid w:val="00460865"/>
    <w:rsid w:val="00462F82"/>
    <w:rsid w:val="00465B56"/>
    <w:rsid w:val="004700C5"/>
    <w:rsid w:val="00472367"/>
    <w:rsid w:val="0047243C"/>
    <w:rsid w:val="00472C32"/>
    <w:rsid w:val="00473873"/>
    <w:rsid w:val="00474B1C"/>
    <w:rsid w:val="00474ED1"/>
    <w:rsid w:val="004756DA"/>
    <w:rsid w:val="00476C33"/>
    <w:rsid w:val="00476FC2"/>
    <w:rsid w:val="00481260"/>
    <w:rsid w:val="00482562"/>
    <w:rsid w:val="00482C65"/>
    <w:rsid w:val="00485A2D"/>
    <w:rsid w:val="00487223"/>
    <w:rsid w:val="00491BF9"/>
    <w:rsid w:val="00493A26"/>
    <w:rsid w:val="0049407B"/>
    <w:rsid w:val="004956DC"/>
    <w:rsid w:val="00496E4A"/>
    <w:rsid w:val="00496EED"/>
    <w:rsid w:val="00497529"/>
    <w:rsid w:val="004A0562"/>
    <w:rsid w:val="004A1B17"/>
    <w:rsid w:val="004A2B96"/>
    <w:rsid w:val="004A36B0"/>
    <w:rsid w:val="004A3ABF"/>
    <w:rsid w:val="004A3FB5"/>
    <w:rsid w:val="004A72C2"/>
    <w:rsid w:val="004B0561"/>
    <w:rsid w:val="004B05B2"/>
    <w:rsid w:val="004B168B"/>
    <w:rsid w:val="004B6BED"/>
    <w:rsid w:val="004B745D"/>
    <w:rsid w:val="004C2E68"/>
    <w:rsid w:val="004C371E"/>
    <w:rsid w:val="004C3859"/>
    <w:rsid w:val="004C461B"/>
    <w:rsid w:val="004D08C6"/>
    <w:rsid w:val="004D1097"/>
    <w:rsid w:val="004D127A"/>
    <w:rsid w:val="004D1F07"/>
    <w:rsid w:val="004D20D2"/>
    <w:rsid w:val="004D3C6F"/>
    <w:rsid w:val="004D5EE9"/>
    <w:rsid w:val="004D6381"/>
    <w:rsid w:val="004D6924"/>
    <w:rsid w:val="004D7CD7"/>
    <w:rsid w:val="004E59AC"/>
    <w:rsid w:val="004E59DF"/>
    <w:rsid w:val="004E5DD1"/>
    <w:rsid w:val="004E5DED"/>
    <w:rsid w:val="004E6043"/>
    <w:rsid w:val="004E685D"/>
    <w:rsid w:val="004E710B"/>
    <w:rsid w:val="004F026E"/>
    <w:rsid w:val="004F03A3"/>
    <w:rsid w:val="004F0478"/>
    <w:rsid w:val="004F14FF"/>
    <w:rsid w:val="004F2AA9"/>
    <w:rsid w:val="004F3251"/>
    <w:rsid w:val="004F3D5E"/>
    <w:rsid w:val="004F4422"/>
    <w:rsid w:val="004F47F6"/>
    <w:rsid w:val="004F5975"/>
    <w:rsid w:val="004F6562"/>
    <w:rsid w:val="004F6D32"/>
    <w:rsid w:val="004F70FE"/>
    <w:rsid w:val="00500657"/>
    <w:rsid w:val="00500A24"/>
    <w:rsid w:val="00500B15"/>
    <w:rsid w:val="00502F3C"/>
    <w:rsid w:val="0050497B"/>
    <w:rsid w:val="00505919"/>
    <w:rsid w:val="00506351"/>
    <w:rsid w:val="00506EF7"/>
    <w:rsid w:val="00510B1A"/>
    <w:rsid w:val="00510CEE"/>
    <w:rsid w:val="005115A7"/>
    <w:rsid w:val="00511E87"/>
    <w:rsid w:val="0051280E"/>
    <w:rsid w:val="00514B13"/>
    <w:rsid w:val="00514FBD"/>
    <w:rsid w:val="00517DAC"/>
    <w:rsid w:val="00522238"/>
    <w:rsid w:val="00522F6D"/>
    <w:rsid w:val="00527ADB"/>
    <w:rsid w:val="00527D34"/>
    <w:rsid w:val="00527D37"/>
    <w:rsid w:val="00531891"/>
    <w:rsid w:val="00533ED7"/>
    <w:rsid w:val="0053612F"/>
    <w:rsid w:val="00537593"/>
    <w:rsid w:val="005376B3"/>
    <w:rsid w:val="00542D29"/>
    <w:rsid w:val="0054338E"/>
    <w:rsid w:val="005438BD"/>
    <w:rsid w:val="00544A6F"/>
    <w:rsid w:val="00544F05"/>
    <w:rsid w:val="005455F4"/>
    <w:rsid w:val="00547204"/>
    <w:rsid w:val="00547B35"/>
    <w:rsid w:val="00551F6D"/>
    <w:rsid w:val="00553A2B"/>
    <w:rsid w:val="005540B7"/>
    <w:rsid w:val="00555DCB"/>
    <w:rsid w:val="00557674"/>
    <w:rsid w:val="005619F1"/>
    <w:rsid w:val="005633EF"/>
    <w:rsid w:val="00563434"/>
    <w:rsid w:val="00565503"/>
    <w:rsid w:val="00565D8D"/>
    <w:rsid w:val="00566DC9"/>
    <w:rsid w:val="00567930"/>
    <w:rsid w:val="0057049F"/>
    <w:rsid w:val="00570885"/>
    <w:rsid w:val="005711F2"/>
    <w:rsid w:val="00571474"/>
    <w:rsid w:val="00574464"/>
    <w:rsid w:val="00575B42"/>
    <w:rsid w:val="00577D6C"/>
    <w:rsid w:val="00580452"/>
    <w:rsid w:val="005807FC"/>
    <w:rsid w:val="00581F27"/>
    <w:rsid w:val="005833E4"/>
    <w:rsid w:val="00583852"/>
    <w:rsid w:val="0058406C"/>
    <w:rsid w:val="0058505D"/>
    <w:rsid w:val="005853F3"/>
    <w:rsid w:val="00586A57"/>
    <w:rsid w:val="00587736"/>
    <w:rsid w:val="00587F5A"/>
    <w:rsid w:val="00590450"/>
    <w:rsid w:val="00591ECD"/>
    <w:rsid w:val="005926BA"/>
    <w:rsid w:val="00593CFC"/>
    <w:rsid w:val="0059521C"/>
    <w:rsid w:val="00595582"/>
    <w:rsid w:val="0059580B"/>
    <w:rsid w:val="00595FD7"/>
    <w:rsid w:val="00597B12"/>
    <w:rsid w:val="005A0E32"/>
    <w:rsid w:val="005A264F"/>
    <w:rsid w:val="005A40D3"/>
    <w:rsid w:val="005A42C8"/>
    <w:rsid w:val="005A4668"/>
    <w:rsid w:val="005A4818"/>
    <w:rsid w:val="005A4DB9"/>
    <w:rsid w:val="005A52CD"/>
    <w:rsid w:val="005A5465"/>
    <w:rsid w:val="005B00C0"/>
    <w:rsid w:val="005B0AD8"/>
    <w:rsid w:val="005B20F3"/>
    <w:rsid w:val="005B27C0"/>
    <w:rsid w:val="005B2E4B"/>
    <w:rsid w:val="005B4422"/>
    <w:rsid w:val="005B4AC1"/>
    <w:rsid w:val="005B4FB8"/>
    <w:rsid w:val="005B6AE1"/>
    <w:rsid w:val="005B7526"/>
    <w:rsid w:val="005B75E9"/>
    <w:rsid w:val="005C24E9"/>
    <w:rsid w:val="005C3EAE"/>
    <w:rsid w:val="005C4126"/>
    <w:rsid w:val="005C5412"/>
    <w:rsid w:val="005C619C"/>
    <w:rsid w:val="005C7B44"/>
    <w:rsid w:val="005C7C5D"/>
    <w:rsid w:val="005C7D4A"/>
    <w:rsid w:val="005D0064"/>
    <w:rsid w:val="005D0A5B"/>
    <w:rsid w:val="005D0B95"/>
    <w:rsid w:val="005D1E7C"/>
    <w:rsid w:val="005D35FE"/>
    <w:rsid w:val="005D3EEE"/>
    <w:rsid w:val="005E0D9A"/>
    <w:rsid w:val="005E1552"/>
    <w:rsid w:val="005E197A"/>
    <w:rsid w:val="005E1C19"/>
    <w:rsid w:val="005E2383"/>
    <w:rsid w:val="005E2414"/>
    <w:rsid w:val="005E3A53"/>
    <w:rsid w:val="005E54D8"/>
    <w:rsid w:val="005F3BBB"/>
    <w:rsid w:val="005F3BCB"/>
    <w:rsid w:val="005F3F7A"/>
    <w:rsid w:val="005F6069"/>
    <w:rsid w:val="00600C65"/>
    <w:rsid w:val="0060149A"/>
    <w:rsid w:val="00602E47"/>
    <w:rsid w:val="00603626"/>
    <w:rsid w:val="00603CDB"/>
    <w:rsid w:val="0060562F"/>
    <w:rsid w:val="006060E7"/>
    <w:rsid w:val="00607176"/>
    <w:rsid w:val="00610D5B"/>
    <w:rsid w:val="00610F1D"/>
    <w:rsid w:val="006110A5"/>
    <w:rsid w:val="00611817"/>
    <w:rsid w:val="00613302"/>
    <w:rsid w:val="006138E3"/>
    <w:rsid w:val="00615E73"/>
    <w:rsid w:val="0061672B"/>
    <w:rsid w:val="006212E7"/>
    <w:rsid w:val="00621574"/>
    <w:rsid w:val="00625CB3"/>
    <w:rsid w:val="00626B1D"/>
    <w:rsid w:val="00626C81"/>
    <w:rsid w:val="00626FEE"/>
    <w:rsid w:val="0062736A"/>
    <w:rsid w:val="00630590"/>
    <w:rsid w:val="00630737"/>
    <w:rsid w:val="00630897"/>
    <w:rsid w:val="00631306"/>
    <w:rsid w:val="00631C8A"/>
    <w:rsid w:val="00632EF6"/>
    <w:rsid w:val="006332B4"/>
    <w:rsid w:val="00633550"/>
    <w:rsid w:val="00634978"/>
    <w:rsid w:val="00634BE2"/>
    <w:rsid w:val="006354FC"/>
    <w:rsid w:val="0063663C"/>
    <w:rsid w:val="006369F9"/>
    <w:rsid w:val="00636A1B"/>
    <w:rsid w:val="00637279"/>
    <w:rsid w:val="00637861"/>
    <w:rsid w:val="00640AAC"/>
    <w:rsid w:val="00640C75"/>
    <w:rsid w:val="00642CBE"/>
    <w:rsid w:val="00644893"/>
    <w:rsid w:val="006458FE"/>
    <w:rsid w:val="006462D9"/>
    <w:rsid w:val="0064719F"/>
    <w:rsid w:val="00653551"/>
    <w:rsid w:val="00656698"/>
    <w:rsid w:val="00657A67"/>
    <w:rsid w:val="00657DFD"/>
    <w:rsid w:val="0066024E"/>
    <w:rsid w:val="00666A84"/>
    <w:rsid w:val="006671CC"/>
    <w:rsid w:val="00667944"/>
    <w:rsid w:val="006714B7"/>
    <w:rsid w:val="006714E9"/>
    <w:rsid w:val="00674F8D"/>
    <w:rsid w:val="00676A99"/>
    <w:rsid w:val="00676F82"/>
    <w:rsid w:val="0067762F"/>
    <w:rsid w:val="00677850"/>
    <w:rsid w:val="0068006E"/>
    <w:rsid w:val="0068167C"/>
    <w:rsid w:val="00681B92"/>
    <w:rsid w:val="006848CC"/>
    <w:rsid w:val="00684A7E"/>
    <w:rsid w:val="00684D9D"/>
    <w:rsid w:val="00684EB3"/>
    <w:rsid w:val="00686CC2"/>
    <w:rsid w:val="00690BDF"/>
    <w:rsid w:val="00692EAA"/>
    <w:rsid w:val="006955FA"/>
    <w:rsid w:val="006976A6"/>
    <w:rsid w:val="00697B2E"/>
    <w:rsid w:val="006A1B14"/>
    <w:rsid w:val="006A510E"/>
    <w:rsid w:val="006A592B"/>
    <w:rsid w:val="006A6DCB"/>
    <w:rsid w:val="006A729B"/>
    <w:rsid w:val="006B03A5"/>
    <w:rsid w:val="006B0D9F"/>
    <w:rsid w:val="006B5D1A"/>
    <w:rsid w:val="006B639E"/>
    <w:rsid w:val="006B7012"/>
    <w:rsid w:val="006B727A"/>
    <w:rsid w:val="006C214E"/>
    <w:rsid w:val="006C36CE"/>
    <w:rsid w:val="006C3A41"/>
    <w:rsid w:val="006C3CBA"/>
    <w:rsid w:val="006C3DAA"/>
    <w:rsid w:val="006C5403"/>
    <w:rsid w:val="006C559F"/>
    <w:rsid w:val="006D0BF2"/>
    <w:rsid w:val="006D1A2B"/>
    <w:rsid w:val="006D2BA4"/>
    <w:rsid w:val="006D35F2"/>
    <w:rsid w:val="006D402F"/>
    <w:rsid w:val="006D45AD"/>
    <w:rsid w:val="006D4A58"/>
    <w:rsid w:val="006D6843"/>
    <w:rsid w:val="006D6F8C"/>
    <w:rsid w:val="006E12DE"/>
    <w:rsid w:val="006E1B85"/>
    <w:rsid w:val="006E6923"/>
    <w:rsid w:val="006E738E"/>
    <w:rsid w:val="006F0D71"/>
    <w:rsid w:val="006F0DEB"/>
    <w:rsid w:val="006F2F86"/>
    <w:rsid w:val="006F3367"/>
    <w:rsid w:val="006F4FF6"/>
    <w:rsid w:val="006F547D"/>
    <w:rsid w:val="00700125"/>
    <w:rsid w:val="00700C3B"/>
    <w:rsid w:val="0070372C"/>
    <w:rsid w:val="007042E1"/>
    <w:rsid w:val="007056B7"/>
    <w:rsid w:val="007074AD"/>
    <w:rsid w:val="00707CB9"/>
    <w:rsid w:val="00710E97"/>
    <w:rsid w:val="00711EBD"/>
    <w:rsid w:val="0071209A"/>
    <w:rsid w:val="00712EC3"/>
    <w:rsid w:val="00712EE1"/>
    <w:rsid w:val="00713110"/>
    <w:rsid w:val="00714208"/>
    <w:rsid w:val="007159D5"/>
    <w:rsid w:val="007165C6"/>
    <w:rsid w:val="00721A84"/>
    <w:rsid w:val="007233CD"/>
    <w:rsid w:val="00726221"/>
    <w:rsid w:val="00730561"/>
    <w:rsid w:val="00730DC0"/>
    <w:rsid w:val="007311C2"/>
    <w:rsid w:val="0073295A"/>
    <w:rsid w:val="00734758"/>
    <w:rsid w:val="00735AD3"/>
    <w:rsid w:val="00735D75"/>
    <w:rsid w:val="007372B0"/>
    <w:rsid w:val="00737998"/>
    <w:rsid w:val="0074007D"/>
    <w:rsid w:val="007405DB"/>
    <w:rsid w:val="00741C9D"/>
    <w:rsid w:val="007433B0"/>
    <w:rsid w:val="00744000"/>
    <w:rsid w:val="0074467B"/>
    <w:rsid w:val="00745747"/>
    <w:rsid w:val="00746459"/>
    <w:rsid w:val="00747648"/>
    <w:rsid w:val="00747C44"/>
    <w:rsid w:val="0075012C"/>
    <w:rsid w:val="00752418"/>
    <w:rsid w:val="00753C2D"/>
    <w:rsid w:val="00760205"/>
    <w:rsid w:val="007611DD"/>
    <w:rsid w:val="00766FAA"/>
    <w:rsid w:val="007700B0"/>
    <w:rsid w:val="00770AAD"/>
    <w:rsid w:val="00771156"/>
    <w:rsid w:val="00771F47"/>
    <w:rsid w:val="0077223C"/>
    <w:rsid w:val="00774519"/>
    <w:rsid w:val="00774B10"/>
    <w:rsid w:val="00774CDB"/>
    <w:rsid w:val="00775836"/>
    <w:rsid w:val="007759B5"/>
    <w:rsid w:val="00777949"/>
    <w:rsid w:val="0078166A"/>
    <w:rsid w:val="00781C18"/>
    <w:rsid w:val="00782497"/>
    <w:rsid w:val="00783145"/>
    <w:rsid w:val="007834F8"/>
    <w:rsid w:val="0078396C"/>
    <w:rsid w:val="0078412B"/>
    <w:rsid w:val="00784852"/>
    <w:rsid w:val="007857D6"/>
    <w:rsid w:val="00787BAE"/>
    <w:rsid w:val="0079112C"/>
    <w:rsid w:val="007929FB"/>
    <w:rsid w:val="007936E2"/>
    <w:rsid w:val="0079371C"/>
    <w:rsid w:val="007937A7"/>
    <w:rsid w:val="007940B1"/>
    <w:rsid w:val="007941C7"/>
    <w:rsid w:val="0079791C"/>
    <w:rsid w:val="007A1F63"/>
    <w:rsid w:val="007A2ED1"/>
    <w:rsid w:val="007A3C67"/>
    <w:rsid w:val="007A420C"/>
    <w:rsid w:val="007A4B95"/>
    <w:rsid w:val="007A67C0"/>
    <w:rsid w:val="007A6F6B"/>
    <w:rsid w:val="007A736D"/>
    <w:rsid w:val="007A764A"/>
    <w:rsid w:val="007A7B25"/>
    <w:rsid w:val="007A7DD0"/>
    <w:rsid w:val="007B4897"/>
    <w:rsid w:val="007B6C6A"/>
    <w:rsid w:val="007B6F28"/>
    <w:rsid w:val="007B6F58"/>
    <w:rsid w:val="007B77EC"/>
    <w:rsid w:val="007C05F6"/>
    <w:rsid w:val="007C30AA"/>
    <w:rsid w:val="007C488B"/>
    <w:rsid w:val="007C5605"/>
    <w:rsid w:val="007C5B45"/>
    <w:rsid w:val="007C5C4E"/>
    <w:rsid w:val="007C6C77"/>
    <w:rsid w:val="007C6F9E"/>
    <w:rsid w:val="007C7B7A"/>
    <w:rsid w:val="007C7F7C"/>
    <w:rsid w:val="007D0E55"/>
    <w:rsid w:val="007D183B"/>
    <w:rsid w:val="007D2025"/>
    <w:rsid w:val="007D2A83"/>
    <w:rsid w:val="007D2AD9"/>
    <w:rsid w:val="007D407B"/>
    <w:rsid w:val="007D5084"/>
    <w:rsid w:val="007D59DA"/>
    <w:rsid w:val="007D735F"/>
    <w:rsid w:val="007E1168"/>
    <w:rsid w:val="007E39B1"/>
    <w:rsid w:val="007E54C7"/>
    <w:rsid w:val="007E5EE2"/>
    <w:rsid w:val="007F1CD2"/>
    <w:rsid w:val="007F33FE"/>
    <w:rsid w:val="007F3A42"/>
    <w:rsid w:val="0080113B"/>
    <w:rsid w:val="00802E5F"/>
    <w:rsid w:val="00805000"/>
    <w:rsid w:val="00806663"/>
    <w:rsid w:val="008076BE"/>
    <w:rsid w:val="00807842"/>
    <w:rsid w:val="00807FD4"/>
    <w:rsid w:val="008103BC"/>
    <w:rsid w:val="00811798"/>
    <w:rsid w:val="00814948"/>
    <w:rsid w:val="00815AF3"/>
    <w:rsid w:val="008165D7"/>
    <w:rsid w:val="00820CA6"/>
    <w:rsid w:val="008225C5"/>
    <w:rsid w:val="008234E2"/>
    <w:rsid w:val="00823E54"/>
    <w:rsid w:val="00825A47"/>
    <w:rsid w:val="00826026"/>
    <w:rsid w:val="00826B8C"/>
    <w:rsid w:val="00827D66"/>
    <w:rsid w:val="00830C0B"/>
    <w:rsid w:val="00831B39"/>
    <w:rsid w:val="00831F47"/>
    <w:rsid w:val="008338AC"/>
    <w:rsid w:val="00834B2C"/>
    <w:rsid w:val="008354D5"/>
    <w:rsid w:val="008363A4"/>
    <w:rsid w:val="00837258"/>
    <w:rsid w:val="008403A1"/>
    <w:rsid w:val="00841BB4"/>
    <w:rsid w:val="00843211"/>
    <w:rsid w:val="008440FC"/>
    <w:rsid w:val="00844711"/>
    <w:rsid w:val="008450B4"/>
    <w:rsid w:val="008457B1"/>
    <w:rsid w:val="00846B20"/>
    <w:rsid w:val="00846FA8"/>
    <w:rsid w:val="0085664B"/>
    <w:rsid w:val="00860021"/>
    <w:rsid w:val="008614C9"/>
    <w:rsid w:val="008630DF"/>
    <w:rsid w:val="008642F8"/>
    <w:rsid w:val="0086665B"/>
    <w:rsid w:val="008667D5"/>
    <w:rsid w:val="008708F6"/>
    <w:rsid w:val="00870A0D"/>
    <w:rsid w:val="008743D3"/>
    <w:rsid w:val="00875093"/>
    <w:rsid w:val="00876F45"/>
    <w:rsid w:val="008779B1"/>
    <w:rsid w:val="00880785"/>
    <w:rsid w:val="00880BB3"/>
    <w:rsid w:val="008848B8"/>
    <w:rsid w:val="00887327"/>
    <w:rsid w:val="0088761E"/>
    <w:rsid w:val="00887839"/>
    <w:rsid w:val="00887DF4"/>
    <w:rsid w:val="0089024C"/>
    <w:rsid w:val="0089173E"/>
    <w:rsid w:val="008928A5"/>
    <w:rsid w:val="00893251"/>
    <w:rsid w:val="00894DDF"/>
    <w:rsid w:val="00896DCA"/>
    <w:rsid w:val="00896FA9"/>
    <w:rsid w:val="0089738B"/>
    <w:rsid w:val="008A061F"/>
    <w:rsid w:val="008A106A"/>
    <w:rsid w:val="008A22FE"/>
    <w:rsid w:val="008A2591"/>
    <w:rsid w:val="008A271E"/>
    <w:rsid w:val="008A5657"/>
    <w:rsid w:val="008A631B"/>
    <w:rsid w:val="008A6769"/>
    <w:rsid w:val="008B0320"/>
    <w:rsid w:val="008B04A2"/>
    <w:rsid w:val="008B0AEA"/>
    <w:rsid w:val="008B0D52"/>
    <w:rsid w:val="008B1638"/>
    <w:rsid w:val="008B1937"/>
    <w:rsid w:val="008B1C92"/>
    <w:rsid w:val="008B220E"/>
    <w:rsid w:val="008B28FD"/>
    <w:rsid w:val="008B4E91"/>
    <w:rsid w:val="008C07C5"/>
    <w:rsid w:val="008C0C4E"/>
    <w:rsid w:val="008C0E81"/>
    <w:rsid w:val="008C1183"/>
    <w:rsid w:val="008C3ED9"/>
    <w:rsid w:val="008C5843"/>
    <w:rsid w:val="008C59EF"/>
    <w:rsid w:val="008C6815"/>
    <w:rsid w:val="008C6C20"/>
    <w:rsid w:val="008D1059"/>
    <w:rsid w:val="008D2186"/>
    <w:rsid w:val="008D2A2F"/>
    <w:rsid w:val="008D2BEB"/>
    <w:rsid w:val="008D3415"/>
    <w:rsid w:val="008D3712"/>
    <w:rsid w:val="008D5446"/>
    <w:rsid w:val="008D5C77"/>
    <w:rsid w:val="008D6953"/>
    <w:rsid w:val="008E11E0"/>
    <w:rsid w:val="008E150A"/>
    <w:rsid w:val="008E1A30"/>
    <w:rsid w:val="008E2ECC"/>
    <w:rsid w:val="008E4A8F"/>
    <w:rsid w:val="008E5167"/>
    <w:rsid w:val="008E74D0"/>
    <w:rsid w:val="008E7D48"/>
    <w:rsid w:val="008E7F8E"/>
    <w:rsid w:val="008F07B8"/>
    <w:rsid w:val="008F0E0A"/>
    <w:rsid w:val="008F0E9A"/>
    <w:rsid w:val="008F119A"/>
    <w:rsid w:val="008F17C2"/>
    <w:rsid w:val="008F2C51"/>
    <w:rsid w:val="008F4461"/>
    <w:rsid w:val="008F5762"/>
    <w:rsid w:val="008F5D31"/>
    <w:rsid w:val="008F66EC"/>
    <w:rsid w:val="008F7F74"/>
    <w:rsid w:val="00900858"/>
    <w:rsid w:val="00900A4B"/>
    <w:rsid w:val="00900E63"/>
    <w:rsid w:val="00901B42"/>
    <w:rsid w:val="00902BC0"/>
    <w:rsid w:val="00902C1C"/>
    <w:rsid w:val="0090510D"/>
    <w:rsid w:val="00905721"/>
    <w:rsid w:val="00906A1A"/>
    <w:rsid w:val="00906CCE"/>
    <w:rsid w:val="00907E6F"/>
    <w:rsid w:val="00910A95"/>
    <w:rsid w:val="00910CCC"/>
    <w:rsid w:val="009114BF"/>
    <w:rsid w:val="009126EE"/>
    <w:rsid w:val="00913C6A"/>
    <w:rsid w:val="00914875"/>
    <w:rsid w:val="0091601E"/>
    <w:rsid w:val="009236D2"/>
    <w:rsid w:val="00924BB1"/>
    <w:rsid w:val="00924D65"/>
    <w:rsid w:val="009265FB"/>
    <w:rsid w:val="00931F1D"/>
    <w:rsid w:val="00932345"/>
    <w:rsid w:val="00934C1B"/>
    <w:rsid w:val="00935800"/>
    <w:rsid w:val="0094084E"/>
    <w:rsid w:val="00942D5B"/>
    <w:rsid w:val="00944C5B"/>
    <w:rsid w:val="0094511B"/>
    <w:rsid w:val="009465EB"/>
    <w:rsid w:val="00947BFC"/>
    <w:rsid w:val="00953AF0"/>
    <w:rsid w:val="00953EFF"/>
    <w:rsid w:val="00954211"/>
    <w:rsid w:val="009548E1"/>
    <w:rsid w:val="00955FC9"/>
    <w:rsid w:val="009567B9"/>
    <w:rsid w:val="009568E0"/>
    <w:rsid w:val="00957BCB"/>
    <w:rsid w:val="00961F65"/>
    <w:rsid w:val="00962208"/>
    <w:rsid w:val="00962C94"/>
    <w:rsid w:val="00962DEF"/>
    <w:rsid w:val="00963142"/>
    <w:rsid w:val="00963C60"/>
    <w:rsid w:val="00963D39"/>
    <w:rsid w:val="009644B5"/>
    <w:rsid w:val="00965DC1"/>
    <w:rsid w:val="00965E6E"/>
    <w:rsid w:val="009663E2"/>
    <w:rsid w:val="009664CD"/>
    <w:rsid w:val="00970364"/>
    <w:rsid w:val="0097049B"/>
    <w:rsid w:val="00970AB9"/>
    <w:rsid w:val="00972B05"/>
    <w:rsid w:val="00972F51"/>
    <w:rsid w:val="009748DB"/>
    <w:rsid w:val="009749E5"/>
    <w:rsid w:val="009755D9"/>
    <w:rsid w:val="00976A97"/>
    <w:rsid w:val="009774F1"/>
    <w:rsid w:val="00980C06"/>
    <w:rsid w:val="00980E88"/>
    <w:rsid w:val="009817CA"/>
    <w:rsid w:val="00983ED8"/>
    <w:rsid w:val="009841C1"/>
    <w:rsid w:val="00984581"/>
    <w:rsid w:val="00986C15"/>
    <w:rsid w:val="0098780F"/>
    <w:rsid w:val="00990CDC"/>
    <w:rsid w:val="009912A7"/>
    <w:rsid w:val="0099320D"/>
    <w:rsid w:val="00994070"/>
    <w:rsid w:val="009940E1"/>
    <w:rsid w:val="00994816"/>
    <w:rsid w:val="00994F82"/>
    <w:rsid w:val="00996D16"/>
    <w:rsid w:val="00996EBD"/>
    <w:rsid w:val="009A01C6"/>
    <w:rsid w:val="009A2215"/>
    <w:rsid w:val="009A34CD"/>
    <w:rsid w:val="009A4758"/>
    <w:rsid w:val="009A4ACF"/>
    <w:rsid w:val="009A569C"/>
    <w:rsid w:val="009A5CCB"/>
    <w:rsid w:val="009B07A8"/>
    <w:rsid w:val="009B18B1"/>
    <w:rsid w:val="009B2069"/>
    <w:rsid w:val="009B28DD"/>
    <w:rsid w:val="009B2AEB"/>
    <w:rsid w:val="009B3C0B"/>
    <w:rsid w:val="009B3C18"/>
    <w:rsid w:val="009B3E02"/>
    <w:rsid w:val="009B65C9"/>
    <w:rsid w:val="009C08D8"/>
    <w:rsid w:val="009C1129"/>
    <w:rsid w:val="009C1325"/>
    <w:rsid w:val="009C1520"/>
    <w:rsid w:val="009C17BF"/>
    <w:rsid w:val="009C2042"/>
    <w:rsid w:val="009C31FC"/>
    <w:rsid w:val="009C4305"/>
    <w:rsid w:val="009C5BE5"/>
    <w:rsid w:val="009C6082"/>
    <w:rsid w:val="009C6347"/>
    <w:rsid w:val="009C6ECC"/>
    <w:rsid w:val="009C70BE"/>
    <w:rsid w:val="009C70DE"/>
    <w:rsid w:val="009C750F"/>
    <w:rsid w:val="009D0354"/>
    <w:rsid w:val="009D06F2"/>
    <w:rsid w:val="009D0A85"/>
    <w:rsid w:val="009D1014"/>
    <w:rsid w:val="009D198B"/>
    <w:rsid w:val="009D2329"/>
    <w:rsid w:val="009D2403"/>
    <w:rsid w:val="009D25FD"/>
    <w:rsid w:val="009D2FA0"/>
    <w:rsid w:val="009D4890"/>
    <w:rsid w:val="009D577C"/>
    <w:rsid w:val="009D593A"/>
    <w:rsid w:val="009D6CCF"/>
    <w:rsid w:val="009D6E1D"/>
    <w:rsid w:val="009D7BC7"/>
    <w:rsid w:val="009E0958"/>
    <w:rsid w:val="009E211E"/>
    <w:rsid w:val="009E4419"/>
    <w:rsid w:val="009E4709"/>
    <w:rsid w:val="009E5C6F"/>
    <w:rsid w:val="009E68E6"/>
    <w:rsid w:val="009E700A"/>
    <w:rsid w:val="009E7B84"/>
    <w:rsid w:val="009E7D26"/>
    <w:rsid w:val="009F0A7C"/>
    <w:rsid w:val="009F21F0"/>
    <w:rsid w:val="009F4EFE"/>
    <w:rsid w:val="009F574A"/>
    <w:rsid w:val="009F583B"/>
    <w:rsid w:val="009F6B2E"/>
    <w:rsid w:val="009F6EDD"/>
    <w:rsid w:val="00A0090D"/>
    <w:rsid w:val="00A01225"/>
    <w:rsid w:val="00A014DF"/>
    <w:rsid w:val="00A01EAA"/>
    <w:rsid w:val="00A02B29"/>
    <w:rsid w:val="00A02EA6"/>
    <w:rsid w:val="00A03647"/>
    <w:rsid w:val="00A03BB0"/>
    <w:rsid w:val="00A04080"/>
    <w:rsid w:val="00A07C15"/>
    <w:rsid w:val="00A07DC1"/>
    <w:rsid w:val="00A112C7"/>
    <w:rsid w:val="00A11C7F"/>
    <w:rsid w:val="00A12333"/>
    <w:rsid w:val="00A12944"/>
    <w:rsid w:val="00A13CEE"/>
    <w:rsid w:val="00A13D4E"/>
    <w:rsid w:val="00A13DB2"/>
    <w:rsid w:val="00A14905"/>
    <w:rsid w:val="00A14A0A"/>
    <w:rsid w:val="00A14E63"/>
    <w:rsid w:val="00A1511B"/>
    <w:rsid w:val="00A16F1C"/>
    <w:rsid w:val="00A178EB"/>
    <w:rsid w:val="00A17D9E"/>
    <w:rsid w:val="00A20BEF"/>
    <w:rsid w:val="00A23347"/>
    <w:rsid w:val="00A23E83"/>
    <w:rsid w:val="00A248E0"/>
    <w:rsid w:val="00A24AE4"/>
    <w:rsid w:val="00A24D33"/>
    <w:rsid w:val="00A25009"/>
    <w:rsid w:val="00A2507E"/>
    <w:rsid w:val="00A25B4E"/>
    <w:rsid w:val="00A26DB1"/>
    <w:rsid w:val="00A276FA"/>
    <w:rsid w:val="00A31603"/>
    <w:rsid w:val="00A32008"/>
    <w:rsid w:val="00A32097"/>
    <w:rsid w:val="00A35605"/>
    <w:rsid w:val="00A356D4"/>
    <w:rsid w:val="00A37188"/>
    <w:rsid w:val="00A41A0C"/>
    <w:rsid w:val="00A4375A"/>
    <w:rsid w:val="00A43CC2"/>
    <w:rsid w:val="00A43E2C"/>
    <w:rsid w:val="00A46806"/>
    <w:rsid w:val="00A47C8B"/>
    <w:rsid w:val="00A50066"/>
    <w:rsid w:val="00A53366"/>
    <w:rsid w:val="00A54E3C"/>
    <w:rsid w:val="00A5579C"/>
    <w:rsid w:val="00A57BC0"/>
    <w:rsid w:val="00A60947"/>
    <w:rsid w:val="00A60EC6"/>
    <w:rsid w:val="00A6362D"/>
    <w:rsid w:val="00A6365D"/>
    <w:rsid w:val="00A63824"/>
    <w:rsid w:val="00A6469C"/>
    <w:rsid w:val="00A66259"/>
    <w:rsid w:val="00A6743F"/>
    <w:rsid w:val="00A67F7B"/>
    <w:rsid w:val="00A706BD"/>
    <w:rsid w:val="00A71A29"/>
    <w:rsid w:val="00A71D4A"/>
    <w:rsid w:val="00A731D2"/>
    <w:rsid w:val="00A734AB"/>
    <w:rsid w:val="00A80A13"/>
    <w:rsid w:val="00A82F9F"/>
    <w:rsid w:val="00A83000"/>
    <w:rsid w:val="00A8530C"/>
    <w:rsid w:val="00A86E62"/>
    <w:rsid w:val="00A86EBC"/>
    <w:rsid w:val="00A8709D"/>
    <w:rsid w:val="00A91070"/>
    <w:rsid w:val="00A91097"/>
    <w:rsid w:val="00A9264A"/>
    <w:rsid w:val="00A94961"/>
    <w:rsid w:val="00A954C2"/>
    <w:rsid w:val="00A96A73"/>
    <w:rsid w:val="00AA0B22"/>
    <w:rsid w:val="00AA2468"/>
    <w:rsid w:val="00AA456A"/>
    <w:rsid w:val="00AA640E"/>
    <w:rsid w:val="00AB01CA"/>
    <w:rsid w:val="00AB025B"/>
    <w:rsid w:val="00AB0B8B"/>
    <w:rsid w:val="00AB0EA0"/>
    <w:rsid w:val="00AB1B8A"/>
    <w:rsid w:val="00AB2BBF"/>
    <w:rsid w:val="00AB2E80"/>
    <w:rsid w:val="00AB453D"/>
    <w:rsid w:val="00AB547D"/>
    <w:rsid w:val="00AB6543"/>
    <w:rsid w:val="00AB697F"/>
    <w:rsid w:val="00AB6AD6"/>
    <w:rsid w:val="00AB6D8D"/>
    <w:rsid w:val="00AB7D19"/>
    <w:rsid w:val="00AC1035"/>
    <w:rsid w:val="00AC19F1"/>
    <w:rsid w:val="00AC1E39"/>
    <w:rsid w:val="00AC1EE3"/>
    <w:rsid w:val="00AC344B"/>
    <w:rsid w:val="00AC5411"/>
    <w:rsid w:val="00AC778B"/>
    <w:rsid w:val="00AC7ED5"/>
    <w:rsid w:val="00AD0AF2"/>
    <w:rsid w:val="00AD3703"/>
    <w:rsid w:val="00AD372C"/>
    <w:rsid w:val="00AD3B91"/>
    <w:rsid w:val="00AD4411"/>
    <w:rsid w:val="00AD5ADF"/>
    <w:rsid w:val="00AD5B85"/>
    <w:rsid w:val="00AD68E9"/>
    <w:rsid w:val="00AD790F"/>
    <w:rsid w:val="00AE1AB4"/>
    <w:rsid w:val="00AE1BFA"/>
    <w:rsid w:val="00AE31A1"/>
    <w:rsid w:val="00AE3F27"/>
    <w:rsid w:val="00AE4091"/>
    <w:rsid w:val="00AE4991"/>
    <w:rsid w:val="00AE4AB0"/>
    <w:rsid w:val="00AE563C"/>
    <w:rsid w:val="00AF1036"/>
    <w:rsid w:val="00AF17E0"/>
    <w:rsid w:val="00AF515D"/>
    <w:rsid w:val="00AF5889"/>
    <w:rsid w:val="00AF5F52"/>
    <w:rsid w:val="00AF6144"/>
    <w:rsid w:val="00AF7580"/>
    <w:rsid w:val="00AF7792"/>
    <w:rsid w:val="00AF7CB5"/>
    <w:rsid w:val="00B00147"/>
    <w:rsid w:val="00B0022F"/>
    <w:rsid w:val="00B0084A"/>
    <w:rsid w:val="00B00E9A"/>
    <w:rsid w:val="00B01B0C"/>
    <w:rsid w:val="00B01E27"/>
    <w:rsid w:val="00B03C97"/>
    <w:rsid w:val="00B0494D"/>
    <w:rsid w:val="00B06BAA"/>
    <w:rsid w:val="00B07163"/>
    <w:rsid w:val="00B107EF"/>
    <w:rsid w:val="00B1081D"/>
    <w:rsid w:val="00B13202"/>
    <w:rsid w:val="00B13C3A"/>
    <w:rsid w:val="00B1667C"/>
    <w:rsid w:val="00B1707C"/>
    <w:rsid w:val="00B20B15"/>
    <w:rsid w:val="00B20BA6"/>
    <w:rsid w:val="00B20C9A"/>
    <w:rsid w:val="00B228D4"/>
    <w:rsid w:val="00B22A38"/>
    <w:rsid w:val="00B22B13"/>
    <w:rsid w:val="00B22C99"/>
    <w:rsid w:val="00B231A1"/>
    <w:rsid w:val="00B24248"/>
    <w:rsid w:val="00B2575B"/>
    <w:rsid w:val="00B263FA"/>
    <w:rsid w:val="00B26434"/>
    <w:rsid w:val="00B27BA1"/>
    <w:rsid w:val="00B323D6"/>
    <w:rsid w:val="00B32D8C"/>
    <w:rsid w:val="00B336D3"/>
    <w:rsid w:val="00B34D90"/>
    <w:rsid w:val="00B34E7E"/>
    <w:rsid w:val="00B366DF"/>
    <w:rsid w:val="00B37BCA"/>
    <w:rsid w:val="00B40B9D"/>
    <w:rsid w:val="00B41791"/>
    <w:rsid w:val="00B4389E"/>
    <w:rsid w:val="00B4405C"/>
    <w:rsid w:val="00B4406A"/>
    <w:rsid w:val="00B4473C"/>
    <w:rsid w:val="00B46E2E"/>
    <w:rsid w:val="00B47121"/>
    <w:rsid w:val="00B51EA7"/>
    <w:rsid w:val="00B524DB"/>
    <w:rsid w:val="00B5254E"/>
    <w:rsid w:val="00B53A9D"/>
    <w:rsid w:val="00B54EE7"/>
    <w:rsid w:val="00B5550C"/>
    <w:rsid w:val="00B57D55"/>
    <w:rsid w:val="00B613DC"/>
    <w:rsid w:val="00B61E94"/>
    <w:rsid w:val="00B626AA"/>
    <w:rsid w:val="00B65AF8"/>
    <w:rsid w:val="00B716E3"/>
    <w:rsid w:val="00B71F01"/>
    <w:rsid w:val="00B77522"/>
    <w:rsid w:val="00B77AE3"/>
    <w:rsid w:val="00B8043F"/>
    <w:rsid w:val="00B8063E"/>
    <w:rsid w:val="00B835D2"/>
    <w:rsid w:val="00B839D2"/>
    <w:rsid w:val="00B84C85"/>
    <w:rsid w:val="00B84D97"/>
    <w:rsid w:val="00B86C5C"/>
    <w:rsid w:val="00B87EA6"/>
    <w:rsid w:val="00B9239B"/>
    <w:rsid w:val="00B93E75"/>
    <w:rsid w:val="00B94F36"/>
    <w:rsid w:val="00BA0579"/>
    <w:rsid w:val="00BA181C"/>
    <w:rsid w:val="00BA2723"/>
    <w:rsid w:val="00BA3BEA"/>
    <w:rsid w:val="00BA436A"/>
    <w:rsid w:val="00BA56D2"/>
    <w:rsid w:val="00BA64DA"/>
    <w:rsid w:val="00BA71C7"/>
    <w:rsid w:val="00BA7A96"/>
    <w:rsid w:val="00BB1700"/>
    <w:rsid w:val="00BB2E5E"/>
    <w:rsid w:val="00BB4DC5"/>
    <w:rsid w:val="00BB5896"/>
    <w:rsid w:val="00BC0E25"/>
    <w:rsid w:val="00BC19C0"/>
    <w:rsid w:val="00BC2E1F"/>
    <w:rsid w:val="00BC3C77"/>
    <w:rsid w:val="00BC4947"/>
    <w:rsid w:val="00BC76B2"/>
    <w:rsid w:val="00BD06AB"/>
    <w:rsid w:val="00BD088C"/>
    <w:rsid w:val="00BD3720"/>
    <w:rsid w:val="00BD3B16"/>
    <w:rsid w:val="00BD41F9"/>
    <w:rsid w:val="00BD5E44"/>
    <w:rsid w:val="00BD64C4"/>
    <w:rsid w:val="00BE0BEA"/>
    <w:rsid w:val="00BE3038"/>
    <w:rsid w:val="00BE3B31"/>
    <w:rsid w:val="00BE4ACD"/>
    <w:rsid w:val="00BE5A04"/>
    <w:rsid w:val="00BE604D"/>
    <w:rsid w:val="00BE6307"/>
    <w:rsid w:val="00BE640B"/>
    <w:rsid w:val="00BF1E3F"/>
    <w:rsid w:val="00BF2338"/>
    <w:rsid w:val="00BF33B5"/>
    <w:rsid w:val="00BF36EA"/>
    <w:rsid w:val="00BF3A7C"/>
    <w:rsid w:val="00C0105F"/>
    <w:rsid w:val="00C018F9"/>
    <w:rsid w:val="00C02DE0"/>
    <w:rsid w:val="00C030B7"/>
    <w:rsid w:val="00C033E6"/>
    <w:rsid w:val="00C05FED"/>
    <w:rsid w:val="00C0639D"/>
    <w:rsid w:val="00C066E3"/>
    <w:rsid w:val="00C067D6"/>
    <w:rsid w:val="00C11DFC"/>
    <w:rsid w:val="00C13173"/>
    <w:rsid w:val="00C135CE"/>
    <w:rsid w:val="00C13F61"/>
    <w:rsid w:val="00C15596"/>
    <w:rsid w:val="00C16CCC"/>
    <w:rsid w:val="00C204D3"/>
    <w:rsid w:val="00C210E5"/>
    <w:rsid w:val="00C22952"/>
    <w:rsid w:val="00C230DD"/>
    <w:rsid w:val="00C2399B"/>
    <w:rsid w:val="00C24328"/>
    <w:rsid w:val="00C255EF"/>
    <w:rsid w:val="00C261A0"/>
    <w:rsid w:val="00C26C43"/>
    <w:rsid w:val="00C26CD1"/>
    <w:rsid w:val="00C2726D"/>
    <w:rsid w:val="00C307AF"/>
    <w:rsid w:val="00C30E27"/>
    <w:rsid w:val="00C31562"/>
    <w:rsid w:val="00C32563"/>
    <w:rsid w:val="00C33231"/>
    <w:rsid w:val="00C36B89"/>
    <w:rsid w:val="00C37E39"/>
    <w:rsid w:val="00C40E3A"/>
    <w:rsid w:val="00C41CB1"/>
    <w:rsid w:val="00C42CDB"/>
    <w:rsid w:val="00C44098"/>
    <w:rsid w:val="00C44490"/>
    <w:rsid w:val="00C45171"/>
    <w:rsid w:val="00C46A9D"/>
    <w:rsid w:val="00C46AB5"/>
    <w:rsid w:val="00C472EB"/>
    <w:rsid w:val="00C47960"/>
    <w:rsid w:val="00C52005"/>
    <w:rsid w:val="00C52516"/>
    <w:rsid w:val="00C52D4E"/>
    <w:rsid w:val="00C52FD8"/>
    <w:rsid w:val="00C53288"/>
    <w:rsid w:val="00C532EC"/>
    <w:rsid w:val="00C53CC5"/>
    <w:rsid w:val="00C556DE"/>
    <w:rsid w:val="00C56558"/>
    <w:rsid w:val="00C56EA5"/>
    <w:rsid w:val="00C573A1"/>
    <w:rsid w:val="00C57831"/>
    <w:rsid w:val="00C579DC"/>
    <w:rsid w:val="00C57A13"/>
    <w:rsid w:val="00C604E5"/>
    <w:rsid w:val="00C6077F"/>
    <w:rsid w:val="00C60BDF"/>
    <w:rsid w:val="00C6171C"/>
    <w:rsid w:val="00C62AED"/>
    <w:rsid w:val="00C63C06"/>
    <w:rsid w:val="00C6415A"/>
    <w:rsid w:val="00C64B66"/>
    <w:rsid w:val="00C71758"/>
    <w:rsid w:val="00C719E1"/>
    <w:rsid w:val="00C74CD7"/>
    <w:rsid w:val="00C802FF"/>
    <w:rsid w:val="00C81A11"/>
    <w:rsid w:val="00C81E84"/>
    <w:rsid w:val="00C83CDB"/>
    <w:rsid w:val="00C84222"/>
    <w:rsid w:val="00C85441"/>
    <w:rsid w:val="00C85DE9"/>
    <w:rsid w:val="00C86D5E"/>
    <w:rsid w:val="00C905E8"/>
    <w:rsid w:val="00C90FE4"/>
    <w:rsid w:val="00C91790"/>
    <w:rsid w:val="00C924FC"/>
    <w:rsid w:val="00C931C0"/>
    <w:rsid w:val="00C95C09"/>
    <w:rsid w:val="00C969D0"/>
    <w:rsid w:val="00CA51B1"/>
    <w:rsid w:val="00CA58D0"/>
    <w:rsid w:val="00CA5FBA"/>
    <w:rsid w:val="00CB0986"/>
    <w:rsid w:val="00CB1F68"/>
    <w:rsid w:val="00CB262D"/>
    <w:rsid w:val="00CB2784"/>
    <w:rsid w:val="00CB2939"/>
    <w:rsid w:val="00CB2D6B"/>
    <w:rsid w:val="00CB2FDC"/>
    <w:rsid w:val="00CB362D"/>
    <w:rsid w:val="00CB4B48"/>
    <w:rsid w:val="00CB5B56"/>
    <w:rsid w:val="00CC16C5"/>
    <w:rsid w:val="00CC1A80"/>
    <w:rsid w:val="00CC384A"/>
    <w:rsid w:val="00CC437D"/>
    <w:rsid w:val="00CC52B8"/>
    <w:rsid w:val="00CC5518"/>
    <w:rsid w:val="00CC5C3B"/>
    <w:rsid w:val="00CC7721"/>
    <w:rsid w:val="00CD338B"/>
    <w:rsid w:val="00CD34E1"/>
    <w:rsid w:val="00CD55A3"/>
    <w:rsid w:val="00CD6848"/>
    <w:rsid w:val="00CE0ADF"/>
    <w:rsid w:val="00CE0E56"/>
    <w:rsid w:val="00CE1067"/>
    <w:rsid w:val="00CE3628"/>
    <w:rsid w:val="00CE50C4"/>
    <w:rsid w:val="00CE5B85"/>
    <w:rsid w:val="00CF0436"/>
    <w:rsid w:val="00CF253C"/>
    <w:rsid w:val="00CF343D"/>
    <w:rsid w:val="00CF4419"/>
    <w:rsid w:val="00CF4978"/>
    <w:rsid w:val="00CF4B57"/>
    <w:rsid w:val="00CF72E3"/>
    <w:rsid w:val="00CF7BA7"/>
    <w:rsid w:val="00D02C38"/>
    <w:rsid w:val="00D02FE3"/>
    <w:rsid w:val="00D06B1C"/>
    <w:rsid w:val="00D07957"/>
    <w:rsid w:val="00D124DB"/>
    <w:rsid w:val="00D130BF"/>
    <w:rsid w:val="00D13A73"/>
    <w:rsid w:val="00D17FF9"/>
    <w:rsid w:val="00D2010A"/>
    <w:rsid w:val="00D20E08"/>
    <w:rsid w:val="00D22219"/>
    <w:rsid w:val="00D225C5"/>
    <w:rsid w:val="00D2267B"/>
    <w:rsid w:val="00D23431"/>
    <w:rsid w:val="00D23602"/>
    <w:rsid w:val="00D2395A"/>
    <w:rsid w:val="00D26B36"/>
    <w:rsid w:val="00D26D0D"/>
    <w:rsid w:val="00D27945"/>
    <w:rsid w:val="00D30FF9"/>
    <w:rsid w:val="00D33CBA"/>
    <w:rsid w:val="00D3645C"/>
    <w:rsid w:val="00D4005E"/>
    <w:rsid w:val="00D4176D"/>
    <w:rsid w:val="00D44089"/>
    <w:rsid w:val="00D44BBE"/>
    <w:rsid w:val="00D44E95"/>
    <w:rsid w:val="00D4649D"/>
    <w:rsid w:val="00D467C9"/>
    <w:rsid w:val="00D47E05"/>
    <w:rsid w:val="00D51D54"/>
    <w:rsid w:val="00D52742"/>
    <w:rsid w:val="00D608AC"/>
    <w:rsid w:val="00D61921"/>
    <w:rsid w:val="00D623B8"/>
    <w:rsid w:val="00D62A6E"/>
    <w:rsid w:val="00D62F90"/>
    <w:rsid w:val="00D65205"/>
    <w:rsid w:val="00D65273"/>
    <w:rsid w:val="00D70840"/>
    <w:rsid w:val="00D711A3"/>
    <w:rsid w:val="00D72385"/>
    <w:rsid w:val="00D728DA"/>
    <w:rsid w:val="00D72F0C"/>
    <w:rsid w:val="00D73431"/>
    <w:rsid w:val="00D73457"/>
    <w:rsid w:val="00D753CA"/>
    <w:rsid w:val="00D754A2"/>
    <w:rsid w:val="00D75A58"/>
    <w:rsid w:val="00D77F0E"/>
    <w:rsid w:val="00D8199B"/>
    <w:rsid w:val="00D83861"/>
    <w:rsid w:val="00D85DA6"/>
    <w:rsid w:val="00D8654D"/>
    <w:rsid w:val="00D86B06"/>
    <w:rsid w:val="00D8765F"/>
    <w:rsid w:val="00D91B08"/>
    <w:rsid w:val="00D92061"/>
    <w:rsid w:val="00D9228A"/>
    <w:rsid w:val="00D937FB"/>
    <w:rsid w:val="00D93F69"/>
    <w:rsid w:val="00D9411A"/>
    <w:rsid w:val="00D94CA4"/>
    <w:rsid w:val="00D957E4"/>
    <w:rsid w:val="00D970A5"/>
    <w:rsid w:val="00D97A49"/>
    <w:rsid w:val="00DA2BD5"/>
    <w:rsid w:val="00DA38DF"/>
    <w:rsid w:val="00DA44DC"/>
    <w:rsid w:val="00DA4AB1"/>
    <w:rsid w:val="00DA4C10"/>
    <w:rsid w:val="00DA4CAA"/>
    <w:rsid w:val="00DA5181"/>
    <w:rsid w:val="00DA58E6"/>
    <w:rsid w:val="00DA6918"/>
    <w:rsid w:val="00DA6E86"/>
    <w:rsid w:val="00DB128F"/>
    <w:rsid w:val="00DB17D7"/>
    <w:rsid w:val="00DB4354"/>
    <w:rsid w:val="00DB4C82"/>
    <w:rsid w:val="00DB6664"/>
    <w:rsid w:val="00DB698D"/>
    <w:rsid w:val="00DC009D"/>
    <w:rsid w:val="00DC2888"/>
    <w:rsid w:val="00DC4554"/>
    <w:rsid w:val="00DC5B80"/>
    <w:rsid w:val="00DC6303"/>
    <w:rsid w:val="00DC685D"/>
    <w:rsid w:val="00DD018A"/>
    <w:rsid w:val="00DD028C"/>
    <w:rsid w:val="00DD03F8"/>
    <w:rsid w:val="00DD0440"/>
    <w:rsid w:val="00DD2229"/>
    <w:rsid w:val="00DD30EC"/>
    <w:rsid w:val="00DD3595"/>
    <w:rsid w:val="00DD4487"/>
    <w:rsid w:val="00DD4545"/>
    <w:rsid w:val="00DD5FC2"/>
    <w:rsid w:val="00DD76AB"/>
    <w:rsid w:val="00DE0802"/>
    <w:rsid w:val="00DE23BD"/>
    <w:rsid w:val="00DE3231"/>
    <w:rsid w:val="00DE5744"/>
    <w:rsid w:val="00DE6D01"/>
    <w:rsid w:val="00DF02F3"/>
    <w:rsid w:val="00DF1B0F"/>
    <w:rsid w:val="00DF1C97"/>
    <w:rsid w:val="00DF1D45"/>
    <w:rsid w:val="00DF1E58"/>
    <w:rsid w:val="00DF2282"/>
    <w:rsid w:val="00DF2720"/>
    <w:rsid w:val="00DF62DA"/>
    <w:rsid w:val="00E01964"/>
    <w:rsid w:val="00E02998"/>
    <w:rsid w:val="00E03C4F"/>
    <w:rsid w:val="00E03D3B"/>
    <w:rsid w:val="00E04250"/>
    <w:rsid w:val="00E046C2"/>
    <w:rsid w:val="00E05622"/>
    <w:rsid w:val="00E0567A"/>
    <w:rsid w:val="00E05BA7"/>
    <w:rsid w:val="00E05BAE"/>
    <w:rsid w:val="00E05BBB"/>
    <w:rsid w:val="00E06F4E"/>
    <w:rsid w:val="00E07532"/>
    <w:rsid w:val="00E10EF5"/>
    <w:rsid w:val="00E12A32"/>
    <w:rsid w:val="00E136C4"/>
    <w:rsid w:val="00E14876"/>
    <w:rsid w:val="00E15FC6"/>
    <w:rsid w:val="00E2008B"/>
    <w:rsid w:val="00E2073E"/>
    <w:rsid w:val="00E21058"/>
    <w:rsid w:val="00E214A7"/>
    <w:rsid w:val="00E2418D"/>
    <w:rsid w:val="00E246E5"/>
    <w:rsid w:val="00E247D6"/>
    <w:rsid w:val="00E24B7C"/>
    <w:rsid w:val="00E26978"/>
    <w:rsid w:val="00E269B5"/>
    <w:rsid w:val="00E269C8"/>
    <w:rsid w:val="00E26ED0"/>
    <w:rsid w:val="00E274B5"/>
    <w:rsid w:val="00E27E73"/>
    <w:rsid w:val="00E33159"/>
    <w:rsid w:val="00E36BE3"/>
    <w:rsid w:val="00E42B22"/>
    <w:rsid w:val="00E42D25"/>
    <w:rsid w:val="00E434A3"/>
    <w:rsid w:val="00E439E0"/>
    <w:rsid w:val="00E471D9"/>
    <w:rsid w:val="00E47704"/>
    <w:rsid w:val="00E47F35"/>
    <w:rsid w:val="00E5087A"/>
    <w:rsid w:val="00E513A3"/>
    <w:rsid w:val="00E5315A"/>
    <w:rsid w:val="00E53E21"/>
    <w:rsid w:val="00E54D07"/>
    <w:rsid w:val="00E55851"/>
    <w:rsid w:val="00E56434"/>
    <w:rsid w:val="00E57569"/>
    <w:rsid w:val="00E62769"/>
    <w:rsid w:val="00E65098"/>
    <w:rsid w:val="00E6552E"/>
    <w:rsid w:val="00E668A7"/>
    <w:rsid w:val="00E67FC5"/>
    <w:rsid w:val="00E7076E"/>
    <w:rsid w:val="00E71201"/>
    <w:rsid w:val="00E73B2F"/>
    <w:rsid w:val="00E73BEB"/>
    <w:rsid w:val="00E743C8"/>
    <w:rsid w:val="00E764FB"/>
    <w:rsid w:val="00E775E0"/>
    <w:rsid w:val="00E77F08"/>
    <w:rsid w:val="00E8151B"/>
    <w:rsid w:val="00E81A68"/>
    <w:rsid w:val="00E829FD"/>
    <w:rsid w:val="00E83028"/>
    <w:rsid w:val="00E861C9"/>
    <w:rsid w:val="00E8696D"/>
    <w:rsid w:val="00E87685"/>
    <w:rsid w:val="00E90F85"/>
    <w:rsid w:val="00E932E1"/>
    <w:rsid w:val="00E96305"/>
    <w:rsid w:val="00E963A5"/>
    <w:rsid w:val="00E9670B"/>
    <w:rsid w:val="00E972C4"/>
    <w:rsid w:val="00EA03A1"/>
    <w:rsid w:val="00EA1165"/>
    <w:rsid w:val="00EA1CE6"/>
    <w:rsid w:val="00EA2431"/>
    <w:rsid w:val="00EA2F41"/>
    <w:rsid w:val="00EA2F74"/>
    <w:rsid w:val="00EA393F"/>
    <w:rsid w:val="00EA3DEF"/>
    <w:rsid w:val="00EA4189"/>
    <w:rsid w:val="00EA65D5"/>
    <w:rsid w:val="00EA7478"/>
    <w:rsid w:val="00EB0090"/>
    <w:rsid w:val="00EB3461"/>
    <w:rsid w:val="00EB3717"/>
    <w:rsid w:val="00EB4698"/>
    <w:rsid w:val="00EB6044"/>
    <w:rsid w:val="00EB7357"/>
    <w:rsid w:val="00EB7FD3"/>
    <w:rsid w:val="00EC0FDF"/>
    <w:rsid w:val="00EC2B53"/>
    <w:rsid w:val="00EC3E30"/>
    <w:rsid w:val="00EC44F8"/>
    <w:rsid w:val="00EC65FA"/>
    <w:rsid w:val="00EC6EC2"/>
    <w:rsid w:val="00EC716B"/>
    <w:rsid w:val="00ED1679"/>
    <w:rsid w:val="00ED51E4"/>
    <w:rsid w:val="00ED5387"/>
    <w:rsid w:val="00ED5BEC"/>
    <w:rsid w:val="00ED74C1"/>
    <w:rsid w:val="00ED7646"/>
    <w:rsid w:val="00ED7A7B"/>
    <w:rsid w:val="00EE0BE3"/>
    <w:rsid w:val="00EE133C"/>
    <w:rsid w:val="00EE1F5A"/>
    <w:rsid w:val="00EE2362"/>
    <w:rsid w:val="00EE24D4"/>
    <w:rsid w:val="00EE32F7"/>
    <w:rsid w:val="00EE48D2"/>
    <w:rsid w:val="00EE60AC"/>
    <w:rsid w:val="00EF5BB3"/>
    <w:rsid w:val="00EF5C41"/>
    <w:rsid w:val="00EF74C8"/>
    <w:rsid w:val="00F00418"/>
    <w:rsid w:val="00F00924"/>
    <w:rsid w:val="00F01981"/>
    <w:rsid w:val="00F03128"/>
    <w:rsid w:val="00F03789"/>
    <w:rsid w:val="00F04A5F"/>
    <w:rsid w:val="00F0531B"/>
    <w:rsid w:val="00F05876"/>
    <w:rsid w:val="00F07AA4"/>
    <w:rsid w:val="00F11723"/>
    <w:rsid w:val="00F120A2"/>
    <w:rsid w:val="00F121F7"/>
    <w:rsid w:val="00F1296F"/>
    <w:rsid w:val="00F13963"/>
    <w:rsid w:val="00F1536B"/>
    <w:rsid w:val="00F15501"/>
    <w:rsid w:val="00F161E9"/>
    <w:rsid w:val="00F17D14"/>
    <w:rsid w:val="00F200A2"/>
    <w:rsid w:val="00F202E0"/>
    <w:rsid w:val="00F20C7A"/>
    <w:rsid w:val="00F21A47"/>
    <w:rsid w:val="00F22255"/>
    <w:rsid w:val="00F2226E"/>
    <w:rsid w:val="00F225BC"/>
    <w:rsid w:val="00F23F6C"/>
    <w:rsid w:val="00F24CA7"/>
    <w:rsid w:val="00F25D11"/>
    <w:rsid w:val="00F26679"/>
    <w:rsid w:val="00F30B1D"/>
    <w:rsid w:val="00F310D1"/>
    <w:rsid w:val="00F3152F"/>
    <w:rsid w:val="00F31625"/>
    <w:rsid w:val="00F31D83"/>
    <w:rsid w:val="00F32C07"/>
    <w:rsid w:val="00F334DB"/>
    <w:rsid w:val="00F341BA"/>
    <w:rsid w:val="00F35B57"/>
    <w:rsid w:val="00F36159"/>
    <w:rsid w:val="00F440AF"/>
    <w:rsid w:val="00F45009"/>
    <w:rsid w:val="00F45114"/>
    <w:rsid w:val="00F50118"/>
    <w:rsid w:val="00F50D60"/>
    <w:rsid w:val="00F51201"/>
    <w:rsid w:val="00F5143C"/>
    <w:rsid w:val="00F52664"/>
    <w:rsid w:val="00F55248"/>
    <w:rsid w:val="00F5588D"/>
    <w:rsid w:val="00F558A1"/>
    <w:rsid w:val="00F56944"/>
    <w:rsid w:val="00F61C77"/>
    <w:rsid w:val="00F62F8D"/>
    <w:rsid w:val="00F6327B"/>
    <w:rsid w:val="00F6385F"/>
    <w:rsid w:val="00F64537"/>
    <w:rsid w:val="00F65064"/>
    <w:rsid w:val="00F7139F"/>
    <w:rsid w:val="00F72994"/>
    <w:rsid w:val="00F735DF"/>
    <w:rsid w:val="00F73EE0"/>
    <w:rsid w:val="00F8026E"/>
    <w:rsid w:val="00F80CA8"/>
    <w:rsid w:val="00F82891"/>
    <w:rsid w:val="00F852F2"/>
    <w:rsid w:val="00F85BA4"/>
    <w:rsid w:val="00F916E6"/>
    <w:rsid w:val="00F92BB8"/>
    <w:rsid w:val="00F9320F"/>
    <w:rsid w:val="00F95738"/>
    <w:rsid w:val="00FA1FE3"/>
    <w:rsid w:val="00FA22A2"/>
    <w:rsid w:val="00FA23CB"/>
    <w:rsid w:val="00FA4F44"/>
    <w:rsid w:val="00FA4F75"/>
    <w:rsid w:val="00FA53A1"/>
    <w:rsid w:val="00FA5B43"/>
    <w:rsid w:val="00FA6864"/>
    <w:rsid w:val="00FA7D95"/>
    <w:rsid w:val="00FB1306"/>
    <w:rsid w:val="00FB1F56"/>
    <w:rsid w:val="00FB2898"/>
    <w:rsid w:val="00FB3CBD"/>
    <w:rsid w:val="00FB4701"/>
    <w:rsid w:val="00FB4E53"/>
    <w:rsid w:val="00FB4FD5"/>
    <w:rsid w:val="00FB5B87"/>
    <w:rsid w:val="00FB6F48"/>
    <w:rsid w:val="00FC0938"/>
    <w:rsid w:val="00FC1253"/>
    <w:rsid w:val="00FC17C1"/>
    <w:rsid w:val="00FC3773"/>
    <w:rsid w:val="00FC4781"/>
    <w:rsid w:val="00FC66FF"/>
    <w:rsid w:val="00FC67C6"/>
    <w:rsid w:val="00FD16F4"/>
    <w:rsid w:val="00FD1C4B"/>
    <w:rsid w:val="00FD2C39"/>
    <w:rsid w:val="00FD5C58"/>
    <w:rsid w:val="00FD6421"/>
    <w:rsid w:val="00FD7545"/>
    <w:rsid w:val="00FD779B"/>
    <w:rsid w:val="00FE15F2"/>
    <w:rsid w:val="00FE1648"/>
    <w:rsid w:val="00FE34E7"/>
    <w:rsid w:val="00FE48FC"/>
    <w:rsid w:val="00FE5B47"/>
    <w:rsid w:val="00FE6632"/>
    <w:rsid w:val="00FE7B10"/>
    <w:rsid w:val="00FF112A"/>
    <w:rsid w:val="00FF30FE"/>
    <w:rsid w:val="00FF332F"/>
    <w:rsid w:val="00FF5B62"/>
    <w:rsid w:val="00FF7A67"/>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9"/>
    <o:shapelayout v:ext="edit">
      <o:idmap v:ext="edit" data="1"/>
    </o:shapelayout>
  </w:shapeDefaults>
  <w:decimalSymbol w:val="."/>
  <w:listSeparator w:val=","/>
  <w14:docId w14:val="3BB1C49B"/>
  <w15:docId w15:val="{71B7ADA4-68B6-431B-9889-BCB22E27A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3D3B"/>
    <w:pPr>
      <w:spacing w:after="200" w:line="276" w:lineRule="auto"/>
    </w:pPr>
    <w:rPr>
      <w:sz w:val="22"/>
      <w:szCs w:val="22"/>
      <w:lang w:eastAsia="en-US"/>
    </w:rPr>
  </w:style>
  <w:style w:type="paragraph" w:styleId="Heading1">
    <w:name w:val="heading 1"/>
    <w:basedOn w:val="Normal"/>
    <w:next w:val="Normal"/>
    <w:link w:val="Heading1Char"/>
    <w:uiPriority w:val="9"/>
    <w:qFormat/>
    <w:rsid w:val="004C461B"/>
    <w:pPr>
      <w:keepNext/>
      <w:spacing w:before="240" w:after="60"/>
      <w:outlineLvl w:val="0"/>
    </w:pPr>
    <w:rPr>
      <w:rFonts w:ascii="Cambria" w:eastAsia="Times New Roman" w:hAnsi="Cambria"/>
      <w:b/>
      <w:bCs/>
      <w:kern w:val="32"/>
      <w:sz w:val="32"/>
      <w:szCs w:val="32"/>
    </w:rPr>
  </w:style>
  <w:style w:type="paragraph" w:styleId="Heading2">
    <w:name w:val="heading 2"/>
    <w:basedOn w:val="Normal"/>
    <w:link w:val="Heading2Char"/>
    <w:uiPriority w:val="9"/>
    <w:qFormat/>
    <w:rsid w:val="00024CF4"/>
    <w:pPr>
      <w:spacing w:after="0" w:line="240" w:lineRule="auto"/>
      <w:ind w:left="120"/>
      <w:outlineLvl w:val="1"/>
    </w:pPr>
    <w:rPr>
      <w:rFonts w:ascii="Times New Roman" w:eastAsia="Times New Roman" w:hAnsi="Times New Roman"/>
      <w:b/>
      <w:bCs/>
      <w:sz w:val="24"/>
      <w:szCs w:val="24"/>
      <w:lang w:eastAsia="en-GB"/>
    </w:rPr>
  </w:style>
  <w:style w:type="paragraph" w:styleId="Heading5">
    <w:name w:val="heading 5"/>
    <w:basedOn w:val="Normal"/>
    <w:next w:val="Normal"/>
    <w:link w:val="Heading5Char"/>
    <w:uiPriority w:val="9"/>
    <w:semiHidden/>
    <w:unhideWhenUsed/>
    <w:qFormat/>
    <w:rsid w:val="00C8422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D44E95"/>
    <w:pPr>
      <w:ind w:left="720"/>
      <w:contextualSpacing/>
    </w:pPr>
  </w:style>
  <w:style w:type="table" w:styleId="TableGrid">
    <w:name w:val="Table Grid"/>
    <w:basedOn w:val="TableNormal"/>
    <w:uiPriority w:val="39"/>
    <w:rsid w:val="00183C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B7012"/>
    <w:pPr>
      <w:spacing w:after="0" w:line="240" w:lineRule="auto"/>
    </w:pPr>
    <w:rPr>
      <w:rFonts w:ascii="Tahoma" w:hAnsi="Tahoma"/>
      <w:sz w:val="16"/>
      <w:szCs w:val="16"/>
    </w:rPr>
  </w:style>
  <w:style w:type="character" w:customStyle="1" w:styleId="BalloonTextChar">
    <w:name w:val="Balloon Text Char"/>
    <w:link w:val="BalloonText"/>
    <w:uiPriority w:val="99"/>
    <w:semiHidden/>
    <w:rsid w:val="006B7012"/>
    <w:rPr>
      <w:rFonts w:ascii="Tahoma" w:hAnsi="Tahoma" w:cs="Tahoma"/>
      <w:sz w:val="16"/>
      <w:szCs w:val="16"/>
    </w:rPr>
  </w:style>
  <w:style w:type="character" w:customStyle="1" w:styleId="Heading2Char">
    <w:name w:val="Heading 2 Char"/>
    <w:link w:val="Heading2"/>
    <w:uiPriority w:val="9"/>
    <w:rsid w:val="00024CF4"/>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024CF4"/>
    <w:pPr>
      <w:spacing w:after="0" w:line="240" w:lineRule="auto"/>
    </w:pPr>
    <w:rPr>
      <w:rFonts w:ascii="Arial" w:eastAsia="Times New Roman" w:hAnsi="Arial" w:cs="Arial"/>
      <w:sz w:val="20"/>
      <w:szCs w:val="20"/>
      <w:lang w:eastAsia="en-GB"/>
    </w:rPr>
  </w:style>
  <w:style w:type="character" w:customStyle="1" w:styleId="normal1">
    <w:name w:val="normal1"/>
    <w:rsid w:val="00024CF4"/>
    <w:rPr>
      <w:rFonts w:ascii="Arial" w:hAnsi="Arial" w:cs="Arial" w:hint="default"/>
      <w:color w:val="000000"/>
      <w:sz w:val="20"/>
      <w:szCs w:val="20"/>
    </w:rPr>
  </w:style>
  <w:style w:type="character" w:customStyle="1" w:styleId="result">
    <w:name w:val="result"/>
    <w:rsid w:val="00024CF4"/>
    <w:rPr>
      <w:color w:val="000080"/>
    </w:rPr>
  </w:style>
  <w:style w:type="character" w:styleId="HTMLAcronym">
    <w:name w:val="HTML Acronym"/>
    <w:basedOn w:val="DefaultParagraphFont"/>
    <w:uiPriority w:val="99"/>
    <w:semiHidden/>
    <w:unhideWhenUsed/>
    <w:rsid w:val="00024CF4"/>
  </w:style>
  <w:style w:type="character" w:styleId="Hyperlink">
    <w:name w:val="Hyperlink"/>
    <w:uiPriority w:val="99"/>
    <w:unhideWhenUsed/>
    <w:rsid w:val="00446B1F"/>
    <w:rPr>
      <w:color w:val="0000FF"/>
      <w:u w:val="single"/>
    </w:rPr>
  </w:style>
  <w:style w:type="character" w:styleId="CommentReference">
    <w:name w:val="annotation reference"/>
    <w:uiPriority w:val="99"/>
    <w:semiHidden/>
    <w:unhideWhenUsed/>
    <w:rsid w:val="00131B4B"/>
    <w:rPr>
      <w:sz w:val="18"/>
      <w:szCs w:val="18"/>
    </w:rPr>
  </w:style>
  <w:style w:type="paragraph" w:styleId="CommentText">
    <w:name w:val="annotation text"/>
    <w:basedOn w:val="Normal"/>
    <w:link w:val="CommentTextChar"/>
    <w:uiPriority w:val="99"/>
    <w:unhideWhenUsed/>
    <w:rsid w:val="00131B4B"/>
    <w:pPr>
      <w:spacing w:line="240" w:lineRule="auto"/>
    </w:pPr>
    <w:rPr>
      <w:sz w:val="24"/>
      <w:szCs w:val="24"/>
    </w:rPr>
  </w:style>
  <w:style w:type="character" w:customStyle="1" w:styleId="CommentTextChar">
    <w:name w:val="Comment Text Char"/>
    <w:link w:val="CommentText"/>
    <w:uiPriority w:val="99"/>
    <w:rsid w:val="00131B4B"/>
    <w:rPr>
      <w:sz w:val="24"/>
      <w:szCs w:val="24"/>
    </w:rPr>
  </w:style>
  <w:style w:type="paragraph" w:styleId="CommentSubject">
    <w:name w:val="annotation subject"/>
    <w:basedOn w:val="CommentText"/>
    <w:next w:val="CommentText"/>
    <w:link w:val="CommentSubjectChar"/>
    <w:uiPriority w:val="99"/>
    <w:semiHidden/>
    <w:unhideWhenUsed/>
    <w:rsid w:val="00131B4B"/>
    <w:rPr>
      <w:b/>
      <w:bCs/>
      <w:sz w:val="20"/>
      <w:szCs w:val="20"/>
    </w:rPr>
  </w:style>
  <w:style w:type="character" w:customStyle="1" w:styleId="CommentSubjectChar">
    <w:name w:val="Comment Subject Char"/>
    <w:link w:val="CommentSubject"/>
    <w:uiPriority w:val="99"/>
    <w:semiHidden/>
    <w:rsid w:val="00131B4B"/>
    <w:rPr>
      <w:b/>
      <w:bCs/>
      <w:sz w:val="20"/>
      <w:szCs w:val="20"/>
    </w:rPr>
  </w:style>
  <w:style w:type="paragraph" w:customStyle="1" w:styleId="ColorfulShading-Accent11">
    <w:name w:val="Colorful Shading - Accent 11"/>
    <w:hidden/>
    <w:uiPriority w:val="99"/>
    <w:semiHidden/>
    <w:rsid w:val="00D65205"/>
    <w:rPr>
      <w:sz w:val="22"/>
      <w:szCs w:val="22"/>
      <w:lang w:eastAsia="en-US"/>
    </w:rPr>
  </w:style>
  <w:style w:type="paragraph" w:styleId="Header">
    <w:name w:val="header"/>
    <w:basedOn w:val="Normal"/>
    <w:link w:val="HeaderChar"/>
    <w:uiPriority w:val="99"/>
    <w:unhideWhenUsed/>
    <w:rsid w:val="000632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32C7"/>
  </w:style>
  <w:style w:type="paragraph" w:styleId="Footer">
    <w:name w:val="footer"/>
    <w:basedOn w:val="Normal"/>
    <w:link w:val="FooterChar"/>
    <w:uiPriority w:val="99"/>
    <w:unhideWhenUsed/>
    <w:rsid w:val="000632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32C7"/>
  </w:style>
  <w:style w:type="character" w:customStyle="1" w:styleId="apple-converted-space">
    <w:name w:val="apple-converted-space"/>
    <w:basedOn w:val="DefaultParagraphFont"/>
    <w:rsid w:val="001F2CB9"/>
  </w:style>
  <w:style w:type="character" w:customStyle="1" w:styleId="Heading1Char">
    <w:name w:val="Heading 1 Char"/>
    <w:link w:val="Heading1"/>
    <w:uiPriority w:val="9"/>
    <w:rsid w:val="004C461B"/>
    <w:rPr>
      <w:rFonts w:ascii="Cambria" w:eastAsia="Times New Roman" w:hAnsi="Cambria" w:cs="Times New Roman"/>
      <w:b/>
      <w:bCs/>
      <w:kern w:val="32"/>
      <w:sz w:val="32"/>
      <w:szCs w:val="32"/>
      <w:lang w:eastAsia="en-US"/>
    </w:rPr>
  </w:style>
  <w:style w:type="paragraph" w:customStyle="1" w:styleId="Body">
    <w:name w:val="Body"/>
    <w:rsid w:val="00B1667C"/>
    <w:rPr>
      <w:rFonts w:ascii="Helvetica" w:eastAsia="ヒラギノ角ゴ Pro W3" w:hAnsi="Helvetica"/>
      <w:color w:val="000000"/>
      <w:sz w:val="24"/>
      <w:lang w:val="en-US" w:eastAsia="en-US"/>
    </w:rPr>
  </w:style>
  <w:style w:type="character" w:customStyle="1" w:styleId="Heading5Char">
    <w:name w:val="Heading 5 Char"/>
    <w:basedOn w:val="DefaultParagraphFont"/>
    <w:link w:val="Heading5"/>
    <w:uiPriority w:val="9"/>
    <w:semiHidden/>
    <w:rsid w:val="00C84222"/>
    <w:rPr>
      <w:rFonts w:asciiTheme="majorHAnsi" w:eastAsiaTheme="majorEastAsia" w:hAnsiTheme="majorHAnsi" w:cstheme="majorBidi"/>
      <w:color w:val="365F91" w:themeColor="accent1" w:themeShade="BF"/>
      <w:sz w:val="22"/>
      <w:szCs w:val="22"/>
      <w:lang w:eastAsia="en-US"/>
    </w:rPr>
  </w:style>
  <w:style w:type="paragraph" w:styleId="Revision">
    <w:name w:val="Revision"/>
    <w:hidden/>
    <w:uiPriority w:val="99"/>
    <w:semiHidden/>
    <w:rsid w:val="005F3F7A"/>
    <w:rPr>
      <w:sz w:val="22"/>
      <w:szCs w:val="22"/>
      <w:lang w:eastAsia="en-US"/>
    </w:rPr>
  </w:style>
  <w:style w:type="character" w:customStyle="1" w:styleId="UnresolvedMention1">
    <w:name w:val="Unresolved Mention1"/>
    <w:basedOn w:val="DefaultParagraphFont"/>
    <w:uiPriority w:val="99"/>
    <w:semiHidden/>
    <w:unhideWhenUsed/>
    <w:rsid w:val="00364A3A"/>
    <w:rPr>
      <w:color w:val="605E5C"/>
      <w:shd w:val="clear" w:color="auto" w:fill="E1DFDD"/>
    </w:rPr>
  </w:style>
  <w:style w:type="paragraph" w:styleId="ListParagraph">
    <w:name w:val="List Paragraph"/>
    <w:basedOn w:val="Normal"/>
    <w:uiPriority w:val="34"/>
    <w:qFormat/>
    <w:rsid w:val="007C56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49283">
      <w:bodyDiv w:val="1"/>
      <w:marLeft w:val="0"/>
      <w:marRight w:val="0"/>
      <w:marTop w:val="0"/>
      <w:marBottom w:val="0"/>
      <w:divBdr>
        <w:top w:val="none" w:sz="0" w:space="0" w:color="auto"/>
        <w:left w:val="none" w:sz="0" w:space="0" w:color="auto"/>
        <w:bottom w:val="none" w:sz="0" w:space="0" w:color="auto"/>
        <w:right w:val="none" w:sz="0" w:space="0" w:color="auto"/>
      </w:divBdr>
      <w:divsChild>
        <w:div w:id="211965798">
          <w:marLeft w:val="0"/>
          <w:marRight w:val="0"/>
          <w:marTop w:val="0"/>
          <w:marBottom w:val="0"/>
          <w:divBdr>
            <w:top w:val="none" w:sz="0" w:space="0" w:color="auto"/>
            <w:left w:val="none" w:sz="0" w:space="0" w:color="auto"/>
            <w:bottom w:val="none" w:sz="0" w:space="0" w:color="auto"/>
            <w:right w:val="none" w:sz="0" w:space="0" w:color="auto"/>
          </w:divBdr>
          <w:divsChild>
            <w:div w:id="2043510409">
              <w:marLeft w:val="0"/>
              <w:marRight w:val="0"/>
              <w:marTop w:val="0"/>
              <w:marBottom w:val="0"/>
              <w:divBdr>
                <w:top w:val="none" w:sz="0" w:space="0" w:color="auto"/>
                <w:left w:val="none" w:sz="0" w:space="0" w:color="auto"/>
                <w:bottom w:val="none" w:sz="0" w:space="0" w:color="auto"/>
                <w:right w:val="none" w:sz="0" w:space="0" w:color="auto"/>
              </w:divBdr>
              <w:divsChild>
                <w:div w:id="120691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76941">
      <w:bodyDiv w:val="1"/>
      <w:marLeft w:val="0"/>
      <w:marRight w:val="0"/>
      <w:marTop w:val="0"/>
      <w:marBottom w:val="0"/>
      <w:divBdr>
        <w:top w:val="none" w:sz="0" w:space="0" w:color="auto"/>
        <w:left w:val="none" w:sz="0" w:space="0" w:color="auto"/>
        <w:bottom w:val="none" w:sz="0" w:space="0" w:color="auto"/>
        <w:right w:val="none" w:sz="0" w:space="0" w:color="auto"/>
      </w:divBdr>
    </w:div>
    <w:div w:id="151719560">
      <w:bodyDiv w:val="1"/>
      <w:marLeft w:val="0"/>
      <w:marRight w:val="0"/>
      <w:marTop w:val="0"/>
      <w:marBottom w:val="0"/>
      <w:divBdr>
        <w:top w:val="none" w:sz="0" w:space="0" w:color="auto"/>
        <w:left w:val="none" w:sz="0" w:space="0" w:color="auto"/>
        <w:bottom w:val="none" w:sz="0" w:space="0" w:color="auto"/>
        <w:right w:val="none" w:sz="0" w:space="0" w:color="auto"/>
      </w:divBdr>
      <w:divsChild>
        <w:div w:id="1694188535">
          <w:marLeft w:val="0"/>
          <w:marRight w:val="0"/>
          <w:marTop w:val="0"/>
          <w:marBottom w:val="0"/>
          <w:divBdr>
            <w:top w:val="none" w:sz="0" w:space="0" w:color="auto"/>
            <w:left w:val="none" w:sz="0" w:space="0" w:color="auto"/>
            <w:bottom w:val="none" w:sz="0" w:space="0" w:color="auto"/>
            <w:right w:val="none" w:sz="0" w:space="0" w:color="auto"/>
          </w:divBdr>
          <w:divsChild>
            <w:div w:id="1145128210">
              <w:marLeft w:val="0"/>
              <w:marRight w:val="0"/>
              <w:marTop w:val="0"/>
              <w:marBottom w:val="0"/>
              <w:divBdr>
                <w:top w:val="none" w:sz="0" w:space="0" w:color="auto"/>
                <w:left w:val="none" w:sz="0" w:space="0" w:color="auto"/>
                <w:bottom w:val="none" w:sz="0" w:space="0" w:color="auto"/>
                <w:right w:val="none" w:sz="0" w:space="0" w:color="auto"/>
              </w:divBdr>
              <w:divsChild>
                <w:div w:id="8666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1517">
      <w:bodyDiv w:val="1"/>
      <w:marLeft w:val="0"/>
      <w:marRight w:val="0"/>
      <w:marTop w:val="0"/>
      <w:marBottom w:val="0"/>
      <w:divBdr>
        <w:top w:val="none" w:sz="0" w:space="0" w:color="auto"/>
        <w:left w:val="none" w:sz="0" w:space="0" w:color="auto"/>
        <w:bottom w:val="none" w:sz="0" w:space="0" w:color="auto"/>
        <w:right w:val="none" w:sz="0" w:space="0" w:color="auto"/>
      </w:divBdr>
    </w:div>
    <w:div w:id="450052800">
      <w:bodyDiv w:val="1"/>
      <w:marLeft w:val="0"/>
      <w:marRight w:val="0"/>
      <w:marTop w:val="0"/>
      <w:marBottom w:val="0"/>
      <w:divBdr>
        <w:top w:val="none" w:sz="0" w:space="0" w:color="auto"/>
        <w:left w:val="none" w:sz="0" w:space="0" w:color="auto"/>
        <w:bottom w:val="none" w:sz="0" w:space="0" w:color="auto"/>
        <w:right w:val="none" w:sz="0" w:space="0" w:color="auto"/>
      </w:divBdr>
      <w:divsChild>
        <w:div w:id="507448345">
          <w:marLeft w:val="0"/>
          <w:marRight w:val="0"/>
          <w:marTop w:val="0"/>
          <w:marBottom w:val="0"/>
          <w:divBdr>
            <w:top w:val="none" w:sz="0" w:space="0" w:color="auto"/>
            <w:left w:val="none" w:sz="0" w:space="0" w:color="auto"/>
            <w:bottom w:val="none" w:sz="0" w:space="0" w:color="auto"/>
            <w:right w:val="none" w:sz="0" w:space="0" w:color="auto"/>
          </w:divBdr>
          <w:divsChild>
            <w:div w:id="417018921">
              <w:marLeft w:val="0"/>
              <w:marRight w:val="0"/>
              <w:marTop w:val="0"/>
              <w:marBottom w:val="0"/>
              <w:divBdr>
                <w:top w:val="none" w:sz="0" w:space="0" w:color="auto"/>
                <w:left w:val="none" w:sz="0" w:space="0" w:color="auto"/>
                <w:bottom w:val="none" w:sz="0" w:space="0" w:color="auto"/>
                <w:right w:val="none" w:sz="0" w:space="0" w:color="auto"/>
              </w:divBdr>
              <w:divsChild>
                <w:div w:id="140005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931435">
      <w:bodyDiv w:val="1"/>
      <w:marLeft w:val="0"/>
      <w:marRight w:val="0"/>
      <w:marTop w:val="0"/>
      <w:marBottom w:val="0"/>
      <w:divBdr>
        <w:top w:val="none" w:sz="0" w:space="0" w:color="auto"/>
        <w:left w:val="none" w:sz="0" w:space="0" w:color="auto"/>
        <w:bottom w:val="none" w:sz="0" w:space="0" w:color="auto"/>
        <w:right w:val="none" w:sz="0" w:space="0" w:color="auto"/>
      </w:divBdr>
      <w:divsChild>
        <w:div w:id="1269892621">
          <w:marLeft w:val="0"/>
          <w:marRight w:val="0"/>
          <w:marTop w:val="0"/>
          <w:marBottom w:val="0"/>
          <w:divBdr>
            <w:top w:val="none" w:sz="0" w:space="0" w:color="auto"/>
            <w:left w:val="none" w:sz="0" w:space="0" w:color="auto"/>
            <w:bottom w:val="none" w:sz="0" w:space="0" w:color="auto"/>
            <w:right w:val="none" w:sz="0" w:space="0" w:color="auto"/>
          </w:divBdr>
          <w:divsChild>
            <w:div w:id="1123571930">
              <w:marLeft w:val="0"/>
              <w:marRight w:val="0"/>
              <w:marTop w:val="0"/>
              <w:marBottom w:val="0"/>
              <w:divBdr>
                <w:top w:val="none" w:sz="0" w:space="0" w:color="auto"/>
                <w:left w:val="none" w:sz="0" w:space="0" w:color="auto"/>
                <w:bottom w:val="none" w:sz="0" w:space="0" w:color="auto"/>
                <w:right w:val="none" w:sz="0" w:space="0" w:color="auto"/>
              </w:divBdr>
              <w:divsChild>
                <w:div w:id="96870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727338">
      <w:bodyDiv w:val="1"/>
      <w:marLeft w:val="0"/>
      <w:marRight w:val="0"/>
      <w:marTop w:val="0"/>
      <w:marBottom w:val="0"/>
      <w:divBdr>
        <w:top w:val="none" w:sz="0" w:space="0" w:color="auto"/>
        <w:left w:val="none" w:sz="0" w:space="0" w:color="auto"/>
        <w:bottom w:val="none" w:sz="0" w:space="0" w:color="auto"/>
        <w:right w:val="none" w:sz="0" w:space="0" w:color="auto"/>
      </w:divBdr>
    </w:div>
    <w:div w:id="790393489">
      <w:bodyDiv w:val="1"/>
      <w:marLeft w:val="0"/>
      <w:marRight w:val="0"/>
      <w:marTop w:val="0"/>
      <w:marBottom w:val="0"/>
      <w:divBdr>
        <w:top w:val="none" w:sz="0" w:space="0" w:color="auto"/>
        <w:left w:val="none" w:sz="0" w:space="0" w:color="auto"/>
        <w:bottom w:val="none" w:sz="0" w:space="0" w:color="auto"/>
        <w:right w:val="none" w:sz="0" w:space="0" w:color="auto"/>
      </w:divBdr>
      <w:divsChild>
        <w:div w:id="1295330198">
          <w:marLeft w:val="0"/>
          <w:marRight w:val="0"/>
          <w:marTop w:val="0"/>
          <w:marBottom w:val="0"/>
          <w:divBdr>
            <w:top w:val="none" w:sz="0" w:space="0" w:color="auto"/>
            <w:left w:val="none" w:sz="0" w:space="0" w:color="auto"/>
            <w:bottom w:val="none" w:sz="0" w:space="0" w:color="auto"/>
            <w:right w:val="none" w:sz="0" w:space="0" w:color="auto"/>
          </w:divBdr>
          <w:divsChild>
            <w:div w:id="2048527783">
              <w:marLeft w:val="0"/>
              <w:marRight w:val="0"/>
              <w:marTop w:val="0"/>
              <w:marBottom w:val="0"/>
              <w:divBdr>
                <w:top w:val="none" w:sz="0" w:space="0" w:color="auto"/>
                <w:left w:val="none" w:sz="0" w:space="0" w:color="auto"/>
                <w:bottom w:val="none" w:sz="0" w:space="0" w:color="auto"/>
                <w:right w:val="none" w:sz="0" w:space="0" w:color="auto"/>
              </w:divBdr>
              <w:divsChild>
                <w:div w:id="79451599">
                  <w:marLeft w:val="0"/>
                  <w:marRight w:val="0"/>
                  <w:marTop w:val="0"/>
                  <w:marBottom w:val="0"/>
                  <w:divBdr>
                    <w:top w:val="none" w:sz="0" w:space="0" w:color="auto"/>
                    <w:left w:val="none" w:sz="0" w:space="0" w:color="auto"/>
                    <w:bottom w:val="none" w:sz="0" w:space="0" w:color="auto"/>
                    <w:right w:val="none" w:sz="0" w:space="0" w:color="auto"/>
                  </w:divBdr>
                  <w:divsChild>
                    <w:div w:id="29225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780007">
      <w:bodyDiv w:val="1"/>
      <w:marLeft w:val="0"/>
      <w:marRight w:val="0"/>
      <w:marTop w:val="0"/>
      <w:marBottom w:val="0"/>
      <w:divBdr>
        <w:top w:val="none" w:sz="0" w:space="0" w:color="auto"/>
        <w:left w:val="none" w:sz="0" w:space="0" w:color="auto"/>
        <w:bottom w:val="none" w:sz="0" w:space="0" w:color="auto"/>
        <w:right w:val="none" w:sz="0" w:space="0" w:color="auto"/>
      </w:divBdr>
    </w:div>
    <w:div w:id="910234611">
      <w:bodyDiv w:val="1"/>
      <w:marLeft w:val="0"/>
      <w:marRight w:val="0"/>
      <w:marTop w:val="0"/>
      <w:marBottom w:val="0"/>
      <w:divBdr>
        <w:top w:val="none" w:sz="0" w:space="0" w:color="auto"/>
        <w:left w:val="none" w:sz="0" w:space="0" w:color="auto"/>
        <w:bottom w:val="none" w:sz="0" w:space="0" w:color="auto"/>
        <w:right w:val="none" w:sz="0" w:space="0" w:color="auto"/>
      </w:divBdr>
    </w:div>
    <w:div w:id="931277276">
      <w:bodyDiv w:val="1"/>
      <w:marLeft w:val="0"/>
      <w:marRight w:val="0"/>
      <w:marTop w:val="0"/>
      <w:marBottom w:val="0"/>
      <w:divBdr>
        <w:top w:val="none" w:sz="0" w:space="0" w:color="auto"/>
        <w:left w:val="none" w:sz="0" w:space="0" w:color="auto"/>
        <w:bottom w:val="none" w:sz="0" w:space="0" w:color="auto"/>
        <w:right w:val="none" w:sz="0" w:space="0" w:color="auto"/>
      </w:divBdr>
    </w:div>
    <w:div w:id="975644520">
      <w:bodyDiv w:val="1"/>
      <w:marLeft w:val="0"/>
      <w:marRight w:val="0"/>
      <w:marTop w:val="0"/>
      <w:marBottom w:val="0"/>
      <w:divBdr>
        <w:top w:val="none" w:sz="0" w:space="0" w:color="auto"/>
        <w:left w:val="none" w:sz="0" w:space="0" w:color="auto"/>
        <w:bottom w:val="none" w:sz="0" w:space="0" w:color="auto"/>
        <w:right w:val="none" w:sz="0" w:space="0" w:color="auto"/>
      </w:divBdr>
    </w:div>
    <w:div w:id="1056123398">
      <w:bodyDiv w:val="1"/>
      <w:marLeft w:val="0"/>
      <w:marRight w:val="0"/>
      <w:marTop w:val="0"/>
      <w:marBottom w:val="0"/>
      <w:divBdr>
        <w:top w:val="none" w:sz="0" w:space="0" w:color="auto"/>
        <w:left w:val="none" w:sz="0" w:space="0" w:color="auto"/>
        <w:bottom w:val="none" w:sz="0" w:space="0" w:color="auto"/>
        <w:right w:val="none" w:sz="0" w:space="0" w:color="auto"/>
      </w:divBdr>
      <w:divsChild>
        <w:div w:id="865631786">
          <w:marLeft w:val="0"/>
          <w:marRight w:val="0"/>
          <w:marTop w:val="0"/>
          <w:marBottom w:val="0"/>
          <w:divBdr>
            <w:top w:val="none" w:sz="0" w:space="0" w:color="auto"/>
            <w:left w:val="none" w:sz="0" w:space="0" w:color="auto"/>
            <w:bottom w:val="none" w:sz="0" w:space="0" w:color="auto"/>
            <w:right w:val="none" w:sz="0" w:space="0" w:color="auto"/>
          </w:divBdr>
          <w:divsChild>
            <w:div w:id="518741777">
              <w:marLeft w:val="0"/>
              <w:marRight w:val="0"/>
              <w:marTop w:val="0"/>
              <w:marBottom w:val="0"/>
              <w:divBdr>
                <w:top w:val="none" w:sz="0" w:space="0" w:color="auto"/>
                <w:left w:val="none" w:sz="0" w:space="0" w:color="auto"/>
                <w:bottom w:val="none" w:sz="0" w:space="0" w:color="auto"/>
                <w:right w:val="none" w:sz="0" w:space="0" w:color="auto"/>
              </w:divBdr>
              <w:divsChild>
                <w:div w:id="2045596055">
                  <w:marLeft w:val="0"/>
                  <w:marRight w:val="0"/>
                  <w:marTop w:val="0"/>
                  <w:marBottom w:val="0"/>
                  <w:divBdr>
                    <w:top w:val="none" w:sz="0" w:space="0" w:color="auto"/>
                    <w:left w:val="none" w:sz="0" w:space="0" w:color="auto"/>
                    <w:bottom w:val="none" w:sz="0" w:space="0" w:color="auto"/>
                    <w:right w:val="none" w:sz="0" w:space="0" w:color="auto"/>
                  </w:divBdr>
                  <w:divsChild>
                    <w:div w:id="7194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739746">
      <w:bodyDiv w:val="1"/>
      <w:marLeft w:val="0"/>
      <w:marRight w:val="0"/>
      <w:marTop w:val="0"/>
      <w:marBottom w:val="0"/>
      <w:divBdr>
        <w:top w:val="none" w:sz="0" w:space="0" w:color="auto"/>
        <w:left w:val="none" w:sz="0" w:space="0" w:color="auto"/>
        <w:bottom w:val="none" w:sz="0" w:space="0" w:color="auto"/>
        <w:right w:val="none" w:sz="0" w:space="0" w:color="auto"/>
      </w:divBdr>
    </w:div>
    <w:div w:id="1305037448">
      <w:bodyDiv w:val="1"/>
      <w:marLeft w:val="0"/>
      <w:marRight w:val="0"/>
      <w:marTop w:val="0"/>
      <w:marBottom w:val="0"/>
      <w:divBdr>
        <w:top w:val="none" w:sz="0" w:space="0" w:color="auto"/>
        <w:left w:val="none" w:sz="0" w:space="0" w:color="auto"/>
        <w:bottom w:val="none" w:sz="0" w:space="0" w:color="auto"/>
        <w:right w:val="none" w:sz="0" w:space="0" w:color="auto"/>
      </w:divBdr>
    </w:div>
    <w:div w:id="1379889778">
      <w:bodyDiv w:val="1"/>
      <w:marLeft w:val="0"/>
      <w:marRight w:val="0"/>
      <w:marTop w:val="0"/>
      <w:marBottom w:val="0"/>
      <w:divBdr>
        <w:top w:val="none" w:sz="0" w:space="0" w:color="auto"/>
        <w:left w:val="none" w:sz="0" w:space="0" w:color="auto"/>
        <w:bottom w:val="none" w:sz="0" w:space="0" w:color="auto"/>
        <w:right w:val="none" w:sz="0" w:space="0" w:color="auto"/>
      </w:divBdr>
    </w:div>
    <w:div w:id="1548644932">
      <w:bodyDiv w:val="1"/>
      <w:marLeft w:val="0"/>
      <w:marRight w:val="0"/>
      <w:marTop w:val="0"/>
      <w:marBottom w:val="0"/>
      <w:divBdr>
        <w:top w:val="none" w:sz="0" w:space="0" w:color="auto"/>
        <w:left w:val="none" w:sz="0" w:space="0" w:color="auto"/>
        <w:bottom w:val="none" w:sz="0" w:space="0" w:color="auto"/>
        <w:right w:val="none" w:sz="0" w:space="0" w:color="auto"/>
      </w:divBdr>
    </w:div>
    <w:div w:id="1652520835">
      <w:bodyDiv w:val="1"/>
      <w:marLeft w:val="0"/>
      <w:marRight w:val="0"/>
      <w:marTop w:val="0"/>
      <w:marBottom w:val="0"/>
      <w:divBdr>
        <w:top w:val="none" w:sz="0" w:space="0" w:color="auto"/>
        <w:left w:val="none" w:sz="0" w:space="0" w:color="auto"/>
        <w:bottom w:val="none" w:sz="0" w:space="0" w:color="auto"/>
        <w:right w:val="none" w:sz="0" w:space="0" w:color="auto"/>
      </w:divBdr>
    </w:div>
    <w:div w:id="1685399667">
      <w:bodyDiv w:val="1"/>
      <w:marLeft w:val="0"/>
      <w:marRight w:val="0"/>
      <w:marTop w:val="0"/>
      <w:marBottom w:val="0"/>
      <w:divBdr>
        <w:top w:val="none" w:sz="0" w:space="0" w:color="auto"/>
        <w:left w:val="none" w:sz="0" w:space="0" w:color="auto"/>
        <w:bottom w:val="none" w:sz="0" w:space="0" w:color="auto"/>
        <w:right w:val="none" w:sz="0" w:space="0" w:color="auto"/>
      </w:divBdr>
    </w:div>
    <w:div w:id="1692298320">
      <w:bodyDiv w:val="1"/>
      <w:marLeft w:val="0"/>
      <w:marRight w:val="0"/>
      <w:marTop w:val="0"/>
      <w:marBottom w:val="0"/>
      <w:divBdr>
        <w:top w:val="none" w:sz="0" w:space="0" w:color="auto"/>
        <w:left w:val="none" w:sz="0" w:space="0" w:color="auto"/>
        <w:bottom w:val="none" w:sz="0" w:space="0" w:color="auto"/>
        <w:right w:val="none" w:sz="0" w:space="0" w:color="auto"/>
      </w:divBdr>
    </w:div>
    <w:div w:id="1708332605">
      <w:bodyDiv w:val="1"/>
      <w:marLeft w:val="0"/>
      <w:marRight w:val="0"/>
      <w:marTop w:val="0"/>
      <w:marBottom w:val="0"/>
      <w:divBdr>
        <w:top w:val="none" w:sz="0" w:space="0" w:color="auto"/>
        <w:left w:val="none" w:sz="0" w:space="0" w:color="auto"/>
        <w:bottom w:val="none" w:sz="0" w:space="0" w:color="auto"/>
        <w:right w:val="none" w:sz="0" w:space="0" w:color="auto"/>
      </w:divBdr>
    </w:div>
    <w:div w:id="1718968273">
      <w:bodyDiv w:val="1"/>
      <w:marLeft w:val="0"/>
      <w:marRight w:val="0"/>
      <w:marTop w:val="0"/>
      <w:marBottom w:val="0"/>
      <w:divBdr>
        <w:top w:val="none" w:sz="0" w:space="0" w:color="auto"/>
        <w:left w:val="none" w:sz="0" w:space="0" w:color="auto"/>
        <w:bottom w:val="none" w:sz="0" w:space="0" w:color="auto"/>
        <w:right w:val="none" w:sz="0" w:space="0" w:color="auto"/>
      </w:divBdr>
    </w:div>
    <w:div w:id="1758749676">
      <w:bodyDiv w:val="1"/>
      <w:marLeft w:val="0"/>
      <w:marRight w:val="0"/>
      <w:marTop w:val="0"/>
      <w:marBottom w:val="0"/>
      <w:divBdr>
        <w:top w:val="none" w:sz="0" w:space="0" w:color="auto"/>
        <w:left w:val="none" w:sz="0" w:space="0" w:color="auto"/>
        <w:bottom w:val="none" w:sz="0" w:space="0" w:color="auto"/>
        <w:right w:val="none" w:sz="0" w:space="0" w:color="auto"/>
      </w:divBdr>
    </w:div>
    <w:div w:id="1800342721">
      <w:bodyDiv w:val="1"/>
      <w:marLeft w:val="0"/>
      <w:marRight w:val="0"/>
      <w:marTop w:val="0"/>
      <w:marBottom w:val="0"/>
      <w:divBdr>
        <w:top w:val="none" w:sz="0" w:space="0" w:color="auto"/>
        <w:left w:val="none" w:sz="0" w:space="0" w:color="auto"/>
        <w:bottom w:val="none" w:sz="0" w:space="0" w:color="auto"/>
        <w:right w:val="none" w:sz="0" w:space="0" w:color="auto"/>
      </w:divBdr>
    </w:div>
    <w:div w:id="1930696229">
      <w:bodyDiv w:val="1"/>
      <w:marLeft w:val="0"/>
      <w:marRight w:val="0"/>
      <w:marTop w:val="0"/>
      <w:marBottom w:val="0"/>
      <w:divBdr>
        <w:top w:val="none" w:sz="0" w:space="0" w:color="auto"/>
        <w:left w:val="none" w:sz="0" w:space="0" w:color="auto"/>
        <w:bottom w:val="none" w:sz="0" w:space="0" w:color="auto"/>
        <w:right w:val="none" w:sz="0" w:space="0" w:color="auto"/>
      </w:divBdr>
    </w:div>
    <w:div w:id="1938825900">
      <w:bodyDiv w:val="1"/>
      <w:marLeft w:val="0"/>
      <w:marRight w:val="0"/>
      <w:marTop w:val="0"/>
      <w:marBottom w:val="0"/>
      <w:divBdr>
        <w:top w:val="none" w:sz="0" w:space="0" w:color="auto"/>
        <w:left w:val="none" w:sz="0" w:space="0" w:color="auto"/>
        <w:bottom w:val="none" w:sz="0" w:space="0" w:color="auto"/>
        <w:right w:val="none" w:sz="0" w:space="0" w:color="auto"/>
      </w:divBdr>
      <w:divsChild>
        <w:div w:id="1471558589">
          <w:marLeft w:val="0"/>
          <w:marRight w:val="0"/>
          <w:marTop w:val="0"/>
          <w:marBottom w:val="0"/>
          <w:divBdr>
            <w:top w:val="none" w:sz="0" w:space="0" w:color="auto"/>
            <w:left w:val="none" w:sz="0" w:space="0" w:color="auto"/>
            <w:bottom w:val="none" w:sz="0" w:space="0" w:color="auto"/>
            <w:right w:val="none" w:sz="0" w:space="0" w:color="auto"/>
          </w:divBdr>
          <w:divsChild>
            <w:div w:id="1706759045">
              <w:marLeft w:val="0"/>
              <w:marRight w:val="0"/>
              <w:marTop w:val="0"/>
              <w:marBottom w:val="0"/>
              <w:divBdr>
                <w:top w:val="none" w:sz="0" w:space="0" w:color="auto"/>
                <w:left w:val="none" w:sz="0" w:space="0" w:color="auto"/>
                <w:bottom w:val="none" w:sz="0" w:space="0" w:color="auto"/>
                <w:right w:val="none" w:sz="0" w:space="0" w:color="auto"/>
              </w:divBdr>
              <w:divsChild>
                <w:div w:id="80905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332384">
      <w:bodyDiv w:val="1"/>
      <w:marLeft w:val="0"/>
      <w:marRight w:val="0"/>
      <w:marTop w:val="0"/>
      <w:marBottom w:val="0"/>
      <w:divBdr>
        <w:top w:val="none" w:sz="0" w:space="0" w:color="auto"/>
        <w:left w:val="none" w:sz="0" w:space="0" w:color="auto"/>
        <w:bottom w:val="none" w:sz="0" w:space="0" w:color="auto"/>
        <w:right w:val="none" w:sz="0" w:space="0" w:color="auto"/>
      </w:divBdr>
      <w:divsChild>
        <w:div w:id="1020088522">
          <w:marLeft w:val="0"/>
          <w:marRight w:val="0"/>
          <w:marTop w:val="0"/>
          <w:marBottom w:val="0"/>
          <w:divBdr>
            <w:top w:val="none" w:sz="0" w:space="0" w:color="auto"/>
            <w:left w:val="none" w:sz="0" w:space="0" w:color="auto"/>
            <w:bottom w:val="none" w:sz="0" w:space="0" w:color="auto"/>
            <w:right w:val="none" w:sz="0" w:space="0" w:color="auto"/>
          </w:divBdr>
          <w:divsChild>
            <w:div w:id="1629504715">
              <w:marLeft w:val="0"/>
              <w:marRight w:val="0"/>
              <w:marTop w:val="0"/>
              <w:marBottom w:val="0"/>
              <w:divBdr>
                <w:top w:val="none" w:sz="0" w:space="0" w:color="auto"/>
                <w:left w:val="none" w:sz="0" w:space="0" w:color="auto"/>
                <w:bottom w:val="none" w:sz="0" w:space="0" w:color="auto"/>
                <w:right w:val="none" w:sz="0" w:space="0" w:color="auto"/>
              </w:divBdr>
              <w:divsChild>
                <w:div w:id="210865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604248">
      <w:bodyDiv w:val="1"/>
      <w:marLeft w:val="0"/>
      <w:marRight w:val="0"/>
      <w:marTop w:val="0"/>
      <w:marBottom w:val="0"/>
      <w:divBdr>
        <w:top w:val="none" w:sz="0" w:space="0" w:color="auto"/>
        <w:left w:val="none" w:sz="0" w:space="0" w:color="auto"/>
        <w:bottom w:val="none" w:sz="0" w:space="0" w:color="auto"/>
        <w:right w:val="none" w:sz="0" w:space="0" w:color="auto"/>
      </w:divBdr>
      <w:divsChild>
        <w:div w:id="2092964389">
          <w:marLeft w:val="0"/>
          <w:marRight w:val="0"/>
          <w:marTop w:val="0"/>
          <w:marBottom w:val="0"/>
          <w:divBdr>
            <w:top w:val="none" w:sz="0" w:space="0" w:color="auto"/>
            <w:left w:val="none" w:sz="0" w:space="0" w:color="auto"/>
            <w:bottom w:val="none" w:sz="0" w:space="0" w:color="auto"/>
            <w:right w:val="none" w:sz="0" w:space="0" w:color="auto"/>
          </w:divBdr>
          <w:divsChild>
            <w:div w:id="1406223735">
              <w:marLeft w:val="0"/>
              <w:marRight w:val="0"/>
              <w:marTop w:val="0"/>
              <w:marBottom w:val="0"/>
              <w:divBdr>
                <w:top w:val="none" w:sz="0" w:space="0" w:color="auto"/>
                <w:left w:val="none" w:sz="0" w:space="0" w:color="auto"/>
                <w:bottom w:val="none" w:sz="0" w:space="0" w:color="auto"/>
                <w:right w:val="none" w:sz="0" w:space="0" w:color="auto"/>
              </w:divBdr>
              <w:divsChild>
                <w:div w:id="19388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sharma@sgul.ac.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9472E6-0E98-4D9F-B212-BE7261070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40369</Words>
  <Characters>230104</Characters>
  <Application>Microsoft Office Word</Application>
  <DocSecurity>0</DocSecurity>
  <Lines>1917</Lines>
  <Paragraphs>539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SGUL</Company>
  <LinksUpToDate>false</LinksUpToDate>
  <CharactersWithSpaces>269934</CharactersWithSpaces>
  <SharedDoc>false</SharedDoc>
  <HLinks>
    <vt:vector size="198" baseType="variant">
      <vt:variant>
        <vt:i4>4718603</vt:i4>
      </vt:variant>
      <vt:variant>
        <vt:i4>222</vt:i4>
      </vt:variant>
      <vt:variant>
        <vt:i4>0</vt:i4>
      </vt:variant>
      <vt:variant>
        <vt:i4>5</vt:i4>
      </vt:variant>
      <vt:variant>
        <vt:lpwstr/>
      </vt:variant>
      <vt:variant>
        <vt:lpwstr>_ENREF_9</vt:lpwstr>
      </vt:variant>
      <vt:variant>
        <vt:i4>4784139</vt:i4>
      </vt:variant>
      <vt:variant>
        <vt:i4>219</vt:i4>
      </vt:variant>
      <vt:variant>
        <vt:i4>0</vt:i4>
      </vt:variant>
      <vt:variant>
        <vt:i4>5</vt:i4>
      </vt:variant>
      <vt:variant>
        <vt:lpwstr/>
      </vt:variant>
      <vt:variant>
        <vt:lpwstr>_ENREF_8</vt:lpwstr>
      </vt:variant>
      <vt:variant>
        <vt:i4>4325439</vt:i4>
      </vt:variant>
      <vt:variant>
        <vt:i4>211</vt:i4>
      </vt:variant>
      <vt:variant>
        <vt:i4>0</vt:i4>
      </vt:variant>
      <vt:variant>
        <vt:i4>5</vt:i4>
      </vt:variant>
      <vt:variant>
        <vt:lpwstr/>
      </vt:variant>
      <vt:variant>
        <vt:lpwstr>_ENREF_34</vt:lpwstr>
      </vt:variant>
      <vt:variant>
        <vt:i4>4325434</vt:i4>
      </vt:variant>
      <vt:variant>
        <vt:i4>203</vt:i4>
      </vt:variant>
      <vt:variant>
        <vt:i4>0</vt:i4>
      </vt:variant>
      <vt:variant>
        <vt:i4>5</vt:i4>
      </vt:variant>
      <vt:variant>
        <vt:lpwstr/>
      </vt:variant>
      <vt:variant>
        <vt:lpwstr>_ENREF_31</vt:lpwstr>
      </vt:variant>
      <vt:variant>
        <vt:i4>4325435</vt:i4>
      </vt:variant>
      <vt:variant>
        <vt:i4>195</vt:i4>
      </vt:variant>
      <vt:variant>
        <vt:i4>0</vt:i4>
      </vt:variant>
      <vt:variant>
        <vt:i4>5</vt:i4>
      </vt:variant>
      <vt:variant>
        <vt:lpwstr/>
      </vt:variant>
      <vt:variant>
        <vt:lpwstr>_ENREF_30</vt:lpwstr>
      </vt:variant>
      <vt:variant>
        <vt:i4>4521995</vt:i4>
      </vt:variant>
      <vt:variant>
        <vt:i4>192</vt:i4>
      </vt:variant>
      <vt:variant>
        <vt:i4>0</vt:i4>
      </vt:variant>
      <vt:variant>
        <vt:i4>5</vt:i4>
      </vt:variant>
      <vt:variant>
        <vt:lpwstr/>
      </vt:variant>
      <vt:variant>
        <vt:lpwstr>_ENREF_4</vt:lpwstr>
      </vt:variant>
      <vt:variant>
        <vt:i4>4390962</vt:i4>
      </vt:variant>
      <vt:variant>
        <vt:i4>184</vt:i4>
      </vt:variant>
      <vt:variant>
        <vt:i4>0</vt:i4>
      </vt:variant>
      <vt:variant>
        <vt:i4>5</vt:i4>
      </vt:variant>
      <vt:variant>
        <vt:lpwstr/>
      </vt:variant>
      <vt:variant>
        <vt:lpwstr>_ENREF_29</vt:lpwstr>
      </vt:variant>
      <vt:variant>
        <vt:i4>4390963</vt:i4>
      </vt:variant>
      <vt:variant>
        <vt:i4>176</vt:i4>
      </vt:variant>
      <vt:variant>
        <vt:i4>0</vt:i4>
      </vt:variant>
      <vt:variant>
        <vt:i4>5</vt:i4>
      </vt:variant>
      <vt:variant>
        <vt:lpwstr/>
      </vt:variant>
      <vt:variant>
        <vt:lpwstr>_ENREF_28</vt:lpwstr>
      </vt:variant>
      <vt:variant>
        <vt:i4>4653067</vt:i4>
      </vt:variant>
      <vt:variant>
        <vt:i4>173</vt:i4>
      </vt:variant>
      <vt:variant>
        <vt:i4>0</vt:i4>
      </vt:variant>
      <vt:variant>
        <vt:i4>5</vt:i4>
      </vt:variant>
      <vt:variant>
        <vt:lpwstr/>
      </vt:variant>
      <vt:variant>
        <vt:lpwstr>_ENREF_6</vt:lpwstr>
      </vt:variant>
      <vt:variant>
        <vt:i4>4390969</vt:i4>
      </vt:variant>
      <vt:variant>
        <vt:i4>165</vt:i4>
      </vt:variant>
      <vt:variant>
        <vt:i4>0</vt:i4>
      </vt:variant>
      <vt:variant>
        <vt:i4>5</vt:i4>
      </vt:variant>
      <vt:variant>
        <vt:lpwstr/>
      </vt:variant>
      <vt:variant>
        <vt:lpwstr>_ENREF_22</vt:lpwstr>
      </vt:variant>
      <vt:variant>
        <vt:i4>4390974</vt:i4>
      </vt:variant>
      <vt:variant>
        <vt:i4>159</vt:i4>
      </vt:variant>
      <vt:variant>
        <vt:i4>0</vt:i4>
      </vt:variant>
      <vt:variant>
        <vt:i4>5</vt:i4>
      </vt:variant>
      <vt:variant>
        <vt:lpwstr/>
      </vt:variant>
      <vt:variant>
        <vt:lpwstr>_ENREF_25</vt:lpwstr>
      </vt:variant>
      <vt:variant>
        <vt:i4>4587531</vt:i4>
      </vt:variant>
      <vt:variant>
        <vt:i4>151</vt:i4>
      </vt:variant>
      <vt:variant>
        <vt:i4>0</vt:i4>
      </vt:variant>
      <vt:variant>
        <vt:i4>5</vt:i4>
      </vt:variant>
      <vt:variant>
        <vt:lpwstr/>
      </vt:variant>
      <vt:variant>
        <vt:lpwstr>_ENREF_7</vt:lpwstr>
      </vt:variant>
      <vt:variant>
        <vt:i4>4521995</vt:i4>
      </vt:variant>
      <vt:variant>
        <vt:i4>143</vt:i4>
      </vt:variant>
      <vt:variant>
        <vt:i4>0</vt:i4>
      </vt:variant>
      <vt:variant>
        <vt:i4>5</vt:i4>
      </vt:variant>
      <vt:variant>
        <vt:lpwstr/>
      </vt:variant>
      <vt:variant>
        <vt:lpwstr>_ENREF_4</vt:lpwstr>
      </vt:variant>
      <vt:variant>
        <vt:i4>4194364</vt:i4>
      </vt:variant>
      <vt:variant>
        <vt:i4>135</vt:i4>
      </vt:variant>
      <vt:variant>
        <vt:i4>0</vt:i4>
      </vt:variant>
      <vt:variant>
        <vt:i4>5</vt:i4>
      </vt:variant>
      <vt:variant>
        <vt:lpwstr/>
      </vt:variant>
      <vt:variant>
        <vt:lpwstr>_ENREF_17</vt:lpwstr>
      </vt:variant>
      <vt:variant>
        <vt:i4>4194363</vt:i4>
      </vt:variant>
      <vt:variant>
        <vt:i4>127</vt:i4>
      </vt:variant>
      <vt:variant>
        <vt:i4>0</vt:i4>
      </vt:variant>
      <vt:variant>
        <vt:i4>5</vt:i4>
      </vt:variant>
      <vt:variant>
        <vt:lpwstr/>
      </vt:variant>
      <vt:variant>
        <vt:lpwstr>_ENREF_10</vt:lpwstr>
      </vt:variant>
      <vt:variant>
        <vt:i4>4194363</vt:i4>
      </vt:variant>
      <vt:variant>
        <vt:i4>119</vt:i4>
      </vt:variant>
      <vt:variant>
        <vt:i4>0</vt:i4>
      </vt:variant>
      <vt:variant>
        <vt:i4>5</vt:i4>
      </vt:variant>
      <vt:variant>
        <vt:lpwstr/>
      </vt:variant>
      <vt:variant>
        <vt:lpwstr>_ENREF_10</vt:lpwstr>
      </vt:variant>
      <vt:variant>
        <vt:i4>4194365</vt:i4>
      </vt:variant>
      <vt:variant>
        <vt:i4>111</vt:i4>
      </vt:variant>
      <vt:variant>
        <vt:i4>0</vt:i4>
      </vt:variant>
      <vt:variant>
        <vt:i4>5</vt:i4>
      </vt:variant>
      <vt:variant>
        <vt:lpwstr/>
      </vt:variant>
      <vt:variant>
        <vt:lpwstr>_ENREF_16</vt:lpwstr>
      </vt:variant>
      <vt:variant>
        <vt:i4>4194366</vt:i4>
      </vt:variant>
      <vt:variant>
        <vt:i4>108</vt:i4>
      </vt:variant>
      <vt:variant>
        <vt:i4>0</vt:i4>
      </vt:variant>
      <vt:variant>
        <vt:i4>5</vt:i4>
      </vt:variant>
      <vt:variant>
        <vt:lpwstr/>
      </vt:variant>
      <vt:variant>
        <vt:lpwstr>_ENREF_15</vt:lpwstr>
      </vt:variant>
      <vt:variant>
        <vt:i4>4194365</vt:i4>
      </vt:variant>
      <vt:variant>
        <vt:i4>100</vt:i4>
      </vt:variant>
      <vt:variant>
        <vt:i4>0</vt:i4>
      </vt:variant>
      <vt:variant>
        <vt:i4>5</vt:i4>
      </vt:variant>
      <vt:variant>
        <vt:lpwstr/>
      </vt:variant>
      <vt:variant>
        <vt:lpwstr>_ENREF_16</vt:lpwstr>
      </vt:variant>
      <vt:variant>
        <vt:i4>4194366</vt:i4>
      </vt:variant>
      <vt:variant>
        <vt:i4>92</vt:i4>
      </vt:variant>
      <vt:variant>
        <vt:i4>0</vt:i4>
      </vt:variant>
      <vt:variant>
        <vt:i4>5</vt:i4>
      </vt:variant>
      <vt:variant>
        <vt:lpwstr/>
      </vt:variant>
      <vt:variant>
        <vt:lpwstr>_ENREF_15</vt:lpwstr>
      </vt:variant>
      <vt:variant>
        <vt:i4>4194365</vt:i4>
      </vt:variant>
      <vt:variant>
        <vt:i4>84</vt:i4>
      </vt:variant>
      <vt:variant>
        <vt:i4>0</vt:i4>
      </vt:variant>
      <vt:variant>
        <vt:i4>5</vt:i4>
      </vt:variant>
      <vt:variant>
        <vt:lpwstr/>
      </vt:variant>
      <vt:variant>
        <vt:lpwstr>_ENREF_16</vt:lpwstr>
      </vt:variant>
      <vt:variant>
        <vt:i4>4194366</vt:i4>
      </vt:variant>
      <vt:variant>
        <vt:i4>76</vt:i4>
      </vt:variant>
      <vt:variant>
        <vt:i4>0</vt:i4>
      </vt:variant>
      <vt:variant>
        <vt:i4>5</vt:i4>
      </vt:variant>
      <vt:variant>
        <vt:lpwstr/>
      </vt:variant>
      <vt:variant>
        <vt:lpwstr>_ENREF_15</vt:lpwstr>
      </vt:variant>
      <vt:variant>
        <vt:i4>4653067</vt:i4>
      </vt:variant>
      <vt:variant>
        <vt:i4>68</vt:i4>
      </vt:variant>
      <vt:variant>
        <vt:i4>0</vt:i4>
      </vt:variant>
      <vt:variant>
        <vt:i4>5</vt:i4>
      </vt:variant>
      <vt:variant>
        <vt:lpwstr/>
      </vt:variant>
      <vt:variant>
        <vt:lpwstr>_ENREF_6</vt:lpwstr>
      </vt:variant>
      <vt:variant>
        <vt:i4>4653067</vt:i4>
      </vt:variant>
      <vt:variant>
        <vt:i4>62</vt:i4>
      </vt:variant>
      <vt:variant>
        <vt:i4>0</vt:i4>
      </vt:variant>
      <vt:variant>
        <vt:i4>5</vt:i4>
      </vt:variant>
      <vt:variant>
        <vt:lpwstr/>
      </vt:variant>
      <vt:variant>
        <vt:lpwstr>_ENREF_6</vt:lpwstr>
      </vt:variant>
      <vt:variant>
        <vt:i4>4194362</vt:i4>
      </vt:variant>
      <vt:variant>
        <vt:i4>56</vt:i4>
      </vt:variant>
      <vt:variant>
        <vt:i4>0</vt:i4>
      </vt:variant>
      <vt:variant>
        <vt:i4>5</vt:i4>
      </vt:variant>
      <vt:variant>
        <vt:lpwstr/>
      </vt:variant>
      <vt:variant>
        <vt:lpwstr>_ENREF_11</vt:lpwstr>
      </vt:variant>
      <vt:variant>
        <vt:i4>4194363</vt:i4>
      </vt:variant>
      <vt:variant>
        <vt:i4>48</vt:i4>
      </vt:variant>
      <vt:variant>
        <vt:i4>0</vt:i4>
      </vt:variant>
      <vt:variant>
        <vt:i4>5</vt:i4>
      </vt:variant>
      <vt:variant>
        <vt:lpwstr/>
      </vt:variant>
      <vt:variant>
        <vt:lpwstr>_ENREF_10</vt:lpwstr>
      </vt:variant>
      <vt:variant>
        <vt:i4>4653067</vt:i4>
      </vt:variant>
      <vt:variant>
        <vt:i4>45</vt:i4>
      </vt:variant>
      <vt:variant>
        <vt:i4>0</vt:i4>
      </vt:variant>
      <vt:variant>
        <vt:i4>5</vt:i4>
      </vt:variant>
      <vt:variant>
        <vt:lpwstr/>
      </vt:variant>
      <vt:variant>
        <vt:lpwstr>_ENREF_6</vt:lpwstr>
      </vt:variant>
      <vt:variant>
        <vt:i4>4718603</vt:i4>
      </vt:variant>
      <vt:variant>
        <vt:i4>37</vt:i4>
      </vt:variant>
      <vt:variant>
        <vt:i4>0</vt:i4>
      </vt:variant>
      <vt:variant>
        <vt:i4>5</vt:i4>
      </vt:variant>
      <vt:variant>
        <vt:lpwstr/>
      </vt:variant>
      <vt:variant>
        <vt:lpwstr>_ENREF_9</vt:lpwstr>
      </vt:variant>
      <vt:variant>
        <vt:i4>4784139</vt:i4>
      </vt:variant>
      <vt:variant>
        <vt:i4>34</vt:i4>
      </vt:variant>
      <vt:variant>
        <vt:i4>0</vt:i4>
      </vt:variant>
      <vt:variant>
        <vt:i4>5</vt:i4>
      </vt:variant>
      <vt:variant>
        <vt:lpwstr/>
      </vt:variant>
      <vt:variant>
        <vt:lpwstr>_ENREF_8</vt:lpwstr>
      </vt:variant>
      <vt:variant>
        <vt:i4>4587531</vt:i4>
      </vt:variant>
      <vt:variant>
        <vt:i4>26</vt:i4>
      </vt:variant>
      <vt:variant>
        <vt:i4>0</vt:i4>
      </vt:variant>
      <vt:variant>
        <vt:i4>5</vt:i4>
      </vt:variant>
      <vt:variant>
        <vt:lpwstr/>
      </vt:variant>
      <vt:variant>
        <vt:lpwstr>_ENREF_7</vt:lpwstr>
      </vt:variant>
      <vt:variant>
        <vt:i4>4653067</vt:i4>
      </vt:variant>
      <vt:variant>
        <vt:i4>18</vt:i4>
      </vt:variant>
      <vt:variant>
        <vt:i4>0</vt:i4>
      </vt:variant>
      <vt:variant>
        <vt:i4>5</vt:i4>
      </vt:variant>
      <vt:variant>
        <vt:lpwstr/>
      </vt:variant>
      <vt:variant>
        <vt:lpwstr>_ENREF_6</vt:lpwstr>
      </vt:variant>
      <vt:variant>
        <vt:i4>4390923</vt:i4>
      </vt:variant>
      <vt:variant>
        <vt:i4>12</vt:i4>
      </vt:variant>
      <vt:variant>
        <vt:i4>0</vt:i4>
      </vt:variant>
      <vt:variant>
        <vt:i4>5</vt:i4>
      </vt:variant>
      <vt:variant>
        <vt:lpwstr/>
      </vt:variant>
      <vt:variant>
        <vt:lpwstr>_ENREF_2</vt:lpwstr>
      </vt:variant>
      <vt:variant>
        <vt:i4>4194315</vt:i4>
      </vt:variant>
      <vt:variant>
        <vt:i4>4</vt:i4>
      </vt:variant>
      <vt:variant>
        <vt:i4>0</vt:i4>
      </vt:variant>
      <vt:variant>
        <vt:i4>5</vt:i4>
      </vt:variant>
      <vt:variant>
        <vt:lpwstr/>
      </vt:variant>
      <vt:variant>
        <vt:lpwstr>_ENREF_1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Licenced User</dc:creator>
  <cp:keywords/>
  <dc:description/>
  <cp:lastModifiedBy>Gherardo Finocchiaro</cp:lastModifiedBy>
  <cp:revision>6</cp:revision>
  <cp:lastPrinted>2015-08-11T15:13:00Z</cp:lastPrinted>
  <dcterms:created xsi:type="dcterms:W3CDTF">2019-12-12T13:22:00Z</dcterms:created>
  <dcterms:modified xsi:type="dcterms:W3CDTF">2019-12-13T08:05:00Z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http://www.zotero.org/styles/europace</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http://www.zotero.org/styles/american-sociological-association</vt:lpwstr>
  </property>
  <property fmtid="{D5CDD505-2E9C-101B-9397-08002B2CF9AE}" pid="7" name="Mendeley Recent Style Name 1_1">
    <vt:lpwstr>American Sociological Association</vt:lpwstr>
  </property>
  <property fmtid="{D5CDD505-2E9C-101B-9397-08002B2CF9AE}" pid="8" name="Mendeley Recent Style Id 2_1">
    <vt:lpwstr>http://www.zotero.org/styles/bmj</vt:lpwstr>
  </property>
  <property fmtid="{D5CDD505-2E9C-101B-9397-08002B2CF9AE}" pid="9" name="Mendeley Recent Style Name 2_1">
    <vt:lpwstr>BMJ</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http://www.zotero.org/styles/harvard-cite-them-right</vt:lpwstr>
  </property>
  <property fmtid="{D5CDD505-2E9C-101B-9397-08002B2CF9AE}" pid="13" name="Mendeley Recent Style Name 4_1">
    <vt:lpwstr>Cite Them Right 10th edition - Harvard</vt:lpwstr>
  </property>
  <property fmtid="{D5CDD505-2E9C-101B-9397-08002B2CF9AE}" pid="14" name="Mendeley Recent Style Id 5_1">
    <vt:lpwstr>http://www.zotero.org/styles/europace</vt:lpwstr>
  </property>
  <property fmtid="{D5CDD505-2E9C-101B-9397-08002B2CF9AE}" pid="15" name="Mendeley Recent Style Name 5_1">
    <vt:lpwstr>Europace</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http://www.zotero.org/styles/jacc-cardiovascular-imaging</vt:lpwstr>
  </property>
  <property fmtid="{D5CDD505-2E9C-101B-9397-08002B2CF9AE}" pid="19" name="Mendeley Recent Style Name 7_1">
    <vt:lpwstr>JACC: Cardiovascular Imaging</vt:lpwstr>
  </property>
  <property fmtid="{D5CDD505-2E9C-101B-9397-08002B2CF9AE}" pid="20" name="Mendeley Recent Style Id 8_1">
    <vt:lpwstr>http://www.zotero.org/styles/modern-humanities-research-association</vt:lpwstr>
  </property>
  <property fmtid="{D5CDD505-2E9C-101B-9397-08002B2CF9AE}" pid="21" name="Mendeley Recent Style Name 8_1">
    <vt:lpwstr>Modern Humanities Research Association 3rd edition (note with bibliography)</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2fabcfa0-edeb-32b4-9e0c-f4f0feadeabd</vt:lpwstr>
  </property>
</Properties>
</file>