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D901" w14:textId="77777777" w:rsidR="004E1327" w:rsidRPr="004E1327" w:rsidRDefault="004E1327" w:rsidP="004E1327">
      <w:pPr>
        <w:spacing w:after="0" w:line="240" w:lineRule="auto"/>
        <w:rPr>
          <w:rFonts w:ascii="Arial" w:hAnsi="Arial" w:cs="Arial"/>
          <w:b/>
          <w:bCs/>
          <w:sz w:val="24"/>
          <w:szCs w:val="24"/>
        </w:rPr>
      </w:pPr>
      <w:r w:rsidRPr="004E1327">
        <w:rPr>
          <w:rFonts w:ascii="Arial" w:hAnsi="Arial" w:cs="Arial"/>
          <w:b/>
          <w:bCs/>
          <w:sz w:val="24"/>
          <w:szCs w:val="24"/>
          <w:lang w:val="en-US"/>
        </w:rPr>
        <w:t xml:space="preserve">Antihypertensive Drug Concordance in Patients with Apparent Resistant Hypertension: </w:t>
      </w:r>
      <w:proofErr w:type="gramStart"/>
      <w:r w:rsidRPr="004E1327">
        <w:rPr>
          <w:rFonts w:ascii="Arial" w:hAnsi="Arial" w:cs="Arial"/>
          <w:b/>
          <w:bCs/>
          <w:sz w:val="24"/>
          <w:szCs w:val="24"/>
          <w:lang w:val="en-US"/>
        </w:rPr>
        <w:t>a</w:t>
      </w:r>
      <w:proofErr w:type="gramEnd"/>
      <w:r w:rsidRPr="004E1327">
        <w:rPr>
          <w:rFonts w:ascii="Arial" w:hAnsi="Arial" w:cs="Arial"/>
          <w:b/>
          <w:bCs/>
          <w:sz w:val="24"/>
          <w:szCs w:val="24"/>
          <w:lang w:val="en-US"/>
        </w:rPr>
        <w:t xml:space="preserve"> Tertiary Hypertension Referral Centre Experience </w:t>
      </w:r>
    </w:p>
    <w:p w14:paraId="236317EF" w14:textId="7C411D8A" w:rsidR="00777806" w:rsidRDefault="00777806" w:rsidP="006258B7">
      <w:pPr>
        <w:spacing w:after="0" w:line="240" w:lineRule="auto"/>
        <w:jc w:val="center"/>
        <w:rPr>
          <w:rFonts w:ascii="Arial" w:hAnsi="Arial" w:cs="Arial"/>
          <w:sz w:val="24"/>
          <w:szCs w:val="24"/>
        </w:rPr>
      </w:pPr>
    </w:p>
    <w:p w14:paraId="69172400" w14:textId="4D62644C" w:rsidR="00E958A6" w:rsidRPr="005F371F" w:rsidRDefault="003964BD" w:rsidP="006258B7">
      <w:pPr>
        <w:spacing w:after="0" w:line="240" w:lineRule="auto"/>
        <w:rPr>
          <w:rFonts w:ascii="Arial" w:hAnsi="Arial" w:cs="Arial"/>
          <w:sz w:val="24"/>
          <w:szCs w:val="24"/>
          <w:lang w:val="en-US"/>
        </w:rPr>
      </w:pPr>
      <w:r>
        <w:rPr>
          <w:rFonts w:ascii="Arial" w:hAnsi="Arial" w:cs="Arial"/>
          <w:sz w:val="24"/>
          <w:szCs w:val="24"/>
        </w:rPr>
        <w:t xml:space="preserve">Mohammed </w:t>
      </w:r>
      <w:proofErr w:type="spellStart"/>
      <w:r w:rsidR="007542CC">
        <w:rPr>
          <w:rFonts w:ascii="Arial" w:hAnsi="Arial" w:cs="Arial"/>
          <w:sz w:val="24"/>
          <w:szCs w:val="24"/>
        </w:rPr>
        <w:t>Meher</w:t>
      </w:r>
      <w:proofErr w:type="spellEnd"/>
      <w:r w:rsidR="007542CC">
        <w:rPr>
          <w:rFonts w:ascii="Arial" w:hAnsi="Arial" w:cs="Arial"/>
          <w:sz w:val="24"/>
          <w:szCs w:val="24"/>
        </w:rPr>
        <w:t xml:space="preserve"> Ali </w:t>
      </w:r>
      <w:bookmarkStart w:id="0" w:name="_GoBack"/>
      <w:bookmarkEnd w:id="0"/>
      <w:r>
        <w:rPr>
          <w:rFonts w:ascii="Arial" w:hAnsi="Arial" w:cs="Arial"/>
          <w:sz w:val="24"/>
          <w:szCs w:val="24"/>
        </w:rPr>
        <w:t>Chaudhry</w:t>
      </w:r>
      <w:r w:rsidR="005F371F" w:rsidRPr="005F371F">
        <w:rPr>
          <w:rFonts w:ascii="Arial" w:hAnsi="Arial" w:cs="Arial"/>
          <w:sz w:val="24"/>
          <w:szCs w:val="24"/>
        </w:rPr>
        <w:t xml:space="preserve"> </w:t>
      </w:r>
      <w:r w:rsidR="005F371F" w:rsidRPr="005F371F">
        <w:rPr>
          <w:rFonts w:ascii="Arial" w:hAnsi="Arial" w:cs="Arial"/>
          <w:sz w:val="24"/>
          <w:szCs w:val="24"/>
        </w:rPr>
        <w:t xml:space="preserve">&amp; </w:t>
      </w:r>
      <w:r w:rsidR="001B3E7E" w:rsidRPr="005F371F">
        <w:rPr>
          <w:rFonts w:ascii="Arial" w:hAnsi="Arial" w:cs="Arial"/>
          <w:sz w:val="24"/>
          <w:szCs w:val="24"/>
          <w:lang w:val="en-US"/>
        </w:rPr>
        <w:t>Tarek Antonios</w:t>
      </w:r>
    </w:p>
    <w:p w14:paraId="260971E0" w14:textId="1F40CB0D" w:rsidR="001B3E7E" w:rsidRDefault="001B3E7E" w:rsidP="006258B7">
      <w:pPr>
        <w:spacing w:after="0" w:line="240" w:lineRule="auto"/>
        <w:rPr>
          <w:rFonts w:ascii="Arial" w:hAnsi="Arial" w:cs="Arial"/>
          <w:b/>
          <w:bCs/>
          <w:sz w:val="24"/>
          <w:szCs w:val="24"/>
          <w:lang w:val="en-US"/>
        </w:rPr>
      </w:pPr>
    </w:p>
    <w:p w14:paraId="0900B727" w14:textId="512950E4" w:rsidR="006258B7" w:rsidRPr="006258B7" w:rsidRDefault="006258B7" w:rsidP="006258B7">
      <w:pPr>
        <w:spacing w:after="0" w:line="240" w:lineRule="auto"/>
        <w:rPr>
          <w:rFonts w:ascii="Arial" w:hAnsi="Arial" w:cs="Arial"/>
          <w:sz w:val="24"/>
          <w:szCs w:val="24"/>
        </w:rPr>
      </w:pPr>
      <w:r w:rsidRPr="006258B7">
        <w:rPr>
          <w:rFonts w:ascii="Arial" w:hAnsi="Arial" w:cs="Arial"/>
          <w:sz w:val="24"/>
          <w:szCs w:val="24"/>
          <w:lang w:val="en-US"/>
        </w:rPr>
        <w:t>Molecular &amp; Clinical Sciences Research Institute, St George’s, University of London, United Kingdom</w:t>
      </w:r>
    </w:p>
    <w:p w14:paraId="13BA6979" w14:textId="77777777" w:rsidR="006258B7" w:rsidRPr="00777806" w:rsidRDefault="006258B7" w:rsidP="00777806">
      <w:pPr>
        <w:spacing w:after="0" w:line="240" w:lineRule="auto"/>
        <w:jc w:val="both"/>
        <w:rPr>
          <w:rFonts w:ascii="Arial" w:hAnsi="Arial" w:cs="Arial"/>
          <w:sz w:val="24"/>
          <w:szCs w:val="24"/>
        </w:rPr>
      </w:pPr>
    </w:p>
    <w:p w14:paraId="00F1D610" w14:textId="70EDA394" w:rsidR="00777806" w:rsidRPr="00777806" w:rsidRDefault="00777806" w:rsidP="00777806">
      <w:pPr>
        <w:spacing w:after="0" w:line="240" w:lineRule="auto"/>
        <w:jc w:val="both"/>
        <w:rPr>
          <w:rFonts w:ascii="Arial" w:hAnsi="Arial" w:cs="Arial"/>
          <w:b/>
          <w:bCs/>
          <w:sz w:val="24"/>
          <w:szCs w:val="24"/>
        </w:rPr>
      </w:pPr>
      <w:r w:rsidRPr="00777806">
        <w:rPr>
          <w:rFonts w:ascii="Arial" w:hAnsi="Arial" w:cs="Arial"/>
          <w:b/>
          <w:bCs/>
          <w:sz w:val="24"/>
          <w:szCs w:val="24"/>
        </w:rPr>
        <w:t>Introduction:</w:t>
      </w:r>
    </w:p>
    <w:p w14:paraId="0310EA9C" w14:textId="77777777" w:rsidR="00086B78" w:rsidRPr="00086B78" w:rsidRDefault="00086B78" w:rsidP="00086B78">
      <w:pPr>
        <w:rPr>
          <w:rFonts w:ascii="Arial" w:hAnsi="Arial" w:cs="Arial"/>
          <w:sz w:val="24"/>
          <w:szCs w:val="24"/>
        </w:rPr>
      </w:pPr>
      <w:r w:rsidRPr="00086B78">
        <w:rPr>
          <w:rFonts w:ascii="Arial" w:hAnsi="Arial" w:cs="Arial"/>
          <w:sz w:val="24"/>
          <w:szCs w:val="24"/>
        </w:rPr>
        <w:t>Individuals with resistant hypertension have a 50% greater risk of cardiovascular events compared to those with well-controlled hypertension.</w:t>
      </w:r>
      <w:r w:rsidRPr="00086B78">
        <w:rPr>
          <w:rFonts w:ascii="Arial" w:hAnsi="Arial" w:cs="Arial"/>
          <w:sz w:val="24"/>
          <w:szCs w:val="24"/>
          <w:vertAlign w:val="superscript"/>
        </w:rPr>
        <w:t>1</w:t>
      </w:r>
      <w:r w:rsidRPr="00086B78">
        <w:rPr>
          <w:rFonts w:ascii="Arial" w:hAnsi="Arial" w:cs="Arial"/>
          <w:sz w:val="24"/>
          <w:szCs w:val="24"/>
        </w:rPr>
        <w:t xml:space="preserve"> Non-adherence to antihypertensive medication is a major cause of uncontrolled hypertension, with rates reported as high as 84%.</w:t>
      </w:r>
      <w:r w:rsidRPr="00086B78">
        <w:rPr>
          <w:rFonts w:ascii="Arial" w:hAnsi="Arial" w:cs="Arial"/>
          <w:sz w:val="24"/>
          <w:szCs w:val="24"/>
          <w:vertAlign w:val="superscript"/>
        </w:rPr>
        <w:t>2</w:t>
      </w:r>
      <w:r w:rsidRPr="00086B78">
        <w:rPr>
          <w:rFonts w:ascii="Arial" w:hAnsi="Arial" w:cs="Arial"/>
          <w:sz w:val="24"/>
          <w:szCs w:val="24"/>
        </w:rPr>
        <w:t xml:space="preserve"> The aim of this study was to assess the prevalence of non-adherence in hypertensive individuals referred to a tertiary hypertension centre in South London.</w:t>
      </w:r>
    </w:p>
    <w:p w14:paraId="640A0416" w14:textId="19B8BFA4" w:rsidR="00777806" w:rsidRPr="00777806" w:rsidRDefault="00777806">
      <w:pPr>
        <w:rPr>
          <w:rFonts w:ascii="Arial" w:hAnsi="Arial" w:cs="Arial"/>
          <w:b/>
          <w:bCs/>
          <w:sz w:val="24"/>
          <w:szCs w:val="24"/>
        </w:rPr>
      </w:pPr>
      <w:r w:rsidRPr="00777806">
        <w:rPr>
          <w:rFonts w:ascii="Arial" w:hAnsi="Arial" w:cs="Arial"/>
          <w:b/>
          <w:bCs/>
          <w:sz w:val="24"/>
          <w:szCs w:val="24"/>
        </w:rPr>
        <w:t>Methods:</w:t>
      </w:r>
    </w:p>
    <w:p w14:paraId="3CF46FB8" w14:textId="77777777" w:rsidR="00086B78" w:rsidRDefault="00086B78" w:rsidP="00777806">
      <w:pPr>
        <w:spacing w:line="240" w:lineRule="auto"/>
        <w:jc w:val="both"/>
        <w:rPr>
          <w:rFonts w:ascii="Arial" w:hAnsi="Arial" w:cs="Arial"/>
          <w:sz w:val="24"/>
          <w:szCs w:val="24"/>
        </w:rPr>
      </w:pPr>
      <w:r w:rsidRPr="00086B78">
        <w:rPr>
          <w:rFonts w:ascii="Arial" w:hAnsi="Arial" w:cs="Arial"/>
          <w:sz w:val="24"/>
          <w:szCs w:val="24"/>
        </w:rPr>
        <w:t>After the optimisation of drug regimens and the exclusion of white coat and secondary hypertension, drug adherence was assessed using liquid chromatography–mass spectrometry (LC-MS) analysis of urine samples in 124 individuals who met the criteria for resistant hypertension (uncontrolled hypertension despite concurrently taking at least 3 antihypertensive drugs of different classes including a diuretic or hypertension controlled on 4 drugs). Subjects were only included if they confirmed adherence to their prescribed antihypertensive medication in the preceding days.</w:t>
      </w:r>
    </w:p>
    <w:p w14:paraId="346CEC8C" w14:textId="545E33C2" w:rsidR="00777806" w:rsidRPr="00777806" w:rsidRDefault="00777806" w:rsidP="00777806">
      <w:pPr>
        <w:spacing w:line="240" w:lineRule="auto"/>
        <w:jc w:val="both"/>
        <w:rPr>
          <w:rFonts w:ascii="Arial" w:hAnsi="Arial" w:cs="Arial"/>
          <w:b/>
          <w:sz w:val="24"/>
          <w:szCs w:val="24"/>
        </w:rPr>
      </w:pPr>
      <w:r w:rsidRPr="00777806">
        <w:rPr>
          <w:rFonts w:ascii="Arial" w:hAnsi="Arial" w:cs="Arial"/>
          <w:b/>
          <w:sz w:val="24"/>
          <w:szCs w:val="24"/>
        </w:rPr>
        <w:t>Results:</w:t>
      </w:r>
    </w:p>
    <w:p w14:paraId="582335BE" w14:textId="77777777" w:rsidR="00086B78" w:rsidRDefault="00086B78">
      <w:pPr>
        <w:rPr>
          <w:rFonts w:ascii="Arial" w:hAnsi="Arial" w:cs="Arial"/>
        </w:rPr>
      </w:pPr>
      <w:r w:rsidRPr="00086B78">
        <w:rPr>
          <w:rFonts w:ascii="Arial" w:hAnsi="Arial" w:cs="Arial"/>
        </w:rPr>
        <w:t>Non-adherence was found in 71 individuals (57.3%). Of these, 45 (63.4%) had partial non-adherence and 26 (36.6%) had complete non-adherence. Non-adherent individuals were significantly younger, had a shorter history of hypertension, more likely to be female (OR=3.07; 95% CI: 1.45–6.47; p=0.003) and have depression (OR=11.66; 95% CI: 1.47–92.19; p=0.004), and less likely to have concomitant cardiovascular disease and/or target organ damage (OR=0.42; 95% CI: 0.19–0.92; p=0.028), type 2 diabetes mellitus (OR=0.40; 95% CI: 0.19–0.83; p=0.013), chronic kidney disease (OR=0.34; 95% CI: 0.12–0.92; p=0.028) and retinopathy (OR=0.14; 95% CI:0.04–0.51; p=0.001). Low adherence was observed more for diuretics.</w:t>
      </w:r>
    </w:p>
    <w:p w14:paraId="6C7EFAE0" w14:textId="1E9513BF" w:rsidR="00777806" w:rsidRPr="00777806" w:rsidRDefault="00777806">
      <w:pPr>
        <w:rPr>
          <w:rFonts w:ascii="Arial" w:hAnsi="Arial" w:cs="Arial"/>
          <w:b/>
          <w:bCs/>
          <w:sz w:val="24"/>
          <w:szCs w:val="24"/>
        </w:rPr>
      </w:pPr>
      <w:r w:rsidRPr="00777806">
        <w:rPr>
          <w:rFonts w:ascii="Arial" w:hAnsi="Arial" w:cs="Arial"/>
          <w:b/>
          <w:bCs/>
          <w:sz w:val="24"/>
          <w:szCs w:val="24"/>
        </w:rPr>
        <w:t>Conclusions:</w:t>
      </w:r>
    </w:p>
    <w:p w14:paraId="26D0F8C4" w14:textId="77777777" w:rsidR="00086B78" w:rsidRDefault="00086B78">
      <w:pPr>
        <w:rPr>
          <w:rFonts w:ascii="Arial" w:hAnsi="Arial" w:cs="Arial"/>
        </w:rPr>
      </w:pPr>
      <w:r w:rsidRPr="00086B78">
        <w:rPr>
          <w:rFonts w:ascii="Arial" w:hAnsi="Arial" w:cs="Arial"/>
        </w:rPr>
        <w:t xml:space="preserve">In individuals with apparent resistant hypertension, poor adherence to antihypertensive therapy is very common and was observed in 57% of individuals despite their insistence of treatment adherence in the preceding days. The assessment of adherence at an early stage in individuals with apparent resistant hypertension is essential for tailoring treatment strategies and saving vital healthcare </w:t>
      </w:r>
      <w:proofErr w:type="spellStart"/>
      <w:r w:rsidRPr="00086B78">
        <w:rPr>
          <w:rFonts w:ascii="Arial" w:hAnsi="Arial" w:cs="Arial"/>
        </w:rPr>
        <w:t>resources.</w:t>
      </w:r>
    </w:p>
    <w:p w14:paraId="217A6C80" w14:textId="20A2F656" w:rsidR="003964BD" w:rsidRPr="003964BD" w:rsidRDefault="003964BD">
      <w:pPr>
        <w:rPr>
          <w:rFonts w:ascii="Arial" w:hAnsi="Arial" w:cs="Arial"/>
          <w:b/>
          <w:bCs/>
        </w:rPr>
      </w:pPr>
      <w:r w:rsidRPr="003964BD">
        <w:rPr>
          <w:rFonts w:ascii="Arial" w:hAnsi="Arial" w:cs="Arial"/>
          <w:b/>
          <w:bCs/>
        </w:rPr>
        <w:t>Reference</w:t>
      </w:r>
      <w:proofErr w:type="spellEnd"/>
      <w:r w:rsidRPr="003964BD">
        <w:rPr>
          <w:rFonts w:ascii="Arial" w:hAnsi="Arial" w:cs="Arial"/>
          <w:b/>
          <w:bCs/>
        </w:rPr>
        <w:t>s:</w:t>
      </w:r>
    </w:p>
    <w:p w14:paraId="3B05C3B9" w14:textId="77777777" w:rsidR="003964BD" w:rsidRPr="003964BD" w:rsidRDefault="003964BD" w:rsidP="003964BD">
      <w:pPr>
        <w:numPr>
          <w:ilvl w:val="0"/>
          <w:numId w:val="1"/>
        </w:numPr>
        <w:rPr>
          <w:rFonts w:ascii="Arial" w:hAnsi="Arial" w:cs="Arial"/>
          <w:sz w:val="24"/>
          <w:szCs w:val="24"/>
        </w:rPr>
      </w:pPr>
      <w:r w:rsidRPr="003964BD">
        <w:rPr>
          <w:rFonts w:ascii="Arial" w:hAnsi="Arial" w:cs="Arial"/>
          <w:sz w:val="24"/>
          <w:szCs w:val="24"/>
        </w:rPr>
        <w:t xml:space="preserve">Daugherty SL, Powers JD, </w:t>
      </w:r>
      <w:proofErr w:type="spellStart"/>
      <w:r w:rsidRPr="003964BD">
        <w:rPr>
          <w:rFonts w:ascii="Arial" w:hAnsi="Arial" w:cs="Arial"/>
          <w:sz w:val="24"/>
          <w:szCs w:val="24"/>
        </w:rPr>
        <w:t>Magid</w:t>
      </w:r>
      <w:proofErr w:type="spellEnd"/>
      <w:r w:rsidRPr="003964BD">
        <w:rPr>
          <w:rFonts w:ascii="Arial" w:hAnsi="Arial" w:cs="Arial"/>
          <w:sz w:val="24"/>
          <w:szCs w:val="24"/>
        </w:rPr>
        <w:t xml:space="preserve"> DJ, et al. Incidence and prognosis of resistant hypertension in hypertensive patients. Circulation2012; 358: 1635-42. doi:10.1161/CIRCULATIONAHA.111.068064. </w:t>
      </w:r>
      <w:proofErr w:type="spellStart"/>
      <w:r w:rsidRPr="003964BD">
        <w:rPr>
          <w:rFonts w:ascii="Arial" w:hAnsi="Arial" w:cs="Arial"/>
          <w:sz w:val="24"/>
          <w:szCs w:val="24"/>
        </w:rPr>
        <w:t>pmid</w:t>
      </w:r>
      <w:proofErr w:type="spellEnd"/>
      <w:r w:rsidRPr="003964BD">
        <w:rPr>
          <w:rFonts w:ascii="Arial" w:hAnsi="Arial" w:cs="Arial"/>
          <w:sz w:val="24"/>
          <w:szCs w:val="24"/>
        </w:rPr>
        <w:t>: 22379110.</w:t>
      </w:r>
    </w:p>
    <w:p w14:paraId="383250EE" w14:textId="7C3F9EFE" w:rsidR="003964BD" w:rsidRPr="003964BD" w:rsidRDefault="003964BD" w:rsidP="003964BD">
      <w:pPr>
        <w:numPr>
          <w:ilvl w:val="0"/>
          <w:numId w:val="1"/>
        </w:numPr>
        <w:rPr>
          <w:rFonts w:ascii="Arial" w:hAnsi="Arial" w:cs="Arial"/>
          <w:sz w:val="24"/>
          <w:szCs w:val="24"/>
        </w:rPr>
      </w:pPr>
      <w:proofErr w:type="spellStart"/>
      <w:r w:rsidRPr="003964BD">
        <w:rPr>
          <w:rFonts w:ascii="Arial" w:hAnsi="Arial" w:cs="Arial"/>
          <w:sz w:val="24"/>
          <w:szCs w:val="24"/>
        </w:rPr>
        <w:lastRenderedPageBreak/>
        <w:t>Abegaz</w:t>
      </w:r>
      <w:proofErr w:type="spellEnd"/>
      <w:r w:rsidRPr="003964BD">
        <w:rPr>
          <w:rFonts w:ascii="Arial" w:hAnsi="Arial" w:cs="Arial"/>
          <w:sz w:val="24"/>
          <w:szCs w:val="24"/>
        </w:rPr>
        <w:t xml:space="preserve"> T, Shehab A, </w:t>
      </w:r>
      <w:proofErr w:type="spellStart"/>
      <w:r w:rsidRPr="003964BD">
        <w:rPr>
          <w:rFonts w:ascii="Arial" w:hAnsi="Arial" w:cs="Arial"/>
          <w:sz w:val="24"/>
          <w:szCs w:val="24"/>
        </w:rPr>
        <w:t>Gebreyohannes</w:t>
      </w:r>
      <w:proofErr w:type="spellEnd"/>
      <w:r w:rsidRPr="003964BD">
        <w:rPr>
          <w:rFonts w:ascii="Arial" w:hAnsi="Arial" w:cs="Arial"/>
          <w:sz w:val="24"/>
          <w:szCs w:val="24"/>
        </w:rPr>
        <w:t xml:space="preserve"> E, </w:t>
      </w:r>
      <w:proofErr w:type="spellStart"/>
      <w:r w:rsidRPr="003964BD">
        <w:rPr>
          <w:rFonts w:ascii="Arial" w:hAnsi="Arial" w:cs="Arial"/>
          <w:sz w:val="24"/>
          <w:szCs w:val="24"/>
        </w:rPr>
        <w:t>Bhagavathula</w:t>
      </w:r>
      <w:proofErr w:type="spellEnd"/>
      <w:r w:rsidRPr="003964BD">
        <w:rPr>
          <w:rFonts w:ascii="Arial" w:hAnsi="Arial" w:cs="Arial"/>
          <w:sz w:val="24"/>
          <w:szCs w:val="24"/>
        </w:rPr>
        <w:t xml:space="preserve"> A, </w:t>
      </w:r>
      <w:proofErr w:type="spellStart"/>
      <w:r w:rsidRPr="003964BD">
        <w:rPr>
          <w:rFonts w:ascii="Arial" w:hAnsi="Arial" w:cs="Arial"/>
          <w:sz w:val="24"/>
          <w:szCs w:val="24"/>
        </w:rPr>
        <w:t>Elnour</w:t>
      </w:r>
      <w:proofErr w:type="spellEnd"/>
      <w:r w:rsidRPr="003964BD">
        <w:rPr>
          <w:rFonts w:ascii="Arial" w:hAnsi="Arial" w:cs="Arial"/>
          <w:sz w:val="24"/>
          <w:szCs w:val="24"/>
        </w:rPr>
        <w:t xml:space="preserve"> A. Nonadherence to antihypertensive drugs - A systematic review and meta-analysis. Medicine. 2017; 96(4): e5641.</w:t>
      </w:r>
    </w:p>
    <w:sectPr w:rsidR="003964BD" w:rsidRPr="003964BD" w:rsidSect="00AF5F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E7470"/>
    <w:multiLevelType w:val="hybridMultilevel"/>
    <w:tmpl w:val="848EC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06"/>
    <w:rsid w:val="0000063D"/>
    <w:rsid w:val="000011F5"/>
    <w:rsid w:val="00001B8E"/>
    <w:rsid w:val="000607CE"/>
    <w:rsid w:val="00082510"/>
    <w:rsid w:val="00086B78"/>
    <w:rsid w:val="0009423B"/>
    <w:rsid w:val="000B1C32"/>
    <w:rsid w:val="000D7565"/>
    <w:rsid w:val="00114708"/>
    <w:rsid w:val="001179FB"/>
    <w:rsid w:val="00130DE1"/>
    <w:rsid w:val="00144137"/>
    <w:rsid w:val="001554FB"/>
    <w:rsid w:val="00156E98"/>
    <w:rsid w:val="00165290"/>
    <w:rsid w:val="001805BE"/>
    <w:rsid w:val="00195147"/>
    <w:rsid w:val="001A0D47"/>
    <w:rsid w:val="001B3E7E"/>
    <w:rsid w:val="001B6ED5"/>
    <w:rsid w:val="001D1DF2"/>
    <w:rsid w:val="001E212F"/>
    <w:rsid w:val="0022101F"/>
    <w:rsid w:val="00237C91"/>
    <w:rsid w:val="00271759"/>
    <w:rsid w:val="00283B84"/>
    <w:rsid w:val="002877AC"/>
    <w:rsid w:val="002A0936"/>
    <w:rsid w:val="002B2CCA"/>
    <w:rsid w:val="002C2E38"/>
    <w:rsid w:val="002D2089"/>
    <w:rsid w:val="002E2A38"/>
    <w:rsid w:val="002F7AF3"/>
    <w:rsid w:val="003029FB"/>
    <w:rsid w:val="003135D5"/>
    <w:rsid w:val="00324EAA"/>
    <w:rsid w:val="003462DE"/>
    <w:rsid w:val="003512BE"/>
    <w:rsid w:val="003557AB"/>
    <w:rsid w:val="003964BD"/>
    <w:rsid w:val="003B5881"/>
    <w:rsid w:val="003C186F"/>
    <w:rsid w:val="003C3663"/>
    <w:rsid w:val="003E2E5F"/>
    <w:rsid w:val="003E4207"/>
    <w:rsid w:val="003E4E2B"/>
    <w:rsid w:val="004116EB"/>
    <w:rsid w:val="004167D5"/>
    <w:rsid w:val="00421DB9"/>
    <w:rsid w:val="004224EC"/>
    <w:rsid w:val="00436CE6"/>
    <w:rsid w:val="00437390"/>
    <w:rsid w:val="0046220B"/>
    <w:rsid w:val="00474FE6"/>
    <w:rsid w:val="00476A55"/>
    <w:rsid w:val="0048667C"/>
    <w:rsid w:val="004902AD"/>
    <w:rsid w:val="004A7B42"/>
    <w:rsid w:val="004B6940"/>
    <w:rsid w:val="004D5AFF"/>
    <w:rsid w:val="004E1327"/>
    <w:rsid w:val="00504B6E"/>
    <w:rsid w:val="00523054"/>
    <w:rsid w:val="0055093D"/>
    <w:rsid w:val="00550970"/>
    <w:rsid w:val="0055155E"/>
    <w:rsid w:val="005611B9"/>
    <w:rsid w:val="00591847"/>
    <w:rsid w:val="00594AA0"/>
    <w:rsid w:val="00597BC1"/>
    <w:rsid w:val="005A1FEC"/>
    <w:rsid w:val="005C1AA1"/>
    <w:rsid w:val="005D141A"/>
    <w:rsid w:val="005D7533"/>
    <w:rsid w:val="005E2875"/>
    <w:rsid w:val="005E7BDB"/>
    <w:rsid w:val="005F371F"/>
    <w:rsid w:val="005F57E6"/>
    <w:rsid w:val="005F725A"/>
    <w:rsid w:val="00601C87"/>
    <w:rsid w:val="006176BC"/>
    <w:rsid w:val="0062212E"/>
    <w:rsid w:val="00622655"/>
    <w:rsid w:val="006258B7"/>
    <w:rsid w:val="0064408D"/>
    <w:rsid w:val="00661B66"/>
    <w:rsid w:val="00662B7C"/>
    <w:rsid w:val="00666597"/>
    <w:rsid w:val="00677413"/>
    <w:rsid w:val="006A4342"/>
    <w:rsid w:val="00717B8C"/>
    <w:rsid w:val="007217D1"/>
    <w:rsid w:val="00722528"/>
    <w:rsid w:val="00730AFC"/>
    <w:rsid w:val="00744D2D"/>
    <w:rsid w:val="007542CC"/>
    <w:rsid w:val="0075778F"/>
    <w:rsid w:val="00762BF2"/>
    <w:rsid w:val="00763A4B"/>
    <w:rsid w:val="007733A9"/>
    <w:rsid w:val="00777806"/>
    <w:rsid w:val="00777DE4"/>
    <w:rsid w:val="007B5FCA"/>
    <w:rsid w:val="007D13D8"/>
    <w:rsid w:val="007D1928"/>
    <w:rsid w:val="007D7BF0"/>
    <w:rsid w:val="007E13FC"/>
    <w:rsid w:val="007E14F9"/>
    <w:rsid w:val="007E1EC5"/>
    <w:rsid w:val="007E203F"/>
    <w:rsid w:val="007E2086"/>
    <w:rsid w:val="0084372F"/>
    <w:rsid w:val="00843F46"/>
    <w:rsid w:val="00851F31"/>
    <w:rsid w:val="00864EC1"/>
    <w:rsid w:val="008668F9"/>
    <w:rsid w:val="0088075D"/>
    <w:rsid w:val="00882042"/>
    <w:rsid w:val="008C17A5"/>
    <w:rsid w:val="008C5DE5"/>
    <w:rsid w:val="008C76BE"/>
    <w:rsid w:val="008D141F"/>
    <w:rsid w:val="008E7106"/>
    <w:rsid w:val="0092546F"/>
    <w:rsid w:val="00941399"/>
    <w:rsid w:val="00950367"/>
    <w:rsid w:val="00953E9F"/>
    <w:rsid w:val="0095471E"/>
    <w:rsid w:val="00992E0C"/>
    <w:rsid w:val="009961E7"/>
    <w:rsid w:val="009A699D"/>
    <w:rsid w:val="009B5CE0"/>
    <w:rsid w:val="009C17A9"/>
    <w:rsid w:val="009C47D2"/>
    <w:rsid w:val="009C6E8D"/>
    <w:rsid w:val="00A05E05"/>
    <w:rsid w:val="00A16988"/>
    <w:rsid w:val="00A17BB1"/>
    <w:rsid w:val="00A213B7"/>
    <w:rsid w:val="00A26B28"/>
    <w:rsid w:val="00A40FC4"/>
    <w:rsid w:val="00A4291A"/>
    <w:rsid w:val="00A5590E"/>
    <w:rsid w:val="00A74963"/>
    <w:rsid w:val="00A75C5F"/>
    <w:rsid w:val="00A76924"/>
    <w:rsid w:val="00A83D62"/>
    <w:rsid w:val="00AC7FA2"/>
    <w:rsid w:val="00AF5F05"/>
    <w:rsid w:val="00B1537E"/>
    <w:rsid w:val="00B42B3E"/>
    <w:rsid w:val="00B4472B"/>
    <w:rsid w:val="00B4537A"/>
    <w:rsid w:val="00B72CFF"/>
    <w:rsid w:val="00B85847"/>
    <w:rsid w:val="00B869CA"/>
    <w:rsid w:val="00BA2A52"/>
    <w:rsid w:val="00BA3F4F"/>
    <w:rsid w:val="00BC7A6E"/>
    <w:rsid w:val="00BD05D9"/>
    <w:rsid w:val="00BD4BF2"/>
    <w:rsid w:val="00BE2878"/>
    <w:rsid w:val="00BE43C5"/>
    <w:rsid w:val="00BE5F8D"/>
    <w:rsid w:val="00BF3333"/>
    <w:rsid w:val="00C00EA7"/>
    <w:rsid w:val="00C12A39"/>
    <w:rsid w:val="00C209C2"/>
    <w:rsid w:val="00C35128"/>
    <w:rsid w:val="00C45A09"/>
    <w:rsid w:val="00C45C6B"/>
    <w:rsid w:val="00C51E2E"/>
    <w:rsid w:val="00C5554C"/>
    <w:rsid w:val="00C65249"/>
    <w:rsid w:val="00C7303A"/>
    <w:rsid w:val="00C76A21"/>
    <w:rsid w:val="00C845DB"/>
    <w:rsid w:val="00C92387"/>
    <w:rsid w:val="00CA41D6"/>
    <w:rsid w:val="00CA6BA1"/>
    <w:rsid w:val="00CB3A19"/>
    <w:rsid w:val="00CB6FD2"/>
    <w:rsid w:val="00CD03CF"/>
    <w:rsid w:val="00CF1F90"/>
    <w:rsid w:val="00D2136D"/>
    <w:rsid w:val="00D35DDD"/>
    <w:rsid w:val="00D3702D"/>
    <w:rsid w:val="00D501EB"/>
    <w:rsid w:val="00D53773"/>
    <w:rsid w:val="00D678AE"/>
    <w:rsid w:val="00D77DD8"/>
    <w:rsid w:val="00DB5631"/>
    <w:rsid w:val="00DC7626"/>
    <w:rsid w:val="00DD6F40"/>
    <w:rsid w:val="00DE3BD5"/>
    <w:rsid w:val="00DE43D4"/>
    <w:rsid w:val="00DE623B"/>
    <w:rsid w:val="00E00E25"/>
    <w:rsid w:val="00E269A8"/>
    <w:rsid w:val="00E35976"/>
    <w:rsid w:val="00E61E90"/>
    <w:rsid w:val="00E66E04"/>
    <w:rsid w:val="00E724EE"/>
    <w:rsid w:val="00E83D2C"/>
    <w:rsid w:val="00E94628"/>
    <w:rsid w:val="00E958A6"/>
    <w:rsid w:val="00EA17DF"/>
    <w:rsid w:val="00EA2A88"/>
    <w:rsid w:val="00EB3A44"/>
    <w:rsid w:val="00EB4055"/>
    <w:rsid w:val="00EC58A4"/>
    <w:rsid w:val="00ED0EC7"/>
    <w:rsid w:val="00ED16FF"/>
    <w:rsid w:val="00ED1927"/>
    <w:rsid w:val="00ED510A"/>
    <w:rsid w:val="00ED7074"/>
    <w:rsid w:val="00EF6ABE"/>
    <w:rsid w:val="00F062C4"/>
    <w:rsid w:val="00F3155A"/>
    <w:rsid w:val="00F46AAE"/>
    <w:rsid w:val="00F50F1C"/>
    <w:rsid w:val="00F85C51"/>
    <w:rsid w:val="00F91525"/>
    <w:rsid w:val="00FB43DE"/>
    <w:rsid w:val="00FC2076"/>
    <w:rsid w:val="00FD4055"/>
    <w:rsid w:val="00FE193D"/>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C6172D"/>
  <w15:chartTrackingRefBased/>
  <w15:docId w15:val="{C3F1E3F9-3239-F649-9B9E-FB814ED7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06"/>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0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0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4478">
      <w:bodyDiv w:val="1"/>
      <w:marLeft w:val="0"/>
      <w:marRight w:val="0"/>
      <w:marTop w:val="0"/>
      <w:marBottom w:val="0"/>
      <w:divBdr>
        <w:top w:val="none" w:sz="0" w:space="0" w:color="auto"/>
        <w:left w:val="none" w:sz="0" w:space="0" w:color="auto"/>
        <w:bottom w:val="none" w:sz="0" w:space="0" w:color="auto"/>
        <w:right w:val="none" w:sz="0" w:space="0" w:color="auto"/>
      </w:divBdr>
    </w:div>
    <w:div w:id="976953122">
      <w:bodyDiv w:val="1"/>
      <w:marLeft w:val="0"/>
      <w:marRight w:val="0"/>
      <w:marTop w:val="0"/>
      <w:marBottom w:val="0"/>
      <w:divBdr>
        <w:top w:val="none" w:sz="0" w:space="0" w:color="auto"/>
        <w:left w:val="none" w:sz="0" w:space="0" w:color="auto"/>
        <w:bottom w:val="none" w:sz="0" w:space="0" w:color="auto"/>
        <w:right w:val="none" w:sz="0" w:space="0" w:color="auto"/>
      </w:divBdr>
    </w:div>
    <w:div w:id="1625766894">
      <w:bodyDiv w:val="1"/>
      <w:marLeft w:val="0"/>
      <w:marRight w:val="0"/>
      <w:marTop w:val="0"/>
      <w:marBottom w:val="0"/>
      <w:divBdr>
        <w:top w:val="none" w:sz="0" w:space="0" w:color="auto"/>
        <w:left w:val="none" w:sz="0" w:space="0" w:color="auto"/>
        <w:bottom w:val="none" w:sz="0" w:space="0" w:color="auto"/>
        <w:right w:val="none" w:sz="0" w:space="0" w:color="auto"/>
      </w:divBdr>
    </w:div>
    <w:div w:id="18592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F Antonios</dc:creator>
  <cp:keywords/>
  <dc:description/>
  <cp:lastModifiedBy>Tarek F Antonios</cp:lastModifiedBy>
  <cp:revision>6</cp:revision>
  <dcterms:created xsi:type="dcterms:W3CDTF">2020-01-23T09:13:00Z</dcterms:created>
  <dcterms:modified xsi:type="dcterms:W3CDTF">2020-01-23T09:20:00Z</dcterms:modified>
</cp:coreProperties>
</file>