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A80" w:rsidRDefault="00F64A80" w:rsidP="00F64A80">
      <w:pPr>
        <w:pStyle w:val="BodyA"/>
        <w:jc w:val="both"/>
      </w:pPr>
      <w:bookmarkStart w:id="0" w:name="_GoBack"/>
      <w:bookmarkEnd w:id="0"/>
      <w:r>
        <w:rPr>
          <w:noProof/>
          <w:lang w:val="en-GB" w:eastAsia="zh-CN"/>
        </w:rPr>
        <w:drawing>
          <wp:inline distT="0" distB="0" distL="0" distR="0" wp14:anchorId="37D55119" wp14:editId="0D95089F">
            <wp:extent cx="5727700" cy="2821311"/>
            <wp:effectExtent l="0" t="0" r="0" b="0"/>
            <wp:docPr id="1073741825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2" descr="Picture 2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213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64A80" w:rsidRDefault="00F64A80" w:rsidP="00F64A80">
      <w:pPr>
        <w:pStyle w:val="BodyA"/>
        <w:jc w:val="both"/>
      </w:pPr>
      <w:r>
        <w:rPr>
          <w:b/>
          <w:bCs/>
        </w:rPr>
        <w:t>Figure 1.</w:t>
      </w:r>
      <w:r>
        <w:t xml:space="preserve"> Combination therapy approach versus conventional monotherapy approach. </w:t>
      </w:r>
    </w:p>
    <w:p w:rsidR="00F64A80" w:rsidRDefault="00F64A80" w:rsidP="00F64A80">
      <w:pPr>
        <w:pStyle w:val="BodyA"/>
        <w:jc w:val="both"/>
      </w:pPr>
      <w:r w:rsidRPr="00F64A80">
        <w:rPr>
          <w:noProof/>
          <w:lang w:val="en-GB" w:eastAsia="zh-CN"/>
        </w:rPr>
        <w:drawing>
          <wp:inline distT="0" distB="0" distL="0" distR="0">
            <wp:extent cx="5727700" cy="5501679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50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  <w:r>
        <w:rPr>
          <w:b/>
          <w:bCs/>
        </w:rPr>
        <w:lastRenderedPageBreak/>
        <w:t>Figure 2:</w:t>
      </w:r>
      <w:r>
        <w:t xml:space="preserve"> The l</w:t>
      </w:r>
      <w:r>
        <w:t>arger the combination of antibiotics, the greater the net synergy.</w:t>
      </w: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  <w:r w:rsidRPr="00F64A80">
        <w:rPr>
          <w:noProof/>
          <w:lang w:val="en-GB" w:eastAsia="zh-CN"/>
        </w:rPr>
        <w:drawing>
          <wp:inline distT="0" distB="0" distL="0" distR="0">
            <wp:extent cx="5727700" cy="2214101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1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  <w:r>
        <w:rPr>
          <w:rStyle w:val="None"/>
          <w:b/>
          <w:bCs/>
        </w:rPr>
        <w:t>Figure 3:</w:t>
      </w:r>
      <w:r>
        <w:t xml:space="preserve"> An illustration of synergy: eradication of highly resistant bacteria by antibiotics which lack individual activity.</w:t>
      </w: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  <w:r>
        <w:rPr>
          <w:noProof/>
          <w:lang w:val="en-GB" w:eastAsia="zh-CN"/>
        </w:rPr>
        <w:drawing>
          <wp:inline distT="0" distB="0" distL="0" distR="0" wp14:anchorId="01752933" wp14:editId="06BA41CD">
            <wp:extent cx="5708650" cy="2786746"/>
            <wp:effectExtent l="0" t="0" r="0" b="0"/>
            <wp:docPr id="1073741828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7" descr="Picture 7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5277" t="33913" r="5537" b="8030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786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64A80" w:rsidRPr="00724B71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Style w:val="None"/>
        </w:rPr>
      </w:pPr>
      <w:r w:rsidRPr="00724B71">
        <w:rPr>
          <w:rStyle w:val="None"/>
          <w:b/>
          <w:bCs/>
        </w:rPr>
        <w:t xml:space="preserve">Figure 4: </w:t>
      </w:r>
      <w:r w:rsidRPr="00724B71">
        <w:rPr>
          <w:rStyle w:val="None"/>
        </w:rPr>
        <w:t>An illustration of synergy:</w:t>
      </w:r>
      <w:r w:rsidRPr="00724B71">
        <w:rPr>
          <w:rStyle w:val="None"/>
          <w:b/>
          <w:bCs/>
        </w:rPr>
        <w:t xml:space="preserve"> </w:t>
      </w:r>
      <w:r w:rsidRPr="00724B71">
        <w:rPr>
          <w:rStyle w:val="None"/>
        </w:rPr>
        <w:t xml:space="preserve">combination therapy eradicates colistin resistant MCR-1, carbapenem resistant NDM-5 </w:t>
      </w:r>
      <w:r w:rsidRPr="00724B71">
        <w:rPr>
          <w:rStyle w:val="None"/>
          <w:i/>
          <w:iCs/>
        </w:rPr>
        <w:t>E coli</w:t>
      </w:r>
      <w:r w:rsidRPr="00724B71">
        <w:rPr>
          <w:rStyle w:val="None"/>
        </w:rPr>
        <w:t>.</w:t>
      </w: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  <w:r w:rsidRPr="00F64A80">
        <w:rPr>
          <w:noProof/>
          <w:lang w:val="en-GB" w:eastAsia="zh-CN"/>
        </w:rPr>
        <w:drawing>
          <wp:inline distT="0" distB="0" distL="0" distR="0">
            <wp:extent cx="5727700" cy="1615505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Style w:val="None"/>
          <w:b/>
          <w:bCs/>
        </w:rPr>
      </w:pP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  <w:r>
        <w:rPr>
          <w:rStyle w:val="None"/>
          <w:b/>
          <w:bCs/>
        </w:rPr>
        <w:t>Figure 5:</w:t>
      </w:r>
      <w:r>
        <w:t xml:space="preserve"> International consensus guidelines for optimal use of the polymyxins. </w:t>
      </w: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  <w:r w:rsidRPr="00F64A80">
        <w:rPr>
          <w:noProof/>
          <w:lang w:val="en-GB" w:eastAsia="zh-CN"/>
        </w:rPr>
        <w:drawing>
          <wp:inline distT="0" distB="0" distL="0" distR="0">
            <wp:extent cx="5727700" cy="4036337"/>
            <wp:effectExtent l="0" t="0" r="635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  <w:r>
        <w:rPr>
          <w:rStyle w:val="None"/>
          <w:b/>
          <w:bCs/>
        </w:rPr>
        <w:t>Figure 6:</w:t>
      </w:r>
      <w:r>
        <w:t xml:space="preserve"> Greater number of antibiotics in combination leads to reduced resistance emergence. </w:t>
      </w: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</w:pPr>
      <w:r>
        <w:rPr>
          <w:noProof/>
          <w:lang w:val="en-GB" w:eastAsia="zh-CN"/>
        </w:rPr>
        <w:drawing>
          <wp:inline distT="0" distB="0" distL="0" distR="0" wp14:anchorId="68128C21" wp14:editId="2A96C56D">
            <wp:extent cx="5727700" cy="3086372"/>
            <wp:effectExtent l="0" t="0" r="0" b="0"/>
            <wp:docPr id="1073741831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8" descr="Picture 8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5034" t="32957" r="6642" b="357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863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64A80" w:rsidRDefault="00F64A80" w:rsidP="00F64A80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Style w:val="None"/>
          <w:b/>
          <w:bCs/>
          <w:sz w:val="24"/>
          <w:szCs w:val="24"/>
        </w:rPr>
      </w:pPr>
      <w:r>
        <w:rPr>
          <w:rStyle w:val="None"/>
          <w:b/>
          <w:bCs/>
          <w:sz w:val="24"/>
          <w:szCs w:val="24"/>
        </w:rPr>
        <w:lastRenderedPageBreak/>
        <w:t xml:space="preserve">Figure 7: </w:t>
      </w:r>
      <w:r>
        <w:rPr>
          <w:rStyle w:val="None"/>
          <w:sz w:val="24"/>
          <w:szCs w:val="24"/>
        </w:rPr>
        <w:t>Resistance prevention of highly resistance bacteria by combinations.</w:t>
      </w:r>
      <w:r>
        <w:rPr>
          <w:rStyle w:val="None"/>
          <w:b/>
          <w:bCs/>
          <w:sz w:val="24"/>
          <w:szCs w:val="24"/>
        </w:rPr>
        <w:t xml:space="preserve"> </w:t>
      </w:r>
      <w:r>
        <w:rPr>
          <w:rStyle w:val="None"/>
          <w:sz w:val="24"/>
          <w:szCs w:val="24"/>
        </w:rPr>
        <w:t>CFU: colony forming units.</w:t>
      </w:r>
      <w:r>
        <w:rPr>
          <w:rStyle w:val="None"/>
          <w:b/>
          <w:bCs/>
          <w:sz w:val="24"/>
          <w:szCs w:val="24"/>
        </w:rPr>
        <w:t xml:space="preserve"> </w:t>
      </w:r>
    </w:p>
    <w:p w:rsidR="00F64A80" w:rsidRDefault="00F64A80" w:rsidP="00F64A80">
      <w:pPr>
        <w:pStyle w:val="BodyA"/>
        <w:jc w:val="both"/>
      </w:pPr>
    </w:p>
    <w:p w:rsidR="00F64A80" w:rsidRDefault="00F64A80" w:rsidP="00F64A80">
      <w:pPr>
        <w:pStyle w:val="BodyA"/>
        <w:jc w:val="both"/>
      </w:pPr>
    </w:p>
    <w:p w:rsidR="00F64A80" w:rsidRDefault="00F64A80" w:rsidP="00F64A80">
      <w:pPr>
        <w:pStyle w:val="BodyA"/>
        <w:jc w:val="both"/>
      </w:pPr>
    </w:p>
    <w:p w:rsidR="00177F50" w:rsidRDefault="00F64A80"/>
    <w:sectPr w:rsidR="00177F50">
      <w:headerReference w:type="default" r:id="rId11"/>
      <w:footerReference w:type="default" r:id="rId12"/>
      <w:pgSz w:w="11900" w:h="1684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22F" w:rsidRDefault="00F64A80">
    <w:pPr>
      <w:pStyle w:val="Footer"/>
      <w:tabs>
        <w:tab w:val="clear" w:pos="9026"/>
        <w:tab w:val="right" w:pos="9000"/>
      </w:tabs>
      <w:jc w:val="center"/>
    </w:pPr>
    <w:r>
      <w:fldChar w:fldCharType="begin"/>
    </w:r>
    <w:r>
      <w:instrText xml:space="preserve"> PAG</w:instrText>
    </w:r>
    <w:r>
      <w:instrText xml:space="preserve">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22F" w:rsidRDefault="00F64A80">
    <w:pPr>
      <w:pStyle w:val="BodyA"/>
    </w:pPr>
    <w:r>
      <w:rPr>
        <w:i/>
        <w:iCs/>
        <w:sz w:val="20"/>
        <w:szCs w:val="20"/>
      </w:rPr>
      <w:t>EXPERT REVIEW OF ANTI-INFECTIVE THERAPY (3,200 words)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80"/>
    <w:rsid w:val="00522D47"/>
    <w:rsid w:val="00F005DE"/>
    <w:rsid w:val="00F6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919B06-D526-4DBE-9896-2EDCDE3DA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A8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F64A8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paragraph" w:styleId="Footer">
    <w:name w:val="footer"/>
    <w:link w:val="FooterChar"/>
    <w:rsid w:val="00F64A8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character" w:customStyle="1" w:styleId="FooterChar">
    <w:name w:val="Footer Char"/>
    <w:basedOn w:val="DefaultParagraphFont"/>
    <w:link w:val="Footer"/>
    <w:rsid w:val="00F64A80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character" w:customStyle="1" w:styleId="None">
    <w:name w:val="None"/>
    <w:rsid w:val="00F64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eader" Target="header1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Georges, University of London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Licenced User</dc:creator>
  <cp:keywords/>
  <dc:description/>
  <cp:lastModifiedBy>Licenced User</cp:lastModifiedBy>
  <cp:revision>1</cp:revision>
  <dcterms:created xsi:type="dcterms:W3CDTF">2020-01-15T15:35:00Z</dcterms:created>
  <dcterms:modified xsi:type="dcterms:W3CDTF">2020-01-15T15:43:00Z</dcterms:modified>
</cp:coreProperties>
</file>