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5FCC" w14:textId="02F5B685" w:rsidR="0037720D" w:rsidRPr="000C3240" w:rsidRDefault="00C72E75">
      <w:r>
        <w:t>Comparison of Allen Ca</w:t>
      </w:r>
      <w:r w:rsidRPr="000C3240">
        <w:t xml:space="preserve">rr’s Easyway programme </w:t>
      </w:r>
      <w:r w:rsidR="00415E23">
        <w:t>with a specialist behavioural and pharmacological</w:t>
      </w:r>
      <w:r w:rsidR="000D56BE">
        <w:t xml:space="preserve"> smoking cessation</w:t>
      </w:r>
      <w:r w:rsidR="00415E23">
        <w:t xml:space="preserve"> support service</w:t>
      </w:r>
      <w:r w:rsidRPr="000C3240">
        <w:t>: a randomised controlled trial.</w:t>
      </w:r>
    </w:p>
    <w:p w14:paraId="6100E1FC" w14:textId="77777777" w:rsidR="0037720D" w:rsidRPr="000C3240" w:rsidRDefault="0037720D"/>
    <w:p w14:paraId="79EA6852" w14:textId="77777777" w:rsidR="0037720D" w:rsidRPr="000C3240" w:rsidRDefault="00C72E75">
      <w:r w:rsidRPr="000C3240">
        <w:t>Running head: Comparison of Allen Carr’s Easyway programme</w:t>
      </w:r>
    </w:p>
    <w:p w14:paraId="30B10195" w14:textId="77777777" w:rsidR="0037720D" w:rsidRPr="000C3240" w:rsidRDefault="0037720D"/>
    <w:p w14:paraId="11968B45" w14:textId="77777777" w:rsidR="0037720D" w:rsidRPr="000C3240" w:rsidRDefault="0037720D"/>
    <w:p w14:paraId="57699D3F" w14:textId="77777777" w:rsidR="0037720D" w:rsidRPr="000C3240" w:rsidRDefault="0037720D"/>
    <w:p w14:paraId="09C26929" w14:textId="77777777" w:rsidR="0037720D" w:rsidRPr="000C3240" w:rsidRDefault="00C72E75">
      <w:r w:rsidRPr="000C3240">
        <w:t>Frings D</w:t>
      </w:r>
      <w:r w:rsidRPr="000C3240">
        <w:rPr>
          <w:vertAlign w:val="superscript"/>
        </w:rPr>
        <w:t>a</w:t>
      </w:r>
      <w:r w:rsidRPr="000C3240">
        <w:t>, Albery IP</w:t>
      </w:r>
      <w:r w:rsidRPr="000C3240">
        <w:rPr>
          <w:vertAlign w:val="superscript"/>
        </w:rPr>
        <w:t>a</w:t>
      </w:r>
      <w:r w:rsidRPr="000C3240">
        <w:t>, Moss AC</w:t>
      </w:r>
      <w:r w:rsidRPr="000C3240">
        <w:rPr>
          <w:vertAlign w:val="superscript"/>
        </w:rPr>
        <w:t>a</w:t>
      </w:r>
      <w:r w:rsidRPr="000C3240">
        <w:t>, Brunger H</w:t>
      </w:r>
      <w:r w:rsidRPr="000C3240">
        <w:rPr>
          <w:vertAlign w:val="superscript"/>
        </w:rPr>
        <w:t>a</w:t>
      </w:r>
      <w:r w:rsidRPr="000C3240">
        <w:t>, Burghela M</w:t>
      </w:r>
      <w:r w:rsidRPr="000C3240">
        <w:rPr>
          <w:vertAlign w:val="superscript"/>
        </w:rPr>
        <w:t>a</w:t>
      </w:r>
      <w:r w:rsidRPr="000C3240">
        <w:t>, White S</w:t>
      </w:r>
      <w:r w:rsidRPr="000C3240">
        <w:rPr>
          <w:vertAlign w:val="superscript"/>
        </w:rPr>
        <w:t>b</w:t>
      </w:r>
      <w:r w:rsidRPr="000C3240">
        <w:t>, Wood KV</w:t>
      </w:r>
      <w:r w:rsidRPr="000C3240">
        <w:rPr>
          <w:vertAlign w:val="superscript"/>
        </w:rPr>
        <w:t>a</w:t>
      </w:r>
    </w:p>
    <w:p w14:paraId="0248F342" w14:textId="77777777" w:rsidR="0037720D" w:rsidRPr="000C3240" w:rsidRDefault="0037720D">
      <w:pPr>
        <w:rPr>
          <w:b/>
        </w:rPr>
      </w:pPr>
    </w:p>
    <w:p w14:paraId="43A8E8A5" w14:textId="77777777" w:rsidR="0037720D" w:rsidRPr="000C3240" w:rsidRDefault="00C72E75">
      <w:r w:rsidRPr="000C3240">
        <w:rPr>
          <w:vertAlign w:val="superscript"/>
        </w:rPr>
        <w:t xml:space="preserve">a </w:t>
      </w:r>
      <w:r w:rsidRPr="000C3240">
        <w:t>Centre for Addictive Behaviours Research, London South Bank University, London, UK</w:t>
      </w:r>
    </w:p>
    <w:p w14:paraId="41F1C83A" w14:textId="77777777" w:rsidR="0037720D" w:rsidRPr="000C3240" w:rsidRDefault="0037720D">
      <w:pPr>
        <w:rPr>
          <w:b/>
        </w:rPr>
      </w:pPr>
    </w:p>
    <w:p w14:paraId="739B3215" w14:textId="77777777" w:rsidR="0037720D" w:rsidRPr="000C3240" w:rsidRDefault="00C72E75">
      <w:r w:rsidRPr="000C3240">
        <w:rPr>
          <w:vertAlign w:val="superscript"/>
        </w:rPr>
        <w:t xml:space="preserve">b </w:t>
      </w:r>
      <w:r w:rsidRPr="000C3240">
        <w:t>Population Health Research Institute, St George’s University of London, London, UK</w:t>
      </w:r>
    </w:p>
    <w:p w14:paraId="23DD47BE" w14:textId="77777777" w:rsidR="0037720D" w:rsidRPr="000C3240" w:rsidRDefault="0037720D"/>
    <w:p w14:paraId="7B15FE17" w14:textId="77777777" w:rsidR="0037720D" w:rsidRPr="000C3240" w:rsidRDefault="00C72E75">
      <w:r w:rsidRPr="000C3240">
        <w:t xml:space="preserve">Corresponding author: KV Wood email: </w:t>
      </w:r>
      <w:hyperlink r:id="rId7">
        <w:r w:rsidRPr="000C3240">
          <w:rPr>
            <w:color w:val="0000FF"/>
            <w:u w:val="single"/>
          </w:rPr>
          <w:t>woodk6@lsbu.ac.uk</w:t>
        </w:r>
      </w:hyperlink>
      <w:r w:rsidRPr="000C3240">
        <w:t>. Tel.: 02078155888</w:t>
      </w:r>
    </w:p>
    <w:p w14:paraId="15C1AFCB" w14:textId="77777777" w:rsidR="0037720D" w:rsidRPr="000C3240" w:rsidRDefault="0037720D">
      <w:pPr>
        <w:rPr>
          <w:b/>
        </w:rPr>
      </w:pPr>
    </w:p>
    <w:p w14:paraId="4281C6E7" w14:textId="50F96EA5" w:rsidR="0037720D" w:rsidRPr="000C3240" w:rsidRDefault="00C72E75">
      <w:pPr>
        <w:rPr>
          <w:color w:val="333333"/>
        </w:rPr>
      </w:pPr>
      <w:r w:rsidRPr="000C3240">
        <w:rPr>
          <w:b/>
          <w:color w:val="333333"/>
        </w:rPr>
        <w:t>Conflicts of interest</w:t>
      </w:r>
      <w:r w:rsidRPr="000C3240">
        <w:rPr>
          <w:color w:val="333333"/>
        </w:rPr>
        <w:t xml:space="preserve"> The </w:t>
      </w:r>
      <w:r w:rsidR="000D56BE">
        <w:t xml:space="preserve">specialist behavioural and pharmacological smoking cessation support service </w:t>
      </w:r>
      <w:r w:rsidRPr="000C3240">
        <w:rPr>
          <w:color w:val="333333"/>
        </w:rPr>
        <w:t xml:space="preserve">was provided by Lambeth </w:t>
      </w:r>
      <w:r w:rsidR="000D56BE">
        <w:rPr>
          <w:color w:val="333333"/>
        </w:rPr>
        <w:t xml:space="preserve">NHS </w:t>
      </w:r>
      <w:r w:rsidRPr="000C3240">
        <w:rPr>
          <w:color w:val="333333"/>
        </w:rPr>
        <w:t xml:space="preserve">Stop Smoking Service. The design, conduct, data collection, analyses and interpretation of the trial are conducted by London South Bank University, independent from Allen Carr’s Easyway (International) Ltd. Based on the findings, papers for publication were prepared by the research team at LSBU who had ultimate authority over these activities. The research team are contractually free to publish whatever findings the study produces, </w:t>
      </w:r>
      <w:r w:rsidR="00310D72" w:rsidRPr="000C3240">
        <w:rPr>
          <w:color w:val="333333"/>
        </w:rPr>
        <w:t>Allen Carr’s Easyway</w:t>
      </w:r>
      <w:r w:rsidRPr="000C3240">
        <w:rPr>
          <w:color w:val="333333"/>
        </w:rPr>
        <w:t xml:space="preserve"> has no veto over publication, but were given advanced notice of the findings prior to publication. The authors have no other conflicts to declare.</w:t>
      </w:r>
    </w:p>
    <w:p w14:paraId="07B862B0" w14:textId="77777777" w:rsidR="0037720D" w:rsidRPr="000C3240" w:rsidRDefault="0037720D">
      <w:pPr>
        <w:rPr>
          <w:b/>
        </w:rPr>
      </w:pPr>
    </w:p>
    <w:p w14:paraId="47AEBA73" w14:textId="77777777" w:rsidR="0037720D" w:rsidRPr="000C3240" w:rsidRDefault="00C72E75">
      <w:pPr>
        <w:rPr>
          <w:b/>
          <w:color w:val="333333"/>
        </w:rPr>
      </w:pPr>
      <w:r w:rsidRPr="000C3240">
        <w:rPr>
          <w:b/>
          <w:color w:val="333333"/>
        </w:rPr>
        <w:t xml:space="preserve">Trial Registration </w:t>
      </w:r>
      <w:r w:rsidRPr="000C3240">
        <w:t>This trial was registered with ClinicalTrials.gov (ClinicalTrials.gov (NCT02855255), the ISRCTN (ISRCTN23584477) and the Open Science Framework (OSF: t6vgs).</w:t>
      </w:r>
    </w:p>
    <w:p w14:paraId="1533B6AE" w14:textId="77777777" w:rsidR="0037720D" w:rsidRPr="000C3240" w:rsidRDefault="0037720D">
      <w:pPr>
        <w:rPr>
          <w:b/>
        </w:rPr>
      </w:pPr>
    </w:p>
    <w:p w14:paraId="7BF3F013" w14:textId="5CA50687" w:rsidR="0037720D" w:rsidRPr="000C3240" w:rsidRDefault="00C72E75">
      <w:pPr>
        <w:rPr>
          <w:b/>
        </w:rPr>
      </w:pPr>
      <w:r w:rsidRPr="000C3240">
        <w:rPr>
          <w:b/>
        </w:rPr>
        <w:t>Word count:</w:t>
      </w:r>
      <w:r w:rsidRPr="000C3240">
        <w:t xml:space="preserve"> </w:t>
      </w:r>
      <w:r w:rsidR="00C642AE" w:rsidRPr="000C3240">
        <w:t>4</w:t>
      </w:r>
      <w:r w:rsidR="00557583">
        <w:t>387</w:t>
      </w:r>
    </w:p>
    <w:p w14:paraId="584DF1F3" w14:textId="77777777" w:rsidR="0037720D" w:rsidRPr="000C3240" w:rsidRDefault="0037720D">
      <w:pPr>
        <w:rPr>
          <w:b/>
        </w:rPr>
      </w:pPr>
    </w:p>
    <w:p w14:paraId="4147EA98" w14:textId="77777777" w:rsidR="0037720D" w:rsidRPr="000C3240" w:rsidRDefault="0037720D">
      <w:pPr>
        <w:rPr>
          <w:b/>
        </w:rPr>
      </w:pPr>
    </w:p>
    <w:p w14:paraId="7EFF9199" w14:textId="77777777" w:rsidR="0037720D" w:rsidRPr="000C3240" w:rsidRDefault="0037720D">
      <w:pPr>
        <w:rPr>
          <w:b/>
        </w:rPr>
      </w:pPr>
    </w:p>
    <w:p w14:paraId="2D818641" w14:textId="77777777" w:rsidR="0037720D" w:rsidRPr="000C3240" w:rsidRDefault="0037720D">
      <w:pPr>
        <w:rPr>
          <w:b/>
        </w:rPr>
      </w:pPr>
    </w:p>
    <w:p w14:paraId="5D084633" w14:textId="77777777" w:rsidR="0037720D" w:rsidRPr="000C3240" w:rsidRDefault="0037720D">
      <w:pPr>
        <w:rPr>
          <w:b/>
        </w:rPr>
      </w:pPr>
    </w:p>
    <w:p w14:paraId="217A0385" w14:textId="77777777" w:rsidR="0037720D" w:rsidRPr="000C3240" w:rsidRDefault="0037720D">
      <w:pPr>
        <w:rPr>
          <w:b/>
        </w:rPr>
      </w:pPr>
    </w:p>
    <w:p w14:paraId="60E5DBDB" w14:textId="77777777" w:rsidR="0037720D" w:rsidRPr="000C3240" w:rsidRDefault="0037720D">
      <w:pPr>
        <w:rPr>
          <w:b/>
        </w:rPr>
      </w:pPr>
    </w:p>
    <w:p w14:paraId="6D3058E4" w14:textId="77777777" w:rsidR="0037720D" w:rsidRPr="000C3240" w:rsidRDefault="0037720D">
      <w:pPr>
        <w:rPr>
          <w:b/>
        </w:rPr>
      </w:pPr>
    </w:p>
    <w:p w14:paraId="72CF1817" w14:textId="77777777" w:rsidR="0037720D" w:rsidRPr="000C3240" w:rsidRDefault="0037720D">
      <w:pPr>
        <w:rPr>
          <w:b/>
        </w:rPr>
      </w:pPr>
    </w:p>
    <w:p w14:paraId="0DDC0E8A" w14:textId="77777777" w:rsidR="0037720D" w:rsidRPr="000C3240" w:rsidRDefault="0037720D">
      <w:pPr>
        <w:rPr>
          <w:b/>
        </w:rPr>
      </w:pPr>
    </w:p>
    <w:p w14:paraId="4E267210" w14:textId="77777777" w:rsidR="0037720D" w:rsidRPr="000C3240" w:rsidRDefault="0037720D">
      <w:pPr>
        <w:rPr>
          <w:b/>
        </w:rPr>
      </w:pPr>
    </w:p>
    <w:p w14:paraId="33F2B6EA" w14:textId="77777777" w:rsidR="0037720D" w:rsidRPr="000C3240" w:rsidRDefault="0037720D">
      <w:pPr>
        <w:rPr>
          <w:b/>
        </w:rPr>
      </w:pPr>
    </w:p>
    <w:p w14:paraId="01600674" w14:textId="77777777" w:rsidR="0037720D" w:rsidRPr="000C3240" w:rsidRDefault="0037720D">
      <w:pPr>
        <w:rPr>
          <w:b/>
        </w:rPr>
      </w:pPr>
    </w:p>
    <w:p w14:paraId="5BE442A4" w14:textId="77777777" w:rsidR="0037720D" w:rsidRPr="000C3240" w:rsidRDefault="0037720D">
      <w:pPr>
        <w:rPr>
          <w:b/>
        </w:rPr>
      </w:pPr>
    </w:p>
    <w:p w14:paraId="5EDD77C0" w14:textId="77777777" w:rsidR="0037720D" w:rsidRPr="000C3240" w:rsidRDefault="0037720D">
      <w:pPr>
        <w:rPr>
          <w:b/>
        </w:rPr>
      </w:pPr>
    </w:p>
    <w:p w14:paraId="7147F4D0" w14:textId="77777777" w:rsidR="0037720D" w:rsidRPr="000C3240" w:rsidRDefault="0037720D">
      <w:pPr>
        <w:rPr>
          <w:b/>
        </w:rPr>
      </w:pPr>
    </w:p>
    <w:p w14:paraId="7087B743" w14:textId="77777777" w:rsidR="0037720D" w:rsidRPr="000C3240" w:rsidRDefault="0037720D">
      <w:pPr>
        <w:rPr>
          <w:b/>
        </w:rPr>
      </w:pPr>
    </w:p>
    <w:p w14:paraId="218E6E2B" w14:textId="77777777" w:rsidR="0037720D" w:rsidRPr="000C3240" w:rsidRDefault="0037720D">
      <w:pPr>
        <w:rPr>
          <w:b/>
        </w:rPr>
      </w:pPr>
    </w:p>
    <w:p w14:paraId="70251F97" w14:textId="77777777" w:rsidR="0037720D" w:rsidRPr="000C3240" w:rsidRDefault="0037720D">
      <w:pPr>
        <w:rPr>
          <w:b/>
        </w:rPr>
      </w:pPr>
    </w:p>
    <w:p w14:paraId="5B39D7FE" w14:textId="77777777" w:rsidR="0037720D" w:rsidRPr="000C3240" w:rsidRDefault="0037720D">
      <w:pPr>
        <w:rPr>
          <w:b/>
        </w:rPr>
      </w:pPr>
    </w:p>
    <w:p w14:paraId="55201A17" w14:textId="77777777" w:rsidR="0037720D" w:rsidRPr="000C3240" w:rsidRDefault="0037720D">
      <w:pPr>
        <w:rPr>
          <w:b/>
        </w:rPr>
      </w:pPr>
    </w:p>
    <w:p w14:paraId="4B95D6FF" w14:textId="77777777" w:rsidR="0037720D" w:rsidRPr="000C3240" w:rsidRDefault="00C72E75">
      <w:pPr>
        <w:jc w:val="center"/>
        <w:rPr>
          <w:b/>
        </w:rPr>
      </w:pPr>
      <w:r w:rsidRPr="000C3240">
        <w:rPr>
          <w:b/>
        </w:rPr>
        <w:lastRenderedPageBreak/>
        <w:t>ABSTRACT</w:t>
      </w:r>
    </w:p>
    <w:p w14:paraId="4E65CB07" w14:textId="77777777" w:rsidR="0037720D" w:rsidRPr="000C3240" w:rsidRDefault="0037720D">
      <w:pPr>
        <w:rPr>
          <w:b/>
        </w:rPr>
      </w:pPr>
    </w:p>
    <w:p w14:paraId="322AB5F1" w14:textId="4938685C" w:rsidR="0037720D" w:rsidRPr="000C3240" w:rsidRDefault="00C72E75">
      <w:pPr>
        <w:rPr>
          <w:color w:val="333333"/>
        </w:rPr>
      </w:pPr>
      <w:r w:rsidRPr="000C3240">
        <w:rPr>
          <w:b/>
        </w:rPr>
        <w:t>Background and Aims</w:t>
      </w:r>
      <w:r w:rsidRPr="000C3240">
        <w:t xml:space="preserve"> A combination of behavioural and pharmacological support is judged to be the </w:t>
      </w:r>
      <w:r w:rsidR="009C590A">
        <w:t>optimal</w:t>
      </w:r>
      <w:r w:rsidRPr="000C3240">
        <w:t xml:space="preserve"> approach for assisting smoking cessation. Allen Carr’s Easyway</w:t>
      </w:r>
      <w:r w:rsidR="00254BF0" w:rsidRPr="000C3240">
        <w:t xml:space="preserve"> (ACE)</w:t>
      </w:r>
      <w:r w:rsidRPr="000C3240">
        <w:t xml:space="preserve"> </w:t>
      </w:r>
      <w:r w:rsidR="009C590A">
        <w:t xml:space="preserve">is a single-session </w:t>
      </w:r>
      <w:r w:rsidRPr="000C3240">
        <w:t>pharmacotherapy</w:t>
      </w:r>
      <w:r w:rsidR="004B7FA2">
        <w:t>-</w:t>
      </w:r>
      <w:r w:rsidRPr="000C3240">
        <w:t>free programme</w:t>
      </w:r>
      <w:r w:rsidR="009C590A">
        <w:t xml:space="preserve"> that has been in operation internationally for </w:t>
      </w:r>
      <w:r w:rsidR="004712A0">
        <w:t>38</w:t>
      </w:r>
      <w:r w:rsidR="009C590A">
        <w:t xml:space="preserve"> years</w:t>
      </w:r>
      <w:r w:rsidRPr="000C3240">
        <w:t xml:space="preserve">. We compared the effectiveness of ACE with </w:t>
      </w:r>
      <w:r w:rsidR="008E011A">
        <w:t>specialist behavioural and pharmacological support delivered to the national standard in England</w:t>
      </w:r>
      <w:r w:rsidRPr="000C3240">
        <w:t>.</w:t>
      </w:r>
    </w:p>
    <w:p w14:paraId="2B92B5B2" w14:textId="77777777" w:rsidR="0037720D" w:rsidRPr="000C3240" w:rsidRDefault="0037720D">
      <w:pPr>
        <w:rPr>
          <w:color w:val="333333"/>
        </w:rPr>
      </w:pPr>
    </w:p>
    <w:p w14:paraId="36512AA8" w14:textId="14087CCC" w:rsidR="0037720D" w:rsidRPr="000C3240" w:rsidRDefault="00C72E75">
      <w:pPr>
        <w:rPr>
          <w:color w:val="333333"/>
        </w:rPr>
      </w:pPr>
      <w:r w:rsidRPr="000C3240">
        <w:rPr>
          <w:b/>
          <w:color w:val="333333"/>
        </w:rPr>
        <w:t xml:space="preserve">Design </w:t>
      </w:r>
      <w:r w:rsidRPr="000C3240">
        <w:rPr>
          <w:color w:val="333333"/>
        </w:rPr>
        <w:t xml:space="preserve">A two-arm, parallel-group, </w:t>
      </w:r>
      <w:r w:rsidR="009C590A">
        <w:rPr>
          <w:color w:val="333333"/>
        </w:rPr>
        <w:t xml:space="preserve">single </w:t>
      </w:r>
      <w:r w:rsidRPr="000C3240">
        <w:rPr>
          <w:color w:val="333333"/>
        </w:rPr>
        <w:t>blind, randomised controlled trial.</w:t>
      </w:r>
    </w:p>
    <w:p w14:paraId="62DE4353" w14:textId="77777777" w:rsidR="0037720D" w:rsidRPr="000C3240" w:rsidRDefault="0037720D">
      <w:pPr>
        <w:rPr>
          <w:color w:val="333333"/>
        </w:rPr>
      </w:pPr>
    </w:p>
    <w:p w14:paraId="03C9AE42" w14:textId="69FB05E4" w:rsidR="0037720D" w:rsidRPr="000C3240" w:rsidRDefault="00C72E75">
      <w:pPr>
        <w:rPr>
          <w:color w:val="333333"/>
        </w:rPr>
      </w:pPr>
      <w:r w:rsidRPr="000C3240">
        <w:rPr>
          <w:b/>
          <w:color w:val="333333"/>
        </w:rPr>
        <w:t xml:space="preserve">Setting </w:t>
      </w:r>
      <w:r w:rsidRPr="000C3240">
        <w:rPr>
          <w:color w:val="333333"/>
        </w:rPr>
        <w:t xml:space="preserve">London, UK, between February 2017 and May 2018. </w:t>
      </w:r>
    </w:p>
    <w:p w14:paraId="6B2ECB0D" w14:textId="77777777" w:rsidR="0037720D" w:rsidRPr="000C3240" w:rsidRDefault="0037720D">
      <w:pPr>
        <w:rPr>
          <w:color w:val="333333"/>
        </w:rPr>
      </w:pPr>
    </w:p>
    <w:p w14:paraId="7D30B0F3" w14:textId="169295EF" w:rsidR="0037720D" w:rsidRPr="000C3240" w:rsidRDefault="00C72E75">
      <w:pPr>
        <w:rPr>
          <w:color w:val="222222"/>
        </w:rPr>
      </w:pPr>
      <w:r w:rsidRPr="000C3240">
        <w:rPr>
          <w:b/>
          <w:color w:val="333333"/>
        </w:rPr>
        <w:t xml:space="preserve">Participants </w:t>
      </w:r>
      <w:r w:rsidRPr="000C3240">
        <w:t xml:space="preserve">620 </w:t>
      </w:r>
      <w:r w:rsidR="008E011A">
        <w:t>participants</w:t>
      </w:r>
      <w:r w:rsidR="008E011A" w:rsidRPr="000C3240">
        <w:t xml:space="preserve"> </w:t>
      </w:r>
      <w:r w:rsidRPr="000C3240">
        <w:t xml:space="preserve">(310 </w:t>
      </w:r>
      <w:r w:rsidR="00B31569" w:rsidRPr="000C3240">
        <w:t xml:space="preserve">in </w:t>
      </w:r>
      <w:r w:rsidRPr="000C3240">
        <w:t xml:space="preserve">ACE and 310 </w:t>
      </w:r>
      <w:r w:rsidR="00B31569" w:rsidRPr="000C3240">
        <w:t>in</w:t>
      </w:r>
      <w:r w:rsidR="008E011A">
        <w:t xml:space="preserve"> the combined behavioural and pharmacological support condition</w:t>
      </w:r>
      <w:r w:rsidRPr="000C3240">
        <w:t xml:space="preserve">) were included in the analysis. </w:t>
      </w:r>
      <w:r w:rsidRPr="000C3240">
        <w:rPr>
          <w:color w:val="333333"/>
        </w:rPr>
        <w:t>Adult (</w:t>
      </w:r>
      <w:r w:rsidRPr="000C3240">
        <w:rPr>
          <w:rFonts w:eastAsia="Gungsuh"/>
          <w:color w:val="222222"/>
        </w:rPr>
        <w:t xml:space="preserve">≥ 18 years) smokers wanting to quit were randomised </w:t>
      </w:r>
      <w:r w:rsidRPr="000C3240">
        <w:t>in a 1:1 ratio.</w:t>
      </w:r>
      <w:r w:rsidRPr="000C3240">
        <w:rPr>
          <w:color w:val="222222"/>
        </w:rPr>
        <w:t xml:space="preserve"> Mean age for the total sample was 40.8</w:t>
      </w:r>
      <w:r w:rsidR="009C590A">
        <w:rPr>
          <w:color w:val="222222"/>
        </w:rPr>
        <w:t xml:space="preserve"> years</w:t>
      </w:r>
      <w:r w:rsidRPr="000C3240">
        <w:rPr>
          <w:color w:val="222222"/>
        </w:rPr>
        <w:t xml:space="preserve">, with 53.4% being male. </w:t>
      </w:r>
      <w:r w:rsidR="009C590A">
        <w:t>P</w:t>
      </w:r>
      <w:r w:rsidRPr="000C3240">
        <w:t>articipant baseline characteristics (ethnicity, educational level, number of previous quit attempts, nicotine dependence) were evenly balanced between treatment groups.</w:t>
      </w:r>
    </w:p>
    <w:p w14:paraId="5001449A" w14:textId="77777777" w:rsidR="0037720D" w:rsidRPr="000C3240" w:rsidRDefault="0037720D">
      <w:pPr>
        <w:rPr>
          <w:color w:val="222222"/>
        </w:rPr>
      </w:pPr>
    </w:p>
    <w:p w14:paraId="5BB19831" w14:textId="61DE44BE" w:rsidR="0037720D" w:rsidRPr="000C3240" w:rsidRDefault="00C72E75">
      <w:pPr>
        <w:rPr>
          <w:color w:val="333333"/>
        </w:rPr>
      </w:pPr>
      <w:r w:rsidRPr="000C3240">
        <w:rPr>
          <w:b/>
          <w:color w:val="222222"/>
        </w:rPr>
        <w:t>Intervention</w:t>
      </w:r>
      <w:r w:rsidR="004B7FA2">
        <w:rPr>
          <w:b/>
          <w:color w:val="222222"/>
        </w:rPr>
        <w:t xml:space="preserve"> and comparator</w:t>
      </w:r>
      <w:r w:rsidRPr="000C3240">
        <w:rPr>
          <w:b/>
          <w:color w:val="222222"/>
        </w:rPr>
        <w:t xml:space="preserve"> </w:t>
      </w:r>
      <w:r w:rsidR="00254BF0" w:rsidRPr="000C3240">
        <w:rPr>
          <w:color w:val="222222"/>
        </w:rPr>
        <w:t xml:space="preserve">The </w:t>
      </w:r>
      <w:r w:rsidR="009C590A">
        <w:rPr>
          <w:color w:val="222222"/>
        </w:rPr>
        <w:t xml:space="preserve">intervention was the </w:t>
      </w:r>
      <w:r w:rsidR="00254BF0" w:rsidRPr="000C3240">
        <w:rPr>
          <w:color w:val="222222"/>
        </w:rPr>
        <w:t>ACE</w:t>
      </w:r>
      <w:r w:rsidRPr="000C3240">
        <w:rPr>
          <w:color w:val="222222"/>
        </w:rPr>
        <w:t xml:space="preserve"> method of stopping smoking</w:t>
      </w:r>
      <w:r w:rsidR="009C590A">
        <w:rPr>
          <w:color w:val="222222"/>
        </w:rPr>
        <w:t xml:space="preserve">. This centres on </w:t>
      </w:r>
      <w:r w:rsidR="009C590A" w:rsidRPr="000C3240">
        <w:t>a 4.5-6 hour session of group-based support, alongside subsequent text messages and top-up sessions if needed</w:t>
      </w:r>
      <w:r w:rsidR="009C590A">
        <w:t>. It aims to make it easy to stop smoking by convincing smokers that smoking provides no benefits for them. The comparator was</w:t>
      </w:r>
      <w:r w:rsidR="004B7FA2" w:rsidRPr="000C3240">
        <w:rPr>
          <w:color w:val="333333"/>
        </w:rPr>
        <w:t xml:space="preserve"> </w:t>
      </w:r>
      <w:r w:rsidR="009C590A">
        <w:t>a specialist</w:t>
      </w:r>
      <w:r w:rsidRPr="000C3240">
        <w:t xml:space="preserve"> stop smoking service </w:t>
      </w:r>
      <w:r w:rsidR="008E011A">
        <w:t xml:space="preserve">(SSS) </w:t>
      </w:r>
      <w:r w:rsidR="009C590A">
        <w:t xml:space="preserve">providing behavioural </w:t>
      </w:r>
      <w:r w:rsidR="008E011A">
        <w:t xml:space="preserve">and pharmacological </w:t>
      </w:r>
      <w:r w:rsidR="009C590A">
        <w:t>support in accordance with national standards</w:t>
      </w:r>
      <w:r w:rsidRPr="000C3240">
        <w:t>.</w:t>
      </w:r>
    </w:p>
    <w:p w14:paraId="47287E3F" w14:textId="77777777" w:rsidR="0037720D" w:rsidRPr="000C3240" w:rsidRDefault="0037720D">
      <w:pPr>
        <w:rPr>
          <w:b/>
          <w:color w:val="333333"/>
        </w:rPr>
      </w:pPr>
    </w:p>
    <w:p w14:paraId="778006AF" w14:textId="1FD1D1D4" w:rsidR="0037720D" w:rsidRPr="000C3240" w:rsidRDefault="00C72E75">
      <w:r w:rsidRPr="000C3240">
        <w:rPr>
          <w:b/>
          <w:color w:val="222222"/>
        </w:rPr>
        <w:t xml:space="preserve">Measurements </w:t>
      </w:r>
      <w:r w:rsidRPr="000C3240">
        <w:t xml:space="preserve">The primary outcome was </w:t>
      </w:r>
      <w:r w:rsidR="001273C9">
        <w:t>self-reported</w:t>
      </w:r>
      <w:r w:rsidRPr="000C3240">
        <w:t xml:space="preserve"> continuous abstinence </w:t>
      </w:r>
      <w:r w:rsidR="009C590A">
        <w:t>for</w:t>
      </w:r>
      <w:r w:rsidR="009C590A" w:rsidRPr="000C3240">
        <w:t xml:space="preserve"> </w:t>
      </w:r>
      <w:r w:rsidRPr="000C3240">
        <w:t xml:space="preserve">26 weeks </w:t>
      </w:r>
      <w:r w:rsidR="009C590A">
        <w:t>from the</w:t>
      </w:r>
      <w:r w:rsidR="009C590A" w:rsidRPr="000C3240">
        <w:t xml:space="preserve"> </w:t>
      </w:r>
      <w:r w:rsidRPr="000C3240">
        <w:t xml:space="preserve">quit/quit reset date </w:t>
      </w:r>
      <w:r w:rsidR="001273C9">
        <w:t xml:space="preserve">verified by </w:t>
      </w:r>
      <w:r w:rsidRPr="000C3240">
        <w:t xml:space="preserve">exhaled breath carbon monoxide measurement &lt;10 ppm. Primary analysis was by intention to treat. </w:t>
      </w:r>
      <w:r w:rsidR="001273C9">
        <w:t>Secondary outcomes were:</w:t>
      </w:r>
      <w:r w:rsidRPr="000C3240">
        <w:t xml:space="preserve"> use of pharmacotherapy</w:t>
      </w:r>
      <w:r w:rsidR="001273C9">
        <w:t>,</w:t>
      </w:r>
      <w:r w:rsidRPr="000C3240">
        <w:t xml:space="preserve"> adverse events </w:t>
      </w:r>
      <w:r w:rsidR="001273C9">
        <w:t>and continuous abstinence up to</w:t>
      </w:r>
      <w:r w:rsidRPr="000C3240">
        <w:t xml:space="preserve"> 4</w:t>
      </w:r>
      <w:r w:rsidR="001273C9">
        <w:t xml:space="preserve"> and</w:t>
      </w:r>
      <w:r w:rsidRPr="000C3240">
        <w:t xml:space="preserve"> 12 weeks.</w:t>
      </w:r>
    </w:p>
    <w:p w14:paraId="058D5293" w14:textId="77777777" w:rsidR="0037720D" w:rsidRPr="000C3240" w:rsidRDefault="0037720D"/>
    <w:p w14:paraId="19A59391" w14:textId="63A00CE6" w:rsidR="0037720D" w:rsidRPr="000C3240" w:rsidRDefault="00C72E75">
      <w:r w:rsidRPr="000C3240">
        <w:rPr>
          <w:b/>
        </w:rPr>
        <w:t xml:space="preserve">Findings </w:t>
      </w:r>
      <w:r w:rsidR="00B31569" w:rsidRPr="000C3240">
        <w:t>1</w:t>
      </w:r>
      <w:r w:rsidR="00036FD6" w:rsidRPr="000C3240">
        <w:t>52</w:t>
      </w:r>
      <w:r w:rsidRPr="000C3240">
        <w:t xml:space="preserve"> participants did not attend treatment (</w:t>
      </w:r>
      <w:r w:rsidR="00F52747" w:rsidRPr="000C3240">
        <w:t>55</w:t>
      </w:r>
      <w:r w:rsidRPr="000C3240">
        <w:t xml:space="preserve"> ACE vs 97 </w:t>
      </w:r>
      <w:r w:rsidR="008E011A">
        <w:t>SS</w:t>
      </w:r>
      <w:r w:rsidR="008E011A" w:rsidRPr="000C3240">
        <w:t>S</w:t>
      </w:r>
      <w:r w:rsidRPr="000C3240">
        <w:t xml:space="preserve">, </w:t>
      </w:r>
      <w:r w:rsidR="00BF5CA7" w:rsidRPr="000C3240">
        <w:t>p</w:t>
      </w:r>
      <w:r w:rsidRPr="000C3240">
        <w:t>&lt;0.05). Of those who did attend treatment, 100 completed 6</w:t>
      </w:r>
      <w:r w:rsidR="00B31569" w:rsidRPr="000C3240">
        <w:t>-</w:t>
      </w:r>
      <w:r w:rsidRPr="000C3240">
        <w:t xml:space="preserve">month measures (23.7% ACE vs 20.7% </w:t>
      </w:r>
      <w:r w:rsidR="008E011A">
        <w:t>SS</w:t>
      </w:r>
      <w:r w:rsidR="008E011A" w:rsidRPr="000C3240">
        <w:t>S</w:t>
      </w:r>
      <w:r w:rsidRPr="000C3240">
        <w:t xml:space="preserve">). </w:t>
      </w:r>
      <w:r w:rsidR="008E011A">
        <w:t>Continuous abstinence to 26 weeks</w:t>
      </w:r>
      <w:r w:rsidRPr="000C3240">
        <w:t xml:space="preserve"> was 19.4% (60 out of 310) in the ACE intervention and 14.8% (46 out of 310) in the </w:t>
      </w:r>
      <w:r w:rsidR="008E011A">
        <w:t>SS</w:t>
      </w:r>
      <w:r w:rsidR="008E011A" w:rsidRPr="000C3240">
        <w:t xml:space="preserve">S </w:t>
      </w:r>
      <w:r w:rsidRPr="000C3240">
        <w:t xml:space="preserve">intervention (risk difference for ACE vs </w:t>
      </w:r>
      <w:r w:rsidR="008E011A">
        <w:t>SS</w:t>
      </w:r>
      <w:r w:rsidR="008E011A" w:rsidRPr="000C3240">
        <w:t xml:space="preserve">S </w:t>
      </w:r>
      <w:r w:rsidRPr="000C3240">
        <w:t>4.5% [95% CI -1.4% to 10.4%, OR = 1.</w:t>
      </w:r>
      <w:r w:rsidR="00415B1C">
        <w:t>38</w:t>
      </w:r>
      <w:r w:rsidRPr="000C3240">
        <w:t xml:space="preserve">]). </w:t>
      </w:r>
      <w:r w:rsidR="001B394A" w:rsidRPr="000C3240">
        <w:t xml:space="preserve">The Bayes factor </w:t>
      </w:r>
      <w:r w:rsidR="008E011A">
        <w:t>for superiority of the ACE condition wa</w:t>
      </w:r>
      <w:r w:rsidR="008E011A" w:rsidRPr="000C3240">
        <w:t xml:space="preserve">s </w:t>
      </w:r>
      <w:r w:rsidR="001B394A" w:rsidRPr="000C3240">
        <w:t>1.24.</w:t>
      </w:r>
    </w:p>
    <w:p w14:paraId="001AE411" w14:textId="77777777" w:rsidR="0037720D" w:rsidRPr="000C3240" w:rsidRDefault="0037720D">
      <w:pPr>
        <w:rPr>
          <w:b/>
        </w:rPr>
      </w:pPr>
    </w:p>
    <w:p w14:paraId="22AC111B" w14:textId="4FE4152C" w:rsidR="0037720D" w:rsidRPr="000C3240" w:rsidRDefault="00C72E75">
      <w:r w:rsidRPr="000C3240">
        <w:rPr>
          <w:b/>
        </w:rPr>
        <w:t xml:space="preserve">Conclusion </w:t>
      </w:r>
      <w:r w:rsidR="004B7FA2">
        <w:t>There was no</w:t>
      </w:r>
      <w:r w:rsidRPr="000C3240">
        <w:t xml:space="preserve"> clear evidence of a difference in the efficacies of the </w:t>
      </w:r>
      <w:r w:rsidR="004B7FA2" w:rsidRPr="000C3240">
        <w:t xml:space="preserve">Allen Carr’s Easyway </w:t>
      </w:r>
      <w:r w:rsidR="004B7FA2">
        <w:t>(</w:t>
      </w:r>
      <w:r w:rsidR="00254BF0" w:rsidRPr="000C3240">
        <w:t>ACE</w:t>
      </w:r>
      <w:r w:rsidR="004B7FA2">
        <w:t>)</w:t>
      </w:r>
      <w:r w:rsidRPr="000C3240">
        <w:t xml:space="preserve"> and </w:t>
      </w:r>
      <w:r w:rsidR="00E33447">
        <w:t>specialist</w:t>
      </w:r>
      <w:r w:rsidR="004B7FA2">
        <w:t xml:space="preserve"> </w:t>
      </w:r>
      <w:r w:rsidRPr="000C3240">
        <w:t>smoking cessation support</w:t>
      </w:r>
      <w:r w:rsidR="00E33447">
        <w:t xml:space="preserve"> involving behavioural support and pharmacotherapy</w:t>
      </w:r>
      <w:r w:rsidRPr="000C3240">
        <w:t xml:space="preserve">. </w:t>
      </w:r>
    </w:p>
    <w:p w14:paraId="3E1903BD" w14:textId="77777777" w:rsidR="0037720D" w:rsidRPr="000C3240" w:rsidRDefault="0037720D">
      <w:pPr>
        <w:rPr>
          <w:b/>
        </w:rPr>
      </w:pPr>
    </w:p>
    <w:p w14:paraId="60B14419" w14:textId="77777777" w:rsidR="0037720D" w:rsidRPr="000C3240" w:rsidRDefault="00C72E75">
      <w:r w:rsidRPr="000C3240">
        <w:rPr>
          <w:b/>
        </w:rPr>
        <w:t xml:space="preserve">Keywords </w:t>
      </w:r>
      <w:r w:rsidRPr="000C3240">
        <w:t xml:space="preserve">Smoking, Cessation, Allen Carr, NHS, Randomised Controlled Trial. </w:t>
      </w:r>
    </w:p>
    <w:p w14:paraId="0B8E5624" w14:textId="77777777" w:rsidR="0037720D" w:rsidRPr="000C3240" w:rsidRDefault="0037720D"/>
    <w:p w14:paraId="6E8B5B7F" w14:textId="77777777" w:rsidR="0037720D" w:rsidRPr="000C3240" w:rsidRDefault="0037720D">
      <w:pPr>
        <w:rPr>
          <w:b/>
        </w:rPr>
      </w:pPr>
    </w:p>
    <w:p w14:paraId="73420EB8" w14:textId="77777777" w:rsidR="0037720D" w:rsidRPr="000C3240" w:rsidRDefault="0037720D">
      <w:pPr>
        <w:rPr>
          <w:b/>
        </w:rPr>
      </w:pPr>
    </w:p>
    <w:p w14:paraId="483BA526" w14:textId="77777777" w:rsidR="0037720D" w:rsidRPr="000C3240" w:rsidRDefault="0037720D">
      <w:pPr>
        <w:rPr>
          <w:b/>
        </w:rPr>
      </w:pPr>
    </w:p>
    <w:p w14:paraId="333B89D5" w14:textId="77777777" w:rsidR="0037720D" w:rsidRPr="000C3240" w:rsidRDefault="0037720D">
      <w:pPr>
        <w:rPr>
          <w:b/>
        </w:rPr>
      </w:pPr>
    </w:p>
    <w:p w14:paraId="0E2380DB" w14:textId="77777777" w:rsidR="0037720D" w:rsidRPr="000C3240" w:rsidRDefault="0037720D">
      <w:pPr>
        <w:rPr>
          <w:b/>
        </w:rPr>
      </w:pPr>
    </w:p>
    <w:p w14:paraId="0313082F" w14:textId="77777777" w:rsidR="0037720D" w:rsidRPr="000C3240" w:rsidRDefault="0037720D">
      <w:pPr>
        <w:rPr>
          <w:b/>
        </w:rPr>
      </w:pPr>
    </w:p>
    <w:p w14:paraId="0C2DB683" w14:textId="5A32F6B3" w:rsidR="0037720D" w:rsidRPr="000C3240" w:rsidRDefault="0037720D">
      <w:pPr>
        <w:rPr>
          <w:b/>
        </w:rPr>
      </w:pPr>
    </w:p>
    <w:p w14:paraId="702F0D30" w14:textId="77777777" w:rsidR="00C642AE" w:rsidRPr="000C3240" w:rsidRDefault="00C642AE">
      <w:pPr>
        <w:rPr>
          <w:b/>
        </w:rPr>
      </w:pPr>
    </w:p>
    <w:p w14:paraId="50BF855A" w14:textId="120F2DE3" w:rsidR="0037720D" w:rsidRPr="000C3240" w:rsidRDefault="0037720D">
      <w:pPr>
        <w:rPr>
          <w:b/>
        </w:rPr>
      </w:pPr>
    </w:p>
    <w:p w14:paraId="6B601236" w14:textId="77777777" w:rsidR="003A2517" w:rsidRPr="000C3240" w:rsidRDefault="003A2517">
      <w:pPr>
        <w:rPr>
          <w:b/>
        </w:rPr>
      </w:pPr>
    </w:p>
    <w:p w14:paraId="5E6B9C49" w14:textId="77777777" w:rsidR="0037720D" w:rsidRPr="000C3240" w:rsidRDefault="0037720D">
      <w:pPr>
        <w:rPr>
          <w:b/>
        </w:rPr>
      </w:pPr>
    </w:p>
    <w:p w14:paraId="61577BD4" w14:textId="77777777" w:rsidR="0037720D" w:rsidRPr="000C3240" w:rsidRDefault="0037720D">
      <w:pPr>
        <w:rPr>
          <w:b/>
        </w:rPr>
      </w:pPr>
    </w:p>
    <w:p w14:paraId="74364FA6" w14:textId="77777777" w:rsidR="0037720D" w:rsidRPr="000C3240" w:rsidRDefault="00C72E75">
      <w:pPr>
        <w:rPr>
          <w:b/>
        </w:rPr>
      </w:pPr>
      <w:r w:rsidRPr="000C3240">
        <w:rPr>
          <w:b/>
        </w:rPr>
        <w:t>INTRODUCTION</w:t>
      </w:r>
    </w:p>
    <w:p w14:paraId="629A9920" w14:textId="77777777" w:rsidR="0037720D" w:rsidRPr="000C3240" w:rsidRDefault="00C72E75">
      <w:pPr>
        <w:rPr>
          <w:color w:val="333333"/>
        </w:rPr>
      </w:pPr>
      <w:r w:rsidRPr="000C3240">
        <w:rPr>
          <w:color w:val="333333"/>
        </w:rPr>
        <w:t>Although the WHO</w:t>
      </w:r>
      <w:r w:rsidRPr="000C3240">
        <w:rPr>
          <w:color w:val="333333"/>
          <w:vertAlign w:val="superscript"/>
        </w:rPr>
        <w:t>1</w:t>
      </w:r>
      <w:r w:rsidRPr="000C3240">
        <w:rPr>
          <w:color w:val="333333"/>
        </w:rPr>
        <w:t> report that the prevalence of tobacco smoking is declining worldwide, in England alone in 2017 14.9% of adults were classified as smokers, with 77,900 deaths attributed to smoking.</w:t>
      </w:r>
      <w:r w:rsidRPr="000C3240">
        <w:rPr>
          <w:color w:val="333333"/>
          <w:vertAlign w:val="superscript"/>
        </w:rPr>
        <w:t>2</w:t>
      </w:r>
      <w:r w:rsidRPr="000C3240">
        <w:rPr>
          <w:color w:val="333333"/>
        </w:rPr>
        <w:t xml:space="preserve"> Many smokers want to quit and often make several attempts to do so, but the majority fail due to both physiological and psychological factors.</w:t>
      </w:r>
      <w:r w:rsidRPr="000C3240">
        <w:rPr>
          <w:color w:val="333333"/>
          <w:vertAlign w:val="superscript"/>
        </w:rPr>
        <w:t>3</w:t>
      </w:r>
      <w:r w:rsidRPr="000C3240">
        <w:rPr>
          <w:color w:val="333333"/>
        </w:rPr>
        <w:t> Over the years, researchers have sought to develop effective cessation treatments (psychological and pharmacological) in an effort to provide education and support. Although evidence suggests these types of intervention are cost-effective from a public health perspective, a recent report showed that 37% of smokers made an attempt to quit but only 19% were successful in the short term.</w:t>
      </w:r>
      <w:r w:rsidRPr="000C3240">
        <w:rPr>
          <w:color w:val="333333"/>
          <w:vertAlign w:val="superscript"/>
        </w:rPr>
        <w:t>4</w:t>
      </w:r>
      <w:r w:rsidRPr="000C3240">
        <w:rPr>
          <w:color w:val="333333"/>
        </w:rPr>
        <w:t xml:space="preserve"> In addition, many people fail to maintain smoking cessation in the longer term.</w:t>
      </w:r>
      <w:r w:rsidRPr="000C3240">
        <w:rPr>
          <w:vertAlign w:val="superscript"/>
        </w:rPr>
        <w:t>5,6</w:t>
      </w:r>
    </w:p>
    <w:p w14:paraId="5FF14A59" w14:textId="1CBA78C6" w:rsidR="0037720D" w:rsidRPr="000C3240" w:rsidRDefault="00C72E75">
      <w:pPr>
        <w:rPr>
          <w:color w:val="333333"/>
        </w:rPr>
      </w:pPr>
      <w:bookmarkStart w:id="0" w:name="_gjdgxs" w:colFirst="0" w:colLast="0"/>
      <w:bookmarkEnd w:id="0"/>
      <w:r w:rsidRPr="000C3240">
        <w:rPr>
          <w:color w:val="333333"/>
        </w:rPr>
        <w:t>It is important to understand and continually evaluate the relative efficacies of various interventions designed to help people quit smoking, and to develop the evidence base for methods which, while well-established, have not been tested systematically. One such treatment, offered in the UK, is the Allen Carr’s Easyway (ACE) method of stopping smoking. While the ACE method is well established and its efficacy has received some empirical support,</w:t>
      </w:r>
      <w:r w:rsidRPr="000C3240">
        <w:rPr>
          <w:color w:val="333333"/>
          <w:vertAlign w:val="superscript"/>
        </w:rPr>
        <w:t xml:space="preserve">7,8 </w:t>
      </w:r>
      <w:r w:rsidRPr="000C3240">
        <w:rPr>
          <w:color w:val="333333"/>
        </w:rPr>
        <w:t xml:space="preserve">there has not to date been a full trial testing the efficacy of this method using the Russell Standard as the outcome measure (the benchmark cessation measure) or </w:t>
      </w:r>
      <w:r w:rsidR="00310D72">
        <w:rPr>
          <w:color w:val="333333"/>
        </w:rPr>
        <w:t xml:space="preserve">a </w:t>
      </w:r>
      <w:r w:rsidRPr="000C3240">
        <w:rPr>
          <w:color w:val="333333"/>
        </w:rPr>
        <w:t>compar</w:t>
      </w:r>
      <w:r w:rsidR="00310D72">
        <w:rPr>
          <w:color w:val="333333"/>
        </w:rPr>
        <w:t>ison</w:t>
      </w:r>
      <w:r w:rsidRPr="000C3240">
        <w:rPr>
          <w:color w:val="333333"/>
        </w:rPr>
        <w:t xml:space="preserve"> against</w:t>
      </w:r>
      <w:r w:rsidR="004712A0">
        <w:rPr>
          <w:color w:val="333333"/>
        </w:rPr>
        <w:t xml:space="preserve"> a </w:t>
      </w:r>
      <w:r w:rsidR="004712A0">
        <w:t>specialist</w:t>
      </w:r>
      <w:r w:rsidR="004712A0" w:rsidRPr="000C3240">
        <w:t xml:space="preserve"> stop smoking service </w:t>
      </w:r>
      <w:r w:rsidR="004712A0">
        <w:t>(SSS) providing behavioural and pharmacological support in accordance with national standards</w:t>
      </w:r>
      <w:r w:rsidRPr="000C3240">
        <w:rPr>
          <w:color w:val="333333"/>
        </w:rPr>
        <w:t xml:space="preserve"> (a highly effective stop smoking intervention offered in the UK).</w:t>
      </w:r>
      <w:r w:rsidRPr="000C3240">
        <w:rPr>
          <w:color w:val="333333"/>
          <w:vertAlign w:val="superscript"/>
        </w:rPr>
        <w:t>9,10</w:t>
      </w:r>
      <w:r w:rsidRPr="000C3240">
        <w:rPr>
          <w:color w:val="333333"/>
        </w:rPr>
        <w:t xml:space="preserve"> Evaluating the efficacy of the ACE method is important as it offers a pharmacotherapy free method of smoking cessation which can be delivered in group therapy sessions. As such, it may offer a viable cost-effective additional treatment option in public/funded healthcare settings. In the current study, we conducted a parallel group, randomised controlled trial to compare the efficacy of the ACE method and a </w:t>
      </w:r>
      <w:r w:rsidR="004712A0">
        <w:t>specialist</w:t>
      </w:r>
      <w:r w:rsidR="004712A0" w:rsidRPr="000C3240">
        <w:t xml:space="preserve"> stop smoking service </w:t>
      </w:r>
      <w:r w:rsidR="004712A0">
        <w:t>(SSS) providing behavioural and pharmacological support</w:t>
      </w:r>
      <w:r w:rsidRPr="000C3240">
        <w:rPr>
          <w:color w:val="333333"/>
        </w:rPr>
        <w:t xml:space="preserve">. </w:t>
      </w:r>
    </w:p>
    <w:p w14:paraId="46BE1D7C" w14:textId="77777777" w:rsidR="0037720D" w:rsidRPr="000C3240" w:rsidRDefault="0037720D">
      <w:pPr>
        <w:rPr>
          <w:b/>
          <w:color w:val="333333"/>
        </w:rPr>
      </w:pPr>
    </w:p>
    <w:p w14:paraId="067E0022" w14:textId="77777777" w:rsidR="0037720D" w:rsidRPr="000C3240" w:rsidRDefault="00C72E75">
      <w:pPr>
        <w:rPr>
          <w:b/>
          <w:color w:val="333333"/>
        </w:rPr>
      </w:pPr>
      <w:r w:rsidRPr="000C3240">
        <w:rPr>
          <w:b/>
          <w:color w:val="333333"/>
        </w:rPr>
        <w:t>METHODS</w:t>
      </w:r>
    </w:p>
    <w:p w14:paraId="2AD7C2EA" w14:textId="77777777" w:rsidR="0037720D" w:rsidRPr="000C3240" w:rsidRDefault="00C72E75">
      <w:pPr>
        <w:rPr>
          <w:b/>
          <w:color w:val="333333"/>
        </w:rPr>
      </w:pPr>
      <w:r w:rsidRPr="000C3240">
        <w:rPr>
          <w:b/>
          <w:color w:val="333333"/>
        </w:rPr>
        <w:t>Study design</w:t>
      </w:r>
    </w:p>
    <w:p w14:paraId="325D4514" w14:textId="38B81261" w:rsidR="0037720D" w:rsidRPr="000C3240" w:rsidRDefault="00C72E75">
      <w:pPr>
        <w:rPr>
          <w:vertAlign w:val="superscript"/>
        </w:rPr>
      </w:pPr>
      <w:r w:rsidRPr="000C3240">
        <w:t xml:space="preserve">A two-arm, parallel group, </w:t>
      </w:r>
      <w:r w:rsidR="003F48AA">
        <w:t xml:space="preserve">single </w:t>
      </w:r>
      <w:r w:rsidRPr="000C3240">
        <w:t>blind</w:t>
      </w:r>
      <w:r w:rsidR="003F48AA">
        <w:t>,</w:t>
      </w:r>
      <w:r w:rsidRPr="000C3240">
        <w:t xml:space="preserve"> randomised controlled trial, conducted in London, UK. First randomisation was on 3</w:t>
      </w:r>
      <w:r w:rsidRPr="000C3240">
        <w:rPr>
          <w:vertAlign w:val="superscript"/>
        </w:rPr>
        <w:t>rd</w:t>
      </w:r>
      <w:r w:rsidRPr="000C3240">
        <w:t xml:space="preserve"> February, 2017, and </w:t>
      </w:r>
      <w:r w:rsidR="00310D72">
        <w:t xml:space="preserve">the </w:t>
      </w:r>
      <w:r w:rsidRPr="000C3240">
        <w:t>last follow up on 25</w:t>
      </w:r>
      <w:r w:rsidRPr="000C3240">
        <w:rPr>
          <w:vertAlign w:val="superscript"/>
        </w:rPr>
        <w:t>th</w:t>
      </w:r>
      <w:r w:rsidRPr="000C3240">
        <w:t xml:space="preserve"> May, 2018. The published protocol describes procedures in detail.</w:t>
      </w:r>
      <w:r w:rsidRPr="000C3240">
        <w:rPr>
          <w:vertAlign w:val="superscript"/>
        </w:rPr>
        <w:t xml:space="preserve">11 </w:t>
      </w:r>
    </w:p>
    <w:p w14:paraId="3F2FE157" w14:textId="77777777" w:rsidR="0037720D" w:rsidRPr="000C3240" w:rsidRDefault="0037720D"/>
    <w:p w14:paraId="2AE48E9D" w14:textId="77777777" w:rsidR="0037720D" w:rsidRPr="000C3240" w:rsidRDefault="00C72E75">
      <w:pPr>
        <w:rPr>
          <w:b/>
        </w:rPr>
      </w:pPr>
      <w:r w:rsidRPr="000C3240">
        <w:rPr>
          <w:b/>
        </w:rPr>
        <w:t>Participants</w:t>
      </w:r>
    </w:p>
    <w:p w14:paraId="1D3FE5DE" w14:textId="08A5F3E6" w:rsidR="0037720D" w:rsidRPr="000C3240" w:rsidRDefault="00C72E75">
      <w:r w:rsidRPr="000C3240">
        <w:t xml:space="preserve">People were eligible if aged 18 years or older, were current smokers </w:t>
      </w:r>
      <w:r w:rsidR="00310D72">
        <w:t>wanting</w:t>
      </w:r>
      <w:r w:rsidRPr="000C3240">
        <w:t xml:space="preserve"> to quit, were open to being randomly assigned to one of two treatment conditions, and who could provide consent. We excluded pregnant women; those reporting a mental health condition or respiratory disease such as asthma or e</w:t>
      </w:r>
      <w:r w:rsidRPr="000C3240">
        <w:rPr>
          <w:color w:val="000000"/>
        </w:rPr>
        <w:t xml:space="preserve">mphysema; people who were currently enrolled on a similar clinical trial; and people who were not </w:t>
      </w:r>
      <w:r w:rsidRPr="000C3240">
        <w:t>willing to undertake a stop smoking service which is neither endorsed by the NHS</w:t>
      </w:r>
      <w:r w:rsidRPr="00222E60">
        <w:t>, nor NICE approved.</w:t>
      </w:r>
      <w:r w:rsidRPr="000C3240">
        <w:t xml:space="preserve"> </w:t>
      </w:r>
    </w:p>
    <w:p w14:paraId="37623E68" w14:textId="77777777" w:rsidR="0037720D" w:rsidRPr="000C3240" w:rsidRDefault="0037720D"/>
    <w:p w14:paraId="4F00DD91" w14:textId="77777777" w:rsidR="0037720D" w:rsidRPr="000C3240" w:rsidRDefault="00C72E75">
      <w:pPr>
        <w:rPr>
          <w:b/>
        </w:rPr>
      </w:pPr>
      <w:r w:rsidRPr="000C3240">
        <w:rPr>
          <w:b/>
        </w:rPr>
        <w:t>Procedure</w:t>
      </w:r>
    </w:p>
    <w:p w14:paraId="6F40EFF2" w14:textId="010D17D0" w:rsidR="0037720D" w:rsidRPr="000C3240" w:rsidRDefault="00C72E75">
      <w:r w:rsidRPr="000C3240">
        <w:t xml:space="preserve">We recruited via social media channels, newspaper and radio advertisements, and targeted emails to local businesses and organisations asking people to contact the study centre for more information and eligibility pre-screening. This was undertaken by research assistants, who also performed follow-up assessments. The research team made an initial contact attempt within two days to arrange a suitable time for pre-screening </w:t>
      </w:r>
      <w:r w:rsidR="003A2517" w:rsidRPr="000C3240">
        <w:t>(</w:t>
      </w:r>
      <w:r w:rsidRPr="000C3240">
        <w:t xml:space="preserve">with subsequent attempts over the next three weeks, unless the participant withdrew). They were not told at the point of pre-screening which two interventions were being compared, just that the study aimed to compare the efficacy of two stop smoking interventions. If eligible, participants were asked about demographics, nicotine dependence and prior quit attempts to allow for stratified randomisation into the trial. Eligible participants were sent a consent form immediately after pre-screening and asked to return it within a week. On gaining written consent, participant’s details were immediately sent to the independent randomiser for allocation. Once randomised, participant details were emailed to the allocated intervention arm, for them to make contact to schedule treatment, which was recorded on a blind shared file. Treatment arms attempted to make contact with participants within the first week of receiving the allocation. Research assistants checked this file daily, and contacted participants to arrange a face-to-face appointment to collect baseline data (no more than one week before the treatment date). Tests were administered by research assistants at LSBU and participants were paid £15 for attending each appointment. In addition, all participants who completed the final wave were entered into a raffle for a holiday and other (low value) prizes.  Data collection continued as scheduled if participants discontinued treatments. </w:t>
      </w:r>
    </w:p>
    <w:p w14:paraId="294202D0" w14:textId="77777777" w:rsidR="0037720D" w:rsidRPr="000C3240" w:rsidRDefault="00C72E75">
      <w:r w:rsidRPr="000C3240">
        <w:t xml:space="preserve">The Fulham Research Ethics Committee approved the research protocol (ref: 16/LO/1657) as did the London South Bank University (LSBU) ethics panel (UEP0516). </w:t>
      </w:r>
    </w:p>
    <w:p w14:paraId="6472AE9E" w14:textId="77777777" w:rsidR="0037720D" w:rsidRPr="000C3240" w:rsidRDefault="0037720D"/>
    <w:p w14:paraId="1EA1C110" w14:textId="77777777" w:rsidR="0037720D" w:rsidRPr="000C3240" w:rsidRDefault="00C72E75">
      <w:pPr>
        <w:rPr>
          <w:b/>
        </w:rPr>
      </w:pPr>
      <w:r w:rsidRPr="000C3240">
        <w:rPr>
          <w:b/>
        </w:rPr>
        <w:t>Randomisation and Masking</w:t>
      </w:r>
    </w:p>
    <w:p w14:paraId="3E78383D" w14:textId="77777777" w:rsidR="0037720D" w:rsidRPr="000C3240" w:rsidRDefault="00C72E75">
      <w:r w:rsidRPr="000C3240">
        <w:t>Participants who met the inclusion criteria and gave details about demographics and nicotine dependence (Fagerstrom Test for Nicotine Dependence [FTND</w:t>
      </w:r>
      <w:r w:rsidRPr="000C3240">
        <w:rPr>
          <w:vertAlign w:val="superscript"/>
        </w:rPr>
        <w:t>12</w:t>
      </w:r>
      <w:r w:rsidRPr="000C3240">
        <w:t xml:space="preserve">]) were randomised by the study statistician (SW) in a 1:1 ratio to either the ACE or NHS treatments, with computerised block randomisation </w:t>
      </w:r>
      <w:r w:rsidRPr="000C3240">
        <w:rPr>
          <w:color w:val="222222"/>
        </w:rPr>
        <w:t xml:space="preserve">stratified by </w:t>
      </w:r>
      <w:r w:rsidRPr="000C3240">
        <w:t xml:space="preserve">age (18-37 or &gt;38), sex (male or female), number of previous quit attempts (none made over past year or attempts reported over past year), and level of nicotine dependence (&gt;5 or </w:t>
      </w:r>
      <w:r w:rsidRPr="000C3240">
        <w:rPr>
          <w:rFonts w:ascii="Gungsuh" w:eastAsia="Gungsuh" w:hAnsi="Gungsuh" w:cs="Gungsuh"/>
          <w:color w:val="222222"/>
        </w:rPr>
        <w:t>≤</w:t>
      </w:r>
      <w:r w:rsidRPr="000C3240">
        <w:t>5 FTND). The stratification variables were selected as they have been shown to influence treatment success, and our aim was to investigate the unique effects of treatment across a demographically heterogeneous sample. Participants were blind to both treatments until randomised and once allocated were blind to the treatment not being received. Treatment staff were not blind to participants taking part in the trial. Members of the trial steering committee, management committee, and other team members (with the exception of the statistician/randomiser), remained blind to treatment allocation until the final follow-up was completed and the analysis undertaken recorded. The analysis protocol and syntax were prepared and lodged with the OSF before the statistician was provided with the dataset.</w:t>
      </w:r>
    </w:p>
    <w:p w14:paraId="25124332" w14:textId="77777777" w:rsidR="0037720D" w:rsidRPr="000C3240" w:rsidRDefault="0037720D"/>
    <w:p w14:paraId="48A89022" w14:textId="77777777" w:rsidR="0037720D" w:rsidRPr="000C3240" w:rsidRDefault="00C72E75">
      <w:pPr>
        <w:rPr>
          <w:b/>
        </w:rPr>
      </w:pPr>
      <w:r w:rsidRPr="000C3240">
        <w:rPr>
          <w:b/>
        </w:rPr>
        <w:t>Interventions</w:t>
      </w:r>
    </w:p>
    <w:p w14:paraId="05AE4052" w14:textId="77777777" w:rsidR="0037720D" w:rsidRPr="000C3240" w:rsidRDefault="00C72E75">
      <w:pPr>
        <w:rPr>
          <w:i/>
        </w:rPr>
      </w:pPr>
      <w:r w:rsidRPr="000C3240">
        <w:rPr>
          <w:i/>
        </w:rPr>
        <w:t>Allen Carr’s Easyway Programme</w:t>
      </w:r>
    </w:p>
    <w:p w14:paraId="05335B15" w14:textId="618A7E2B" w:rsidR="0037720D" w:rsidRPr="000C3240" w:rsidRDefault="00C72E75">
      <w:pPr>
        <w:pBdr>
          <w:top w:val="nil"/>
          <w:left w:val="nil"/>
          <w:bottom w:val="nil"/>
          <w:right w:val="nil"/>
          <w:between w:val="nil"/>
        </w:pBdr>
      </w:pPr>
      <w:r w:rsidRPr="000C3240">
        <w:t>Participants randomised to the ACE treatment arm attended a single group session at their choice of either LSBU (</w:t>
      </w:r>
      <w:r w:rsidR="00797316" w:rsidRPr="000C3240">
        <w:t>2</w:t>
      </w:r>
      <w:r w:rsidRPr="000C3240">
        <w:t xml:space="preserve"> day</w:t>
      </w:r>
      <w:r w:rsidR="00797316" w:rsidRPr="000C3240">
        <w:t>s</w:t>
      </w:r>
      <w:r w:rsidRPr="000C3240">
        <w:t xml:space="preserve"> a week) or Allen Carr’s London treatment centre (6 days a week, afternoon only). The session lasted five to six hours and comprised elements of cognitive behavioural therapy (CBT) with a brief relaxation exercise at the end that serves to reinforce the main points covered. Participants were encouraged to carry on smoking as usual prior to attending the session and to take advantage of scheduled smoking breaks (every 45-60 minutes) before finishing with a final ‘ritual’ cigarette. A trained facilitator worked with participants to help them recognise the positive expectancies they associate with smoking (e.g. pleasure, support, a crutch) before moving towards the conclusion that any beliefs about smoking being of benefit to the individual are harmful. Participants were also taught how the psychological and pharmacological mechanisms of nicotine addiction facilitate the maintenance of a problematic belief system. Following the session, participants were sent regular SMS messages from the clinical team, standard procedure for this intervention, reminding them to touch base with any questions they might have (for a fuller description see the published protocol</w:t>
      </w:r>
      <w:r w:rsidR="00A92F3E" w:rsidRPr="000C3240">
        <w:rPr>
          <w:vertAlign w:val="superscript"/>
        </w:rPr>
        <w:t>11</w:t>
      </w:r>
      <w:r w:rsidRPr="000C3240">
        <w:t xml:space="preserve"> and Appendix below). One therapist delivered each group</w:t>
      </w:r>
      <w:r w:rsidR="00A92F3E" w:rsidRPr="000C3240">
        <w:t xml:space="preserve"> session</w:t>
      </w:r>
      <w:r w:rsidRPr="000C3240">
        <w:t xml:space="preserve"> (7 therapists in total delivered group</w:t>
      </w:r>
      <w:r w:rsidR="00A92F3E" w:rsidRPr="000C3240">
        <w:t xml:space="preserve"> sessions</w:t>
      </w:r>
      <w:r w:rsidRPr="000C3240">
        <w:t>). The mean number of participants per group was 8.95 (SD=4.08, range = 1-19). Participants could select which site to attend</w:t>
      </w:r>
      <w:r w:rsidR="00A92F3E" w:rsidRPr="000C3240">
        <w:t xml:space="preserve"> </w:t>
      </w:r>
      <w:r w:rsidRPr="000C3240">
        <w:t xml:space="preserve">- </w:t>
      </w:r>
      <w:r w:rsidR="00700DFD" w:rsidRPr="000C3240">
        <w:t>197</w:t>
      </w:r>
      <w:r w:rsidRPr="000C3240">
        <w:t xml:space="preserve"> attended their initial treatment session at LSBU and </w:t>
      </w:r>
      <w:r w:rsidR="00700DFD" w:rsidRPr="000C3240">
        <w:t>58</w:t>
      </w:r>
      <w:r w:rsidRPr="000C3240">
        <w:t xml:space="preserve"> at ACE’s </w:t>
      </w:r>
      <w:r w:rsidR="00A92F3E" w:rsidRPr="000C3240">
        <w:t>L</w:t>
      </w:r>
      <w:r w:rsidRPr="000C3240">
        <w:t>ondon treatment centre. There was no difference in the primary outcome measure between sites (</w:t>
      </w:r>
      <w:r w:rsidR="00593B62" w:rsidRPr="000C3240">
        <w:t>x</w:t>
      </w:r>
      <w:r w:rsidR="00593B62" w:rsidRPr="000C3240">
        <w:rPr>
          <w:vertAlign w:val="superscript"/>
        </w:rPr>
        <w:t>2</w:t>
      </w:r>
      <w:r w:rsidR="00593B62" w:rsidRPr="000C3240">
        <w:t xml:space="preserve"> </w:t>
      </w:r>
      <w:r w:rsidRPr="000C3240">
        <w:t xml:space="preserve">= </w:t>
      </w:r>
      <w:r w:rsidR="00700DFD" w:rsidRPr="000C3240">
        <w:t>0.87</w:t>
      </w:r>
      <w:r w:rsidRPr="000C3240">
        <w:t xml:space="preserve">, p = </w:t>
      </w:r>
      <w:r w:rsidR="00700DFD" w:rsidRPr="000C3240">
        <w:t>0.351</w:t>
      </w:r>
      <w:r w:rsidRPr="000C3240">
        <w:t>)</w:t>
      </w:r>
      <w:r w:rsidR="002A35C8" w:rsidRPr="000C3240">
        <w:t>.</w:t>
      </w:r>
    </w:p>
    <w:p w14:paraId="1195BFA2" w14:textId="59DA769A" w:rsidR="004712A0" w:rsidRPr="000C3240" w:rsidRDefault="004712A0" w:rsidP="003E412C">
      <w:pPr>
        <w:rPr>
          <w:vertAlign w:val="subscript"/>
        </w:rPr>
      </w:pPr>
      <w:r w:rsidRPr="003E412C">
        <w:rPr>
          <w:i/>
        </w:rPr>
        <w:t>Specialist stop smoking service (SSS)</w:t>
      </w:r>
    </w:p>
    <w:p w14:paraId="3125077A" w14:textId="67DC2799" w:rsidR="0037720D" w:rsidRPr="000C3240" w:rsidRDefault="004712A0" w:rsidP="004712A0">
      <w:bookmarkStart w:id="1" w:name="_30j0zll" w:colFirst="0" w:colLast="0"/>
      <w:bookmarkEnd w:id="1"/>
      <w:r>
        <w:t xml:space="preserve">Participants </w:t>
      </w:r>
      <w:r w:rsidR="00C72E75" w:rsidRPr="000C3240">
        <w:t xml:space="preserve">who received the </w:t>
      </w:r>
      <w:r>
        <w:t>SSS</w:t>
      </w:r>
      <w:r w:rsidR="00C72E75" w:rsidRPr="000C3240">
        <w:t xml:space="preserve"> treatment attended a single 30-minute session, which combined motivational interviewing and CBT approaches and up to four follow up sessions (their standard treatment protocol). Sessions took place at LSBU and were delivered by four </w:t>
      </w:r>
      <w:r>
        <w:t>SSS</w:t>
      </w:r>
      <w:r w:rsidR="00C72E75" w:rsidRPr="000C3240">
        <w:t xml:space="preserve"> therapists.  Sessions were available 5 days a week in the morning or afternoon. This constitutes the local NHS stop smoking service currently offered at Guy’s and St Thomas’ NHS Foundation Trust and Lambeth Public Health. In the first session, a therapist assessed current smoking, readiness to quit and past quit attempts. Participants were then advised about nicotine dependence and withdrawal and the pros and cons of pharmacotherapy discussed. Participants were asked to set a quit date (within two weeks of attending the first session) and assisted to recognise and plan for any upcoming high-risk situations which may lead to relapse. </w:t>
      </w:r>
      <w:r w:rsidR="00C72E75" w:rsidRPr="000C3240">
        <w:rPr>
          <w:rFonts w:eastAsia="Calibri"/>
        </w:rPr>
        <w:t xml:space="preserve">NRT was provided using a voucher redeemable at local pharmacies in Lambeth and Southwark and for </w:t>
      </w:r>
      <w:r w:rsidR="00B4094A" w:rsidRPr="000C3240">
        <w:rPr>
          <w:rFonts w:eastAsia="Calibri"/>
        </w:rPr>
        <w:t>Champix</w:t>
      </w:r>
      <w:r w:rsidR="00C72E75" w:rsidRPr="000C3240">
        <w:rPr>
          <w:rFonts w:eastAsia="Calibri"/>
        </w:rPr>
        <w:t xml:space="preserve">, they were provided with a letter of recommendation to take to their GP in order to request the prescribed medication. The intervention allowed for medications </w:t>
      </w:r>
      <w:r w:rsidR="00A92F3E" w:rsidRPr="000C3240">
        <w:rPr>
          <w:rFonts w:eastAsia="Calibri"/>
        </w:rPr>
        <w:t xml:space="preserve">for </w:t>
      </w:r>
      <w:r w:rsidR="00C72E75" w:rsidRPr="000C3240">
        <w:rPr>
          <w:rFonts w:eastAsia="Calibri"/>
        </w:rPr>
        <w:t>up to 12 weeks in total. After the 4 week follow up</w:t>
      </w:r>
      <w:r w:rsidR="00A92F3E" w:rsidRPr="000C3240">
        <w:rPr>
          <w:rFonts w:eastAsia="Calibri"/>
        </w:rPr>
        <w:t>,</w:t>
      </w:r>
      <w:r w:rsidR="00C72E75" w:rsidRPr="000C3240">
        <w:rPr>
          <w:rFonts w:eastAsia="Calibri"/>
        </w:rPr>
        <w:t xml:space="preserve"> participants were prescribed 4 weeks supply and asked to contact the</w:t>
      </w:r>
      <w:r>
        <w:rPr>
          <w:rFonts w:eastAsia="Calibri"/>
        </w:rPr>
        <w:t xml:space="preserve"> SSS</w:t>
      </w:r>
      <w:r w:rsidR="00C72E75" w:rsidRPr="000C3240">
        <w:rPr>
          <w:rFonts w:eastAsia="Calibri"/>
        </w:rPr>
        <w:t xml:space="preserve"> team to arrange the final prescription (should one be required). </w:t>
      </w:r>
      <w:r w:rsidR="00C72E75" w:rsidRPr="000C3240">
        <w:t>One, two and three weeks post-quit date, participants could return for a brief 10-minute progress check including a review of cessation coping mechanisms and pharmacotherapy supplies, and an opportunity to reflect on and plan for any challenging situations encountered. At four weeks post-quit date, participants could return for a final 10-minute meeting where they were advised about the continued use of pharmacotherapy and techniques for coping with urges and cravings. At each appointment, participants had their carbon monoxide levels measured and feedback was provided by the clinician. Participants were also urged to remain completely abstinent from cigarettes (for a fuller description see the published protocol</w:t>
      </w:r>
      <w:r w:rsidR="00C72E75" w:rsidRPr="000C3240">
        <w:rPr>
          <w:vertAlign w:val="superscript"/>
        </w:rPr>
        <w:t>11</w:t>
      </w:r>
      <w:r w:rsidR="00C72E75" w:rsidRPr="000C3240">
        <w:rPr>
          <w:vertAlign w:val="subscript"/>
        </w:rPr>
        <w:t>)</w:t>
      </w:r>
      <w:r w:rsidR="00A92F3E" w:rsidRPr="000C3240">
        <w:rPr>
          <w:vertAlign w:val="subscript"/>
        </w:rPr>
        <w:t>.</w:t>
      </w:r>
    </w:p>
    <w:p w14:paraId="749CAFB4" w14:textId="77777777" w:rsidR="0037720D" w:rsidRPr="000C3240" w:rsidRDefault="00C72E75">
      <w:r w:rsidRPr="000C3240">
        <w:rPr>
          <w:i/>
        </w:rPr>
        <w:t>Top-ups and Resets</w:t>
      </w:r>
    </w:p>
    <w:p w14:paraId="3A0D8B2C" w14:textId="03E7FB1E" w:rsidR="0037720D" w:rsidRPr="000C3240" w:rsidRDefault="00C72E75">
      <w:r w:rsidRPr="000C3240">
        <w:t xml:space="preserve">Both treatments contained, as standard, options to reset quit dates. The ACE provision allowed participants to ‘top-up’ their treatment through one or two additional sessions that broadly followed the same format as the main seminar, but were shorter at approximately 3.5 hours and could be attended either face-to-face or online. Participants receiving the </w:t>
      </w:r>
      <w:r w:rsidR="004712A0">
        <w:t>SSS</w:t>
      </w:r>
      <w:r w:rsidRPr="000C3240">
        <w:t xml:space="preserve"> treatment were able to reset their quit date at the suggestion of the clinician. Participants across both treatment arms were permitted a total of two top</w:t>
      </w:r>
      <w:r w:rsidR="00310D72">
        <w:t>-</w:t>
      </w:r>
      <w:r w:rsidRPr="000C3240">
        <w:t xml:space="preserve">up sessions or opportunities to reset within 12 weeks of their original quit date. Any top-ups or resets were recorded by clinicians on a central shared file (containing no condition data) and all follow-up assessments were calculated according to the reset date rather than the original quit date (i.e. if a participant reset a month after their original quit date, all follow-ups moved </w:t>
      </w:r>
      <w:r w:rsidR="00E84487" w:rsidRPr="000C3240">
        <w:t xml:space="preserve">to </w:t>
      </w:r>
      <w:r w:rsidRPr="000C3240">
        <w:t>a month later). This design decision is addressed in more detail in our protocol</w:t>
      </w:r>
      <w:r w:rsidR="00E84487" w:rsidRPr="000C3240">
        <w:rPr>
          <w:vertAlign w:val="superscript"/>
        </w:rPr>
        <w:t>11</w:t>
      </w:r>
      <w:r w:rsidRPr="000C3240">
        <w:t xml:space="preserve">. In the ACE arm, </w:t>
      </w:r>
      <w:r w:rsidR="00E84487" w:rsidRPr="000C3240">
        <w:t>36</w:t>
      </w:r>
      <w:r w:rsidRPr="000C3240">
        <w:t xml:space="preserve"> attended a first top-up session at LSBU, 32 at the treatment cent</w:t>
      </w:r>
      <w:r w:rsidR="00E84487" w:rsidRPr="000C3240">
        <w:t>re</w:t>
      </w:r>
      <w:r w:rsidRPr="000C3240">
        <w:t xml:space="preserve"> and 22 received the top-up online (via a</w:t>
      </w:r>
      <w:r w:rsidR="00E84487" w:rsidRPr="000C3240">
        <w:t>n</w:t>
      </w:r>
      <w:r w:rsidRPr="000C3240">
        <w:t xml:space="preserve"> online webinar replicating the content of face to face sessions). </w:t>
      </w:r>
      <w:r w:rsidR="00E84487" w:rsidRPr="000C3240">
        <w:t>Fifteen</w:t>
      </w:r>
      <w:r w:rsidRPr="000C3240">
        <w:t xml:space="preserve"> attended a third </w:t>
      </w:r>
      <w:r w:rsidR="003C3BC7" w:rsidRPr="000C3240">
        <w:t>session</w:t>
      </w:r>
      <w:r w:rsidRPr="000C3240">
        <w:t xml:space="preserve"> at LSBU, 6 at the treatment centre and </w:t>
      </w:r>
      <w:r w:rsidR="003C3BC7" w:rsidRPr="000C3240">
        <w:t xml:space="preserve">12 </w:t>
      </w:r>
      <w:r w:rsidRPr="000C3240">
        <w:t>received the session online.</w:t>
      </w:r>
    </w:p>
    <w:p w14:paraId="34A0D759" w14:textId="77777777" w:rsidR="0037720D" w:rsidRPr="000C3240" w:rsidRDefault="0037720D"/>
    <w:p w14:paraId="50E5C6B7" w14:textId="5819D44F" w:rsidR="0037720D" w:rsidRPr="000C3240" w:rsidRDefault="00C72E75">
      <w:pPr>
        <w:rPr>
          <w:b/>
        </w:rPr>
      </w:pPr>
      <w:r w:rsidRPr="000C3240">
        <w:rPr>
          <w:b/>
        </w:rPr>
        <w:t>Measures</w:t>
      </w:r>
    </w:p>
    <w:p w14:paraId="56DFC680" w14:textId="71F2CDDC" w:rsidR="0037720D" w:rsidRPr="000C3240" w:rsidRDefault="00C72E75">
      <w:pPr>
        <w:rPr>
          <w:i/>
        </w:rPr>
      </w:pPr>
      <w:r w:rsidRPr="000C3240">
        <w:rPr>
          <w:i/>
        </w:rPr>
        <w:t>Baseline</w:t>
      </w:r>
    </w:p>
    <w:p w14:paraId="61CF0027" w14:textId="6A82B126" w:rsidR="0037720D" w:rsidRPr="000C3240" w:rsidRDefault="00C72E75">
      <w:r w:rsidRPr="000C3240">
        <w:t xml:space="preserve">Quit efficacy was measured using four items; ‘I can achieve my aims to quit smoking’; ‘I can cope with the demands of quitting smoking’; ‘It is unlikely that I will do well at quitting smoking’; ‘I think I can perform well at quitting smoking’. A scale of 1 (strongly disagree) to 7 (strongly agree) was used.  </w:t>
      </w:r>
    </w:p>
    <w:p w14:paraId="5D45C856" w14:textId="77777777" w:rsidR="0037720D" w:rsidRPr="000C3240" w:rsidRDefault="0037720D"/>
    <w:p w14:paraId="7954244A" w14:textId="43CBDC8C" w:rsidR="0037720D" w:rsidRDefault="00C72E75">
      <w:r w:rsidRPr="000C3240">
        <w:t>Use of support mechanisms (NRT, e-cigarettes, Champix). Participants were asked ‘Have you regularly used any of the following in the past few months?’ and ‘’Are you planning on using any of the following when you quit smoking?’ Yes/No answers</w:t>
      </w:r>
      <w:r w:rsidR="00C642AE" w:rsidRPr="000C3240">
        <w:t>.</w:t>
      </w:r>
    </w:p>
    <w:p w14:paraId="7ED8CB2F" w14:textId="77777777" w:rsidR="00DB2969" w:rsidRPr="000C3240" w:rsidRDefault="00DB2969"/>
    <w:p w14:paraId="2C011AFA" w14:textId="75995BE7" w:rsidR="0037720D" w:rsidRPr="000C3240" w:rsidRDefault="00C72E75">
      <w:pPr>
        <w:rPr>
          <w:vertAlign w:val="superscript"/>
        </w:rPr>
      </w:pPr>
      <w:r w:rsidRPr="000C3240">
        <w:t xml:space="preserve">Continuous smoking abstinence. </w:t>
      </w:r>
      <w:r w:rsidRPr="000C3240">
        <w:rPr>
          <w:color w:val="222222"/>
        </w:rPr>
        <w:t xml:space="preserve">This was biochemically verified by </w:t>
      </w:r>
      <w:r w:rsidRPr="000C3240">
        <w:t xml:space="preserve">exhaled breath carbon monoxide measurement (&lt;10 ppm), using Bedfont Micro Smokerlyzers. This is in line with the standard assessment of smoking </w:t>
      </w:r>
      <w:r w:rsidR="00222E60">
        <w:t>c</w:t>
      </w:r>
      <w:r w:rsidR="00222E60" w:rsidRPr="000C3240">
        <w:t xml:space="preserve">essation </w:t>
      </w:r>
      <w:r w:rsidRPr="000C3240">
        <w:t>used in research and practice in the UK.</w:t>
      </w:r>
      <w:r w:rsidRPr="000C3240">
        <w:rPr>
          <w:vertAlign w:val="superscript"/>
        </w:rPr>
        <w:t>10</w:t>
      </w:r>
    </w:p>
    <w:p w14:paraId="4174B878" w14:textId="7E31776C" w:rsidR="0037720D" w:rsidRPr="000C3240" w:rsidRDefault="0037720D"/>
    <w:p w14:paraId="39BAA11D" w14:textId="77777777" w:rsidR="00A409CD" w:rsidRPr="000C3240" w:rsidRDefault="00A409CD" w:rsidP="00A409CD">
      <w:r w:rsidRPr="000C3240">
        <w:t>Nicotine dependence. This was measured using the Fagerstrom Test for Nicotine Dependence (Heatherton, Kozlowski, Frecker and Fagerstrom, 1991).</w:t>
      </w:r>
    </w:p>
    <w:p w14:paraId="4ABF6F4F" w14:textId="77777777" w:rsidR="00A409CD" w:rsidRPr="000C3240" w:rsidRDefault="00A409CD"/>
    <w:p w14:paraId="61E6E76F" w14:textId="618C962F" w:rsidR="0037720D" w:rsidRPr="000C3240" w:rsidRDefault="00C72E75">
      <w:pPr>
        <w:rPr>
          <w:i/>
        </w:rPr>
      </w:pPr>
      <w:r w:rsidRPr="000C3240">
        <w:rPr>
          <w:i/>
        </w:rPr>
        <w:t>4, 12 and 26 weeks</w:t>
      </w:r>
    </w:p>
    <w:p w14:paraId="72497552" w14:textId="77777777" w:rsidR="0037720D" w:rsidRPr="000C3240" w:rsidRDefault="00C72E75">
      <w:r w:rsidRPr="000C3240">
        <w:t xml:space="preserve">Quit efficacy and continuous smoking abstinence were measured as above.  </w:t>
      </w:r>
    </w:p>
    <w:p w14:paraId="0726CF7E" w14:textId="77777777" w:rsidR="0037720D" w:rsidRPr="000C3240" w:rsidRDefault="0037720D"/>
    <w:p w14:paraId="617FC93B" w14:textId="12954787" w:rsidR="00305173" w:rsidRPr="000C3240" w:rsidRDefault="00C72E75" w:rsidP="00305173">
      <w:pPr>
        <w:rPr>
          <w:color w:val="FFFFFF" w:themeColor="background1"/>
          <w:u w:val="single"/>
        </w:rPr>
      </w:pPr>
      <w:r w:rsidRPr="000C3240">
        <w:t>Use of support mechanisms (NRT, e-cigarettes, Champix). Participants were asked ‘Since we last met, have you regularly used any of the following?’ and ‘’Are you planning on using any of the following when you quit smoking?’ Yes/No answers.</w:t>
      </w:r>
      <w:r w:rsidR="00305173" w:rsidRPr="000C3240">
        <w:rPr>
          <w:color w:val="FFFFFF" w:themeColor="background1"/>
          <w:u w:val="single"/>
        </w:rPr>
        <w:t>, 1991).</w:t>
      </w:r>
    </w:p>
    <w:p w14:paraId="5270C426" w14:textId="77777777" w:rsidR="0037720D" w:rsidRPr="000C3240" w:rsidRDefault="0037720D"/>
    <w:p w14:paraId="4B21C3B1" w14:textId="7CB1AF4D" w:rsidR="0037720D" w:rsidRPr="000C3240" w:rsidRDefault="003F48AA">
      <w:r>
        <w:t>Self-reported</w:t>
      </w:r>
      <w:r w:rsidRPr="000C3240">
        <w:t xml:space="preserve"> continuous abstinence </w:t>
      </w:r>
      <w:r>
        <w:t>from the</w:t>
      </w:r>
      <w:r w:rsidRPr="000C3240">
        <w:t xml:space="preserve"> quit/quit reset date</w:t>
      </w:r>
      <w:r w:rsidR="00C72E75" w:rsidRPr="000C3240">
        <w:t>. This was measured using 5-items: ‘Are you still an ex-smoker?’; ‘Since we last met, have you had any cigarettes? If so, how many?’; ‘How many cigarettes have you had in the last week?’; ‘How many cigarettes in the last month?’; ‘In total, how many cigarettes have you had since your quit date?’</w:t>
      </w:r>
    </w:p>
    <w:p w14:paraId="695D27A1" w14:textId="23AF7535" w:rsidR="0037720D" w:rsidRPr="000C3240" w:rsidRDefault="0037720D"/>
    <w:p w14:paraId="39271FC8" w14:textId="77777777" w:rsidR="00A409CD" w:rsidRPr="000C3240" w:rsidRDefault="00A409CD" w:rsidP="00A409CD">
      <w:r w:rsidRPr="000C3240">
        <w:t>Nicotine dependence. This was measured using the Fagerstrom Test for Nicotine Dependence (Heatherton, Kozlowski, Frecker and Fagerstrom, 1991).</w:t>
      </w:r>
    </w:p>
    <w:p w14:paraId="1D303192" w14:textId="77777777" w:rsidR="00A409CD" w:rsidRPr="000C3240" w:rsidRDefault="00A409CD"/>
    <w:p w14:paraId="35C62C85" w14:textId="77777777" w:rsidR="0037720D" w:rsidRPr="000C3240" w:rsidRDefault="00C72E75">
      <w:r w:rsidRPr="000C3240">
        <w:t xml:space="preserve">Adverse events. Participants were asked ‘Have you had any new medical issues which may be due to your quit?’ </w:t>
      </w:r>
    </w:p>
    <w:p w14:paraId="0EA6CCC7" w14:textId="77777777" w:rsidR="0037720D" w:rsidRPr="000C3240" w:rsidRDefault="0037720D"/>
    <w:p w14:paraId="300A9555" w14:textId="77777777" w:rsidR="0037720D" w:rsidRPr="000C3240" w:rsidRDefault="00C72E75">
      <w:pPr>
        <w:rPr>
          <w:b/>
        </w:rPr>
      </w:pPr>
      <w:r w:rsidRPr="000C3240">
        <w:rPr>
          <w:b/>
        </w:rPr>
        <w:t xml:space="preserve">Funding </w:t>
      </w:r>
    </w:p>
    <w:p w14:paraId="210FA9B5" w14:textId="479F238B" w:rsidR="0037720D" w:rsidRPr="000C3240" w:rsidRDefault="00C72E75">
      <w:r w:rsidRPr="000C3240">
        <w:t xml:space="preserve">Funding was provided by Allen Carr’s Easyway International Ltd. They had no role in the study design, data collection, data analysis, data interpretation, or writing of the report. The corresponding author had full access to all the data in the study and had final responsibility for the decision to submit for publication. The research team recognise the need for a high level of accountability to avoid systematic bias in all studies, and in particular those which are commercially funded. To minimize the chance of bias, we took a number of steps. </w:t>
      </w:r>
      <w:r w:rsidR="0087713C" w:rsidRPr="000C3240">
        <w:t>Specifically,</w:t>
      </w:r>
      <w:r w:rsidRPr="000C3240">
        <w:t xml:space="preserve"> we (i) had expert peer review of our protocol prior to and during our protocol registration, (ii) appointed and stayed in close contact with an independent steering committee to monitor the trial and advise on design issues and (iii) pre-registered our analysis, including syntax, on the OSF.</w:t>
      </w:r>
    </w:p>
    <w:p w14:paraId="70EE57B2" w14:textId="77777777" w:rsidR="0037720D" w:rsidRPr="000C3240" w:rsidRDefault="0037720D">
      <w:pPr>
        <w:rPr>
          <w:b/>
        </w:rPr>
      </w:pPr>
    </w:p>
    <w:p w14:paraId="02A74ACB" w14:textId="77777777" w:rsidR="0037720D" w:rsidRPr="000C3240" w:rsidRDefault="00C72E75">
      <w:pPr>
        <w:rPr>
          <w:b/>
        </w:rPr>
      </w:pPr>
      <w:r w:rsidRPr="000C3240">
        <w:rPr>
          <w:b/>
        </w:rPr>
        <w:t>Sample Size</w:t>
      </w:r>
    </w:p>
    <w:p w14:paraId="2C9CC1A9" w14:textId="4D40D6E9" w:rsidR="0037720D" w:rsidRPr="000C3240" w:rsidRDefault="00C72E75">
      <w:r w:rsidRPr="000C3240">
        <w:t xml:space="preserve">The trial was designed to test for superiority on an </w:t>
      </w:r>
      <w:r w:rsidR="00BA5F8B">
        <w:t>Intention to treat (I</w:t>
      </w:r>
      <w:r w:rsidR="00BA5F8B" w:rsidRPr="000C3240">
        <w:t>TT</w:t>
      </w:r>
      <w:r w:rsidR="00BA5F8B">
        <w:t>)</w:t>
      </w:r>
      <w:r w:rsidR="00BA5F8B" w:rsidRPr="000C3240">
        <w:t xml:space="preserve"> </w:t>
      </w:r>
      <w:r w:rsidRPr="000C3240">
        <w:t xml:space="preserve">basis. </w:t>
      </w:r>
      <w:r w:rsidR="007F05D7" w:rsidRPr="000C3240">
        <w:t>In the Cochrane review of combined pharmacotherapy and behavioural interventions for smoking cessation</w:t>
      </w:r>
      <w:r w:rsidR="007F05D7" w:rsidRPr="000C3240">
        <w:rPr>
          <w:vertAlign w:val="superscript"/>
        </w:rPr>
        <w:t>9</w:t>
      </w:r>
      <w:r w:rsidR="00310D72">
        <w:rPr>
          <w:vertAlign w:val="superscript"/>
        </w:rPr>
        <w:t>,</w:t>
      </w:r>
      <w:r w:rsidR="007F05D7" w:rsidRPr="000C3240">
        <w:t xml:space="preserve"> a pooled quit rate of 17% was found for interventions provided by specialist services. This study was powered to detect</w:t>
      </w:r>
      <w:r w:rsidR="00310D72">
        <w:t>,</w:t>
      </w:r>
      <w:r w:rsidR="007F05D7" w:rsidRPr="000C3240">
        <w:t xml:space="preserve"> with 85% power</w:t>
      </w:r>
      <w:r w:rsidR="00310D72">
        <w:t>,</w:t>
      </w:r>
      <w:r w:rsidR="007F05D7" w:rsidRPr="000C3240">
        <w:t xml:space="preserve"> a 10% advantage for ACE over the </w:t>
      </w:r>
      <w:r w:rsidR="004712A0">
        <w:t>SSS</w:t>
      </w:r>
      <w:r w:rsidR="007F05D7" w:rsidRPr="000C3240">
        <w:t xml:space="preserve"> (assuming it would perform as the specialist service providers) at a 5% significance level. </w:t>
      </w:r>
      <w:r w:rsidR="0087713C" w:rsidRPr="000C3240">
        <w:t>Therefore,</w:t>
      </w:r>
      <w:r w:rsidRPr="000C3240">
        <w:t xml:space="preserve"> an initial sample of 620 participants was sought (310 per intervention group). </w:t>
      </w:r>
    </w:p>
    <w:p w14:paraId="60369511" w14:textId="77777777" w:rsidR="00C642AE" w:rsidRPr="000C3240" w:rsidRDefault="00C642AE">
      <w:pPr>
        <w:rPr>
          <w:b/>
        </w:rPr>
      </w:pPr>
    </w:p>
    <w:p w14:paraId="14BE35A2" w14:textId="1899D2BE" w:rsidR="0037720D" w:rsidRPr="000C3240" w:rsidRDefault="00C72E75">
      <w:r w:rsidRPr="000C3240">
        <w:rPr>
          <w:b/>
        </w:rPr>
        <w:t>Statistical Analysis</w:t>
      </w:r>
      <w:r w:rsidRPr="000C3240">
        <w:t xml:space="preserve"> </w:t>
      </w:r>
    </w:p>
    <w:p w14:paraId="601C3508" w14:textId="11C86C52" w:rsidR="0037720D" w:rsidRPr="000C3240" w:rsidRDefault="00C72E75">
      <w:r w:rsidRPr="000C3240">
        <w:t xml:space="preserve">Statistical analyses were carried out using SPSS version 25. The primary analyses used the </w:t>
      </w:r>
      <w:r w:rsidR="00310D72">
        <w:t>ITT</w:t>
      </w:r>
      <w:r w:rsidRPr="000C3240">
        <w:t xml:space="preserve"> approach at the point of randomisation (participants with unknown smoking status were assumed to be smoking). </w:t>
      </w:r>
    </w:p>
    <w:p w14:paraId="352B620D" w14:textId="457FBDCD" w:rsidR="0037720D" w:rsidRPr="000C3240" w:rsidRDefault="00C72E75">
      <w:r w:rsidRPr="000C3240">
        <w:rPr>
          <w:i/>
        </w:rPr>
        <w:t>Primary outcome analysis.</w:t>
      </w:r>
      <w:r w:rsidRPr="000C3240">
        <w:t xml:space="preserve"> The primary outcome was continuous smoking abstinence (self-reported abstinence over the whole follow-up period, allowing </w:t>
      </w:r>
      <w:r w:rsidRPr="000C3240">
        <w:rPr>
          <w:rFonts w:eastAsia="Gungsuh"/>
          <w:color w:val="222222"/>
        </w:rPr>
        <w:t xml:space="preserve">≤5 cigarettes in </w:t>
      </w:r>
      <w:r w:rsidRPr="000C3240">
        <w:rPr>
          <w:color w:val="222222"/>
        </w:rPr>
        <w:t xml:space="preserve">total since quit date), </w:t>
      </w:r>
      <w:r w:rsidR="003F48AA">
        <w:t>for</w:t>
      </w:r>
      <w:r w:rsidR="003F48AA" w:rsidRPr="000C3240">
        <w:t xml:space="preserve"> 26 weeks </w:t>
      </w:r>
      <w:r w:rsidR="003F48AA">
        <w:t>from the</w:t>
      </w:r>
      <w:r w:rsidR="003F48AA" w:rsidRPr="000C3240">
        <w:t xml:space="preserve"> quit/quit reset dat</w:t>
      </w:r>
      <w:r w:rsidR="00222E60">
        <w:t>e</w:t>
      </w:r>
      <w:r w:rsidRPr="000C3240">
        <w:rPr>
          <w:color w:val="222222"/>
        </w:rPr>
        <w:t xml:space="preserve">. </w:t>
      </w:r>
      <w:r w:rsidRPr="000C3240">
        <w:t>Participants for whom smoking cessation could not be confirmed (i.e. are lost to follow-up) were included in the analysis as failed quits in line with the Russell Standard.</w:t>
      </w:r>
      <w:r w:rsidRPr="000C3240">
        <w:rPr>
          <w:vertAlign w:val="superscript"/>
        </w:rPr>
        <w:t>10</w:t>
      </w:r>
      <w:r w:rsidRPr="000C3240">
        <w:t xml:space="preserve"> Absolute risk differences are presented with 95% confidence intervals (CI). Pearson χ</w:t>
      </w:r>
      <w:r w:rsidRPr="000C3240">
        <w:rPr>
          <w:vertAlign w:val="superscript"/>
        </w:rPr>
        <w:t>2</w:t>
      </w:r>
      <w:r w:rsidRPr="000C3240">
        <w:t xml:space="preserve"> analysis was used to test whether the risk difference differed significantly from 0 or not, exact p-values are reported. </w:t>
      </w:r>
      <w:r w:rsidR="00415B1C">
        <w:t>O</w:t>
      </w:r>
      <w:r w:rsidRPr="000C3240">
        <w:t>dds ratios with 95% CIs are also reported, calculated using logistic regression</w:t>
      </w:r>
      <w:r w:rsidR="00B723A6">
        <w:t>.</w:t>
      </w:r>
      <w:r w:rsidRPr="000C3240">
        <w:t xml:space="preserve"> </w:t>
      </w:r>
    </w:p>
    <w:p w14:paraId="5C5D6703" w14:textId="50A13AB6" w:rsidR="0037720D" w:rsidRPr="000C3240" w:rsidRDefault="00C72E75">
      <w:r w:rsidRPr="000C3240">
        <w:t>A series of sensitivity analyses were conducted to assess the robustness of primary results with regards to definition of the primary outcome. To investigate if the differential effects of interventions are present at each time point (4 and 12 weeks), the primary analysis was repeated twice, the dependent variable being smoking cessation confirmed at 4 and 12 weeks. The primary analysis was repeated on smoking cessation outcomes at both 12 and 26 weeks using only participants who did not ‘reset’ their quit dates (</w:t>
      </w:r>
      <w:r w:rsidR="004712A0">
        <w:t>SSS</w:t>
      </w:r>
      <w:r w:rsidRPr="000C3240">
        <w:t xml:space="preserve"> arm) or did not attend a top-up session (ACE arm). For this analysis, this approach is preferable to including top-ups/resets as failed quits, as many may in fact be successful cessations. Estimates of effectiveness at 4, 12 and 26 weeks are also reported for only participants who </w:t>
      </w:r>
      <w:r w:rsidR="00F51BF6" w:rsidRPr="000C3240">
        <w:t xml:space="preserve">attended </w:t>
      </w:r>
      <w:r w:rsidRPr="000C3240">
        <w:t>treatment.</w:t>
      </w:r>
      <w:r w:rsidR="00B723A6">
        <w:t xml:space="preserve"> </w:t>
      </w:r>
      <w:r w:rsidR="00B723A6" w:rsidRPr="003E412C">
        <w:t>Stratification variables were included as covariates in logistic regression models when the full sample (n=620) was not used.</w:t>
      </w:r>
    </w:p>
    <w:p w14:paraId="0645B336" w14:textId="54563EC5" w:rsidR="0037720D" w:rsidRPr="000C3240" w:rsidRDefault="00C72E75">
      <w:r w:rsidRPr="000C3240">
        <w:rPr>
          <w:i/>
        </w:rPr>
        <w:t>Secondary outcomes.</w:t>
      </w:r>
      <w:r w:rsidRPr="000C3240">
        <w:t xml:space="preserve"> Use of any NRT/e-cigarettes/Champix was analysed in the same manner as the primary outcome using risk differences and adjusted odds ratios. Treatment arm and treatment success were included as independent variables along with stratification variables in the logistic regression. These analyses were completed for a) those participants for whom NRT usage was known at 26 weeks and those who had reported NRT use at 4 or 12 weeks, b) as in a) but restricted to those who had </w:t>
      </w:r>
      <w:r w:rsidR="000A6957" w:rsidRPr="000C3240">
        <w:t>attended</w:t>
      </w:r>
      <w:r w:rsidRPr="000C3240">
        <w:t xml:space="preserve"> treatment, and c) those participants followed up at 26 weeks (ignoring previous NRT use). A further secondary outcome was completion of treatment (operationalised as attendance at the ACE session or attendance at a minimum of one </w:t>
      </w:r>
      <w:r w:rsidR="004712A0">
        <w:t>SSS</w:t>
      </w:r>
      <w:r w:rsidRPr="000C3240">
        <w:t xml:space="preserve"> session). </w:t>
      </w:r>
    </w:p>
    <w:p w14:paraId="3AF8DF48" w14:textId="77777777" w:rsidR="0037720D" w:rsidRPr="000C3240" w:rsidRDefault="0037720D"/>
    <w:p w14:paraId="789A9DA0" w14:textId="77777777" w:rsidR="0037720D" w:rsidRPr="000C3240" w:rsidRDefault="00C72E75">
      <w:pPr>
        <w:rPr>
          <w:b/>
        </w:rPr>
      </w:pPr>
      <w:r w:rsidRPr="000C3240">
        <w:rPr>
          <w:b/>
        </w:rPr>
        <w:t>RESULTS</w:t>
      </w:r>
    </w:p>
    <w:p w14:paraId="5E9E0679" w14:textId="475C86D1" w:rsidR="0037720D" w:rsidRPr="000C3240" w:rsidRDefault="00C72E75">
      <w:r w:rsidRPr="000C3240">
        <w:t xml:space="preserve">Of 2,115 people who were assessed, 133 did not meet the eligibility criteria, 1358 declined to participate, and 620 (29%) were randomised for inclusion into the study (Figure 1). 310 people were assigned to each treatment arm. At 4 weeks 49% of ACE participants completed follow-ups, 43% for </w:t>
      </w:r>
      <w:r w:rsidR="004712A0">
        <w:t>SSS</w:t>
      </w:r>
      <w:r w:rsidRPr="000C3240">
        <w:t xml:space="preserve">, at 12 weeks the respective values are 46% and 38%, for 26 weeks 29% and 28%. Thus, assumed smoking rates (due to loss to follow up) at 26 weeks were 148 vs 170 -  a difference of 7.1% (95% CI  -1.0%, 14.8%) </w:t>
      </w:r>
      <w:r w:rsidRPr="000C3240">
        <w:rPr>
          <w:i/>
        </w:rPr>
        <w:t xml:space="preserve">p </w:t>
      </w:r>
      <w:r w:rsidRPr="000C3240">
        <w:t xml:space="preserve">= 0.077. Participants’ baseline characteristics were evenly balanced between treatment groups (Table 1). 82 participants reset their quit date, 33 in the </w:t>
      </w:r>
      <w:r w:rsidR="004712A0">
        <w:t>SSS</w:t>
      </w:r>
      <w:r w:rsidRPr="000C3240">
        <w:t xml:space="preserve"> group (three reset twice, see Table </w:t>
      </w:r>
      <w:r w:rsidR="00C84D7F" w:rsidRPr="000C3240">
        <w:t xml:space="preserve">4 </w:t>
      </w:r>
      <w:r w:rsidRPr="000C3240">
        <w:t xml:space="preserve">in appendix for number of sessions attended) and 49 in the ACE group (17 of them twice). </w:t>
      </w:r>
      <w:r w:rsidR="001B394A" w:rsidRPr="000C3240">
        <w:t>468</w:t>
      </w:r>
      <w:r w:rsidRPr="000C3240">
        <w:t xml:space="preserve"> (</w:t>
      </w:r>
      <w:r w:rsidR="001B394A" w:rsidRPr="000C3240">
        <w:t>75.5</w:t>
      </w:r>
      <w:r w:rsidRPr="000C3240">
        <w:t xml:space="preserve">%) participants </w:t>
      </w:r>
      <w:r w:rsidR="001B394A" w:rsidRPr="000C3240">
        <w:t>attended</w:t>
      </w:r>
      <w:r w:rsidRPr="000C3240">
        <w:t xml:space="preserve"> treatment.  Treatment </w:t>
      </w:r>
      <w:r w:rsidR="001B394A" w:rsidRPr="000C3240">
        <w:t>attendance</w:t>
      </w:r>
      <w:r w:rsidRPr="000C3240">
        <w:t xml:space="preserve"> was significantly higher in the ACE group compared to the </w:t>
      </w:r>
      <w:r w:rsidR="004712A0">
        <w:t>SSS</w:t>
      </w:r>
      <w:r w:rsidRPr="000C3240">
        <w:t xml:space="preserve"> group, </w:t>
      </w:r>
      <w:r w:rsidRPr="000C3240">
        <w:rPr>
          <w:i/>
        </w:rPr>
        <w:t xml:space="preserve">p </w:t>
      </w:r>
      <w:r w:rsidR="001B394A" w:rsidRPr="000C3240">
        <w:t>&lt;0.001</w:t>
      </w:r>
      <w:r w:rsidR="00C84D7F" w:rsidRPr="000C3240">
        <w:t xml:space="preserve"> (see Table 2 for number of sessions attended by treatment arm)</w:t>
      </w:r>
      <w:r w:rsidRPr="000C3240">
        <w:t xml:space="preserve">. </w:t>
      </w:r>
    </w:p>
    <w:p w14:paraId="6F6B39D4" w14:textId="77777777" w:rsidR="0037720D" w:rsidRPr="000C3240" w:rsidRDefault="0037720D"/>
    <w:p w14:paraId="7F966D1A" w14:textId="77777777" w:rsidR="0037720D" w:rsidRPr="000C3240" w:rsidRDefault="00C72E75">
      <w:pPr>
        <w:jc w:val="center"/>
      </w:pPr>
      <w:r w:rsidRPr="000C3240">
        <w:t>Insert Figure 1</w:t>
      </w:r>
    </w:p>
    <w:p w14:paraId="48E47EA6" w14:textId="77777777" w:rsidR="0037720D" w:rsidRPr="000C3240" w:rsidRDefault="0037720D">
      <w:pPr>
        <w:jc w:val="center"/>
      </w:pPr>
    </w:p>
    <w:p w14:paraId="5EADCEBC" w14:textId="7D96D674" w:rsidR="0037720D" w:rsidRPr="000C3240" w:rsidRDefault="00C72E75" w:rsidP="00A06578">
      <w:pPr>
        <w:jc w:val="center"/>
      </w:pPr>
      <w:r w:rsidRPr="000C3240">
        <w:t>Insert Table 1</w:t>
      </w:r>
    </w:p>
    <w:p w14:paraId="1EAE10E9" w14:textId="16CB7C5C" w:rsidR="00A92F3E" w:rsidRPr="000C3240" w:rsidRDefault="00A92F3E" w:rsidP="00A06578">
      <w:pPr>
        <w:jc w:val="center"/>
      </w:pPr>
    </w:p>
    <w:p w14:paraId="176E945D" w14:textId="087D6F47" w:rsidR="00A92F3E" w:rsidRPr="000C3240" w:rsidRDefault="00A92F3E" w:rsidP="00A06578">
      <w:pPr>
        <w:jc w:val="center"/>
      </w:pPr>
      <w:r w:rsidRPr="000C3240">
        <w:t>Insert Table 2</w:t>
      </w:r>
    </w:p>
    <w:p w14:paraId="4CE0DA0A" w14:textId="77777777" w:rsidR="0037720D" w:rsidRPr="000C3240" w:rsidRDefault="0037720D"/>
    <w:p w14:paraId="1250A66B" w14:textId="43ACD1D3" w:rsidR="0037720D" w:rsidRPr="000C3240" w:rsidRDefault="00C72E75">
      <w:r w:rsidRPr="000C3240">
        <w:t xml:space="preserve">There was no evidence of </w:t>
      </w:r>
      <w:r w:rsidR="00FB12B7" w:rsidRPr="000C3240">
        <w:t xml:space="preserve">a </w:t>
      </w:r>
      <w:r w:rsidRPr="000C3240">
        <w:t xml:space="preserve">difference in rates of verified continuous abstinence at </w:t>
      </w:r>
      <w:r w:rsidR="00D80C79">
        <w:t xml:space="preserve">26 weeks </w:t>
      </w:r>
      <w:r w:rsidRPr="000C3240">
        <w:t xml:space="preserve">between the ACE and </w:t>
      </w:r>
      <w:r w:rsidR="004712A0">
        <w:t>SSS</w:t>
      </w:r>
      <w:r w:rsidRPr="000C3240">
        <w:t xml:space="preserve"> groups, 19.4% vs 14.8% (risk difference=4·5%; 95% CI: -1.4%, 10.4%; Table </w:t>
      </w:r>
      <w:r w:rsidR="00C84D7F" w:rsidRPr="000C3240">
        <w:t>3</w:t>
      </w:r>
      <w:r w:rsidRPr="000C3240">
        <w:t xml:space="preserve">). This difference is not statistically significant, </w:t>
      </w:r>
      <w:r w:rsidRPr="000C3240">
        <w:rPr>
          <w:i/>
        </w:rPr>
        <w:t>p</w:t>
      </w:r>
      <w:r w:rsidRPr="000C3240">
        <w:t xml:space="preserve"> = 0.165. </w:t>
      </w:r>
      <w:r w:rsidR="001B394A" w:rsidRPr="000C3240">
        <w:t>Given the non-</w:t>
      </w:r>
      <w:r w:rsidR="00B4094A" w:rsidRPr="000C3240">
        <w:t>significant</w:t>
      </w:r>
      <w:r w:rsidR="001B394A" w:rsidRPr="000C3240">
        <w:t xml:space="preserve"> finding a Bayes factor </w:t>
      </w:r>
      <w:r w:rsidR="006C4AA9" w:rsidRPr="000C3240">
        <w:t xml:space="preserve">(B) </w:t>
      </w:r>
      <w:r w:rsidR="001B394A" w:rsidRPr="000C3240">
        <w:t xml:space="preserve">was </w:t>
      </w:r>
      <w:r w:rsidR="006C4AA9" w:rsidRPr="000C3240">
        <w:t xml:space="preserve">calculated, B=1.24, indicating nonconclusive evidence for the null hypothesis of no difference. </w:t>
      </w:r>
      <w:r w:rsidRPr="000C3240">
        <w:t xml:space="preserve">Risk differences for the 4 and 12 week abstinence rates are also non statistically significant (risk difference; 95% CI; -5.8%; -13.0%, 1.5%; and -0.3%; -6.8%, 6.2%; respectively). </w:t>
      </w:r>
    </w:p>
    <w:p w14:paraId="00C28DF2" w14:textId="0F6AE144" w:rsidR="0037720D" w:rsidRPr="000C3240" w:rsidRDefault="00C72E75">
      <w:r w:rsidRPr="000C3240">
        <w:t>Among self-reported quitters, 3 who self</w:t>
      </w:r>
      <w:r w:rsidR="00E84487" w:rsidRPr="000C3240">
        <w:t>-</w:t>
      </w:r>
      <w:r w:rsidRPr="000C3240">
        <w:t xml:space="preserve">reported at </w:t>
      </w:r>
      <w:r w:rsidR="00210634">
        <w:t>4</w:t>
      </w:r>
      <w:r w:rsidRPr="000C3240">
        <w:t xml:space="preserve"> weeks failed verification, 3 at </w:t>
      </w:r>
      <w:r w:rsidR="00210634">
        <w:t>12</w:t>
      </w:r>
      <w:r w:rsidRPr="000C3240">
        <w:t xml:space="preserve"> weeks and none at </w:t>
      </w:r>
      <w:r w:rsidR="00210634">
        <w:t>26 weeks</w:t>
      </w:r>
      <w:r w:rsidRPr="000C3240">
        <w:t xml:space="preserve">. Similar estimates of treatment benefit were found in the sensitivity analyses. </w:t>
      </w:r>
    </w:p>
    <w:p w14:paraId="2C8EF357" w14:textId="3965635B" w:rsidR="0037720D" w:rsidRPr="000C3240" w:rsidRDefault="00C72E75">
      <w:r w:rsidRPr="000C3240">
        <w:t xml:space="preserve">No significant difference was found when those who reset were classed as non-abstainers at 12 and 26 weeks. In the </w:t>
      </w:r>
      <w:r w:rsidR="004712A0">
        <w:t>SSS</w:t>
      </w:r>
      <w:r w:rsidRPr="000C3240">
        <w:t xml:space="preserve"> arm, 6 people who reset were successful quits at </w:t>
      </w:r>
      <w:r w:rsidR="00D80C79">
        <w:t>26 weeks</w:t>
      </w:r>
      <w:r w:rsidRPr="000C3240">
        <w:t xml:space="preserve">. In the ACE arm, 9 were successful at </w:t>
      </w:r>
      <w:r w:rsidR="00D80C79">
        <w:t>26 weeks</w:t>
      </w:r>
      <w:r w:rsidRPr="000C3240">
        <w:t xml:space="preserve">. The </w:t>
      </w:r>
      <w:r w:rsidR="004712A0">
        <w:t>SSS</w:t>
      </w:r>
      <w:r w:rsidRPr="000C3240">
        <w:t xml:space="preserve"> group had statistically significant higher rates of verified abstinence at 4 weeks when only analysing those participants who had </w:t>
      </w:r>
      <w:r w:rsidR="00F81CAC" w:rsidRPr="000C3240">
        <w:t>attended</w:t>
      </w:r>
      <w:r w:rsidRPr="000C3240">
        <w:t xml:space="preserve"> treatment. </w:t>
      </w:r>
    </w:p>
    <w:p w14:paraId="1DEC6850" w14:textId="27F6C69A" w:rsidR="0037720D" w:rsidRPr="000C3240" w:rsidRDefault="00A92F3E">
      <w:r w:rsidRPr="000C3240">
        <w:t>Use of p</w:t>
      </w:r>
      <w:r w:rsidR="00C72E75" w:rsidRPr="000C3240">
        <w:t xml:space="preserve">harmacotherapy was significantly higher in the </w:t>
      </w:r>
      <w:r w:rsidR="004712A0">
        <w:t>SSS</w:t>
      </w:r>
      <w:r w:rsidR="00C72E75" w:rsidRPr="000C3240">
        <w:t xml:space="preserve"> group</w:t>
      </w:r>
      <w:r w:rsidR="00E84487" w:rsidRPr="000C3240">
        <w:t>,</w:t>
      </w:r>
      <w:r w:rsidR="00C72E75" w:rsidRPr="000C3240">
        <w:t xml:space="preserve"> with 47.9% less participants in the ACE group using any aids throughout the study. In the NHS arm, 71 participants self-reported use of nicotine patches (</w:t>
      </w:r>
      <w:r w:rsidR="00096426" w:rsidRPr="000C3240">
        <w:t>25</w:t>
      </w:r>
      <w:r w:rsidR="00C72E75" w:rsidRPr="000C3240">
        <w:t xml:space="preserve"> quits), 23 used varenicline (</w:t>
      </w:r>
      <w:r w:rsidR="00096426" w:rsidRPr="000C3240">
        <w:t>4</w:t>
      </w:r>
      <w:r w:rsidR="00C72E75" w:rsidRPr="000C3240">
        <w:t xml:space="preserve"> quits), 35 used nicotine gum (</w:t>
      </w:r>
      <w:r w:rsidR="00096426" w:rsidRPr="000C3240">
        <w:t>11</w:t>
      </w:r>
      <w:r w:rsidR="00C72E75" w:rsidRPr="000C3240">
        <w:t xml:space="preserve"> quits), 5</w:t>
      </w:r>
      <w:r w:rsidR="00096426" w:rsidRPr="000C3240">
        <w:t>1</w:t>
      </w:r>
      <w:r w:rsidR="00C72E75" w:rsidRPr="000C3240">
        <w:t xml:space="preserve"> used e-cigarettes (</w:t>
      </w:r>
      <w:r w:rsidR="00096426" w:rsidRPr="000C3240">
        <w:t>15</w:t>
      </w:r>
      <w:r w:rsidR="00C72E75" w:rsidRPr="000C3240">
        <w:t xml:space="preserve"> quits), and 73 other forms of pharmacotherapy (</w:t>
      </w:r>
      <w:r w:rsidR="00096426" w:rsidRPr="000C3240">
        <w:t>22</w:t>
      </w:r>
      <w:r w:rsidR="00C72E75" w:rsidRPr="000C3240">
        <w:t xml:space="preserve"> quits). In the ACE arm, 4 </w:t>
      </w:r>
      <w:r w:rsidR="00310D72">
        <w:t>participants self-reported</w:t>
      </w:r>
      <w:r w:rsidR="00310D72" w:rsidRPr="000C3240">
        <w:t xml:space="preserve"> </w:t>
      </w:r>
      <w:r w:rsidR="00C72E75" w:rsidRPr="000C3240">
        <w:t>us</w:t>
      </w:r>
      <w:r w:rsidR="00310D72">
        <w:t>e of</w:t>
      </w:r>
      <w:r w:rsidR="00C72E75" w:rsidRPr="000C3240">
        <w:t xml:space="preserve"> nicotine patches (1 successful quit), 4 </w:t>
      </w:r>
      <w:r w:rsidR="00310D72">
        <w:t xml:space="preserve">used </w:t>
      </w:r>
      <w:r w:rsidR="00C72E75" w:rsidRPr="000C3240">
        <w:t>varenicline (1 quit), 5 used nicotine gum (1 quit), 19 used e-</w:t>
      </w:r>
      <w:r w:rsidR="00FA72FD" w:rsidRPr="000C3240">
        <w:t>cigarettes</w:t>
      </w:r>
      <w:r w:rsidR="00C72E75" w:rsidRPr="000C3240">
        <w:t xml:space="preserve"> (3 quits) and 10 used other forms (3 quits).  At 26 weeks 83.3% of ACE participants were not using pharmacotherapy in comparison to 40.1% of </w:t>
      </w:r>
      <w:r w:rsidR="004712A0">
        <w:t>SSS</w:t>
      </w:r>
      <w:r w:rsidR="00C72E75" w:rsidRPr="000C3240">
        <w:t xml:space="preserve"> participants, risk difference=43.1% (29.4%, -54.5%).</w:t>
      </w:r>
    </w:p>
    <w:p w14:paraId="116A85BB" w14:textId="718D28D1" w:rsidR="0037720D" w:rsidRPr="000C3240" w:rsidRDefault="00C72E75">
      <w:r w:rsidRPr="000C3240">
        <w:t>Although non-inferiority testing was not planned, exploration via post hoc analyses using a 5% non-inferiority limit for the risk difference (see Siemer et al.</w:t>
      </w:r>
      <w:r w:rsidRPr="000C3240">
        <w:rPr>
          <w:vertAlign w:val="superscript"/>
        </w:rPr>
        <w:t>14</w:t>
      </w:r>
      <w:r w:rsidRPr="000C3240">
        <w:t xml:space="preserve"> for a detailed rationale of a 5% limit in this context) suggest the ACE method was at least as effective as the </w:t>
      </w:r>
      <w:r w:rsidR="004712A0">
        <w:t>SSS intervention</w:t>
      </w:r>
      <w:r w:rsidRPr="000C3240">
        <w:t xml:space="preserve"> (the absolute risk difference for the primary outcome was 4.5 [95% CI -1.4 – 10.4]; -1.4 is within the margin of -5). This suggests that among smokers wanting to quit, the ACE method is neither superior nor inferior to the </w:t>
      </w:r>
      <w:r w:rsidR="004712A0">
        <w:t>SSS</w:t>
      </w:r>
      <w:r w:rsidRPr="000C3240">
        <w:t xml:space="preserve"> for achieving cessation at </w:t>
      </w:r>
      <w:r w:rsidR="00D80C79">
        <w:t>26 weeks</w:t>
      </w:r>
      <w:r w:rsidRPr="000C3240">
        <w:t xml:space="preserve">. </w:t>
      </w:r>
    </w:p>
    <w:p w14:paraId="3E99180C" w14:textId="77777777" w:rsidR="0037720D" w:rsidRPr="000C3240" w:rsidRDefault="0037720D"/>
    <w:p w14:paraId="123C5848" w14:textId="77777777" w:rsidR="0037720D" w:rsidRPr="000C3240" w:rsidRDefault="0037720D"/>
    <w:p w14:paraId="3013866B" w14:textId="2483FF06" w:rsidR="0037720D" w:rsidRDefault="00C72E75">
      <w:pPr>
        <w:jc w:val="center"/>
      </w:pPr>
      <w:r w:rsidRPr="000C3240">
        <w:t xml:space="preserve">Insert Table </w:t>
      </w:r>
      <w:r w:rsidR="00C84D7F" w:rsidRPr="000C3240">
        <w:t>3</w:t>
      </w:r>
    </w:p>
    <w:p w14:paraId="4BBB624D" w14:textId="77777777" w:rsidR="00B723A6" w:rsidRPr="000C3240" w:rsidRDefault="00B723A6">
      <w:pPr>
        <w:jc w:val="center"/>
      </w:pPr>
    </w:p>
    <w:p w14:paraId="3A4BE362" w14:textId="77777777" w:rsidR="00B723A6" w:rsidRPr="000C3240" w:rsidRDefault="00B723A6" w:rsidP="00B723A6"/>
    <w:p w14:paraId="78187C8D" w14:textId="77777777" w:rsidR="0037720D" w:rsidRPr="000C3240" w:rsidRDefault="00C72E75">
      <w:r w:rsidRPr="000C3240">
        <w:rPr>
          <w:b/>
        </w:rPr>
        <w:t>DISCUSSION</w:t>
      </w:r>
    </w:p>
    <w:p w14:paraId="5E6F2A93" w14:textId="4F63E046" w:rsidR="0037720D" w:rsidRPr="000C3240" w:rsidRDefault="00C72E75">
      <w:r w:rsidRPr="000C3240">
        <w:t xml:space="preserve">The </w:t>
      </w:r>
      <w:r w:rsidR="004712A0">
        <w:t>SSS</w:t>
      </w:r>
      <w:r w:rsidRPr="000C3240">
        <w:t xml:space="preserve"> and Allen Carr’s Easyway (ACE) method to quit smoking both achieved good outcomes on an intention-to-treat basis at </w:t>
      </w:r>
      <w:r w:rsidR="00D80C79">
        <w:t>26 weeks</w:t>
      </w:r>
      <w:r w:rsidRPr="000C3240">
        <w:t>, comparable with other trials of methods (including NRT and behavioural interventions with combined pharmacotherapy).</w:t>
      </w:r>
      <w:r w:rsidRPr="000C3240">
        <w:rPr>
          <w:vertAlign w:val="superscript"/>
        </w:rPr>
        <w:t xml:space="preserve">9,13 </w:t>
      </w:r>
      <w:r w:rsidRPr="000C3240">
        <w:rPr>
          <w:color w:val="000000"/>
        </w:rPr>
        <w:t xml:space="preserve">The pattern of findings was consistent when considering covariates such as age, gender, nicotine dependence, previous quit attempts and across a range of analyses (comparing participants who </w:t>
      </w:r>
      <w:r w:rsidR="00B4094A" w:rsidRPr="000C3240">
        <w:rPr>
          <w:color w:val="000000"/>
        </w:rPr>
        <w:t xml:space="preserve">attended </w:t>
      </w:r>
      <w:r w:rsidRPr="000C3240">
        <w:rPr>
          <w:color w:val="000000"/>
        </w:rPr>
        <w:t>the treatment versus intention-to-treat and participants who reset their quit date) and when a complete case analysis was undertaken.</w:t>
      </w:r>
      <w:r w:rsidRPr="000C3240">
        <w:t xml:space="preserve"> As such, these findings support and broaden the evidence base in support of the use of such interventions in public health settings.</w:t>
      </w:r>
    </w:p>
    <w:p w14:paraId="69C14542" w14:textId="0BCD6742" w:rsidR="0037720D" w:rsidRPr="000C3240" w:rsidRDefault="00C72E75">
      <w:r w:rsidRPr="000C3240">
        <w:t xml:space="preserve">Treatment initiation was significantly higher in the ACE arm (83%) relative to the </w:t>
      </w:r>
      <w:r w:rsidR="004712A0">
        <w:t>SSS</w:t>
      </w:r>
      <w:r w:rsidRPr="000C3240">
        <w:t xml:space="preserve"> arm (69%). Without qualitative data it is difficult to conclusively interpret this finding. However, candidate factors could include participants preferring a single, longer session, preferring </w:t>
      </w:r>
      <w:r w:rsidR="00310D72">
        <w:t>a nicotine free approach and/or</w:t>
      </w:r>
      <w:r w:rsidRPr="000C3240">
        <w:t xml:space="preserve"> perceived novelty or perceived efficacy of the ACE arm. These could be explored in future research. In relation to this, it should be noted that participants in the ACE treatment arm were offered </w:t>
      </w:r>
      <w:r w:rsidR="00310D72">
        <w:t xml:space="preserve">treatment at </w:t>
      </w:r>
      <w:r w:rsidRPr="000C3240">
        <w:t xml:space="preserve">two sites (in contrast to the </w:t>
      </w:r>
      <w:r w:rsidR="004712A0">
        <w:t>SSS</w:t>
      </w:r>
      <w:r w:rsidRPr="000C3240">
        <w:t xml:space="preserve"> condition, where </w:t>
      </w:r>
      <w:r w:rsidR="00310D72">
        <w:t xml:space="preserve">only </w:t>
      </w:r>
      <w:r w:rsidRPr="000C3240">
        <w:t>one was offered) to avoid a significant imbalance in days/times available (ACE sessions were only available on Wednesday</w:t>
      </w:r>
      <w:r w:rsidR="00797316" w:rsidRPr="000C3240">
        <w:t>s</w:t>
      </w:r>
      <w:r w:rsidRPr="000C3240">
        <w:t xml:space="preserve"> and Thursday</w:t>
      </w:r>
      <w:r w:rsidR="00797316" w:rsidRPr="000C3240">
        <w:t xml:space="preserve">s </w:t>
      </w:r>
      <w:r w:rsidRPr="000C3240">
        <w:t xml:space="preserve">at LSBU, in contrast to am or pm five days per week in the </w:t>
      </w:r>
      <w:r w:rsidR="004712A0">
        <w:t>SSS</w:t>
      </w:r>
      <w:r w:rsidRPr="000C3240">
        <w:t xml:space="preserve">). This may have influenced treatment uptake.  </w:t>
      </w:r>
      <w:r w:rsidRPr="000C3240">
        <w:br/>
      </w:r>
      <w:r w:rsidRPr="000C3240">
        <w:rPr>
          <w:color w:val="000000"/>
        </w:rPr>
        <w:t xml:space="preserve">A key and noteworthy difference between treatment arms is their focus on the use of stop smoking aids (pharmacotherapy). The </w:t>
      </w:r>
      <w:r w:rsidR="004712A0">
        <w:rPr>
          <w:color w:val="000000"/>
        </w:rPr>
        <w:t>SSS</w:t>
      </w:r>
      <w:r w:rsidRPr="000C3240">
        <w:rPr>
          <w:color w:val="000000"/>
        </w:rPr>
        <w:t xml:space="preserve"> approach has a strong focus on the selection and usage of nicotine replacement therapy (NRT), Champix and other medicinal supports. E-cigarettes are also increasingly being promoted as a stop smoking aid (although not explicitly in the current study). In contrast, the ACE method emphasises a nicotine free approach to cessation and cessation maintenance. These differences were reflected in our results; amongst our sample, 91.3% of </w:t>
      </w:r>
      <w:r w:rsidR="004712A0">
        <w:rPr>
          <w:color w:val="000000"/>
        </w:rPr>
        <w:t>SSS</w:t>
      </w:r>
      <w:r w:rsidRPr="000C3240">
        <w:rPr>
          <w:color w:val="000000"/>
        </w:rPr>
        <w:t xml:space="preserve"> participants who successfully quit used NRT, Champix or an e-cigarette. In contrast, in the ACE condition, significantly fewer people (13.3%) who successfully</w:t>
      </w:r>
      <w:r w:rsidR="00797316" w:rsidRPr="000C3240">
        <w:rPr>
          <w:color w:val="000000"/>
        </w:rPr>
        <w:t xml:space="preserve"> quit</w:t>
      </w:r>
      <w:r w:rsidRPr="000C3240">
        <w:rPr>
          <w:color w:val="000000"/>
        </w:rPr>
        <w:t xml:space="preserve"> used these forms of support. </w:t>
      </w:r>
    </w:p>
    <w:p w14:paraId="079FC8EB" w14:textId="187A68AF" w:rsidR="0037720D" w:rsidRPr="000C3240" w:rsidRDefault="00C72E75">
      <w:r w:rsidRPr="000C3240">
        <w:t xml:space="preserve">The strengths of our study include the measurement of smoking cessation using a continuous abstinence criterion. Results from a recent study </w:t>
      </w:r>
      <w:r w:rsidRPr="000C3240">
        <w:rPr>
          <w:color w:val="000000"/>
        </w:rPr>
        <w:t>comparing the ACE method to Ireland’s Quit.ie service found demonstrably superior quit rates for the ACE method, however they adopted a point prevalence method.</w:t>
      </w:r>
      <w:r w:rsidRPr="000C3240">
        <w:rPr>
          <w:color w:val="000000"/>
          <w:vertAlign w:val="superscript"/>
        </w:rPr>
        <w:t>7</w:t>
      </w:r>
      <w:r w:rsidRPr="000C3240">
        <w:t xml:space="preserve"> We also compared the ACE method against a single intervention with high recorded efficacy, in contrast to the Quit.ie. service which features interventions of varying intensity and efficacy.</w:t>
      </w:r>
    </w:p>
    <w:p w14:paraId="1C24D5D9" w14:textId="61FEF50A" w:rsidR="00310D72" w:rsidRDefault="00C72E75">
      <w:r w:rsidRPr="000C3240">
        <w:t xml:space="preserve">Our study had several limitations. In line with the Russell Standard, we verified successful quits using exhaled breath carbon monoxide measurement. Although this is considered a superior measure to self-report, </w:t>
      </w:r>
      <w:r w:rsidRPr="000C3240">
        <w:rPr>
          <w:color w:val="000000"/>
        </w:rPr>
        <w:t xml:space="preserve">other forms of chemical verification of being nicotine free (i.e. cotinine testing) are able to detect levels of nicotine consumed further in the past. Such methods were precluded in the current study as participants in the </w:t>
      </w:r>
      <w:r w:rsidR="004712A0">
        <w:rPr>
          <w:color w:val="000000"/>
        </w:rPr>
        <w:t>SSS</w:t>
      </w:r>
      <w:r w:rsidRPr="000C3240">
        <w:rPr>
          <w:color w:val="000000"/>
        </w:rPr>
        <w:t xml:space="preserve"> condition were provided with the option of using funded NRT, and both treatment arms were free to purchase these independently along with other quit aids such as e-cigarettes. As such, the limitations surrounding carbon monoxide testing (i.e. the duration one needs to be nicotine free for, sensitivity to detect very low levels of smoking versus passive smoking versus environmental effects, and measurement error associated with the devices themselves) limit our findings. One way future research could </w:t>
      </w:r>
      <w:r w:rsidRPr="000C3240">
        <w:t xml:space="preserve">disambiguate tobacco based nicotine levels from others (such as from NRT and e-cigarettes) would be through the use </w:t>
      </w:r>
      <w:r w:rsidR="00B4094A" w:rsidRPr="000C3240">
        <w:t>of tests</w:t>
      </w:r>
      <w:r w:rsidRPr="000C3240">
        <w:t xml:space="preserve"> of anabasine or antabine</w:t>
      </w:r>
      <w:r w:rsidRPr="000C3240">
        <w:rPr>
          <w:bCs/>
          <w:vertAlign w:val="superscript"/>
        </w:rPr>
        <w:t>15</w:t>
      </w:r>
      <w:r w:rsidRPr="000C3240">
        <w:t xml:space="preserve">. </w:t>
      </w:r>
    </w:p>
    <w:p w14:paraId="442DF7D7" w14:textId="5A805C3E" w:rsidR="0037720D" w:rsidRPr="000C3240" w:rsidRDefault="00C72E75">
      <w:r w:rsidRPr="000C3240">
        <w:t>O</w:t>
      </w:r>
      <w:r w:rsidRPr="000C3240">
        <w:rPr>
          <w:color w:val="000000"/>
        </w:rPr>
        <w:t xml:space="preserve">ur study excluded vulnerable patients (e.g. pregnancy, mental illness and respiratory illness), </w:t>
      </w:r>
      <w:r w:rsidR="00310D72">
        <w:rPr>
          <w:color w:val="000000"/>
        </w:rPr>
        <w:t>meaning</w:t>
      </w:r>
      <w:r w:rsidRPr="000C3240">
        <w:rPr>
          <w:color w:val="000000"/>
        </w:rPr>
        <w:t xml:space="preserve"> results are generalizable to a relatively healthy population and may not be a true reflection of each service’s everyday operation or treatment priorities. </w:t>
      </w:r>
    </w:p>
    <w:p w14:paraId="6A549F6C" w14:textId="42CA0087" w:rsidR="0037720D" w:rsidRPr="000C3240" w:rsidRDefault="00C72E75">
      <w:r w:rsidRPr="000C3240">
        <w:t xml:space="preserve">Attrition between contacting the study and consent was high. This may have been due to the nature of incentives offered (i.e. a chance to win a holiday). It could also reflect that most participants had engaged in quit attempts before, </w:t>
      </w:r>
      <w:r w:rsidR="002C28FB" w:rsidRPr="000C3240">
        <w:t>with</w:t>
      </w:r>
      <w:r w:rsidRPr="000C3240">
        <w:t xml:space="preserve"> prior experience with one or both treatment arms which they perceived as being unsuccessful. On a </w:t>
      </w:r>
      <w:r w:rsidR="00AF715F" w:rsidRPr="000C3240">
        <w:t>similar note</w:t>
      </w:r>
      <w:r w:rsidRPr="000C3240">
        <w:t>,</w:t>
      </w:r>
      <w:r w:rsidR="001A21FA" w:rsidRPr="000C3240">
        <w:t xml:space="preserve"> </w:t>
      </w:r>
      <w:r w:rsidR="00177525" w:rsidRPr="000C3240">
        <w:t>48.70</w:t>
      </w:r>
      <w:r w:rsidR="00244215" w:rsidRPr="000C3240">
        <w:t>% of participants randomised were accounted for at the 6</w:t>
      </w:r>
      <w:r w:rsidR="00310D72">
        <w:t>-</w:t>
      </w:r>
      <w:r w:rsidR="00244215" w:rsidRPr="000C3240">
        <w:t xml:space="preserve">month point, leaving </w:t>
      </w:r>
      <w:r w:rsidR="00177525" w:rsidRPr="000C3240">
        <w:t>51.29</w:t>
      </w:r>
      <w:r w:rsidR="00EC026A" w:rsidRPr="000C3240">
        <w:t>%</w:t>
      </w:r>
      <w:r w:rsidR="00244215" w:rsidRPr="000C3240">
        <w:t xml:space="preserve"> as lost to follow-up</w:t>
      </w:r>
      <w:r w:rsidRPr="000C3240">
        <w:t xml:space="preserve">. This presents a </w:t>
      </w:r>
      <w:r w:rsidR="001A21FA" w:rsidRPr="000C3240">
        <w:t xml:space="preserve">caveat </w:t>
      </w:r>
      <w:r w:rsidRPr="000C3240">
        <w:t xml:space="preserve">in the confident assessments of equivalence between arms, although the </w:t>
      </w:r>
      <w:r w:rsidR="001A21FA" w:rsidRPr="000C3240">
        <w:t xml:space="preserve">potential </w:t>
      </w:r>
      <w:r w:rsidRPr="000C3240">
        <w:t>impact of this is mitigated slightly by equal attrition between arms.</w:t>
      </w:r>
      <w:r w:rsidRPr="000C3240">
        <w:rPr>
          <w:shd w:val="clear" w:color="auto" w:fill="F9CB9C"/>
        </w:rPr>
        <w:t xml:space="preserve"> </w:t>
      </w:r>
    </w:p>
    <w:p w14:paraId="4B74DE95" w14:textId="0D0B64F7" w:rsidR="0037720D" w:rsidRPr="000C3240" w:rsidRDefault="00C72E75">
      <w:r w:rsidRPr="000C3240">
        <w:rPr>
          <w:color w:val="000000"/>
        </w:rPr>
        <w:t xml:space="preserve">Finally, significantly more participants completed treatment when randomised to the ACE intervention. This could reflect a preference for the mode of delivery offered by ACE, but could also reflect prior experience with </w:t>
      </w:r>
      <w:r w:rsidR="005A08AF">
        <w:rPr>
          <w:color w:val="000000"/>
        </w:rPr>
        <w:t>SSS</w:t>
      </w:r>
      <w:r w:rsidRPr="000C3240">
        <w:rPr>
          <w:color w:val="000000"/>
        </w:rPr>
        <w:t xml:space="preserve"> which did not result in success, or were perceived as less novel. </w:t>
      </w:r>
    </w:p>
    <w:p w14:paraId="5D8BC6A1" w14:textId="092D1387" w:rsidR="0037720D" w:rsidRPr="000C3240" w:rsidRDefault="00C72E75">
      <w:r w:rsidRPr="000C3240">
        <w:rPr>
          <w:color w:val="000000"/>
        </w:rPr>
        <w:t xml:space="preserve">Our study provides evidence that the ACE method for stopping smoking </w:t>
      </w:r>
      <w:r w:rsidRPr="000C3240">
        <w:t xml:space="preserve">was neither superior or inferior to </w:t>
      </w:r>
      <w:r w:rsidRPr="000C3240">
        <w:rPr>
          <w:color w:val="000000"/>
        </w:rPr>
        <w:t>leading stop smoking interventions.</w:t>
      </w:r>
      <w:r w:rsidRPr="000C3240">
        <w:rPr>
          <w:color w:val="000000"/>
          <w:vertAlign w:val="superscript"/>
        </w:rPr>
        <w:t>6,9</w:t>
      </w:r>
      <w:r w:rsidRPr="000C3240">
        <w:rPr>
          <w:color w:val="000000"/>
        </w:rPr>
        <w:t xml:space="preserve"> Given the significantly lower usage of stop smoking aids in participants undergoing the ACE intervention, higher treatment completion rates, and possible cost-savings resulting from group-based delivery, findings support the use of this intervention in a public health setting.</w:t>
      </w:r>
    </w:p>
    <w:p w14:paraId="564FF9C9" w14:textId="77777777" w:rsidR="0037720D" w:rsidRPr="000C3240" w:rsidRDefault="0037720D">
      <w:pPr>
        <w:rPr>
          <w:b/>
        </w:rPr>
      </w:pPr>
    </w:p>
    <w:p w14:paraId="552E720E" w14:textId="77777777" w:rsidR="0037720D" w:rsidRPr="000C3240" w:rsidRDefault="00C72E75">
      <w:pPr>
        <w:rPr>
          <w:b/>
        </w:rPr>
      </w:pPr>
      <w:r w:rsidRPr="000C3240">
        <w:rPr>
          <w:b/>
        </w:rPr>
        <w:t>Contributors</w:t>
      </w:r>
    </w:p>
    <w:p w14:paraId="60EF647C" w14:textId="2152D393" w:rsidR="0037720D" w:rsidRPr="000C3240" w:rsidRDefault="00C72E75">
      <w:pPr>
        <w:rPr>
          <w:color w:val="333333"/>
        </w:rPr>
      </w:pPr>
      <w:r w:rsidRPr="000C3240">
        <w:rPr>
          <w:color w:val="333333"/>
        </w:rPr>
        <w:t xml:space="preserve">DF, IPA, ACM and KVW conceived the design of the trial and conducted the literature search. KVW and DF wrote the study protocol with input from IPA and ACM. KVW managed the day-to-day running of the trial, including all participant follow-up. HB and MB recruited participants and conducted data collection. SW conducted the data analyses. SW, DF, KVW, IPA and ACM interpreted the data. This article was written by KVW with input from all co-authors. DF is guarantor for this paper. All authors read and approved the final manuscript. The advisory panel consisted Professor Robert West, </w:t>
      </w:r>
      <w:r w:rsidR="00E84DB2" w:rsidRPr="000C3240">
        <w:rPr>
          <w:color w:val="333333"/>
        </w:rPr>
        <w:t>Professor</w:t>
      </w:r>
      <w:r w:rsidRPr="000C3240">
        <w:rPr>
          <w:color w:val="333333"/>
        </w:rPr>
        <w:t xml:space="preserve"> Lynne Dawkins, Jacqui Leslie and </w:t>
      </w:r>
      <w:r w:rsidR="00E84DB2" w:rsidRPr="000C3240">
        <w:rPr>
          <w:color w:val="333333"/>
        </w:rPr>
        <w:t xml:space="preserve">Dr </w:t>
      </w:r>
      <w:r w:rsidRPr="000C3240">
        <w:rPr>
          <w:color w:val="333333"/>
        </w:rPr>
        <w:t xml:space="preserve">Rachel Taylor. </w:t>
      </w:r>
      <w:r w:rsidR="00BD0A21" w:rsidRPr="000C3240">
        <w:rPr>
          <w:color w:val="333333"/>
        </w:rPr>
        <w:t xml:space="preserve">The </w:t>
      </w:r>
      <w:r w:rsidR="00BD0A21">
        <w:rPr>
          <w:color w:val="333333"/>
        </w:rPr>
        <w:t>SSS</w:t>
      </w:r>
      <w:r w:rsidR="00BD0A21" w:rsidRPr="000C3240">
        <w:rPr>
          <w:color w:val="333333"/>
        </w:rPr>
        <w:t xml:space="preserve"> intervention was provided by Lambeth Stop Smoking Service.</w:t>
      </w:r>
    </w:p>
    <w:p w14:paraId="5AEECC53" w14:textId="77777777" w:rsidR="0037720D" w:rsidRPr="000C3240" w:rsidRDefault="00C72E75">
      <w:pPr>
        <w:rPr>
          <w:b/>
          <w:color w:val="333333"/>
        </w:rPr>
      </w:pPr>
      <w:r w:rsidRPr="000C3240">
        <w:rPr>
          <w:b/>
          <w:color w:val="333333"/>
        </w:rPr>
        <w:t>Data Sharing</w:t>
      </w:r>
    </w:p>
    <w:p w14:paraId="16217FD8" w14:textId="77777777" w:rsidR="0037720D" w:rsidRPr="000C3240" w:rsidRDefault="00C72E75">
      <w:pPr>
        <w:rPr>
          <w:color w:val="333333"/>
        </w:rPr>
      </w:pPr>
      <w:r w:rsidRPr="000C3240">
        <w:rPr>
          <w:color w:val="333333"/>
        </w:rPr>
        <w:t>Disidentified data will be made available on publication. Data will be hosted on the Open Science Framework (on the project page associated with the trial - https://osf.io/9kj8d/) on a CC BY-NC 4.0 basis. Study materials such as consent forms and questionnaire will also be available.</w:t>
      </w:r>
    </w:p>
    <w:p w14:paraId="1E324655" w14:textId="77777777" w:rsidR="0037720D" w:rsidRPr="000C3240" w:rsidRDefault="0037720D">
      <w:pPr>
        <w:rPr>
          <w:b/>
          <w:color w:val="333333"/>
        </w:rPr>
      </w:pPr>
    </w:p>
    <w:p w14:paraId="09C0DB96" w14:textId="77777777" w:rsidR="0037720D" w:rsidRPr="000C3240" w:rsidRDefault="00C72E75">
      <w:pPr>
        <w:rPr>
          <w:b/>
          <w:color w:val="333333"/>
        </w:rPr>
      </w:pPr>
      <w:r w:rsidRPr="000C3240">
        <w:rPr>
          <w:b/>
          <w:color w:val="333333"/>
        </w:rPr>
        <w:t>Acknowledgements</w:t>
      </w:r>
    </w:p>
    <w:p w14:paraId="46B4BF84" w14:textId="77777777" w:rsidR="0037720D" w:rsidRPr="000C3240" w:rsidRDefault="00C72E75">
      <w:pPr>
        <w:rPr>
          <w:color w:val="333333"/>
        </w:rPr>
      </w:pPr>
      <w:r w:rsidRPr="000C3240">
        <w:rPr>
          <w:color w:val="333333"/>
        </w:rPr>
        <w:t>We thank Lambeth Public Health for their support with this study.</w:t>
      </w:r>
    </w:p>
    <w:p w14:paraId="1F24035F" w14:textId="77777777" w:rsidR="0037720D" w:rsidRPr="000C3240" w:rsidRDefault="0037720D">
      <w:pPr>
        <w:rPr>
          <w:b/>
          <w:color w:val="333333"/>
        </w:rPr>
      </w:pPr>
    </w:p>
    <w:p w14:paraId="43A213E0" w14:textId="77777777" w:rsidR="0037720D" w:rsidRPr="000C3240" w:rsidRDefault="0037720D">
      <w:pPr>
        <w:rPr>
          <w:color w:val="333333"/>
        </w:rPr>
      </w:pPr>
    </w:p>
    <w:p w14:paraId="3BE15357" w14:textId="77777777" w:rsidR="0037720D" w:rsidRPr="000C3240" w:rsidRDefault="0037720D">
      <w:pPr>
        <w:rPr>
          <w:color w:val="333333"/>
        </w:rPr>
      </w:pPr>
    </w:p>
    <w:p w14:paraId="4E46F7B6" w14:textId="77777777" w:rsidR="0037720D" w:rsidRPr="000C3240" w:rsidRDefault="0037720D">
      <w:pPr>
        <w:rPr>
          <w:color w:val="333333"/>
        </w:rPr>
      </w:pPr>
    </w:p>
    <w:p w14:paraId="1399E96C" w14:textId="77777777" w:rsidR="0037720D" w:rsidRPr="000C3240" w:rsidRDefault="0037720D">
      <w:pPr>
        <w:rPr>
          <w:color w:val="333333"/>
        </w:rPr>
      </w:pPr>
    </w:p>
    <w:p w14:paraId="129C81B8" w14:textId="77777777" w:rsidR="0037720D" w:rsidRDefault="0037720D">
      <w:pPr>
        <w:rPr>
          <w:color w:val="333333"/>
          <w:highlight w:val="white"/>
        </w:rPr>
      </w:pPr>
    </w:p>
    <w:p w14:paraId="19292D23" w14:textId="77777777" w:rsidR="0037720D" w:rsidRDefault="0037720D">
      <w:pPr>
        <w:rPr>
          <w:color w:val="333333"/>
          <w:highlight w:val="white"/>
        </w:rPr>
      </w:pPr>
    </w:p>
    <w:p w14:paraId="5BB56185" w14:textId="77777777" w:rsidR="0037720D" w:rsidRDefault="0037720D">
      <w:pPr>
        <w:rPr>
          <w:color w:val="333333"/>
          <w:highlight w:val="white"/>
        </w:rPr>
      </w:pPr>
    </w:p>
    <w:p w14:paraId="586B01EF" w14:textId="77777777" w:rsidR="0037720D" w:rsidRDefault="0037720D">
      <w:pPr>
        <w:rPr>
          <w:color w:val="333333"/>
          <w:highlight w:val="white"/>
        </w:rPr>
      </w:pPr>
    </w:p>
    <w:p w14:paraId="1C3606C4" w14:textId="77777777" w:rsidR="0037720D" w:rsidRDefault="0037720D">
      <w:pPr>
        <w:rPr>
          <w:color w:val="333333"/>
          <w:highlight w:val="white"/>
        </w:rPr>
      </w:pPr>
    </w:p>
    <w:p w14:paraId="5FAE57FB" w14:textId="77777777" w:rsidR="0037720D" w:rsidRDefault="0037720D">
      <w:pPr>
        <w:rPr>
          <w:color w:val="333333"/>
          <w:highlight w:val="white"/>
        </w:rPr>
      </w:pPr>
    </w:p>
    <w:p w14:paraId="3E721CAA" w14:textId="77777777" w:rsidR="0037720D" w:rsidRDefault="0037720D">
      <w:pPr>
        <w:rPr>
          <w:color w:val="333333"/>
          <w:highlight w:val="white"/>
        </w:rPr>
      </w:pPr>
    </w:p>
    <w:p w14:paraId="3AC26F7D" w14:textId="77777777" w:rsidR="0037720D" w:rsidRDefault="0037720D">
      <w:pPr>
        <w:rPr>
          <w:color w:val="333333"/>
          <w:highlight w:val="white"/>
        </w:rPr>
      </w:pPr>
    </w:p>
    <w:p w14:paraId="503BDE0F" w14:textId="77777777" w:rsidR="0037720D" w:rsidRDefault="0037720D">
      <w:pPr>
        <w:rPr>
          <w:color w:val="333333"/>
          <w:highlight w:val="white"/>
        </w:rPr>
      </w:pPr>
    </w:p>
    <w:p w14:paraId="23C2C283" w14:textId="77777777" w:rsidR="0037720D" w:rsidRDefault="0037720D">
      <w:pPr>
        <w:rPr>
          <w:color w:val="333333"/>
          <w:highlight w:val="white"/>
        </w:rPr>
      </w:pPr>
    </w:p>
    <w:p w14:paraId="01ACE5FF" w14:textId="77777777" w:rsidR="0037720D" w:rsidRDefault="0037720D">
      <w:pPr>
        <w:rPr>
          <w:color w:val="333333"/>
          <w:highlight w:val="white"/>
        </w:rPr>
      </w:pPr>
    </w:p>
    <w:p w14:paraId="61002946" w14:textId="77777777" w:rsidR="0037720D" w:rsidRDefault="0037720D">
      <w:pPr>
        <w:rPr>
          <w:color w:val="333333"/>
          <w:highlight w:val="white"/>
        </w:rPr>
      </w:pPr>
    </w:p>
    <w:p w14:paraId="5E3C40C4" w14:textId="77777777" w:rsidR="0037720D" w:rsidRDefault="0037720D">
      <w:pPr>
        <w:rPr>
          <w:color w:val="333333"/>
          <w:highlight w:val="white"/>
        </w:rPr>
      </w:pPr>
    </w:p>
    <w:p w14:paraId="488D83FB" w14:textId="77777777" w:rsidR="0037720D" w:rsidRDefault="0037720D">
      <w:pPr>
        <w:rPr>
          <w:color w:val="333333"/>
          <w:highlight w:val="white"/>
        </w:rPr>
      </w:pPr>
    </w:p>
    <w:p w14:paraId="780D19C9" w14:textId="77777777" w:rsidR="0037720D" w:rsidRDefault="0037720D">
      <w:pPr>
        <w:rPr>
          <w:color w:val="333333"/>
          <w:highlight w:val="white"/>
        </w:rPr>
      </w:pPr>
    </w:p>
    <w:p w14:paraId="29A3198D" w14:textId="77777777" w:rsidR="0037720D" w:rsidRDefault="0037720D">
      <w:pPr>
        <w:rPr>
          <w:color w:val="333333"/>
          <w:highlight w:val="white"/>
        </w:rPr>
      </w:pPr>
    </w:p>
    <w:p w14:paraId="7117EE7E" w14:textId="77777777" w:rsidR="0037720D" w:rsidRDefault="0037720D">
      <w:pPr>
        <w:rPr>
          <w:color w:val="333333"/>
          <w:highlight w:val="white"/>
        </w:rPr>
      </w:pPr>
    </w:p>
    <w:p w14:paraId="3E25416C" w14:textId="77777777" w:rsidR="0037720D" w:rsidRDefault="0037720D">
      <w:pPr>
        <w:rPr>
          <w:color w:val="333333"/>
          <w:highlight w:val="white"/>
        </w:rPr>
      </w:pPr>
    </w:p>
    <w:p w14:paraId="364BAA92" w14:textId="5CC84B55" w:rsidR="0037720D" w:rsidRDefault="0037720D">
      <w:pPr>
        <w:rPr>
          <w:color w:val="333333"/>
          <w:highlight w:val="white"/>
        </w:rPr>
      </w:pPr>
    </w:p>
    <w:p w14:paraId="0AFED9C5" w14:textId="7F078EDC" w:rsidR="00C642AE" w:rsidRDefault="00C642AE">
      <w:pPr>
        <w:rPr>
          <w:color w:val="333333"/>
          <w:highlight w:val="white"/>
        </w:rPr>
      </w:pPr>
    </w:p>
    <w:p w14:paraId="60008D86" w14:textId="686365A3" w:rsidR="00210634" w:rsidRDefault="00210634">
      <w:pPr>
        <w:rPr>
          <w:color w:val="333333"/>
          <w:highlight w:val="white"/>
        </w:rPr>
      </w:pPr>
    </w:p>
    <w:p w14:paraId="483F0444" w14:textId="34938DAE" w:rsidR="005A08AF" w:rsidRDefault="005A08AF">
      <w:pPr>
        <w:rPr>
          <w:color w:val="333333"/>
          <w:highlight w:val="white"/>
        </w:rPr>
      </w:pPr>
    </w:p>
    <w:p w14:paraId="1BAF120C" w14:textId="265414ED" w:rsidR="005A08AF" w:rsidRDefault="005A08AF">
      <w:pPr>
        <w:rPr>
          <w:color w:val="333333"/>
          <w:highlight w:val="white"/>
        </w:rPr>
      </w:pPr>
    </w:p>
    <w:p w14:paraId="02B39547" w14:textId="3E727BB7" w:rsidR="005A08AF" w:rsidRDefault="005A08AF">
      <w:pPr>
        <w:rPr>
          <w:color w:val="333333"/>
          <w:highlight w:val="white"/>
        </w:rPr>
      </w:pPr>
    </w:p>
    <w:p w14:paraId="4900FACB" w14:textId="77777777" w:rsidR="005A08AF" w:rsidRDefault="005A08AF">
      <w:pPr>
        <w:rPr>
          <w:color w:val="333333"/>
          <w:highlight w:val="white"/>
        </w:rPr>
      </w:pPr>
    </w:p>
    <w:p w14:paraId="4980A5BA" w14:textId="77777777" w:rsidR="00210634" w:rsidRDefault="00210634">
      <w:pPr>
        <w:rPr>
          <w:color w:val="333333"/>
          <w:highlight w:val="white"/>
        </w:rPr>
      </w:pPr>
    </w:p>
    <w:p w14:paraId="6AD58870" w14:textId="1CE01338" w:rsidR="00C642AE" w:rsidRDefault="00C642AE">
      <w:pPr>
        <w:rPr>
          <w:color w:val="333333"/>
          <w:highlight w:val="white"/>
        </w:rPr>
      </w:pPr>
    </w:p>
    <w:p w14:paraId="5B4E1FC9" w14:textId="5F26570E" w:rsidR="00C642AE" w:rsidRDefault="00C642AE">
      <w:pPr>
        <w:rPr>
          <w:color w:val="333333"/>
          <w:highlight w:val="white"/>
        </w:rPr>
      </w:pPr>
    </w:p>
    <w:p w14:paraId="5CE6A9A6" w14:textId="18071EEC" w:rsidR="00C642AE" w:rsidRDefault="00C642AE">
      <w:pPr>
        <w:rPr>
          <w:color w:val="333333"/>
          <w:highlight w:val="white"/>
        </w:rPr>
      </w:pPr>
    </w:p>
    <w:p w14:paraId="509F4DFF" w14:textId="77777777" w:rsidR="0037720D" w:rsidRDefault="00C72E75">
      <w:pPr>
        <w:ind w:firstLine="142"/>
        <w:rPr>
          <w:b/>
        </w:rPr>
      </w:pPr>
      <w:r>
        <w:rPr>
          <w:b/>
          <w:color w:val="333333"/>
          <w:highlight w:val="white"/>
        </w:rPr>
        <w:t>References</w:t>
      </w:r>
    </w:p>
    <w:p w14:paraId="0A801C36"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World Health Organisation. Global report on trends in prevalence of tobacco smoking.2015.http://www.who.int/tobacco/publications/surveillance/reportontrendstobaccosmoking/en/ (accessed November 2018)</w:t>
      </w:r>
    </w:p>
    <w:p w14:paraId="6FC6FEA8"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Statistics on smoking. England: 2018. </w:t>
      </w:r>
      <w:r>
        <w:rPr>
          <w:color w:val="0000FF"/>
          <w:u w:val="single"/>
        </w:rPr>
        <w:t>https://files.digital.nhs.uk/0C/95F481/stat-smok-eng-2018-rep.pdf</w:t>
      </w:r>
      <w:r>
        <w:rPr>
          <w:color w:val="000000"/>
        </w:rPr>
        <w:t xml:space="preserve"> (accessed January 2019)</w:t>
      </w:r>
    </w:p>
    <w:p w14:paraId="40247854"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Bucchalter AR, Acosta MC, Evans SE, Breland AB, Eissenberg T. (2015). Tobacco abstinence symptom suppression: the role played by the smoking-related stimuli that are delivered by denicotinized cigarettes. </w:t>
      </w:r>
      <w:r>
        <w:rPr>
          <w:i/>
          <w:color w:val="000000"/>
        </w:rPr>
        <w:t xml:space="preserve">Addiction, </w:t>
      </w:r>
      <w:r>
        <w:rPr>
          <w:color w:val="000000"/>
        </w:rPr>
        <w:t xml:space="preserve">2015; </w:t>
      </w:r>
      <w:r>
        <w:rPr>
          <w:b/>
          <w:color w:val="000000"/>
        </w:rPr>
        <w:t>100:</w:t>
      </w:r>
      <w:r>
        <w:rPr>
          <w:i/>
          <w:color w:val="000000"/>
        </w:rPr>
        <w:t xml:space="preserve"> </w:t>
      </w:r>
      <w:r>
        <w:rPr>
          <w:color w:val="000000"/>
        </w:rPr>
        <w:t>550-559.</w:t>
      </w:r>
      <w:r>
        <w:rPr>
          <w:i/>
          <w:color w:val="000000"/>
        </w:rPr>
        <w:t xml:space="preserve"> </w:t>
      </w:r>
    </w:p>
    <w:p w14:paraId="52290DC0"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Public Health England (2016). Health matters: Smoking and quitting in England. </w:t>
      </w:r>
      <w:r>
        <w:rPr>
          <w:color w:val="0000FF"/>
          <w:u w:val="single"/>
        </w:rPr>
        <w:t>https://www.gov.uk/government/publications/health-matters-smoking-and-quitting-in-england/smoking-and-quitting-in-england (accessed December 2018)</w:t>
      </w:r>
    </w:p>
    <w:p w14:paraId="0C01536C"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Ronckers ET, Groot W, Ament AJ. Systematic review of economic evaluations of smoking cessation: standardizing the cost-effectiveness. </w:t>
      </w:r>
      <w:r>
        <w:rPr>
          <w:i/>
          <w:color w:val="000000"/>
        </w:rPr>
        <w:t xml:space="preserve">Medical Decision Making. </w:t>
      </w:r>
      <w:r>
        <w:rPr>
          <w:color w:val="000000"/>
        </w:rPr>
        <w:t>2005;</w:t>
      </w:r>
      <w:r>
        <w:rPr>
          <w:b/>
          <w:color w:val="000000"/>
        </w:rPr>
        <w:t xml:space="preserve"> 25</w:t>
      </w:r>
      <w:r>
        <w:rPr>
          <w:color w:val="000000"/>
        </w:rPr>
        <w:t>:</w:t>
      </w:r>
      <w:r>
        <w:rPr>
          <w:i/>
          <w:color w:val="000000"/>
        </w:rPr>
        <w:t xml:space="preserve"> </w:t>
      </w:r>
      <w:r>
        <w:rPr>
          <w:color w:val="000000"/>
        </w:rPr>
        <w:t>437-448.</w:t>
      </w:r>
    </w:p>
    <w:p w14:paraId="29EA1374" w14:textId="77777777" w:rsidR="0037720D" w:rsidRDefault="00C72E75">
      <w:pPr>
        <w:numPr>
          <w:ilvl w:val="0"/>
          <w:numId w:val="1"/>
        </w:numPr>
        <w:pBdr>
          <w:top w:val="nil"/>
          <w:left w:val="nil"/>
          <w:bottom w:val="nil"/>
          <w:right w:val="nil"/>
          <w:between w:val="nil"/>
        </w:pBdr>
        <w:spacing w:line="276" w:lineRule="auto"/>
      </w:pPr>
      <w:r>
        <w:rPr>
          <w:color w:val="000000"/>
        </w:rPr>
        <w:t xml:space="preserve">Stead LF, Perera R, Bullen C, et al. Nicotine replacement therapy for smoking cessation. </w:t>
      </w:r>
      <w:r>
        <w:rPr>
          <w:i/>
          <w:color w:val="000000"/>
        </w:rPr>
        <w:t xml:space="preserve">Cochrane Database of Systematic Reviews. </w:t>
      </w:r>
      <w:r>
        <w:rPr>
          <w:color w:val="000000"/>
        </w:rPr>
        <w:t>2012;</w:t>
      </w:r>
      <w:r>
        <w:rPr>
          <w:b/>
          <w:color w:val="000000"/>
        </w:rPr>
        <w:t xml:space="preserve"> 11</w:t>
      </w:r>
      <w:r>
        <w:rPr>
          <w:i/>
          <w:color w:val="000000"/>
        </w:rPr>
        <w:t xml:space="preserve">. </w:t>
      </w:r>
      <w:r>
        <w:rPr>
          <w:color w:val="000000"/>
        </w:rPr>
        <w:t>Doi:10.1002/14651858.CD000146.pub4.</w:t>
      </w:r>
    </w:p>
    <w:p w14:paraId="13F90BFB"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Keogan S, Li S, Clancy L. Allen Carr’s Easyway to stop smoking – A randomized clinical trial. </w:t>
      </w:r>
      <w:r>
        <w:rPr>
          <w:i/>
          <w:color w:val="000000"/>
        </w:rPr>
        <w:t>Tobacco Control.</w:t>
      </w:r>
      <w:r>
        <w:rPr>
          <w:color w:val="000000"/>
        </w:rPr>
        <w:t xml:space="preserve"> 2018; </w:t>
      </w:r>
      <w:r>
        <w:rPr>
          <w:b/>
          <w:color w:val="000000"/>
        </w:rPr>
        <w:t>0</w:t>
      </w:r>
      <w:r>
        <w:rPr>
          <w:color w:val="000000"/>
        </w:rPr>
        <w:t>:1-6. Doi: 10.1136/tobaccocontrol-2018-054243</w:t>
      </w:r>
    </w:p>
    <w:p w14:paraId="544D508F"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Dijkstra A, Zuidema. R, Vos D, van Kalken M. The effectiveness of the Allen Carr smoking cessation training in companies tested in quasi experimental design. </w:t>
      </w:r>
      <w:r>
        <w:rPr>
          <w:i/>
          <w:color w:val="000000"/>
        </w:rPr>
        <w:t xml:space="preserve">BMC Public Health. </w:t>
      </w:r>
      <w:r>
        <w:rPr>
          <w:color w:val="000000"/>
        </w:rPr>
        <w:t xml:space="preserve">2014; </w:t>
      </w:r>
      <w:r>
        <w:rPr>
          <w:b/>
          <w:color w:val="000000"/>
        </w:rPr>
        <w:t>14:</w:t>
      </w:r>
      <w:r>
        <w:rPr>
          <w:i/>
          <w:color w:val="000000"/>
        </w:rPr>
        <w:t xml:space="preserve"> </w:t>
      </w:r>
      <w:r>
        <w:rPr>
          <w:color w:val="000000"/>
        </w:rPr>
        <w:t>952.</w:t>
      </w:r>
    </w:p>
    <w:p w14:paraId="35185684" w14:textId="77777777" w:rsidR="0037720D" w:rsidRDefault="00C72E75">
      <w:pPr>
        <w:numPr>
          <w:ilvl w:val="0"/>
          <w:numId w:val="1"/>
        </w:numPr>
        <w:pBdr>
          <w:top w:val="nil"/>
          <w:left w:val="nil"/>
          <w:bottom w:val="nil"/>
          <w:right w:val="nil"/>
          <w:between w:val="nil"/>
        </w:pBdr>
        <w:shd w:val="clear" w:color="auto" w:fill="FFFFFF"/>
        <w:spacing w:line="276" w:lineRule="auto"/>
        <w:rPr>
          <w:color w:val="000000"/>
        </w:rPr>
      </w:pPr>
      <w:r>
        <w:rPr>
          <w:color w:val="000000"/>
        </w:rPr>
        <w:t>Stead LF, Koilpillai P, Fanshawe TR, Lancaster T. Combined pharmacotherapy and behavioural interventions for smoking cessation.</w:t>
      </w:r>
    </w:p>
    <w:p w14:paraId="01BBD442" w14:textId="77777777" w:rsidR="0037720D" w:rsidRDefault="00C72E75" w:rsidP="00BA41BD">
      <w:pPr>
        <w:pBdr>
          <w:top w:val="nil"/>
          <w:left w:val="nil"/>
          <w:bottom w:val="nil"/>
          <w:right w:val="nil"/>
          <w:between w:val="nil"/>
        </w:pBdr>
        <w:shd w:val="clear" w:color="auto" w:fill="FFFFFF"/>
        <w:spacing w:line="276" w:lineRule="auto"/>
        <w:ind w:left="502" w:firstLine="65"/>
        <w:rPr>
          <w:color w:val="000000"/>
        </w:rPr>
      </w:pPr>
      <w:r>
        <w:rPr>
          <w:color w:val="000000"/>
        </w:rPr>
        <w:t xml:space="preserve">Cochrane Database of Systematic Reviews. 2016; </w:t>
      </w:r>
      <w:r>
        <w:rPr>
          <w:b/>
          <w:color w:val="000000"/>
        </w:rPr>
        <w:t>3</w:t>
      </w:r>
      <w:r>
        <w:rPr>
          <w:color w:val="000000"/>
        </w:rPr>
        <w:t>. DOI: 10.1002/14651858.CD008286.pub3.</w:t>
      </w:r>
    </w:p>
    <w:p w14:paraId="1DCA9456" w14:textId="77777777" w:rsidR="0037720D" w:rsidRDefault="00C72E75">
      <w:pPr>
        <w:numPr>
          <w:ilvl w:val="0"/>
          <w:numId w:val="1"/>
        </w:numPr>
        <w:pBdr>
          <w:top w:val="nil"/>
          <w:left w:val="nil"/>
          <w:bottom w:val="nil"/>
          <w:right w:val="nil"/>
          <w:between w:val="nil"/>
        </w:pBdr>
        <w:spacing w:line="276" w:lineRule="auto"/>
        <w:rPr>
          <w:color w:val="000000"/>
        </w:rPr>
      </w:pPr>
      <w:r>
        <w:rPr>
          <w:color w:val="000000"/>
        </w:rPr>
        <w:t xml:space="preserve">West R, Hajek P, Stead L, Stapleton J. Outcome criteria in smoking cessation trials: proposal for a common standard. </w:t>
      </w:r>
      <w:r>
        <w:rPr>
          <w:i/>
          <w:color w:val="000000"/>
        </w:rPr>
        <w:t>Addiction</w:t>
      </w:r>
      <w:r>
        <w:rPr>
          <w:color w:val="000000"/>
        </w:rPr>
        <w:t xml:space="preserve">. 2005; </w:t>
      </w:r>
      <w:r>
        <w:rPr>
          <w:b/>
          <w:color w:val="000000"/>
        </w:rPr>
        <w:t>100:</w:t>
      </w:r>
      <w:r>
        <w:rPr>
          <w:color w:val="000000"/>
        </w:rPr>
        <w:t xml:space="preserve"> 299-303.</w:t>
      </w:r>
    </w:p>
    <w:p w14:paraId="7FA96F19" w14:textId="77777777" w:rsidR="0037720D" w:rsidRDefault="00C72E75">
      <w:pPr>
        <w:numPr>
          <w:ilvl w:val="0"/>
          <w:numId w:val="1"/>
        </w:numPr>
        <w:pBdr>
          <w:top w:val="nil"/>
          <w:left w:val="nil"/>
          <w:bottom w:val="nil"/>
          <w:right w:val="nil"/>
          <w:between w:val="nil"/>
        </w:pBdr>
        <w:shd w:val="clear" w:color="auto" w:fill="FFFFFF"/>
        <w:spacing w:line="276" w:lineRule="auto"/>
        <w:rPr>
          <w:color w:val="333333"/>
        </w:rPr>
      </w:pPr>
      <w:r>
        <w:rPr>
          <w:color w:val="000000"/>
        </w:rPr>
        <w:t xml:space="preserve">Wood KV, Albery IP, Moss AC, White S, Frings D. Study protocol for a randomised controlled trial of Allen Carr’s Easyway programme versus Lambeth and Southwark NHS for smoking cessation. </w:t>
      </w:r>
      <w:r>
        <w:rPr>
          <w:i/>
          <w:color w:val="000000"/>
        </w:rPr>
        <w:t>BMJOpen</w:t>
      </w:r>
      <w:r>
        <w:rPr>
          <w:color w:val="000000"/>
        </w:rPr>
        <w:t xml:space="preserve">. 2017; </w:t>
      </w:r>
      <w:r>
        <w:rPr>
          <w:b/>
          <w:color w:val="000000"/>
        </w:rPr>
        <w:t>7.</w:t>
      </w:r>
      <w:r>
        <w:rPr>
          <w:color w:val="000000"/>
        </w:rPr>
        <w:t xml:space="preserve"> </w:t>
      </w:r>
      <w:r>
        <w:rPr>
          <w:color w:val="333333"/>
        </w:rPr>
        <w:t>doi: 10.1136/bmjopen-2017-016867</w:t>
      </w:r>
    </w:p>
    <w:p w14:paraId="22180A58" w14:textId="77777777" w:rsidR="0037720D" w:rsidRDefault="00C72E75">
      <w:pPr>
        <w:numPr>
          <w:ilvl w:val="0"/>
          <w:numId w:val="1"/>
        </w:numPr>
        <w:pBdr>
          <w:top w:val="nil"/>
          <w:left w:val="nil"/>
          <w:bottom w:val="nil"/>
          <w:right w:val="nil"/>
          <w:between w:val="nil"/>
        </w:pBdr>
        <w:shd w:val="clear" w:color="auto" w:fill="FFFFFF"/>
        <w:spacing w:line="276" w:lineRule="auto"/>
        <w:rPr>
          <w:color w:val="333333"/>
        </w:rPr>
      </w:pPr>
      <w:r>
        <w:rPr>
          <w:color w:val="333333"/>
        </w:rPr>
        <w:t xml:space="preserve">Heatherton TF, Kozlowski LT, Frecker RC, Fagerstrom KO. The Fagerstrom Test for Nicotine Dependence: a revision of the Fagerstrom Tolerance Questionnaire. </w:t>
      </w:r>
      <w:r>
        <w:rPr>
          <w:i/>
          <w:color w:val="333333"/>
        </w:rPr>
        <w:t>Br J Addict.</w:t>
      </w:r>
      <w:r>
        <w:rPr>
          <w:color w:val="333333"/>
        </w:rPr>
        <w:t xml:space="preserve"> 1991. </w:t>
      </w:r>
      <w:r>
        <w:rPr>
          <w:b/>
          <w:color w:val="333333"/>
        </w:rPr>
        <w:t>86</w:t>
      </w:r>
      <w:r>
        <w:rPr>
          <w:color w:val="333333"/>
        </w:rPr>
        <w:t>:1119-27.</w:t>
      </w:r>
    </w:p>
    <w:p w14:paraId="0F5199FA" w14:textId="77777777" w:rsidR="0037720D" w:rsidRDefault="00C72E75">
      <w:pPr>
        <w:numPr>
          <w:ilvl w:val="0"/>
          <w:numId w:val="1"/>
        </w:numPr>
        <w:pBdr>
          <w:top w:val="nil"/>
          <w:left w:val="nil"/>
          <w:bottom w:val="nil"/>
          <w:right w:val="nil"/>
          <w:between w:val="nil"/>
        </w:pBdr>
        <w:spacing w:line="276" w:lineRule="auto"/>
        <w:rPr>
          <w:color w:val="000000"/>
          <w:shd w:val="clear" w:color="auto" w:fill="F0EFEF"/>
        </w:rPr>
      </w:pPr>
      <w:r>
        <w:rPr>
          <w:color w:val="000000"/>
          <w:shd w:val="clear" w:color="auto" w:fill="F0EFEF"/>
        </w:rPr>
        <w:t>Hartmann</w:t>
      </w:r>
      <w:r>
        <w:rPr>
          <w:rFonts w:ascii="Cambria Math" w:eastAsia="Cambria Math" w:hAnsi="Cambria Math" w:cs="Cambria Math"/>
          <w:color w:val="000000"/>
          <w:shd w:val="clear" w:color="auto" w:fill="F0EFEF"/>
        </w:rPr>
        <w:t>‐</w:t>
      </w:r>
      <w:r>
        <w:rPr>
          <w:color w:val="000000"/>
          <w:shd w:val="clear" w:color="auto" w:fill="F0EFEF"/>
        </w:rPr>
        <w:t xml:space="preserve">Boyce  J, Chepkin  SC, Ye  W, Bullen  C, Lancaster  T. Nicotine replacement therapy versus control for smoking cessation. </w:t>
      </w:r>
      <w:r>
        <w:rPr>
          <w:i/>
          <w:color w:val="000000"/>
          <w:shd w:val="clear" w:color="auto" w:fill="F0EFEF"/>
        </w:rPr>
        <w:t>Cochrane Database of Systematic Reviews.</w:t>
      </w:r>
      <w:r>
        <w:rPr>
          <w:color w:val="000000"/>
          <w:shd w:val="clear" w:color="auto" w:fill="F0EFEF"/>
        </w:rPr>
        <w:t xml:space="preserve"> 2018; </w:t>
      </w:r>
      <w:r>
        <w:rPr>
          <w:b/>
          <w:color w:val="000000"/>
          <w:shd w:val="clear" w:color="auto" w:fill="F0EFEF"/>
        </w:rPr>
        <w:t>5.</w:t>
      </w:r>
      <w:r>
        <w:rPr>
          <w:color w:val="000000"/>
          <w:shd w:val="clear" w:color="auto" w:fill="F0EFEF"/>
        </w:rPr>
        <w:t xml:space="preserve"> DOI: 10.1002/14651858.CD000146.pub5.</w:t>
      </w:r>
    </w:p>
    <w:p w14:paraId="488CD4A7" w14:textId="77777777" w:rsidR="0037720D" w:rsidRDefault="00C72E75">
      <w:pPr>
        <w:numPr>
          <w:ilvl w:val="0"/>
          <w:numId w:val="1"/>
        </w:numPr>
        <w:pBdr>
          <w:top w:val="nil"/>
          <w:left w:val="nil"/>
          <w:bottom w:val="nil"/>
          <w:right w:val="nil"/>
          <w:between w:val="nil"/>
        </w:pBdr>
        <w:spacing w:after="200" w:line="276" w:lineRule="auto"/>
      </w:pPr>
      <w:r>
        <w:rPr>
          <w:color w:val="000000"/>
        </w:rPr>
        <w:t xml:space="preserve">Siemer L, Pieterse ME, Brusse-Keizer MG, Postel MG, Allouch SB, Sanderman R. Study protocol for a non-inferiority trial of a blended smoking cessation treatment versus face-to-face treatment (LiveSmokefree-Study). </w:t>
      </w:r>
      <w:r>
        <w:rPr>
          <w:i/>
          <w:color w:val="000000"/>
        </w:rPr>
        <w:t>BMC Public Health.</w:t>
      </w:r>
      <w:r>
        <w:rPr>
          <w:color w:val="000000"/>
        </w:rPr>
        <w:t xml:space="preserve"> 2016; </w:t>
      </w:r>
      <w:r>
        <w:rPr>
          <w:b/>
          <w:color w:val="000000"/>
        </w:rPr>
        <w:t>16(1),</w:t>
      </w:r>
      <w:r>
        <w:rPr>
          <w:color w:val="000000"/>
        </w:rPr>
        <w:t xml:space="preserve"> 1187.</w:t>
      </w:r>
    </w:p>
    <w:p w14:paraId="5DC6D36C" w14:textId="77777777" w:rsidR="0037720D" w:rsidRDefault="00C72E75">
      <w:pPr>
        <w:numPr>
          <w:ilvl w:val="0"/>
          <w:numId w:val="1"/>
        </w:numPr>
        <w:pBdr>
          <w:top w:val="nil"/>
          <w:left w:val="nil"/>
          <w:bottom w:val="nil"/>
          <w:right w:val="nil"/>
          <w:between w:val="nil"/>
        </w:pBdr>
        <w:spacing w:after="200" w:line="276" w:lineRule="auto"/>
      </w:pPr>
      <w:r>
        <w:t>Jacob P, Hatsukami D, Severson H, Hall S, Yu L, Benowitz NL. Anabasine and anatabine as biomarkers for tobacco use during nicotine replacement therapy. C</w:t>
      </w:r>
      <w:r>
        <w:rPr>
          <w:i/>
        </w:rPr>
        <w:t>ancer Epidemiology and Prevention Biomarkers</w:t>
      </w:r>
      <w:r>
        <w:t>. 2002;</w:t>
      </w:r>
      <w:r>
        <w:rPr>
          <w:b/>
        </w:rPr>
        <w:t>11</w:t>
      </w:r>
      <w:r>
        <w:t>:1668-73.</w:t>
      </w:r>
    </w:p>
    <w:p w14:paraId="2FA9BE63" w14:textId="77777777" w:rsidR="0037720D" w:rsidRDefault="0037720D"/>
    <w:p w14:paraId="1DF9A1E0" w14:textId="77777777" w:rsidR="0037720D" w:rsidRDefault="0037720D"/>
    <w:p w14:paraId="0CC3D3E9" w14:textId="77777777" w:rsidR="0037720D" w:rsidRDefault="0037720D"/>
    <w:p w14:paraId="4FA55AB3" w14:textId="77777777" w:rsidR="0037720D" w:rsidRDefault="0037720D"/>
    <w:p w14:paraId="159562B1" w14:textId="77777777" w:rsidR="0037720D" w:rsidRDefault="0037720D"/>
    <w:p w14:paraId="1EF7D5BA" w14:textId="77777777" w:rsidR="0037720D" w:rsidRDefault="0037720D"/>
    <w:p w14:paraId="24CF079B" w14:textId="77777777" w:rsidR="0037720D" w:rsidRDefault="0037720D"/>
    <w:p w14:paraId="2328CFC2" w14:textId="77777777" w:rsidR="002A35C8" w:rsidRDefault="002A35C8"/>
    <w:p w14:paraId="647655B6" w14:textId="77777777" w:rsidR="002A35C8" w:rsidRDefault="002A35C8"/>
    <w:p w14:paraId="17F9D24E" w14:textId="77777777" w:rsidR="002A35C8" w:rsidRDefault="002A35C8"/>
    <w:p w14:paraId="053CDB78" w14:textId="77777777" w:rsidR="002A35C8" w:rsidRDefault="002A35C8"/>
    <w:p w14:paraId="7138FAA2" w14:textId="77777777" w:rsidR="002A35C8" w:rsidRDefault="002A35C8"/>
    <w:p w14:paraId="2C0CBBA1" w14:textId="77777777" w:rsidR="002A35C8" w:rsidRDefault="002A35C8"/>
    <w:p w14:paraId="728D3165" w14:textId="77777777" w:rsidR="002A35C8" w:rsidRDefault="002A35C8"/>
    <w:p w14:paraId="5EE37148" w14:textId="77777777" w:rsidR="002A35C8" w:rsidRDefault="002A35C8"/>
    <w:p w14:paraId="30B98444" w14:textId="77777777" w:rsidR="002A35C8" w:rsidRDefault="002A35C8"/>
    <w:p w14:paraId="0E4A7803" w14:textId="77777777" w:rsidR="002A35C8" w:rsidRDefault="002A35C8"/>
    <w:p w14:paraId="1FF09794" w14:textId="77777777" w:rsidR="002A35C8" w:rsidRDefault="002A35C8"/>
    <w:p w14:paraId="0CD7B40D" w14:textId="77777777" w:rsidR="002A35C8" w:rsidRDefault="002A35C8"/>
    <w:p w14:paraId="3F701F80" w14:textId="77777777" w:rsidR="002A35C8" w:rsidRDefault="002A35C8"/>
    <w:p w14:paraId="6ACD1D53" w14:textId="77777777" w:rsidR="002A35C8" w:rsidRDefault="002A35C8"/>
    <w:p w14:paraId="213FC580" w14:textId="77777777" w:rsidR="002A35C8" w:rsidRDefault="002A35C8"/>
    <w:p w14:paraId="60B498AF" w14:textId="77777777" w:rsidR="002A35C8" w:rsidRDefault="002A35C8"/>
    <w:p w14:paraId="36B7BD71" w14:textId="77777777" w:rsidR="002A35C8" w:rsidRDefault="002A35C8"/>
    <w:p w14:paraId="0135013A" w14:textId="77777777" w:rsidR="002A35C8" w:rsidRDefault="002A35C8"/>
    <w:p w14:paraId="72C0A207" w14:textId="77777777" w:rsidR="002A35C8" w:rsidRDefault="002A35C8"/>
    <w:p w14:paraId="47E2F361" w14:textId="77777777" w:rsidR="002A35C8" w:rsidRDefault="002A35C8"/>
    <w:p w14:paraId="4F441ED6" w14:textId="77777777" w:rsidR="002A35C8" w:rsidRDefault="002A35C8"/>
    <w:p w14:paraId="0D3A5B57" w14:textId="77777777" w:rsidR="002A35C8" w:rsidRDefault="002A35C8"/>
    <w:p w14:paraId="050294DE" w14:textId="77777777" w:rsidR="002A35C8" w:rsidRDefault="002A35C8"/>
    <w:p w14:paraId="0D49C70C" w14:textId="77777777" w:rsidR="002A35C8" w:rsidRDefault="002A35C8"/>
    <w:p w14:paraId="7462D996" w14:textId="77777777" w:rsidR="002A35C8" w:rsidRDefault="002A35C8"/>
    <w:p w14:paraId="7C828238" w14:textId="77777777" w:rsidR="002A35C8" w:rsidRDefault="002A35C8"/>
    <w:p w14:paraId="29A95B82" w14:textId="77777777" w:rsidR="002A35C8" w:rsidRDefault="002A35C8"/>
    <w:p w14:paraId="64771EA6" w14:textId="77777777" w:rsidR="002A35C8" w:rsidRDefault="002A35C8"/>
    <w:p w14:paraId="49A473DC" w14:textId="77777777" w:rsidR="002A35C8" w:rsidRDefault="002A35C8"/>
    <w:p w14:paraId="4E3F3501" w14:textId="77777777" w:rsidR="002A35C8" w:rsidRDefault="002A35C8"/>
    <w:p w14:paraId="0391C26B" w14:textId="77777777" w:rsidR="002A35C8" w:rsidRDefault="002A35C8"/>
    <w:p w14:paraId="4258AC51" w14:textId="77777777" w:rsidR="002A35C8" w:rsidRDefault="002A35C8"/>
    <w:p w14:paraId="0BD5518F" w14:textId="77777777" w:rsidR="002A35C8" w:rsidRDefault="002A35C8"/>
    <w:p w14:paraId="3E95D30E" w14:textId="77777777" w:rsidR="002A35C8" w:rsidRDefault="002A35C8"/>
    <w:p w14:paraId="0E4C213F" w14:textId="77777777" w:rsidR="002A35C8" w:rsidRDefault="002A35C8"/>
    <w:p w14:paraId="78D76B77" w14:textId="77777777" w:rsidR="002A35C8" w:rsidRDefault="002A35C8"/>
    <w:p w14:paraId="7742C813" w14:textId="77777777" w:rsidR="002A35C8" w:rsidRDefault="002A35C8"/>
    <w:p w14:paraId="721186B6" w14:textId="77777777" w:rsidR="002A35C8" w:rsidRDefault="002A35C8"/>
    <w:p w14:paraId="6F426AE4" w14:textId="77777777" w:rsidR="002A35C8" w:rsidRDefault="002A35C8"/>
    <w:p w14:paraId="35638047" w14:textId="0250E54F" w:rsidR="0037720D" w:rsidRDefault="00C72E75">
      <w:r w:rsidRPr="0074295F">
        <w:t>Figure 1: Participant flow</w:t>
      </w:r>
    </w:p>
    <w:p w14:paraId="453CFBC2" w14:textId="5E1D1384" w:rsidR="0037720D" w:rsidRDefault="00D8234C">
      <w:r>
        <w:rPr>
          <w:noProof/>
          <w:lang w:eastAsia="en-GB"/>
        </w:rPr>
        <w:drawing>
          <wp:inline distT="0" distB="0" distL="0" distR="0" wp14:anchorId="1C82984E" wp14:editId="3C417A5E">
            <wp:extent cx="4343400" cy="701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R3.JPG"/>
                    <pic:cNvPicPr/>
                  </pic:nvPicPr>
                  <pic:blipFill>
                    <a:blip r:embed="rId8">
                      <a:extLst>
                        <a:ext uri="{28A0092B-C50C-407E-A947-70E740481C1C}">
                          <a14:useLocalDpi xmlns:a14="http://schemas.microsoft.com/office/drawing/2010/main" val="0"/>
                        </a:ext>
                      </a:extLst>
                    </a:blip>
                    <a:stretch>
                      <a:fillRect/>
                    </a:stretch>
                  </pic:blipFill>
                  <pic:spPr>
                    <a:xfrm>
                      <a:off x="0" y="0"/>
                      <a:ext cx="4343400" cy="7019925"/>
                    </a:xfrm>
                    <a:prstGeom prst="rect">
                      <a:avLst/>
                    </a:prstGeom>
                  </pic:spPr>
                </pic:pic>
              </a:graphicData>
            </a:graphic>
          </wp:inline>
        </w:drawing>
      </w:r>
    </w:p>
    <w:p w14:paraId="4F9324C2" w14:textId="5F536548" w:rsidR="0037720D" w:rsidRPr="0074295F" w:rsidRDefault="0037720D"/>
    <w:p w14:paraId="2896EAB2" w14:textId="18944DC8" w:rsidR="0037720D" w:rsidRPr="0074295F" w:rsidRDefault="00C72E75" w:rsidP="00F207A1">
      <w:r w:rsidRPr="0074295F">
        <w:rPr>
          <w:sz w:val="18"/>
          <w:szCs w:val="18"/>
        </w:rPr>
        <w:t xml:space="preserve">Note: Treatment completion = operationalised as attendance at the ACE session or attendance at a minimum of one </w:t>
      </w:r>
      <w:r w:rsidR="005A08AF">
        <w:rPr>
          <w:sz w:val="18"/>
          <w:szCs w:val="18"/>
        </w:rPr>
        <w:t>SSS</w:t>
      </w:r>
      <w:r w:rsidRPr="0074295F">
        <w:rPr>
          <w:sz w:val="18"/>
          <w:szCs w:val="18"/>
        </w:rPr>
        <w:t xml:space="preserve"> session.  Study completers  =  operationalised as completing all follow-up measures. Debriefed study completers = failed quits at 12 weeks who were debriefed and not required to attend for </w:t>
      </w:r>
      <w:r w:rsidR="0087713C" w:rsidRPr="0074295F">
        <w:rPr>
          <w:sz w:val="18"/>
          <w:szCs w:val="18"/>
        </w:rPr>
        <w:t>6-month</w:t>
      </w:r>
      <w:r w:rsidRPr="0074295F">
        <w:rPr>
          <w:sz w:val="18"/>
          <w:szCs w:val="18"/>
        </w:rPr>
        <w:t xml:space="preserve"> follow-up.</w:t>
      </w:r>
    </w:p>
    <w:p w14:paraId="0E339350" w14:textId="77777777" w:rsidR="006E1A2C" w:rsidRPr="0074295F" w:rsidRDefault="006E1A2C">
      <w:pPr>
        <w:rPr>
          <w:b/>
          <w:color w:val="000000"/>
        </w:rPr>
      </w:pPr>
      <w:r w:rsidRPr="0074295F">
        <w:rPr>
          <w:b/>
          <w:color w:val="000000"/>
        </w:rPr>
        <w:br w:type="page"/>
      </w:r>
    </w:p>
    <w:p w14:paraId="40B685BB" w14:textId="31406370" w:rsidR="0037720D" w:rsidRPr="0074295F" w:rsidRDefault="00C72E75">
      <w:pPr>
        <w:keepNext/>
        <w:pBdr>
          <w:top w:val="nil"/>
          <w:left w:val="nil"/>
          <w:bottom w:val="nil"/>
          <w:right w:val="nil"/>
          <w:between w:val="nil"/>
        </w:pBdr>
        <w:spacing w:after="200"/>
        <w:rPr>
          <w:b/>
          <w:color w:val="000000"/>
        </w:rPr>
      </w:pPr>
      <w:r w:rsidRPr="0074295F">
        <w:rPr>
          <w:b/>
          <w:color w:val="000000"/>
        </w:rPr>
        <w:t>Table 1: Baseline characteristics of participants</w:t>
      </w:r>
    </w:p>
    <w:tbl>
      <w:tblPr>
        <w:tblStyle w:val="a"/>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68"/>
        <w:gridCol w:w="1276"/>
        <w:gridCol w:w="1276"/>
        <w:gridCol w:w="1275"/>
      </w:tblGrid>
      <w:tr w:rsidR="0037720D" w:rsidRPr="0074295F" w14:paraId="70D20612" w14:textId="77777777" w:rsidTr="00F207A1">
        <w:tc>
          <w:tcPr>
            <w:tcW w:w="2835" w:type="dxa"/>
            <w:tcBorders>
              <w:top w:val="single" w:sz="4" w:space="0" w:color="auto"/>
              <w:left w:val="nil"/>
              <w:bottom w:val="single" w:sz="4" w:space="0" w:color="auto"/>
              <w:right w:val="nil"/>
            </w:tcBorders>
          </w:tcPr>
          <w:p w14:paraId="35353352" w14:textId="77777777" w:rsidR="0037720D" w:rsidRPr="0074295F" w:rsidRDefault="0037720D">
            <w:pPr>
              <w:rPr>
                <w:b/>
                <w:color w:val="333333"/>
                <w:sz w:val="16"/>
                <w:szCs w:val="16"/>
              </w:rPr>
            </w:pPr>
          </w:p>
        </w:tc>
        <w:tc>
          <w:tcPr>
            <w:tcW w:w="2268" w:type="dxa"/>
            <w:tcBorders>
              <w:top w:val="single" w:sz="4" w:space="0" w:color="auto"/>
              <w:left w:val="nil"/>
              <w:bottom w:val="single" w:sz="4" w:space="0" w:color="auto"/>
              <w:right w:val="nil"/>
            </w:tcBorders>
          </w:tcPr>
          <w:p w14:paraId="54FEA934" w14:textId="77777777" w:rsidR="0037720D" w:rsidRPr="0074295F" w:rsidRDefault="0037720D">
            <w:pPr>
              <w:rPr>
                <w:b/>
                <w:color w:val="333333"/>
                <w:sz w:val="16"/>
                <w:szCs w:val="16"/>
              </w:rPr>
            </w:pPr>
          </w:p>
        </w:tc>
        <w:tc>
          <w:tcPr>
            <w:tcW w:w="1276" w:type="dxa"/>
            <w:tcBorders>
              <w:top w:val="single" w:sz="4" w:space="0" w:color="auto"/>
              <w:left w:val="nil"/>
              <w:bottom w:val="single" w:sz="4" w:space="0" w:color="auto"/>
              <w:right w:val="nil"/>
            </w:tcBorders>
          </w:tcPr>
          <w:p w14:paraId="48AE169E" w14:textId="77777777" w:rsidR="0037720D" w:rsidRPr="0074295F" w:rsidRDefault="00C72E75">
            <w:pPr>
              <w:jc w:val="center"/>
              <w:rPr>
                <w:b/>
                <w:color w:val="333333"/>
                <w:sz w:val="16"/>
                <w:szCs w:val="16"/>
              </w:rPr>
            </w:pPr>
            <w:r w:rsidRPr="0074295F">
              <w:rPr>
                <w:b/>
                <w:color w:val="333333"/>
                <w:sz w:val="16"/>
                <w:szCs w:val="16"/>
              </w:rPr>
              <w:t>ACE</w:t>
            </w:r>
          </w:p>
          <w:p w14:paraId="59A6865C" w14:textId="77777777" w:rsidR="0037720D" w:rsidRPr="0074295F" w:rsidRDefault="00C72E75">
            <w:pPr>
              <w:jc w:val="center"/>
              <w:rPr>
                <w:b/>
                <w:color w:val="333333"/>
                <w:sz w:val="16"/>
                <w:szCs w:val="16"/>
              </w:rPr>
            </w:pPr>
            <w:r w:rsidRPr="0074295F">
              <w:rPr>
                <w:b/>
                <w:color w:val="333333"/>
                <w:sz w:val="16"/>
                <w:szCs w:val="16"/>
              </w:rPr>
              <w:t>n=310</w:t>
            </w:r>
          </w:p>
        </w:tc>
        <w:tc>
          <w:tcPr>
            <w:tcW w:w="1276" w:type="dxa"/>
            <w:tcBorders>
              <w:top w:val="single" w:sz="4" w:space="0" w:color="auto"/>
              <w:left w:val="nil"/>
              <w:bottom w:val="single" w:sz="4" w:space="0" w:color="auto"/>
              <w:right w:val="nil"/>
            </w:tcBorders>
          </w:tcPr>
          <w:p w14:paraId="647D64E4" w14:textId="0C78B77E" w:rsidR="0037720D" w:rsidRPr="0074295F" w:rsidRDefault="005A08AF">
            <w:pPr>
              <w:jc w:val="center"/>
              <w:rPr>
                <w:b/>
                <w:color w:val="333333"/>
                <w:sz w:val="16"/>
                <w:szCs w:val="16"/>
              </w:rPr>
            </w:pPr>
            <w:r>
              <w:rPr>
                <w:b/>
                <w:color w:val="333333"/>
                <w:sz w:val="16"/>
                <w:szCs w:val="16"/>
              </w:rPr>
              <w:t>SSS</w:t>
            </w:r>
          </w:p>
          <w:p w14:paraId="39946721" w14:textId="77777777" w:rsidR="0037720D" w:rsidRPr="0074295F" w:rsidRDefault="00C72E75">
            <w:pPr>
              <w:jc w:val="center"/>
              <w:rPr>
                <w:b/>
                <w:color w:val="333333"/>
                <w:sz w:val="16"/>
                <w:szCs w:val="16"/>
              </w:rPr>
            </w:pPr>
            <w:r w:rsidRPr="0074295F">
              <w:rPr>
                <w:b/>
                <w:color w:val="333333"/>
                <w:sz w:val="16"/>
                <w:szCs w:val="16"/>
              </w:rPr>
              <w:t>n=310</w:t>
            </w:r>
          </w:p>
        </w:tc>
        <w:tc>
          <w:tcPr>
            <w:tcW w:w="1275" w:type="dxa"/>
            <w:tcBorders>
              <w:top w:val="single" w:sz="4" w:space="0" w:color="auto"/>
              <w:left w:val="nil"/>
              <w:bottom w:val="single" w:sz="4" w:space="0" w:color="auto"/>
              <w:right w:val="nil"/>
            </w:tcBorders>
          </w:tcPr>
          <w:p w14:paraId="0D4530D6" w14:textId="77777777" w:rsidR="0037720D" w:rsidRPr="0074295F" w:rsidRDefault="00C72E75">
            <w:pPr>
              <w:jc w:val="center"/>
              <w:rPr>
                <w:b/>
                <w:color w:val="333333"/>
                <w:sz w:val="16"/>
                <w:szCs w:val="16"/>
              </w:rPr>
            </w:pPr>
            <w:r w:rsidRPr="0074295F">
              <w:rPr>
                <w:b/>
                <w:color w:val="333333"/>
                <w:sz w:val="16"/>
                <w:szCs w:val="16"/>
              </w:rPr>
              <w:t>Total</w:t>
            </w:r>
          </w:p>
          <w:p w14:paraId="326F3F09" w14:textId="77777777" w:rsidR="0037720D" w:rsidRPr="0074295F" w:rsidRDefault="00C72E75">
            <w:pPr>
              <w:jc w:val="center"/>
              <w:rPr>
                <w:b/>
                <w:color w:val="333333"/>
                <w:sz w:val="16"/>
                <w:szCs w:val="16"/>
              </w:rPr>
            </w:pPr>
            <w:r w:rsidRPr="0074295F">
              <w:rPr>
                <w:b/>
                <w:color w:val="333333"/>
                <w:sz w:val="16"/>
                <w:szCs w:val="16"/>
              </w:rPr>
              <w:t>n=620</w:t>
            </w:r>
          </w:p>
        </w:tc>
      </w:tr>
      <w:tr w:rsidR="00C73A0C" w:rsidRPr="0074295F" w14:paraId="0116AFC4" w14:textId="77777777" w:rsidTr="00F207A1">
        <w:tc>
          <w:tcPr>
            <w:tcW w:w="2835" w:type="dxa"/>
            <w:tcBorders>
              <w:top w:val="nil"/>
              <w:left w:val="nil"/>
              <w:bottom w:val="nil"/>
              <w:right w:val="nil"/>
            </w:tcBorders>
          </w:tcPr>
          <w:p w14:paraId="3A03A595" w14:textId="652811D2" w:rsidR="00C73A0C" w:rsidRPr="0074295F" w:rsidRDefault="00C73A0C" w:rsidP="00C73A0C">
            <w:pPr>
              <w:rPr>
                <w:color w:val="333333"/>
                <w:sz w:val="16"/>
                <w:szCs w:val="16"/>
              </w:rPr>
            </w:pPr>
            <w:r w:rsidRPr="0074295F">
              <w:rPr>
                <w:color w:val="333333"/>
                <w:sz w:val="16"/>
                <w:szCs w:val="16"/>
              </w:rPr>
              <w:t xml:space="preserve">Age in years </w:t>
            </w:r>
            <w:r w:rsidRPr="0074295F">
              <w:rPr>
                <w:color w:val="333333"/>
                <w:sz w:val="14"/>
                <w:szCs w:val="16"/>
              </w:rPr>
              <w:t>M(SD)</w:t>
            </w:r>
          </w:p>
        </w:tc>
        <w:tc>
          <w:tcPr>
            <w:tcW w:w="2268" w:type="dxa"/>
            <w:tcBorders>
              <w:top w:val="single" w:sz="4" w:space="0" w:color="auto"/>
              <w:left w:val="nil"/>
              <w:bottom w:val="single" w:sz="4" w:space="0" w:color="auto"/>
              <w:right w:val="nil"/>
            </w:tcBorders>
          </w:tcPr>
          <w:p w14:paraId="38F410A8" w14:textId="77777777" w:rsidR="00C73A0C" w:rsidRPr="0074295F" w:rsidRDefault="00C73A0C" w:rsidP="00C73A0C">
            <w:pPr>
              <w:rPr>
                <w:sz w:val="16"/>
                <w:szCs w:val="16"/>
              </w:rPr>
            </w:pPr>
          </w:p>
        </w:tc>
        <w:tc>
          <w:tcPr>
            <w:tcW w:w="1276" w:type="dxa"/>
            <w:tcBorders>
              <w:top w:val="single" w:sz="4" w:space="0" w:color="auto"/>
              <w:left w:val="nil"/>
              <w:bottom w:val="single" w:sz="4" w:space="0" w:color="auto"/>
              <w:right w:val="nil"/>
            </w:tcBorders>
          </w:tcPr>
          <w:p w14:paraId="062FDA78" w14:textId="173A9FE7" w:rsidR="00C73A0C" w:rsidRPr="0074295F" w:rsidRDefault="00C73A0C" w:rsidP="00C73A0C">
            <w:pPr>
              <w:jc w:val="center"/>
              <w:rPr>
                <w:color w:val="333333"/>
                <w:sz w:val="16"/>
                <w:szCs w:val="16"/>
              </w:rPr>
            </w:pPr>
            <w:r w:rsidRPr="0074295F">
              <w:rPr>
                <w:color w:val="333333"/>
                <w:sz w:val="16"/>
                <w:szCs w:val="16"/>
              </w:rPr>
              <w:t>41·3 (11·1)</w:t>
            </w:r>
          </w:p>
        </w:tc>
        <w:tc>
          <w:tcPr>
            <w:tcW w:w="1276" w:type="dxa"/>
            <w:tcBorders>
              <w:top w:val="single" w:sz="4" w:space="0" w:color="auto"/>
              <w:left w:val="nil"/>
              <w:bottom w:val="single" w:sz="4" w:space="0" w:color="auto"/>
              <w:right w:val="nil"/>
            </w:tcBorders>
          </w:tcPr>
          <w:p w14:paraId="74DCF479" w14:textId="3F151957" w:rsidR="00C73A0C" w:rsidRPr="0074295F" w:rsidRDefault="00C73A0C" w:rsidP="00C73A0C">
            <w:pPr>
              <w:jc w:val="center"/>
              <w:rPr>
                <w:color w:val="333333"/>
                <w:sz w:val="16"/>
                <w:szCs w:val="16"/>
              </w:rPr>
            </w:pPr>
            <w:r w:rsidRPr="0074295F">
              <w:rPr>
                <w:color w:val="333333"/>
                <w:sz w:val="16"/>
                <w:szCs w:val="16"/>
              </w:rPr>
              <w:t>40·3 (11·8)</w:t>
            </w:r>
          </w:p>
        </w:tc>
        <w:tc>
          <w:tcPr>
            <w:tcW w:w="1275" w:type="dxa"/>
            <w:tcBorders>
              <w:top w:val="single" w:sz="4" w:space="0" w:color="auto"/>
              <w:left w:val="nil"/>
              <w:bottom w:val="single" w:sz="4" w:space="0" w:color="auto"/>
              <w:right w:val="nil"/>
            </w:tcBorders>
          </w:tcPr>
          <w:p w14:paraId="5B9BBFB7" w14:textId="2779EFD4" w:rsidR="00C73A0C" w:rsidRPr="0074295F" w:rsidRDefault="00C73A0C" w:rsidP="00C73A0C">
            <w:pPr>
              <w:jc w:val="center"/>
              <w:rPr>
                <w:color w:val="333333"/>
                <w:sz w:val="16"/>
                <w:szCs w:val="16"/>
              </w:rPr>
            </w:pPr>
            <w:r w:rsidRPr="0074295F">
              <w:rPr>
                <w:color w:val="333333"/>
                <w:sz w:val="16"/>
                <w:szCs w:val="16"/>
              </w:rPr>
              <w:t>40·8 (11·5)</w:t>
            </w:r>
          </w:p>
        </w:tc>
      </w:tr>
      <w:tr w:rsidR="00C73A0C" w:rsidRPr="0074295F" w14:paraId="6B53AB3F" w14:textId="77777777" w:rsidTr="00F207A1">
        <w:tc>
          <w:tcPr>
            <w:tcW w:w="2835" w:type="dxa"/>
            <w:tcBorders>
              <w:top w:val="nil"/>
              <w:left w:val="nil"/>
              <w:bottom w:val="nil"/>
              <w:right w:val="nil"/>
            </w:tcBorders>
          </w:tcPr>
          <w:p w14:paraId="294826D6" w14:textId="198D6983" w:rsidR="00C73A0C" w:rsidRPr="0074295F" w:rsidRDefault="00C73A0C" w:rsidP="00C73A0C">
            <w:pPr>
              <w:rPr>
                <w:color w:val="333333"/>
                <w:sz w:val="16"/>
                <w:szCs w:val="16"/>
              </w:rPr>
            </w:pPr>
            <w:r w:rsidRPr="0074295F">
              <w:rPr>
                <w:color w:val="333333"/>
                <w:sz w:val="16"/>
                <w:szCs w:val="16"/>
              </w:rPr>
              <w:t>Male</w:t>
            </w:r>
          </w:p>
        </w:tc>
        <w:tc>
          <w:tcPr>
            <w:tcW w:w="2268" w:type="dxa"/>
            <w:tcBorders>
              <w:top w:val="single" w:sz="4" w:space="0" w:color="auto"/>
              <w:left w:val="nil"/>
              <w:bottom w:val="single" w:sz="4" w:space="0" w:color="auto"/>
              <w:right w:val="nil"/>
            </w:tcBorders>
          </w:tcPr>
          <w:p w14:paraId="5006AA85" w14:textId="77777777" w:rsidR="00C73A0C" w:rsidRPr="0074295F" w:rsidRDefault="00C73A0C" w:rsidP="00C73A0C">
            <w:pPr>
              <w:rPr>
                <w:sz w:val="16"/>
                <w:szCs w:val="16"/>
              </w:rPr>
            </w:pPr>
          </w:p>
        </w:tc>
        <w:tc>
          <w:tcPr>
            <w:tcW w:w="1276" w:type="dxa"/>
            <w:tcBorders>
              <w:top w:val="single" w:sz="4" w:space="0" w:color="auto"/>
              <w:left w:val="nil"/>
              <w:bottom w:val="single" w:sz="4" w:space="0" w:color="auto"/>
              <w:right w:val="nil"/>
            </w:tcBorders>
          </w:tcPr>
          <w:p w14:paraId="2AC894CC" w14:textId="41C4B36F" w:rsidR="00C73A0C" w:rsidRPr="0074295F" w:rsidRDefault="00C73A0C" w:rsidP="00C73A0C">
            <w:pPr>
              <w:jc w:val="center"/>
              <w:rPr>
                <w:color w:val="333333"/>
                <w:sz w:val="16"/>
                <w:szCs w:val="16"/>
              </w:rPr>
            </w:pPr>
            <w:r w:rsidRPr="0074295F">
              <w:rPr>
                <w:color w:val="333333"/>
                <w:sz w:val="16"/>
                <w:szCs w:val="16"/>
              </w:rPr>
              <w:t>170 (54·8%)</w:t>
            </w:r>
          </w:p>
        </w:tc>
        <w:tc>
          <w:tcPr>
            <w:tcW w:w="1276" w:type="dxa"/>
            <w:tcBorders>
              <w:top w:val="single" w:sz="4" w:space="0" w:color="auto"/>
              <w:left w:val="nil"/>
              <w:bottom w:val="single" w:sz="4" w:space="0" w:color="auto"/>
              <w:right w:val="nil"/>
            </w:tcBorders>
          </w:tcPr>
          <w:p w14:paraId="6C011FD6" w14:textId="3224906D" w:rsidR="00C73A0C" w:rsidRPr="0074295F" w:rsidRDefault="00C73A0C" w:rsidP="00C73A0C">
            <w:pPr>
              <w:jc w:val="center"/>
              <w:rPr>
                <w:color w:val="333333"/>
                <w:sz w:val="16"/>
                <w:szCs w:val="16"/>
              </w:rPr>
            </w:pPr>
            <w:r w:rsidRPr="0074295F">
              <w:rPr>
                <w:color w:val="333333"/>
                <w:sz w:val="16"/>
                <w:szCs w:val="16"/>
              </w:rPr>
              <w:t>161 (51·9%)</w:t>
            </w:r>
          </w:p>
        </w:tc>
        <w:tc>
          <w:tcPr>
            <w:tcW w:w="1275" w:type="dxa"/>
            <w:tcBorders>
              <w:top w:val="single" w:sz="4" w:space="0" w:color="auto"/>
              <w:left w:val="nil"/>
              <w:bottom w:val="single" w:sz="4" w:space="0" w:color="auto"/>
              <w:right w:val="nil"/>
            </w:tcBorders>
          </w:tcPr>
          <w:p w14:paraId="022F4AC2" w14:textId="3FC57D0A" w:rsidR="00C73A0C" w:rsidRPr="0074295F" w:rsidRDefault="00C73A0C" w:rsidP="00C73A0C">
            <w:pPr>
              <w:jc w:val="center"/>
              <w:rPr>
                <w:color w:val="333333"/>
                <w:sz w:val="16"/>
                <w:szCs w:val="16"/>
              </w:rPr>
            </w:pPr>
            <w:r w:rsidRPr="0074295F">
              <w:rPr>
                <w:color w:val="333333"/>
                <w:sz w:val="16"/>
                <w:szCs w:val="16"/>
              </w:rPr>
              <w:t>331 (53·4%)</w:t>
            </w:r>
          </w:p>
        </w:tc>
      </w:tr>
      <w:tr w:rsidR="00C73A0C" w:rsidRPr="0074295F" w14:paraId="1AA203A0" w14:textId="77777777" w:rsidTr="00F207A1">
        <w:tc>
          <w:tcPr>
            <w:tcW w:w="2835" w:type="dxa"/>
            <w:vMerge w:val="restart"/>
            <w:tcBorders>
              <w:top w:val="nil"/>
              <w:left w:val="nil"/>
              <w:bottom w:val="nil"/>
              <w:right w:val="nil"/>
            </w:tcBorders>
          </w:tcPr>
          <w:p w14:paraId="256F9FA9" w14:textId="77777777" w:rsidR="00C73A0C" w:rsidRPr="0074295F" w:rsidRDefault="00C73A0C" w:rsidP="00C73A0C">
            <w:pPr>
              <w:rPr>
                <w:color w:val="333333"/>
                <w:sz w:val="16"/>
                <w:szCs w:val="16"/>
              </w:rPr>
            </w:pPr>
            <w:r w:rsidRPr="0074295F">
              <w:rPr>
                <w:color w:val="333333"/>
                <w:sz w:val="16"/>
                <w:szCs w:val="16"/>
              </w:rPr>
              <w:t>Ethnicity, n=617</w:t>
            </w:r>
          </w:p>
        </w:tc>
        <w:tc>
          <w:tcPr>
            <w:tcW w:w="2268" w:type="dxa"/>
            <w:tcBorders>
              <w:top w:val="single" w:sz="4" w:space="0" w:color="auto"/>
              <w:left w:val="nil"/>
              <w:bottom w:val="nil"/>
              <w:right w:val="nil"/>
            </w:tcBorders>
          </w:tcPr>
          <w:p w14:paraId="464CCD18" w14:textId="77777777" w:rsidR="00C73A0C" w:rsidRPr="0074295F" w:rsidRDefault="00C73A0C" w:rsidP="00C73A0C">
            <w:pPr>
              <w:rPr>
                <w:color w:val="333333"/>
                <w:sz w:val="16"/>
                <w:szCs w:val="16"/>
              </w:rPr>
            </w:pPr>
            <w:r w:rsidRPr="0074295F">
              <w:rPr>
                <w:sz w:val="16"/>
                <w:szCs w:val="16"/>
              </w:rPr>
              <w:t>Indian</w:t>
            </w:r>
          </w:p>
        </w:tc>
        <w:tc>
          <w:tcPr>
            <w:tcW w:w="1276" w:type="dxa"/>
            <w:tcBorders>
              <w:top w:val="single" w:sz="4" w:space="0" w:color="auto"/>
              <w:left w:val="nil"/>
              <w:bottom w:val="nil"/>
              <w:right w:val="nil"/>
            </w:tcBorders>
          </w:tcPr>
          <w:p w14:paraId="0B64DC20" w14:textId="77777777" w:rsidR="00C73A0C" w:rsidRPr="0074295F" w:rsidRDefault="00C73A0C" w:rsidP="00C73A0C">
            <w:pPr>
              <w:jc w:val="center"/>
              <w:rPr>
                <w:color w:val="333333"/>
                <w:sz w:val="16"/>
                <w:szCs w:val="16"/>
              </w:rPr>
            </w:pPr>
            <w:r w:rsidRPr="0074295F">
              <w:rPr>
                <w:color w:val="333333"/>
                <w:sz w:val="16"/>
                <w:szCs w:val="16"/>
              </w:rPr>
              <w:t>14 (4·5%)</w:t>
            </w:r>
          </w:p>
        </w:tc>
        <w:tc>
          <w:tcPr>
            <w:tcW w:w="1276" w:type="dxa"/>
            <w:tcBorders>
              <w:top w:val="single" w:sz="4" w:space="0" w:color="auto"/>
              <w:left w:val="nil"/>
              <w:bottom w:val="nil"/>
              <w:right w:val="nil"/>
            </w:tcBorders>
          </w:tcPr>
          <w:p w14:paraId="375D7943" w14:textId="77777777" w:rsidR="00C73A0C" w:rsidRPr="0074295F" w:rsidRDefault="00C73A0C" w:rsidP="00C73A0C">
            <w:pPr>
              <w:jc w:val="center"/>
              <w:rPr>
                <w:color w:val="333333"/>
                <w:sz w:val="16"/>
                <w:szCs w:val="16"/>
              </w:rPr>
            </w:pPr>
            <w:r w:rsidRPr="0074295F">
              <w:rPr>
                <w:color w:val="333333"/>
                <w:sz w:val="16"/>
                <w:szCs w:val="16"/>
              </w:rPr>
              <w:t>13 (4·2%)</w:t>
            </w:r>
          </w:p>
        </w:tc>
        <w:tc>
          <w:tcPr>
            <w:tcW w:w="1275" w:type="dxa"/>
            <w:tcBorders>
              <w:top w:val="single" w:sz="4" w:space="0" w:color="auto"/>
              <w:left w:val="nil"/>
              <w:bottom w:val="nil"/>
              <w:right w:val="nil"/>
            </w:tcBorders>
          </w:tcPr>
          <w:p w14:paraId="1801DDAD" w14:textId="77777777" w:rsidR="00C73A0C" w:rsidRPr="0074295F" w:rsidRDefault="00C73A0C" w:rsidP="00C73A0C">
            <w:pPr>
              <w:jc w:val="center"/>
              <w:rPr>
                <w:color w:val="333333"/>
                <w:sz w:val="16"/>
                <w:szCs w:val="16"/>
              </w:rPr>
            </w:pPr>
            <w:r w:rsidRPr="0074295F">
              <w:rPr>
                <w:color w:val="333333"/>
                <w:sz w:val="16"/>
                <w:szCs w:val="16"/>
              </w:rPr>
              <w:t>27 (4·4%)</w:t>
            </w:r>
          </w:p>
        </w:tc>
      </w:tr>
      <w:tr w:rsidR="00C73A0C" w:rsidRPr="0074295F" w14:paraId="70C8B790" w14:textId="77777777" w:rsidTr="00F207A1">
        <w:tc>
          <w:tcPr>
            <w:tcW w:w="2835" w:type="dxa"/>
            <w:vMerge/>
            <w:tcBorders>
              <w:top w:val="nil"/>
              <w:left w:val="nil"/>
              <w:bottom w:val="nil"/>
              <w:right w:val="nil"/>
            </w:tcBorders>
          </w:tcPr>
          <w:p w14:paraId="5471D96E"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EAF35AA" w14:textId="77777777" w:rsidR="00C73A0C" w:rsidRPr="0074295F" w:rsidRDefault="00C73A0C" w:rsidP="00C73A0C">
            <w:pPr>
              <w:rPr>
                <w:color w:val="333333"/>
                <w:sz w:val="16"/>
                <w:szCs w:val="16"/>
              </w:rPr>
            </w:pPr>
            <w:r w:rsidRPr="0074295F">
              <w:rPr>
                <w:sz w:val="16"/>
                <w:szCs w:val="16"/>
              </w:rPr>
              <w:t>Pakistani</w:t>
            </w:r>
          </w:p>
        </w:tc>
        <w:tc>
          <w:tcPr>
            <w:tcW w:w="1276" w:type="dxa"/>
            <w:tcBorders>
              <w:top w:val="nil"/>
              <w:left w:val="nil"/>
              <w:bottom w:val="nil"/>
              <w:right w:val="nil"/>
            </w:tcBorders>
          </w:tcPr>
          <w:p w14:paraId="12AA9965" w14:textId="77777777" w:rsidR="00C73A0C" w:rsidRPr="0074295F" w:rsidRDefault="00C73A0C" w:rsidP="00C73A0C">
            <w:pPr>
              <w:jc w:val="center"/>
              <w:rPr>
                <w:color w:val="333333"/>
                <w:sz w:val="16"/>
                <w:szCs w:val="16"/>
              </w:rPr>
            </w:pPr>
            <w:r w:rsidRPr="0074295F">
              <w:rPr>
                <w:color w:val="333333"/>
                <w:sz w:val="16"/>
                <w:szCs w:val="16"/>
              </w:rPr>
              <w:t>5 (1·6%)</w:t>
            </w:r>
          </w:p>
        </w:tc>
        <w:tc>
          <w:tcPr>
            <w:tcW w:w="1276" w:type="dxa"/>
            <w:tcBorders>
              <w:top w:val="nil"/>
              <w:left w:val="nil"/>
              <w:bottom w:val="nil"/>
              <w:right w:val="nil"/>
            </w:tcBorders>
          </w:tcPr>
          <w:p w14:paraId="35CB7AFA" w14:textId="77777777" w:rsidR="00C73A0C" w:rsidRPr="0074295F" w:rsidRDefault="00C73A0C" w:rsidP="00C73A0C">
            <w:pPr>
              <w:jc w:val="center"/>
              <w:rPr>
                <w:color w:val="333333"/>
                <w:sz w:val="16"/>
                <w:szCs w:val="16"/>
              </w:rPr>
            </w:pPr>
            <w:r w:rsidRPr="0074295F">
              <w:rPr>
                <w:color w:val="333333"/>
                <w:sz w:val="16"/>
                <w:szCs w:val="16"/>
              </w:rPr>
              <w:t>4 (1·3%)</w:t>
            </w:r>
          </w:p>
        </w:tc>
        <w:tc>
          <w:tcPr>
            <w:tcW w:w="1275" w:type="dxa"/>
            <w:tcBorders>
              <w:top w:val="nil"/>
              <w:left w:val="nil"/>
              <w:bottom w:val="nil"/>
              <w:right w:val="nil"/>
            </w:tcBorders>
          </w:tcPr>
          <w:p w14:paraId="5A39A701" w14:textId="77777777" w:rsidR="00C73A0C" w:rsidRPr="0074295F" w:rsidRDefault="00C73A0C" w:rsidP="00C73A0C">
            <w:pPr>
              <w:jc w:val="center"/>
              <w:rPr>
                <w:color w:val="333333"/>
                <w:sz w:val="16"/>
                <w:szCs w:val="16"/>
              </w:rPr>
            </w:pPr>
            <w:r w:rsidRPr="0074295F">
              <w:rPr>
                <w:color w:val="333333"/>
                <w:sz w:val="16"/>
                <w:szCs w:val="16"/>
              </w:rPr>
              <w:t>9 (1·5%)</w:t>
            </w:r>
          </w:p>
        </w:tc>
      </w:tr>
      <w:tr w:rsidR="00C73A0C" w:rsidRPr="0074295F" w14:paraId="778D910C" w14:textId="77777777" w:rsidTr="00F207A1">
        <w:tc>
          <w:tcPr>
            <w:tcW w:w="2835" w:type="dxa"/>
            <w:vMerge/>
            <w:tcBorders>
              <w:top w:val="nil"/>
              <w:left w:val="nil"/>
              <w:bottom w:val="nil"/>
              <w:right w:val="nil"/>
            </w:tcBorders>
          </w:tcPr>
          <w:p w14:paraId="5F37063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CF69CBC" w14:textId="77777777" w:rsidR="00C73A0C" w:rsidRPr="0074295F" w:rsidRDefault="00C73A0C" w:rsidP="00C73A0C">
            <w:pPr>
              <w:rPr>
                <w:color w:val="333333"/>
                <w:sz w:val="16"/>
                <w:szCs w:val="16"/>
              </w:rPr>
            </w:pPr>
            <w:r w:rsidRPr="0074295F">
              <w:rPr>
                <w:sz w:val="16"/>
                <w:szCs w:val="16"/>
              </w:rPr>
              <w:t>Bangladeshi</w:t>
            </w:r>
          </w:p>
        </w:tc>
        <w:tc>
          <w:tcPr>
            <w:tcW w:w="1276" w:type="dxa"/>
            <w:tcBorders>
              <w:top w:val="nil"/>
              <w:left w:val="nil"/>
              <w:bottom w:val="nil"/>
              <w:right w:val="nil"/>
            </w:tcBorders>
          </w:tcPr>
          <w:p w14:paraId="7BE7C4F1" w14:textId="77777777" w:rsidR="00C73A0C" w:rsidRPr="0074295F" w:rsidRDefault="00C73A0C" w:rsidP="00C73A0C">
            <w:pPr>
              <w:jc w:val="center"/>
              <w:rPr>
                <w:color w:val="333333"/>
                <w:sz w:val="16"/>
                <w:szCs w:val="16"/>
              </w:rPr>
            </w:pPr>
            <w:r w:rsidRPr="0074295F">
              <w:rPr>
                <w:color w:val="333333"/>
                <w:sz w:val="16"/>
                <w:szCs w:val="16"/>
              </w:rPr>
              <w:t>2 (0·6%)</w:t>
            </w:r>
          </w:p>
        </w:tc>
        <w:tc>
          <w:tcPr>
            <w:tcW w:w="1276" w:type="dxa"/>
            <w:tcBorders>
              <w:top w:val="nil"/>
              <w:left w:val="nil"/>
              <w:bottom w:val="nil"/>
              <w:right w:val="nil"/>
            </w:tcBorders>
          </w:tcPr>
          <w:p w14:paraId="057B39EE" w14:textId="77777777" w:rsidR="00C73A0C" w:rsidRPr="0074295F" w:rsidRDefault="00C73A0C" w:rsidP="00C73A0C">
            <w:pPr>
              <w:jc w:val="center"/>
              <w:rPr>
                <w:color w:val="333333"/>
                <w:sz w:val="16"/>
                <w:szCs w:val="16"/>
              </w:rPr>
            </w:pPr>
            <w:r w:rsidRPr="0074295F">
              <w:rPr>
                <w:color w:val="333333"/>
                <w:sz w:val="16"/>
                <w:szCs w:val="16"/>
              </w:rPr>
              <w:t>3 (1·0%)</w:t>
            </w:r>
          </w:p>
        </w:tc>
        <w:tc>
          <w:tcPr>
            <w:tcW w:w="1275" w:type="dxa"/>
            <w:tcBorders>
              <w:top w:val="nil"/>
              <w:left w:val="nil"/>
              <w:bottom w:val="nil"/>
              <w:right w:val="nil"/>
            </w:tcBorders>
          </w:tcPr>
          <w:p w14:paraId="636A13FC" w14:textId="77777777" w:rsidR="00C73A0C" w:rsidRPr="0074295F" w:rsidRDefault="00C73A0C" w:rsidP="00C73A0C">
            <w:pPr>
              <w:jc w:val="center"/>
              <w:rPr>
                <w:color w:val="333333"/>
                <w:sz w:val="16"/>
                <w:szCs w:val="16"/>
              </w:rPr>
            </w:pPr>
            <w:r w:rsidRPr="0074295F">
              <w:rPr>
                <w:color w:val="333333"/>
                <w:sz w:val="16"/>
                <w:szCs w:val="16"/>
              </w:rPr>
              <w:t>5 (0·8%)</w:t>
            </w:r>
          </w:p>
        </w:tc>
      </w:tr>
      <w:tr w:rsidR="00C73A0C" w:rsidRPr="0074295F" w14:paraId="46F81763" w14:textId="77777777" w:rsidTr="00F207A1">
        <w:tc>
          <w:tcPr>
            <w:tcW w:w="2835" w:type="dxa"/>
            <w:vMerge/>
            <w:tcBorders>
              <w:top w:val="nil"/>
              <w:left w:val="nil"/>
              <w:bottom w:val="nil"/>
              <w:right w:val="nil"/>
            </w:tcBorders>
          </w:tcPr>
          <w:p w14:paraId="0D0265C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0077D34" w14:textId="77777777" w:rsidR="00C73A0C" w:rsidRPr="0074295F" w:rsidRDefault="00C73A0C" w:rsidP="00C73A0C">
            <w:pPr>
              <w:rPr>
                <w:color w:val="333333"/>
                <w:sz w:val="16"/>
                <w:szCs w:val="16"/>
              </w:rPr>
            </w:pPr>
            <w:r w:rsidRPr="0074295F">
              <w:rPr>
                <w:sz w:val="16"/>
                <w:szCs w:val="16"/>
              </w:rPr>
              <w:t>Asian(other)</w:t>
            </w:r>
          </w:p>
        </w:tc>
        <w:tc>
          <w:tcPr>
            <w:tcW w:w="1276" w:type="dxa"/>
            <w:tcBorders>
              <w:top w:val="nil"/>
              <w:left w:val="nil"/>
              <w:bottom w:val="nil"/>
              <w:right w:val="nil"/>
            </w:tcBorders>
          </w:tcPr>
          <w:p w14:paraId="2A5AFBAC" w14:textId="77777777" w:rsidR="00C73A0C" w:rsidRPr="0074295F" w:rsidRDefault="00C73A0C" w:rsidP="00C73A0C">
            <w:pPr>
              <w:jc w:val="center"/>
              <w:rPr>
                <w:color w:val="333333"/>
                <w:sz w:val="16"/>
                <w:szCs w:val="16"/>
              </w:rPr>
            </w:pPr>
            <w:r w:rsidRPr="0074295F">
              <w:rPr>
                <w:color w:val="333333"/>
                <w:sz w:val="16"/>
                <w:szCs w:val="16"/>
              </w:rPr>
              <w:t>10 (3·2%)</w:t>
            </w:r>
          </w:p>
        </w:tc>
        <w:tc>
          <w:tcPr>
            <w:tcW w:w="1276" w:type="dxa"/>
            <w:tcBorders>
              <w:top w:val="nil"/>
              <w:left w:val="nil"/>
              <w:bottom w:val="nil"/>
              <w:right w:val="nil"/>
            </w:tcBorders>
          </w:tcPr>
          <w:p w14:paraId="7F75CFC5" w14:textId="77777777" w:rsidR="00C73A0C" w:rsidRPr="0074295F" w:rsidRDefault="00C73A0C" w:rsidP="00C73A0C">
            <w:pPr>
              <w:jc w:val="center"/>
              <w:rPr>
                <w:color w:val="333333"/>
                <w:sz w:val="16"/>
                <w:szCs w:val="16"/>
              </w:rPr>
            </w:pPr>
            <w:r w:rsidRPr="0074295F">
              <w:rPr>
                <w:color w:val="333333"/>
                <w:sz w:val="16"/>
                <w:szCs w:val="16"/>
              </w:rPr>
              <w:t>10 (3·2%)</w:t>
            </w:r>
          </w:p>
        </w:tc>
        <w:tc>
          <w:tcPr>
            <w:tcW w:w="1275" w:type="dxa"/>
            <w:tcBorders>
              <w:top w:val="nil"/>
              <w:left w:val="nil"/>
              <w:bottom w:val="nil"/>
              <w:right w:val="nil"/>
            </w:tcBorders>
          </w:tcPr>
          <w:p w14:paraId="65B0B40C" w14:textId="77777777" w:rsidR="00C73A0C" w:rsidRPr="0074295F" w:rsidRDefault="00C73A0C" w:rsidP="00C73A0C">
            <w:pPr>
              <w:jc w:val="center"/>
              <w:rPr>
                <w:color w:val="333333"/>
                <w:sz w:val="16"/>
                <w:szCs w:val="16"/>
              </w:rPr>
            </w:pPr>
            <w:r w:rsidRPr="0074295F">
              <w:rPr>
                <w:color w:val="333333"/>
                <w:sz w:val="16"/>
                <w:szCs w:val="16"/>
              </w:rPr>
              <w:t>20 (3·2%)</w:t>
            </w:r>
          </w:p>
        </w:tc>
      </w:tr>
      <w:tr w:rsidR="00C73A0C" w:rsidRPr="0074295F" w14:paraId="31189269" w14:textId="77777777" w:rsidTr="00F207A1">
        <w:tc>
          <w:tcPr>
            <w:tcW w:w="2835" w:type="dxa"/>
            <w:vMerge/>
            <w:tcBorders>
              <w:top w:val="nil"/>
              <w:left w:val="nil"/>
              <w:bottom w:val="nil"/>
              <w:right w:val="nil"/>
            </w:tcBorders>
          </w:tcPr>
          <w:p w14:paraId="36A60170"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199202AD" w14:textId="77777777" w:rsidR="00C73A0C" w:rsidRPr="0074295F" w:rsidRDefault="00C73A0C" w:rsidP="00C73A0C">
            <w:pPr>
              <w:rPr>
                <w:color w:val="333333"/>
                <w:sz w:val="16"/>
                <w:szCs w:val="16"/>
              </w:rPr>
            </w:pPr>
            <w:r w:rsidRPr="0074295F">
              <w:rPr>
                <w:sz w:val="16"/>
                <w:szCs w:val="16"/>
              </w:rPr>
              <w:t>Black-African</w:t>
            </w:r>
          </w:p>
        </w:tc>
        <w:tc>
          <w:tcPr>
            <w:tcW w:w="1276" w:type="dxa"/>
            <w:tcBorders>
              <w:top w:val="nil"/>
              <w:left w:val="nil"/>
              <w:bottom w:val="nil"/>
              <w:right w:val="nil"/>
            </w:tcBorders>
          </w:tcPr>
          <w:p w14:paraId="117D6A49" w14:textId="77777777" w:rsidR="00C73A0C" w:rsidRPr="0074295F" w:rsidRDefault="00C73A0C" w:rsidP="00C73A0C">
            <w:pPr>
              <w:jc w:val="center"/>
              <w:rPr>
                <w:color w:val="333333"/>
                <w:sz w:val="16"/>
                <w:szCs w:val="16"/>
              </w:rPr>
            </w:pPr>
            <w:r w:rsidRPr="0074295F">
              <w:rPr>
                <w:color w:val="333333"/>
                <w:sz w:val="16"/>
                <w:szCs w:val="16"/>
              </w:rPr>
              <w:t>3 (1·0%)</w:t>
            </w:r>
          </w:p>
        </w:tc>
        <w:tc>
          <w:tcPr>
            <w:tcW w:w="1276" w:type="dxa"/>
            <w:tcBorders>
              <w:top w:val="nil"/>
              <w:left w:val="nil"/>
              <w:bottom w:val="nil"/>
              <w:right w:val="nil"/>
            </w:tcBorders>
          </w:tcPr>
          <w:p w14:paraId="13633848" w14:textId="77777777" w:rsidR="00C73A0C" w:rsidRPr="0074295F" w:rsidRDefault="00C73A0C" w:rsidP="00C73A0C">
            <w:pPr>
              <w:jc w:val="center"/>
              <w:rPr>
                <w:color w:val="333333"/>
                <w:sz w:val="16"/>
                <w:szCs w:val="16"/>
              </w:rPr>
            </w:pPr>
            <w:r w:rsidRPr="0074295F">
              <w:rPr>
                <w:color w:val="333333"/>
                <w:sz w:val="16"/>
                <w:szCs w:val="16"/>
              </w:rPr>
              <w:t>10 (3·2%)</w:t>
            </w:r>
          </w:p>
        </w:tc>
        <w:tc>
          <w:tcPr>
            <w:tcW w:w="1275" w:type="dxa"/>
            <w:tcBorders>
              <w:top w:val="nil"/>
              <w:left w:val="nil"/>
              <w:bottom w:val="nil"/>
              <w:right w:val="nil"/>
            </w:tcBorders>
          </w:tcPr>
          <w:p w14:paraId="6072D9C0" w14:textId="77777777" w:rsidR="00C73A0C" w:rsidRPr="0074295F" w:rsidRDefault="00C73A0C" w:rsidP="00C73A0C">
            <w:pPr>
              <w:jc w:val="center"/>
              <w:rPr>
                <w:color w:val="333333"/>
                <w:sz w:val="16"/>
                <w:szCs w:val="16"/>
              </w:rPr>
            </w:pPr>
            <w:r w:rsidRPr="0074295F">
              <w:rPr>
                <w:color w:val="333333"/>
                <w:sz w:val="16"/>
                <w:szCs w:val="16"/>
              </w:rPr>
              <w:t>13 (2·1%)</w:t>
            </w:r>
          </w:p>
        </w:tc>
      </w:tr>
      <w:tr w:rsidR="00C73A0C" w:rsidRPr="0074295F" w14:paraId="16A6D878" w14:textId="77777777" w:rsidTr="00F207A1">
        <w:tc>
          <w:tcPr>
            <w:tcW w:w="2835" w:type="dxa"/>
            <w:vMerge/>
            <w:tcBorders>
              <w:top w:val="nil"/>
              <w:left w:val="nil"/>
              <w:bottom w:val="nil"/>
              <w:right w:val="nil"/>
            </w:tcBorders>
          </w:tcPr>
          <w:p w14:paraId="16B5A30F"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13D32EA" w14:textId="77777777" w:rsidR="00C73A0C" w:rsidRPr="0074295F" w:rsidRDefault="00C73A0C" w:rsidP="00C73A0C">
            <w:pPr>
              <w:rPr>
                <w:color w:val="333333"/>
                <w:sz w:val="16"/>
                <w:szCs w:val="16"/>
              </w:rPr>
            </w:pPr>
            <w:r w:rsidRPr="0074295F">
              <w:rPr>
                <w:sz w:val="16"/>
                <w:szCs w:val="16"/>
              </w:rPr>
              <w:t>Black-Caribbean</w:t>
            </w:r>
          </w:p>
        </w:tc>
        <w:tc>
          <w:tcPr>
            <w:tcW w:w="1276" w:type="dxa"/>
            <w:tcBorders>
              <w:top w:val="nil"/>
              <w:left w:val="nil"/>
              <w:bottom w:val="nil"/>
              <w:right w:val="nil"/>
            </w:tcBorders>
          </w:tcPr>
          <w:p w14:paraId="33D72B40" w14:textId="77777777" w:rsidR="00C73A0C" w:rsidRPr="0074295F" w:rsidRDefault="00C73A0C" w:rsidP="00C73A0C">
            <w:pPr>
              <w:jc w:val="center"/>
              <w:rPr>
                <w:color w:val="333333"/>
                <w:sz w:val="16"/>
                <w:szCs w:val="16"/>
              </w:rPr>
            </w:pPr>
            <w:r w:rsidRPr="0074295F">
              <w:rPr>
                <w:color w:val="333333"/>
                <w:sz w:val="16"/>
                <w:szCs w:val="16"/>
              </w:rPr>
              <w:t>11 (3·6%)</w:t>
            </w:r>
          </w:p>
        </w:tc>
        <w:tc>
          <w:tcPr>
            <w:tcW w:w="1276" w:type="dxa"/>
            <w:tcBorders>
              <w:top w:val="nil"/>
              <w:left w:val="nil"/>
              <w:bottom w:val="nil"/>
              <w:right w:val="nil"/>
            </w:tcBorders>
          </w:tcPr>
          <w:p w14:paraId="60A313D5" w14:textId="77777777" w:rsidR="00C73A0C" w:rsidRPr="0074295F" w:rsidRDefault="00C73A0C" w:rsidP="00C73A0C">
            <w:pPr>
              <w:jc w:val="center"/>
              <w:rPr>
                <w:color w:val="333333"/>
                <w:sz w:val="16"/>
                <w:szCs w:val="16"/>
              </w:rPr>
            </w:pPr>
            <w:r w:rsidRPr="0074295F">
              <w:rPr>
                <w:color w:val="333333"/>
                <w:sz w:val="16"/>
                <w:szCs w:val="16"/>
              </w:rPr>
              <w:t>21 (6·8%)</w:t>
            </w:r>
          </w:p>
        </w:tc>
        <w:tc>
          <w:tcPr>
            <w:tcW w:w="1275" w:type="dxa"/>
            <w:tcBorders>
              <w:top w:val="nil"/>
              <w:left w:val="nil"/>
              <w:bottom w:val="nil"/>
              <w:right w:val="nil"/>
            </w:tcBorders>
          </w:tcPr>
          <w:p w14:paraId="6B3CCD8F" w14:textId="77777777" w:rsidR="00C73A0C" w:rsidRPr="0074295F" w:rsidRDefault="00C73A0C" w:rsidP="00C73A0C">
            <w:pPr>
              <w:jc w:val="center"/>
              <w:rPr>
                <w:color w:val="333333"/>
                <w:sz w:val="16"/>
                <w:szCs w:val="16"/>
              </w:rPr>
            </w:pPr>
            <w:r w:rsidRPr="0074295F">
              <w:rPr>
                <w:color w:val="333333"/>
                <w:sz w:val="16"/>
                <w:szCs w:val="16"/>
              </w:rPr>
              <w:t>32 (5·2%)</w:t>
            </w:r>
          </w:p>
        </w:tc>
      </w:tr>
      <w:tr w:rsidR="00C73A0C" w:rsidRPr="0074295F" w14:paraId="35B56FB0" w14:textId="77777777" w:rsidTr="00F207A1">
        <w:tc>
          <w:tcPr>
            <w:tcW w:w="2835" w:type="dxa"/>
            <w:vMerge/>
            <w:tcBorders>
              <w:top w:val="nil"/>
              <w:left w:val="nil"/>
              <w:bottom w:val="nil"/>
              <w:right w:val="nil"/>
            </w:tcBorders>
          </w:tcPr>
          <w:p w14:paraId="19CB2E4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2BAA2CC" w14:textId="77777777" w:rsidR="00C73A0C" w:rsidRPr="0074295F" w:rsidRDefault="00C73A0C" w:rsidP="00C73A0C">
            <w:pPr>
              <w:rPr>
                <w:color w:val="333333"/>
                <w:sz w:val="16"/>
                <w:szCs w:val="16"/>
              </w:rPr>
            </w:pPr>
            <w:r w:rsidRPr="0074295F">
              <w:rPr>
                <w:sz w:val="16"/>
                <w:szCs w:val="16"/>
              </w:rPr>
              <w:t>Black-Other</w:t>
            </w:r>
          </w:p>
        </w:tc>
        <w:tc>
          <w:tcPr>
            <w:tcW w:w="1276" w:type="dxa"/>
            <w:tcBorders>
              <w:top w:val="nil"/>
              <w:left w:val="nil"/>
              <w:bottom w:val="nil"/>
              <w:right w:val="nil"/>
            </w:tcBorders>
          </w:tcPr>
          <w:p w14:paraId="6D043982" w14:textId="77777777" w:rsidR="00C73A0C" w:rsidRPr="0074295F" w:rsidRDefault="00C73A0C" w:rsidP="00C73A0C">
            <w:pPr>
              <w:jc w:val="center"/>
              <w:rPr>
                <w:color w:val="333333"/>
                <w:sz w:val="16"/>
                <w:szCs w:val="16"/>
              </w:rPr>
            </w:pPr>
            <w:r w:rsidRPr="0074295F">
              <w:rPr>
                <w:color w:val="333333"/>
                <w:sz w:val="16"/>
                <w:szCs w:val="16"/>
              </w:rPr>
              <w:t>8 (2·6%)</w:t>
            </w:r>
          </w:p>
        </w:tc>
        <w:tc>
          <w:tcPr>
            <w:tcW w:w="1276" w:type="dxa"/>
            <w:tcBorders>
              <w:top w:val="nil"/>
              <w:left w:val="nil"/>
              <w:bottom w:val="nil"/>
              <w:right w:val="nil"/>
            </w:tcBorders>
          </w:tcPr>
          <w:p w14:paraId="561F226B" w14:textId="77777777" w:rsidR="00C73A0C" w:rsidRPr="0074295F" w:rsidRDefault="00C73A0C" w:rsidP="00C73A0C">
            <w:pPr>
              <w:jc w:val="center"/>
              <w:rPr>
                <w:color w:val="333333"/>
                <w:sz w:val="16"/>
                <w:szCs w:val="16"/>
              </w:rPr>
            </w:pPr>
            <w:r w:rsidRPr="0074295F">
              <w:rPr>
                <w:color w:val="333333"/>
                <w:sz w:val="16"/>
                <w:szCs w:val="16"/>
              </w:rPr>
              <w:t>6 (1·9%)</w:t>
            </w:r>
          </w:p>
        </w:tc>
        <w:tc>
          <w:tcPr>
            <w:tcW w:w="1275" w:type="dxa"/>
            <w:tcBorders>
              <w:top w:val="nil"/>
              <w:left w:val="nil"/>
              <w:bottom w:val="nil"/>
              <w:right w:val="nil"/>
            </w:tcBorders>
          </w:tcPr>
          <w:p w14:paraId="037835D2" w14:textId="77777777" w:rsidR="00C73A0C" w:rsidRPr="0074295F" w:rsidRDefault="00C73A0C" w:rsidP="00C73A0C">
            <w:pPr>
              <w:jc w:val="center"/>
              <w:rPr>
                <w:color w:val="333333"/>
                <w:sz w:val="16"/>
                <w:szCs w:val="16"/>
              </w:rPr>
            </w:pPr>
            <w:r w:rsidRPr="0074295F">
              <w:rPr>
                <w:color w:val="333333"/>
                <w:sz w:val="16"/>
                <w:szCs w:val="16"/>
              </w:rPr>
              <w:t>14 (2·3%)</w:t>
            </w:r>
          </w:p>
        </w:tc>
      </w:tr>
      <w:tr w:rsidR="00C73A0C" w:rsidRPr="0074295F" w14:paraId="44ECED27" w14:textId="77777777" w:rsidTr="00F207A1">
        <w:tc>
          <w:tcPr>
            <w:tcW w:w="2835" w:type="dxa"/>
            <w:vMerge/>
            <w:tcBorders>
              <w:top w:val="nil"/>
              <w:left w:val="nil"/>
              <w:bottom w:val="nil"/>
              <w:right w:val="nil"/>
            </w:tcBorders>
          </w:tcPr>
          <w:p w14:paraId="0C8A87D6"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989C880" w14:textId="77777777" w:rsidR="00C73A0C" w:rsidRPr="0074295F" w:rsidRDefault="00C73A0C" w:rsidP="00C73A0C">
            <w:pPr>
              <w:rPr>
                <w:sz w:val="16"/>
                <w:szCs w:val="16"/>
              </w:rPr>
            </w:pPr>
            <w:r w:rsidRPr="0074295F">
              <w:rPr>
                <w:sz w:val="16"/>
                <w:szCs w:val="16"/>
              </w:rPr>
              <w:t>Mixed race</w:t>
            </w:r>
          </w:p>
        </w:tc>
        <w:tc>
          <w:tcPr>
            <w:tcW w:w="1276" w:type="dxa"/>
            <w:tcBorders>
              <w:top w:val="nil"/>
              <w:left w:val="nil"/>
              <w:bottom w:val="nil"/>
              <w:right w:val="nil"/>
            </w:tcBorders>
          </w:tcPr>
          <w:p w14:paraId="75DDB355" w14:textId="77777777" w:rsidR="00C73A0C" w:rsidRPr="0074295F" w:rsidRDefault="00C73A0C" w:rsidP="00C73A0C">
            <w:pPr>
              <w:jc w:val="center"/>
              <w:rPr>
                <w:color w:val="333333"/>
                <w:sz w:val="16"/>
                <w:szCs w:val="16"/>
              </w:rPr>
            </w:pPr>
            <w:r w:rsidRPr="0074295F">
              <w:rPr>
                <w:color w:val="333333"/>
                <w:sz w:val="16"/>
                <w:szCs w:val="16"/>
              </w:rPr>
              <w:t>14 (4·5%)</w:t>
            </w:r>
          </w:p>
        </w:tc>
        <w:tc>
          <w:tcPr>
            <w:tcW w:w="1276" w:type="dxa"/>
            <w:tcBorders>
              <w:top w:val="nil"/>
              <w:left w:val="nil"/>
              <w:bottom w:val="nil"/>
              <w:right w:val="nil"/>
            </w:tcBorders>
          </w:tcPr>
          <w:p w14:paraId="5535C61A" w14:textId="77777777" w:rsidR="00C73A0C" w:rsidRPr="0074295F" w:rsidRDefault="00C73A0C" w:rsidP="00C73A0C">
            <w:pPr>
              <w:jc w:val="center"/>
              <w:rPr>
                <w:color w:val="333333"/>
                <w:sz w:val="16"/>
                <w:szCs w:val="16"/>
              </w:rPr>
            </w:pPr>
            <w:r w:rsidRPr="0074295F">
              <w:rPr>
                <w:color w:val="333333"/>
                <w:sz w:val="16"/>
                <w:szCs w:val="16"/>
              </w:rPr>
              <w:t>20 (6·5%)</w:t>
            </w:r>
          </w:p>
        </w:tc>
        <w:tc>
          <w:tcPr>
            <w:tcW w:w="1275" w:type="dxa"/>
            <w:tcBorders>
              <w:top w:val="nil"/>
              <w:left w:val="nil"/>
              <w:bottom w:val="nil"/>
              <w:right w:val="nil"/>
            </w:tcBorders>
          </w:tcPr>
          <w:p w14:paraId="0AFDC7F6" w14:textId="77777777" w:rsidR="00C73A0C" w:rsidRPr="0074295F" w:rsidRDefault="00C73A0C" w:rsidP="00C73A0C">
            <w:pPr>
              <w:jc w:val="center"/>
              <w:rPr>
                <w:color w:val="333333"/>
                <w:sz w:val="16"/>
                <w:szCs w:val="16"/>
              </w:rPr>
            </w:pPr>
            <w:r w:rsidRPr="0074295F">
              <w:rPr>
                <w:color w:val="333333"/>
                <w:sz w:val="16"/>
                <w:szCs w:val="16"/>
              </w:rPr>
              <w:t>34 (5·5%)</w:t>
            </w:r>
          </w:p>
        </w:tc>
      </w:tr>
      <w:tr w:rsidR="00C73A0C" w:rsidRPr="0074295F" w14:paraId="40856405" w14:textId="77777777" w:rsidTr="00F207A1">
        <w:tc>
          <w:tcPr>
            <w:tcW w:w="2835" w:type="dxa"/>
            <w:vMerge/>
            <w:tcBorders>
              <w:top w:val="nil"/>
              <w:left w:val="nil"/>
              <w:bottom w:val="nil"/>
              <w:right w:val="nil"/>
            </w:tcBorders>
          </w:tcPr>
          <w:p w14:paraId="5052C14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11CD2E37" w14:textId="77777777" w:rsidR="00C73A0C" w:rsidRPr="0074295F" w:rsidRDefault="00C73A0C" w:rsidP="00C73A0C">
            <w:pPr>
              <w:rPr>
                <w:sz w:val="16"/>
                <w:szCs w:val="16"/>
              </w:rPr>
            </w:pPr>
            <w:r w:rsidRPr="0074295F">
              <w:rPr>
                <w:sz w:val="16"/>
                <w:szCs w:val="16"/>
              </w:rPr>
              <w:t>White-UK or Irish</w:t>
            </w:r>
          </w:p>
        </w:tc>
        <w:tc>
          <w:tcPr>
            <w:tcW w:w="1276" w:type="dxa"/>
            <w:tcBorders>
              <w:top w:val="nil"/>
              <w:left w:val="nil"/>
              <w:bottom w:val="nil"/>
              <w:right w:val="nil"/>
            </w:tcBorders>
          </w:tcPr>
          <w:p w14:paraId="0772A5A9" w14:textId="77777777" w:rsidR="00C73A0C" w:rsidRPr="0074295F" w:rsidRDefault="00C73A0C" w:rsidP="00C73A0C">
            <w:pPr>
              <w:jc w:val="center"/>
              <w:rPr>
                <w:color w:val="333333"/>
                <w:sz w:val="16"/>
                <w:szCs w:val="16"/>
              </w:rPr>
            </w:pPr>
            <w:r w:rsidRPr="0074295F">
              <w:rPr>
                <w:color w:val="333333"/>
                <w:sz w:val="16"/>
                <w:szCs w:val="16"/>
              </w:rPr>
              <w:t>178 (57·8%)</w:t>
            </w:r>
          </w:p>
        </w:tc>
        <w:tc>
          <w:tcPr>
            <w:tcW w:w="1276" w:type="dxa"/>
            <w:tcBorders>
              <w:top w:val="nil"/>
              <w:left w:val="nil"/>
              <w:bottom w:val="nil"/>
              <w:right w:val="nil"/>
            </w:tcBorders>
          </w:tcPr>
          <w:p w14:paraId="544A0847" w14:textId="77777777" w:rsidR="00C73A0C" w:rsidRPr="0074295F" w:rsidRDefault="00C73A0C" w:rsidP="00C73A0C">
            <w:pPr>
              <w:jc w:val="center"/>
              <w:rPr>
                <w:color w:val="333333"/>
                <w:sz w:val="16"/>
                <w:szCs w:val="16"/>
              </w:rPr>
            </w:pPr>
            <w:r w:rsidRPr="0074295F">
              <w:rPr>
                <w:color w:val="333333"/>
                <w:sz w:val="16"/>
                <w:szCs w:val="16"/>
              </w:rPr>
              <w:t>157 (50·8%)</w:t>
            </w:r>
          </w:p>
        </w:tc>
        <w:tc>
          <w:tcPr>
            <w:tcW w:w="1275" w:type="dxa"/>
            <w:tcBorders>
              <w:top w:val="nil"/>
              <w:left w:val="nil"/>
              <w:bottom w:val="nil"/>
              <w:right w:val="nil"/>
            </w:tcBorders>
          </w:tcPr>
          <w:p w14:paraId="372C7B5D" w14:textId="77777777" w:rsidR="00C73A0C" w:rsidRPr="0074295F" w:rsidRDefault="00C73A0C" w:rsidP="00C73A0C">
            <w:pPr>
              <w:jc w:val="center"/>
              <w:rPr>
                <w:color w:val="333333"/>
                <w:sz w:val="16"/>
                <w:szCs w:val="16"/>
              </w:rPr>
            </w:pPr>
            <w:r w:rsidRPr="0074295F">
              <w:rPr>
                <w:color w:val="333333"/>
                <w:sz w:val="16"/>
                <w:szCs w:val="16"/>
              </w:rPr>
              <w:t>335 (54·3%)</w:t>
            </w:r>
          </w:p>
        </w:tc>
      </w:tr>
      <w:tr w:rsidR="00C73A0C" w:rsidRPr="0074295F" w14:paraId="5EB36565" w14:textId="77777777" w:rsidTr="00F207A1">
        <w:tc>
          <w:tcPr>
            <w:tcW w:w="2835" w:type="dxa"/>
            <w:vMerge/>
            <w:tcBorders>
              <w:top w:val="nil"/>
              <w:left w:val="nil"/>
              <w:bottom w:val="nil"/>
              <w:right w:val="nil"/>
            </w:tcBorders>
          </w:tcPr>
          <w:p w14:paraId="585AE75C"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26AA291" w14:textId="77777777" w:rsidR="00C73A0C" w:rsidRPr="0074295F" w:rsidRDefault="00C73A0C" w:rsidP="00C73A0C">
            <w:pPr>
              <w:rPr>
                <w:sz w:val="16"/>
                <w:szCs w:val="16"/>
              </w:rPr>
            </w:pPr>
            <w:r w:rsidRPr="0074295F">
              <w:rPr>
                <w:sz w:val="16"/>
                <w:szCs w:val="16"/>
              </w:rPr>
              <w:t>White - Other European</w:t>
            </w:r>
          </w:p>
        </w:tc>
        <w:tc>
          <w:tcPr>
            <w:tcW w:w="1276" w:type="dxa"/>
            <w:tcBorders>
              <w:top w:val="nil"/>
              <w:left w:val="nil"/>
              <w:bottom w:val="nil"/>
              <w:right w:val="nil"/>
            </w:tcBorders>
          </w:tcPr>
          <w:p w14:paraId="3FEB6EF7" w14:textId="77777777" w:rsidR="00C73A0C" w:rsidRPr="0074295F" w:rsidRDefault="00C73A0C" w:rsidP="00C73A0C">
            <w:pPr>
              <w:jc w:val="center"/>
              <w:rPr>
                <w:color w:val="333333"/>
                <w:sz w:val="16"/>
                <w:szCs w:val="16"/>
              </w:rPr>
            </w:pPr>
            <w:r w:rsidRPr="0074295F">
              <w:rPr>
                <w:color w:val="333333"/>
                <w:sz w:val="16"/>
                <w:szCs w:val="16"/>
              </w:rPr>
              <w:t>41 (13·3%)</w:t>
            </w:r>
          </w:p>
        </w:tc>
        <w:tc>
          <w:tcPr>
            <w:tcW w:w="1276" w:type="dxa"/>
            <w:tcBorders>
              <w:top w:val="nil"/>
              <w:left w:val="nil"/>
              <w:bottom w:val="nil"/>
              <w:right w:val="nil"/>
            </w:tcBorders>
          </w:tcPr>
          <w:p w14:paraId="460CCED9" w14:textId="77777777" w:rsidR="00C73A0C" w:rsidRPr="0074295F" w:rsidRDefault="00C73A0C" w:rsidP="00C73A0C">
            <w:pPr>
              <w:jc w:val="center"/>
              <w:rPr>
                <w:color w:val="333333"/>
                <w:sz w:val="16"/>
                <w:szCs w:val="16"/>
              </w:rPr>
            </w:pPr>
            <w:r w:rsidRPr="0074295F">
              <w:rPr>
                <w:color w:val="333333"/>
                <w:sz w:val="16"/>
                <w:szCs w:val="16"/>
              </w:rPr>
              <w:t>43 (13·9%)</w:t>
            </w:r>
          </w:p>
        </w:tc>
        <w:tc>
          <w:tcPr>
            <w:tcW w:w="1275" w:type="dxa"/>
            <w:tcBorders>
              <w:top w:val="nil"/>
              <w:left w:val="nil"/>
              <w:bottom w:val="nil"/>
              <w:right w:val="nil"/>
            </w:tcBorders>
          </w:tcPr>
          <w:p w14:paraId="746841DB" w14:textId="77777777" w:rsidR="00C73A0C" w:rsidRPr="0074295F" w:rsidRDefault="00C73A0C" w:rsidP="00C73A0C">
            <w:pPr>
              <w:jc w:val="center"/>
              <w:rPr>
                <w:color w:val="333333"/>
                <w:sz w:val="16"/>
                <w:szCs w:val="16"/>
              </w:rPr>
            </w:pPr>
            <w:r w:rsidRPr="0074295F">
              <w:rPr>
                <w:color w:val="333333"/>
                <w:sz w:val="16"/>
                <w:szCs w:val="16"/>
              </w:rPr>
              <w:t>84 (13·8%)</w:t>
            </w:r>
          </w:p>
        </w:tc>
      </w:tr>
      <w:tr w:rsidR="00C73A0C" w:rsidRPr="0074295F" w14:paraId="1C50FBDF" w14:textId="77777777" w:rsidTr="00F207A1">
        <w:tc>
          <w:tcPr>
            <w:tcW w:w="2835" w:type="dxa"/>
            <w:vMerge/>
            <w:tcBorders>
              <w:top w:val="nil"/>
              <w:left w:val="nil"/>
              <w:bottom w:val="nil"/>
              <w:right w:val="nil"/>
            </w:tcBorders>
          </w:tcPr>
          <w:p w14:paraId="2345B0D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439D8663" w14:textId="77777777" w:rsidR="00C73A0C" w:rsidRPr="0074295F" w:rsidRDefault="00C73A0C" w:rsidP="00C73A0C">
            <w:pPr>
              <w:rPr>
                <w:sz w:val="16"/>
                <w:szCs w:val="16"/>
              </w:rPr>
            </w:pPr>
            <w:r w:rsidRPr="0074295F">
              <w:rPr>
                <w:sz w:val="16"/>
                <w:szCs w:val="16"/>
              </w:rPr>
              <w:t>White - other</w:t>
            </w:r>
          </w:p>
        </w:tc>
        <w:tc>
          <w:tcPr>
            <w:tcW w:w="1276" w:type="dxa"/>
            <w:tcBorders>
              <w:top w:val="nil"/>
              <w:left w:val="nil"/>
              <w:bottom w:val="nil"/>
              <w:right w:val="nil"/>
            </w:tcBorders>
          </w:tcPr>
          <w:p w14:paraId="0D3967D9" w14:textId="77777777" w:rsidR="00C73A0C" w:rsidRPr="0074295F" w:rsidRDefault="00C73A0C" w:rsidP="00C73A0C">
            <w:pPr>
              <w:jc w:val="center"/>
              <w:rPr>
                <w:color w:val="333333"/>
                <w:sz w:val="16"/>
                <w:szCs w:val="16"/>
              </w:rPr>
            </w:pPr>
            <w:r w:rsidRPr="0074295F">
              <w:rPr>
                <w:color w:val="333333"/>
                <w:sz w:val="16"/>
                <w:szCs w:val="16"/>
              </w:rPr>
              <w:t>13 (4·2%)</w:t>
            </w:r>
          </w:p>
        </w:tc>
        <w:tc>
          <w:tcPr>
            <w:tcW w:w="1276" w:type="dxa"/>
            <w:tcBorders>
              <w:top w:val="nil"/>
              <w:left w:val="nil"/>
              <w:bottom w:val="nil"/>
              <w:right w:val="nil"/>
            </w:tcBorders>
          </w:tcPr>
          <w:p w14:paraId="6E51A82D" w14:textId="77777777" w:rsidR="00C73A0C" w:rsidRPr="0074295F" w:rsidRDefault="00C73A0C" w:rsidP="00C73A0C">
            <w:pPr>
              <w:jc w:val="center"/>
              <w:rPr>
                <w:color w:val="333333"/>
                <w:sz w:val="16"/>
                <w:szCs w:val="16"/>
              </w:rPr>
            </w:pPr>
            <w:r w:rsidRPr="0074295F">
              <w:rPr>
                <w:color w:val="333333"/>
                <w:sz w:val="16"/>
                <w:szCs w:val="16"/>
              </w:rPr>
              <w:t>16 (5·2%)</w:t>
            </w:r>
          </w:p>
        </w:tc>
        <w:tc>
          <w:tcPr>
            <w:tcW w:w="1275" w:type="dxa"/>
            <w:tcBorders>
              <w:top w:val="nil"/>
              <w:left w:val="nil"/>
              <w:bottom w:val="nil"/>
              <w:right w:val="nil"/>
            </w:tcBorders>
          </w:tcPr>
          <w:p w14:paraId="4DADB6F7" w14:textId="77777777" w:rsidR="00C73A0C" w:rsidRPr="0074295F" w:rsidRDefault="00C73A0C" w:rsidP="00C73A0C">
            <w:pPr>
              <w:jc w:val="center"/>
              <w:rPr>
                <w:color w:val="333333"/>
                <w:sz w:val="16"/>
                <w:szCs w:val="16"/>
              </w:rPr>
            </w:pPr>
            <w:r w:rsidRPr="0074295F">
              <w:rPr>
                <w:color w:val="333333"/>
                <w:sz w:val="16"/>
                <w:szCs w:val="16"/>
              </w:rPr>
              <w:t>29 (4·7%)</w:t>
            </w:r>
          </w:p>
        </w:tc>
      </w:tr>
      <w:tr w:rsidR="00C73A0C" w:rsidRPr="0074295F" w14:paraId="334F3A1F" w14:textId="77777777" w:rsidTr="00F207A1">
        <w:tc>
          <w:tcPr>
            <w:tcW w:w="2835" w:type="dxa"/>
            <w:vMerge/>
            <w:tcBorders>
              <w:top w:val="nil"/>
              <w:left w:val="nil"/>
              <w:bottom w:val="nil"/>
              <w:right w:val="nil"/>
            </w:tcBorders>
          </w:tcPr>
          <w:p w14:paraId="69DB6131"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202C8412" w14:textId="77777777" w:rsidR="00C73A0C" w:rsidRPr="0074295F" w:rsidRDefault="00C73A0C" w:rsidP="00C73A0C">
            <w:pPr>
              <w:rPr>
                <w:sz w:val="16"/>
                <w:szCs w:val="16"/>
              </w:rPr>
            </w:pPr>
            <w:r w:rsidRPr="0074295F">
              <w:rPr>
                <w:sz w:val="16"/>
                <w:szCs w:val="16"/>
              </w:rPr>
              <w:t>Other</w:t>
            </w:r>
          </w:p>
        </w:tc>
        <w:tc>
          <w:tcPr>
            <w:tcW w:w="1276" w:type="dxa"/>
            <w:tcBorders>
              <w:top w:val="nil"/>
              <w:left w:val="nil"/>
              <w:bottom w:val="single" w:sz="4" w:space="0" w:color="auto"/>
              <w:right w:val="nil"/>
            </w:tcBorders>
          </w:tcPr>
          <w:p w14:paraId="66D37643" w14:textId="77777777" w:rsidR="00C73A0C" w:rsidRPr="0074295F" w:rsidRDefault="00C73A0C" w:rsidP="00C73A0C">
            <w:pPr>
              <w:jc w:val="center"/>
              <w:rPr>
                <w:color w:val="333333"/>
                <w:sz w:val="16"/>
                <w:szCs w:val="16"/>
              </w:rPr>
            </w:pPr>
            <w:r w:rsidRPr="0074295F">
              <w:rPr>
                <w:color w:val="333333"/>
                <w:sz w:val="16"/>
                <w:szCs w:val="16"/>
              </w:rPr>
              <w:t>9 (2·9%)</w:t>
            </w:r>
          </w:p>
        </w:tc>
        <w:tc>
          <w:tcPr>
            <w:tcW w:w="1276" w:type="dxa"/>
            <w:tcBorders>
              <w:top w:val="nil"/>
              <w:left w:val="nil"/>
              <w:bottom w:val="single" w:sz="4" w:space="0" w:color="auto"/>
              <w:right w:val="nil"/>
            </w:tcBorders>
          </w:tcPr>
          <w:p w14:paraId="596CCC5E" w14:textId="77777777" w:rsidR="00C73A0C" w:rsidRPr="0074295F" w:rsidRDefault="00C73A0C" w:rsidP="00C73A0C">
            <w:pPr>
              <w:jc w:val="center"/>
              <w:rPr>
                <w:color w:val="333333"/>
                <w:sz w:val="16"/>
                <w:szCs w:val="16"/>
              </w:rPr>
            </w:pPr>
            <w:r w:rsidRPr="0074295F">
              <w:rPr>
                <w:color w:val="333333"/>
                <w:sz w:val="16"/>
                <w:szCs w:val="16"/>
              </w:rPr>
              <w:t>6 (1·9%)</w:t>
            </w:r>
          </w:p>
        </w:tc>
        <w:tc>
          <w:tcPr>
            <w:tcW w:w="1275" w:type="dxa"/>
            <w:tcBorders>
              <w:top w:val="nil"/>
              <w:left w:val="nil"/>
              <w:bottom w:val="single" w:sz="4" w:space="0" w:color="auto"/>
              <w:right w:val="nil"/>
            </w:tcBorders>
          </w:tcPr>
          <w:p w14:paraId="3DE91ECB" w14:textId="77777777" w:rsidR="00C73A0C" w:rsidRPr="0074295F" w:rsidRDefault="00C73A0C" w:rsidP="00C73A0C">
            <w:pPr>
              <w:jc w:val="center"/>
              <w:rPr>
                <w:color w:val="333333"/>
                <w:sz w:val="16"/>
                <w:szCs w:val="16"/>
              </w:rPr>
            </w:pPr>
            <w:r w:rsidRPr="0074295F">
              <w:rPr>
                <w:color w:val="333333"/>
                <w:sz w:val="16"/>
                <w:szCs w:val="16"/>
              </w:rPr>
              <w:t>15 (2·4%)</w:t>
            </w:r>
          </w:p>
        </w:tc>
      </w:tr>
      <w:tr w:rsidR="00C73A0C" w:rsidRPr="0074295F" w14:paraId="13D84614" w14:textId="77777777" w:rsidTr="00F207A1">
        <w:tc>
          <w:tcPr>
            <w:tcW w:w="2835" w:type="dxa"/>
            <w:vMerge w:val="restart"/>
            <w:tcBorders>
              <w:top w:val="nil"/>
              <w:left w:val="nil"/>
              <w:bottom w:val="nil"/>
              <w:right w:val="nil"/>
            </w:tcBorders>
          </w:tcPr>
          <w:p w14:paraId="01759214" w14:textId="77777777" w:rsidR="00C73A0C" w:rsidRPr="0074295F" w:rsidRDefault="00C73A0C" w:rsidP="00C73A0C">
            <w:pPr>
              <w:rPr>
                <w:color w:val="333333"/>
                <w:sz w:val="16"/>
                <w:szCs w:val="16"/>
              </w:rPr>
            </w:pPr>
            <w:r w:rsidRPr="0074295F">
              <w:rPr>
                <w:color w:val="333333"/>
                <w:sz w:val="16"/>
                <w:szCs w:val="16"/>
              </w:rPr>
              <w:t>Education achieved n=616</w:t>
            </w:r>
          </w:p>
        </w:tc>
        <w:tc>
          <w:tcPr>
            <w:tcW w:w="2268" w:type="dxa"/>
            <w:tcBorders>
              <w:top w:val="single" w:sz="4" w:space="0" w:color="auto"/>
              <w:left w:val="nil"/>
              <w:bottom w:val="nil"/>
              <w:right w:val="nil"/>
            </w:tcBorders>
          </w:tcPr>
          <w:p w14:paraId="1671C270" w14:textId="77777777" w:rsidR="00C73A0C" w:rsidRPr="0074295F" w:rsidRDefault="00C73A0C" w:rsidP="00C73A0C">
            <w:pPr>
              <w:rPr>
                <w:color w:val="333333"/>
                <w:sz w:val="16"/>
                <w:szCs w:val="16"/>
              </w:rPr>
            </w:pPr>
            <w:r w:rsidRPr="0074295F">
              <w:rPr>
                <w:color w:val="333333"/>
                <w:sz w:val="16"/>
                <w:szCs w:val="16"/>
              </w:rPr>
              <w:t>GCSE, CSE or equivalent</w:t>
            </w:r>
          </w:p>
        </w:tc>
        <w:tc>
          <w:tcPr>
            <w:tcW w:w="1276" w:type="dxa"/>
            <w:tcBorders>
              <w:top w:val="single" w:sz="4" w:space="0" w:color="auto"/>
              <w:left w:val="nil"/>
              <w:bottom w:val="nil"/>
              <w:right w:val="nil"/>
            </w:tcBorders>
          </w:tcPr>
          <w:p w14:paraId="253D0CDF" w14:textId="77777777" w:rsidR="00C73A0C" w:rsidRPr="0074295F" w:rsidRDefault="00C73A0C" w:rsidP="00C73A0C">
            <w:pPr>
              <w:jc w:val="center"/>
              <w:rPr>
                <w:color w:val="333333"/>
                <w:sz w:val="16"/>
                <w:szCs w:val="16"/>
              </w:rPr>
            </w:pPr>
            <w:r w:rsidRPr="0074295F">
              <w:rPr>
                <w:color w:val="333333"/>
                <w:sz w:val="16"/>
                <w:szCs w:val="16"/>
              </w:rPr>
              <w:t>30 (9·7%)</w:t>
            </w:r>
          </w:p>
        </w:tc>
        <w:tc>
          <w:tcPr>
            <w:tcW w:w="1276" w:type="dxa"/>
            <w:tcBorders>
              <w:top w:val="single" w:sz="4" w:space="0" w:color="auto"/>
              <w:left w:val="nil"/>
              <w:bottom w:val="nil"/>
              <w:right w:val="nil"/>
            </w:tcBorders>
          </w:tcPr>
          <w:p w14:paraId="32237F3F" w14:textId="77777777" w:rsidR="00C73A0C" w:rsidRPr="0074295F" w:rsidRDefault="00C73A0C" w:rsidP="00C73A0C">
            <w:pPr>
              <w:jc w:val="center"/>
              <w:rPr>
                <w:color w:val="333333"/>
                <w:sz w:val="16"/>
                <w:szCs w:val="16"/>
              </w:rPr>
            </w:pPr>
            <w:r w:rsidRPr="0074295F">
              <w:rPr>
                <w:color w:val="333333"/>
                <w:sz w:val="16"/>
                <w:szCs w:val="16"/>
              </w:rPr>
              <w:t>24 (7·8%)</w:t>
            </w:r>
          </w:p>
        </w:tc>
        <w:tc>
          <w:tcPr>
            <w:tcW w:w="1275" w:type="dxa"/>
            <w:tcBorders>
              <w:top w:val="single" w:sz="4" w:space="0" w:color="auto"/>
              <w:left w:val="nil"/>
              <w:bottom w:val="nil"/>
              <w:right w:val="nil"/>
            </w:tcBorders>
          </w:tcPr>
          <w:p w14:paraId="16D566DF" w14:textId="77777777" w:rsidR="00C73A0C" w:rsidRPr="0074295F" w:rsidRDefault="00C73A0C" w:rsidP="00C73A0C">
            <w:pPr>
              <w:jc w:val="center"/>
              <w:rPr>
                <w:color w:val="333333"/>
                <w:sz w:val="16"/>
                <w:szCs w:val="16"/>
              </w:rPr>
            </w:pPr>
            <w:r w:rsidRPr="0074295F">
              <w:rPr>
                <w:color w:val="333333"/>
                <w:sz w:val="16"/>
                <w:szCs w:val="16"/>
              </w:rPr>
              <w:t>54 (8·8%)</w:t>
            </w:r>
          </w:p>
        </w:tc>
      </w:tr>
      <w:tr w:rsidR="00C73A0C" w:rsidRPr="0074295F" w14:paraId="6E26BD80" w14:textId="77777777" w:rsidTr="00F207A1">
        <w:tc>
          <w:tcPr>
            <w:tcW w:w="2835" w:type="dxa"/>
            <w:vMerge/>
            <w:tcBorders>
              <w:top w:val="nil"/>
              <w:left w:val="nil"/>
              <w:bottom w:val="nil"/>
              <w:right w:val="nil"/>
            </w:tcBorders>
          </w:tcPr>
          <w:p w14:paraId="6B052CEA"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409905AE" w14:textId="77777777" w:rsidR="00C73A0C" w:rsidRPr="0074295F" w:rsidRDefault="00C73A0C" w:rsidP="00C73A0C">
            <w:pPr>
              <w:rPr>
                <w:color w:val="333333"/>
                <w:sz w:val="16"/>
                <w:szCs w:val="16"/>
              </w:rPr>
            </w:pPr>
            <w:r w:rsidRPr="0074295F">
              <w:rPr>
                <w:color w:val="333333"/>
                <w:sz w:val="16"/>
                <w:szCs w:val="16"/>
              </w:rPr>
              <w:t>A Level</w:t>
            </w:r>
          </w:p>
        </w:tc>
        <w:tc>
          <w:tcPr>
            <w:tcW w:w="1276" w:type="dxa"/>
            <w:tcBorders>
              <w:top w:val="nil"/>
              <w:left w:val="nil"/>
              <w:bottom w:val="nil"/>
              <w:right w:val="nil"/>
            </w:tcBorders>
          </w:tcPr>
          <w:p w14:paraId="497BBF66" w14:textId="77777777" w:rsidR="00C73A0C" w:rsidRPr="0074295F" w:rsidRDefault="00C73A0C" w:rsidP="00C73A0C">
            <w:pPr>
              <w:jc w:val="center"/>
              <w:rPr>
                <w:color w:val="333333"/>
                <w:sz w:val="16"/>
                <w:szCs w:val="16"/>
              </w:rPr>
            </w:pPr>
            <w:r w:rsidRPr="0074295F">
              <w:rPr>
                <w:color w:val="333333"/>
                <w:sz w:val="16"/>
                <w:szCs w:val="16"/>
              </w:rPr>
              <w:t>45 (14·6%)</w:t>
            </w:r>
          </w:p>
        </w:tc>
        <w:tc>
          <w:tcPr>
            <w:tcW w:w="1276" w:type="dxa"/>
            <w:tcBorders>
              <w:top w:val="nil"/>
              <w:left w:val="nil"/>
              <w:bottom w:val="nil"/>
              <w:right w:val="nil"/>
            </w:tcBorders>
          </w:tcPr>
          <w:p w14:paraId="2B6A8811" w14:textId="77777777" w:rsidR="00C73A0C" w:rsidRPr="0074295F" w:rsidRDefault="00C73A0C" w:rsidP="00C73A0C">
            <w:pPr>
              <w:jc w:val="center"/>
              <w:rPr>
                <w:color w:val="333333"/>
                <w:sz w:val="16"/>
                <w:szCs w:val="16"/>
              </w:rPr>
            </w:pPr>
            <w:r w:rsidRPr="0074295F">
              <w:rPr>
                <w:color w:val="333333"/>
                <w:sz w:val="16"/>
                <w:szCs w:val="16"/>
              </w:rPr>
              <w:t>43 (14·0%)</w:t>
            </w:r>
          </w:p>
        </w:tc>
        <w:tc>
          <w:tcPr>
            <w:tcW w:w="1275" w:type="dxa"/>
            <w:tcBorders>
              <w:top w:val="nil"/>
              <w:left w:val="nil"/>
              <w:bottom w:val="nil"/>
              <w:right w:val="nil"/>
            </w:tcBorders>
          </w:tcPr>
          <w:p w14:paraId="30F2D01D" w14:textId="77777777" w:rsidR="00C73A0C" w:rsidRPr="0074295F" w:rsidRDefault="00C73A0C" w:rsidP="00C73A0C">
            <w:pPr>
              <w:jc w:val="center"/>
              <w:rPr>
                <w:color w:val="333333"/>
                <w:sz w:val="16"/>
                <w:szCs w:val="16"/>
              </w:rPr>
            </w:pPr>
            <w:r w:rsidRPr="0074295F">
              <w:rPr>
                <w:color w:val="333333"/>
                <w:sz w:val="16"/>
                <w:szCs w:val="16"/>
              </w:rPr>
              <w:t>88 (14·3%)</w:t>
            </w:r>
          </w:p>
        </w:tc>
      </w:tr>
      <w:tr w:rsidR="00C73A0C" w:rsidRPr="0074295F" w14:paraId="2DC610F4" w14:textId="77777777" w:rsidTr="00F207A1">
        <w:tc>
          <w:tcPr>
            <w:tcW w:w="2835" w:type="dxa"/>
            <w:vMerge/>
            <w:tcBorders>
              <w:top w:val="nil"/>
              <w:left w:val="nil"/>
              <w:bottom w:val="nil"/>
              <w:right w:val="nil"/>
            </w:tcBorders>
          </w:tcPr>
          <w:p w14:paraId="5F40D6F4"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5583276E" w14:textId="77777777" w:rsidR="00C73A0C" w:rsidRPr="0074295F" w:rsidRDefault="00C73A0C" w:rsidP="00C73A0C">
            <w:pPr>
              <w:rPr>
                <w:color w:val="333333"/>
                <w:sz w:val="16"/>
                <w:szCs w:val="16"/>
              </w:rPr>
            </w:pPr>
            <w:r w:rsidRPr="0074295F">
              <w:rPr>
                <w:color w:val="333333"/>
                <w:sz w:val="16"/>
                <w:szCs w:val="16"/>
              </w:rPr>
              <w:t>Vocational qualification</w:t>
            </w:r>
          </w:p>
        </w:tc>
        <w:tc>
          <w:tcPr>
            <w:tcW w:w="1276" w:type="dxa"/>
            <w:tcBorders>
              <w:top w:val="nil"/>
              <w:left w:val="nil"/>
              <w:bottom w:val="nil"/>
              <w:right w:val="nil"/>
            </w:tcBorders>
          </w:tcPr>
          <w:p w14:paraId="238C8A2B" w14:textId="77777777" w:rsidR="00C73A0C" w:rsidRPr="0074295F" w:rsidRDefault="00C73A0C" w:rsidP="00C73A0C">
            <w:pPr>
              <w:jc w:val="center"/>
              <w:rPr>
                <w:color w:val="333333"/>
                <w:sz w:val="16"/>
                <w:szCs w:val="16"/>
              </w:rPr>
            </w:pPr>
            <w:r w:rsidRPr="0074295F">
              <w:rPr>
                <w:color w:val="333333"/>
                <w:sz w:val="16"/>
                <w:szCs w:val="16"/>
              </w:rPr>
              <w:t>23 (7·4%)</w:t>
            </w:r>
          </w:p>
        </w:tc>
        <w:tc>
          <w:tcPr>
            <w:tcW w:w="1276" w:type="dxa"/>
            <w:tcBorders>
              <w:top w:val="nil"/>
              <w:left w:val="nil"/>
              <w:bottom w:val="nil"/>
              <w:right w:val="nil"/>
            </w:tcBorders>
          </w:tcPr>
          <w:p w14:paraId="619D59FA" w14:textId="77777777" w:rsidR="00C73A0C" w:rsidRPr="0074295F" w:rsidRDefault="00C73A0C" w:rsidP="00C73A0C">
            <w:pPr>
              <w:jc w:val="center"/>
              <w:rPr>
                <w:color w:val="333333"/>
                <w:sz w:val="16"/>
                <w:szCs w:val="16"/>
              </w:rPr>
            </w:pPr>
            <w:r w:rsidRPr="0074295F">
              <w:rPr>
                <w:color w:val="333333"/>
                <w:sz w:val="16"/>
                <w:szCs w:val="16"/>
              </w:rPr>
              <w:t>23 (7·5%)</w:t>
            </w:r>
          </w:p>
        </w:tc>
        <w:tc>
          <w:tcPr>
            <w:tcW w:w="1275" w:type="dxa"/>
            <w:tcBorders>
              <w:top w:val="nil"/>
              <w:left w:val="nil"/>
              <w:bottom w:val="nil"/>
              <w:right w:val="nil"/>
            </w:tcBorders>
          </w:tcPr>
          <w:p w14:paraId="6C91BB29" w14:textId="77777777" w:rsidR="00C73A0C" w:rsidRPr="0074295F" w:rsidRDefault="00C73A0C" w:rsidP="00C73A0C">
            <w:pPr>
              <w:jc w:val="center"/>
              <w:rPr>
                <w:color w:val="333333"/>
                <w:sz w:val="16"/>
                <w:szCs w:val="16"/>
              </w:rPr>
            </w:pPr>
            <w:r w:rsidRPr="0074295F">
              <w:rPr>
                <w:color w:val="333333"/>
                <w:sz w:val="16"/>
                <w:szCs w:val="16"/>
              </w:rPr>
              <w:t>46 (7·5%)</w:t>
            </w:r>
          </w:p>
        </w:tc>
      </w:tr>
      <w:tr w:rsidR="00C73A0C" w:rsidRPr="0074295F" w14:paraId="087B0B1C" w14:textId="77777777" w:rsidTr="00F207A1">
        <w:tc>
          <w:tcPr>
            <w:tcW w:w="2835" w:type="dxa"/>
            <w:vMerge/>
            <w:tcBorders>
              <w:top w:val="nil"/>
              <w:left w:val="nil"/>
              <w:bottom w:val="nil"/>
              <w:right w:val="nil"/>
            </w:tcBorders>
          </w:tcPr>
          <w:p w14:paraId="22851A43"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674D49F7" w14:textId="77777777" w:rsidR="00C73A0C" w:rsidRPr="0074295F" w:rsidRDefault="00C73A0C" w:rsidP="00C73A0C">
            <w:pPr>
              <w:rPr>
                <w:color w:val="333333"/>
                <w:sz w:val="16"/>
                <w:szCs w:val="16"/>
              </w:rPr>
            </w:pPr>
            <w:r w:rsidRPr="0074295F">
              <w:rPr>
                <w:color w:val="333333"/>
                <w:sz w:val="16"/>
                <w:szCs w:val="16"/>
              </w:rPr>
              <w:t>Degree BA, BSc</w:t>
            </w:r>
          </w:p>
        </w:tc>
        <w:tc>
          <w:tcPr>
            <w:tcW w:w="1276" w:type="dxa"/>
            <w:tcBorders>
              <w:top w:val="nil"/>
              <w:left w:val="nil"/>
              <w:bottom w:val="nil"/>
              <w:right w:val="nil"/>
            </w:tcBorders>
          </w:tcPr>
          <w:p w14:paraId="1B1B6977" w14:textId="77777777" w:rsidR="00C73A0C" w:rsidRPr="0074295F" w:rsidRDefault="00C73A0C" w:rsidP="00C73A0C">
            <w:pPr>
              <w:jc w:val="center"/>
              <w:rPr>
                <w:color w:val="333333"/>
                <w:sz w:val="16"/>
                <w:szCs w:val="16"/>
              </w:rPr>
            </w:pPr>
            <w:r w:rsidRPr="0074295F">
              <w:rPr>
                <w:color w:val="333333"/>
                <w:sz w:val="16"/>
                <w:szCs w:val="16"/>
              </w:rPr>
              <w:t>116 (37·5%)</w:t>
            </w:r>
          </w:p>
        </w:tc>
        <w:tc>
          <w:tcPr>
            <w:tcW w:w="1276" w:type="dxa"/>
            <w:tcBorders>
              <w:top w:val="nil"/>
              <w:left w:val="nil"/>
              <w:bottom w:val="nil"/>
              <w:right w:val="nil"/>
            </w:tcBorders>
          </w:tcPr>
          <w:p w14:paraId="05A9C0D1" w14:textId="77777777" w:rsidR="00C73A0C" w:rsidRPr="0074295F" w:rsidRDefault="00C73A0C" w:rsidP="00C73A0C">
            <w:pPr>
              <w:jc w:val="center"/>
              <w:rPr>
                <w:color w:val="333333"/>
                <w:sz w:val="16"/>
                <w:szCs w:val="16"/>
              </w:rPr>
            </w:pPr>
            <w:r w:rsidRPr="0074295F">
              <w:rPr>
                <w:color w:val="333333"/>
                <w:sz w:val="16"/>
                <w:szCs w:val="16"/>
              </w:rPr>
              <w:t>127 (41·4%)</w:t>
            </w:r>
          </w:p>
        </w:tc>
        <w:tc>
          <w:tcPr>
            <w:tcW w:w="1275" w:type="dxa"/>
            <w:tcBorders>
              <w:top w:val="nil"/>
              <w:left w:val="nil"/>
              <w:bottom w:val="nil"/>
              <w:right w:val="nil"/>
            </w:tcBorders>
          </w:tcPr>
          <w:p w14:paraId="5C56C972" w14:textId="77777777" w:rsidR="00C73A0C" w:rsidRPr="0074295F" w:rsidRDefault="00C73A0C" w:rsidP="00C73A0C">
            <w:pPr>
              <w:jc w:val="center"/>
              <w:rPr>
                <w:color w:val="333333"/>
                <w:sz w:val="16"/>
                <w:szCs w:val="16"/>
              </w:rPr>
            </w:pPr>
            <w:r w:rsidRPr="0074295F">
              <w:rPr>
                <w:color w:val="333333"/>
                <w:sz w:val="16"/>
                <w:szCs w:val="16"/>
              </w:rPr>
              <w:t>243 (39·4%)</w:t>
            </w:r>
          </w:p>
        </w:tc>
      </w:tr>
      <w:tr w:rsidR="00C73A0C" w:rsidRPr="0074295F" w14:paraId="4260421C" w14:textId="77777777" w:rsidTr="00F207A1">
        <w:tc>
          <w:tcPr>
            <w:tcW w:w="2835" w:type="dxa"/>
            <w:vMerge/>
            <w:tcBorders>
              <w:top w:val="nil"/>
              <w:left w:val="nil"/>
              <w:bottom w:val="nil"/>
              <w:right w:val="nil"/>
            </w:tcBorders>
          </w:tcPr>
          <w:p w14:paraId="7365EBD7"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8157990" w14:textId="77777777" w:rsidR="00C73A0C" w:rsidRPr="0074295F" w:rsidRDefault="00C73A0C" w:rsidP="00C73A0C">
            <w:pPr>
              <w:rPr>
                <w:color w:val="333333"/>
                <w:sz w:val="16"/>
                <w:szCs w:val="16"/>
              </w:rPr>
            </w:pPr>
            <w:r w:rsidRPr="0074295F">
              <w:rPr>
                <w:color w:val="333333"/>
                <w:sz w:val="16"/>
                <w:szCs w:val="16"/>
              </w:rPr>
              <w:t>Postgraduate degree</w:t>
            </w:r>
          </w:p>
        </w:tc>
        <w:tc>
          <w:tcPr>
            <w:tcW w:w="1276" w:type="dxa"/>
            <w:tcBorders>
              <w:top w:val="nil"/>
              <w:left w:val="nil"/>
              <w:bottom w:val="nil"/>
              <w:right w:val="nil"/>
            </w:tcBorders>
          </w:tcPr>
          <w:p w14:paraId="5AE556DD" w14:textId="77777777" w:rsidR="00C73A0C" w:rsidRPr="0074295F" w:rsidRDefault="00C73A0C" w:rsidP="00C73A0C">
            <w:pPr>
              <w:jc w:val="center"/>
              <w:rPr>
                <w:color w:val="333333"/>
                <w:sz w:val="16"/>
                <w:szCs w:val="16"/>
              </w:rPr>
            </w:pPr>
            <w:r w:rsidRPr="0074295F">
              <w:rPr>
                <w:color w:val="333333"/>
                <w:sz w:val="16"/>
                <w:szCs w:val="16"/>
              </w:rPr>
              <w:t>69 (22·3%)</w:t>
            </w:r>
          </w:p>
        </w:tc>
        <w:tc>
          <w:tcPr>
            <w:tcW w:w="1276" w:type="dxa"/>
            <w:tcBorders>
              <w:top w:val="nil"/>
              <w:left w:val="nil"/>
              <w:bottom w:val="nil"/>
              <w:right w:val="nil"/>
            </w:tcBorders>
          </w:tcPr>
          <w:p w14:paraId="2B42360D" w14:textId="77777777" w:rsidR="00C73A0C" w:rsidRPr="0074295F" w:rsidRDefault="00C73A0C" w:rsidP="00C73A0C">
            <w:pPr>
              <w:jc w:val="center"/>
              <w:rPr>
                <w:color w:val="333333"/>
                <w:sz w:val="16"/>
                <w:szCs w:val="16"/>
              </w:rPr>
            </w:pPr>
            <w:r w:rsidRPr="0074295F">
              <w:rPr>
                <w:color w:val="333333"/>
                <w:sz w:val="16"/>
                <w:szCs w:val="16"/>
              </w:rPr>
              <w:t>59 (19·2%)</w:t>
            </w:r>
          </w:p>
        </w:tc>
        <w:tc>
          <w:tcPr>
            <w:tcW w:w="1275" w:type="dxa"/>
            <w:tcBorders>
              <w:top w:val="nil"/>
              <w:left w:val="nil"/>
              <w:bottom w:val="nil"/>
              <w:right w:val="nil"/>
            </w:tcBorders>
          </w:tcPr>
          <w:p w14:paraId="26205B6E" w14:textId="77777777" w:rsidR="00C73A0C" w:rsidRPr="0074295F" w:rsidRDefault="00C73A0C" w:rsidP="00C73A0C">
            <w:pPr>
              <w:jc w:val="center"/>
              <w:rPr>
                <w:color w:val="333333"/>
                <w:sz w:val="16"/>
                <w:szCs w:val="16"/>
              </w:rPr>
            </w:pPr>
            <w:r w:rsidRPr="0074295F">
              <w:rPr>
                <w:color w:val="333333"/>
                <w:sz w:val="16"/>
                <w:szCs w:val="16"/>
              </w:rPr>
              <w:t>128 (20·8%)</w:t>
            </w:r>
          </w:p>
        </w:tc>
      </w:tr>
      <w:tr w:rsidR="00C73A0C" w:rsidRPr="0074295F" w14:paraId="578DE52F" w14:textId="77777777" w:rsidTr="00F207A1">
        <w:tc>
          <w:tcPr>
            <w:tcW w:w="2835" w:type="dxa"/>
            <w:vMerge/>
            <w:tcBorders>
              <w:top w:val="nil"/>
              <w:left w:val="nil"/>
              <w:bottom w:val="nil"/>
              <w:right w:val="nil"/>
            </w:tcBorders>
          </w:tcPr>
          <w:p w14:paraId="01D4FA07"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62888774" w14:textId="77777777" w:rsidR="00C73A0C" w:rsidRPr="0074295F" w:rsidRDefault="00C73A0C" w:rsidP="00C73A0C">
            <w:pPr>
              <w:rPr>
                <w:color w:val="333333"/>
                <w:sz w:val="16"/>
                <w:szCs w:val="16"/>
              </w:rPr>
            </w:pPr>
            <w:r w:rsidRPr="0074295F">
              <w:rPr>
                <w:color w:val="333333"/>
                <w:sz w:val="16"/>
                <w:szCs w:val="16"/>
              </w:rPr>
              <w:t>Other</w:t>
            </w:r>
          </w:p>
        </w:tc>
        <w:tc>
          <w:tcPr>
            <w:tcW w:w="1276" w:type="dxa"/>
            <w:tcBorders>
              <w:top w:val="nil"/>
              <w:left w:val="nil"/>
              <w:bottom w:val="single" w:sz="4" w:space="0" w:color="auto"/>
              <w:right w:val="nil"/>
            </w:tcBorders>
          </w:tcPr>
          <w:p w14:paraId="2AC14DBA" w14:textId="77777777" w:rsidR="00C73A0C" w:rsidRPr="0074295F" w:rsidRDefault="00C73A0C" w:rsidP="00C73A0C">
            <w:pPr>
              <w:jc w:val="center"/>
              <w:rPr>
                <w:color w:val="333333"/>
                <w:sz w:val="16"/>
                <w:szCs w:val="16"/>
              </w:rPr>
            </w:pPr>
            <w:r w:rsidRPr="0074295F">
              <w:rPr>
                <w:color w:val="333333"/>
                <w:sz w:val="16"/>
                <w:szCs w:val="16"/>
              </w:rPr>
              <w:t>26 (8·4%)</w:t>
            </w:r>
          </w:p>
        </w:tc>
        <w:tc>
          <w:tcPr>
            <w:tcW w:w="1276" w:type="dxa"/>
            <w:tcBorders>
              <w:top w:val="nil"/>
              <w:left w:val="nil"/>
              <w:bottom w:val="single" w:sz="4" w:space="0" w:color="auto"/>
              <w:right w:val="nil"/>
            </w:tcBorders>
          </w:tcPr>
          <w:p w14:paraId="54CFA838" w14:textId="77777777" w:rsidR="00C73A0C" w:rsidRPr="0074295F" w:rsidRDefault="00C73A0C" w:rsidP="00C73A0C">
            <w:pPr>
              <w:jc w:val="center"/>
              <w:rPr>
                <w:color w:val="333333"/>
                <w:sz w:val="16"/>
                <w:szCs w:val="16"/>
              </w:rPr>
            </w:pPr>
            <w:r w:rsidRPr="0074295F">
              <w:rPr>
                <w:color w:val="333333"/>
                <w:sz w:val="16"/>
                <w:szCs w:val="16"/>
              </w:rPr>
              <w:t>31 (10·1%)</w:t>
            </w:r>
          </w:p>
        </w:tc>
        <w:tc>
          <w:tcPr>
            <w:tcW w:w="1275" w:type="dxa"/>
            <w:tcBorders>
              <w:top w:val="nil"/>
              <w:left w:val="nil"/>
              <w:bottom w:val="single" w:sz="4" w:space="0" w:color="auto"/>
              <w:right w:val="nil"/>
            </w:tcBorders>
          </w:tcPr>
          <w:p w14:paraId="3D754968" w14:textId="77777777" w:rsidR="00C73A0C" w:rsidRPr="0074295F" w:rsidRDefault="00C73A0C" w:rsidP="00C73A0C">
            <w:pPr>
              <w:jc w:val="center"/>
              <w:rPr>
                <w:color w:val="333333"/>
                <w:sz w:val="16"/>
                <w:szCs w:val="16"/>
              </w:rPr>
            </w:pPr>
            <w:r w:rsidRPr="0074295F">
              <w:rPr>
                <w:color w:val="333333"/>
                <w:sz w:val="16"/>
                <w:szCs w:val="16"/>
              </w:rPr>
              <w:t>57 (9·3%)</w:t>
            </w:r>
          </w:p>
        </w:tc>
      </w:tr>
      <w:tr w:rsidR="00C73A0C" w:rsidRPr="0074295F" w14:paraId="52A5CC28" w14:textId="77777777" w:rsidTr="00F207A1">
        <w:trPr>
          <w:trHeight w:val="180"/>
        </w:trPr>
        <w:tc>
          <w:tcPr>
            <w:tcW w:w="2835" w:type="dxa"/>
            <w:vMerge w:val="restart"/>
            <w:tcBorders>
              <w:top w:val="nil"/>
              <w:left w:val="nil"/>
              <w:bottom w:val="nil"/>
              <w:right w:val="nil"/>
            </w:tcBorders>
          </w:tcPr>
          <w:p w14:paraId="799E2412" w14:textId="77777777" w:rsidR="00C73A0C" w:rsidRPr="0074295F" w:rsidRDefault="00C73A0C" w:rsidP="00C73A0C">
            <w:pPr>
              <w:rPr>
                <w:color w:val="333333"/>
                <w:sz w:val="16"/>
                <w:szCs w:val="16"/>
              </w:rPr>
            </w:pPr>
            <w:r w:rsidRPr="0074295F">
              <w:rPr>
                <w:color w:val="333333"/>
                <w:sz w:val="16"/>
                <w:szCs w:val="16"/>
              </w:rPr>
              <w:t>Number of cigarettes smoked / day n=619</w:t>
            </w:r>
          </w:p>
        </w:tc>
        <w:tc>
          <w:tcPr>
            <w:tcW w:w="2268" w:type="dxa"/>
            <w:tcBorders>
              <w:top w:val="single" w:sz="4" w:space="0" w:color="auto"/>
              <w:left w:val="nil"/>
              <w:bottom w:val="nil"/>
              <w:right w:val="nil"/>
            </w:tcBorders>
          </w:tcPr>
          <w:p w14:paraId="42DACB3D" w14:textId="77777777" w:rsidR="00C73A0C" w:rsidRPr="0074295F" w:rsidRDefault="00C73A0C" w:rsidP="00C73A0C">
            <w:pPr>
              <w:rPr>
                <w:color w:val="333333"/>
                <w:sz w:val="16"/>
                <w:szCs w:val="16"/>
              </w:rPr>
            </w:pPr>
            <w:r w:rsidRPr="0074295F">
              <w:rPr>
                <w:color w:val="333333"/>
                <w:sz w:val="16"/>
                <w:szCs w:val="16"/>
              </w:rPr>
              <w:t>10 or less</w:t>
            </w:r>
          </w:p>
        </w:tc>
        <w:tc>
          <w:tcPr>
            <w:tcW w:w="1276" w:type="dxa"/>
            <w:tcBorders>
              <w:top w:val="single" w:sz="4" w:space="0" w:color="auto"/>
              <w:left w:val="nil"/>
              <w:bottom w:val="nil"/>
              <w:right w:val="nil"/>
            </w:tcBorders>
          </w:tcPr>
          <w:p w14:paraId="5EB3B102" w14:textId="77777777" w:rsidR="00C73A0C" w:rsidRPr="0074295F" w:rsidRDefault="00C73A0C" w:rsidP="00C73A0C">
            <w:pPr>
              <w:jc w:val="center"/>
              <w:rPr>
                <w:color w:val="333333"/>
                <w:sz w:val="16"/>
                <w:szCs w:val="16"/>
              </w:rPr>
            </w:pPr>
            <w:r w:rsidRPr="0074295F">
              <w:rPr>
                <w:color w:val="333333"/>
                <w:sz w:val="16"/>
                <w:szCs w:val="16"/>
              </w:rPr>
              <w:t>102 (32·9%)</w:t>
            </w:r>
          </w:p>
        </w:tc>
        <w:tc>
          <w:tcPr>
            <w:tcW w:w="1276" w:type="dxa"/>
            <w:tcBorders>
              <w:top w:val="single" w:sz="4" w:space="0" w:color="auto"/>
              <w:left w:val="nil"/>
              <w:bottom w:val="nil"/>
              <w:right w:val="nil"/>
            </w:tcBorders>
          </w:tcPr>
          <w:p w14:paraId="2E9A8F5E" w14:textId="77777777" w:rsidR="00C73A0C" w:rsidRPr="0074295F" w:rsidRDefault="00C73A0C" w:rsidP="00C73A0C">
            <w:pPr>
              <w:jc w:val="center"/>
              <w:rPr>
                <w:color w:val="333333"/>
                <w:sz w:val="16"/>
                <w:szCs w:val="16"/>
              </w:rPr>
            </w:pPr>
            <w:r w:rsidRPr="0074295F">
              <w:rPr>
                <w:color w:val="333333"/>
                <w:sz w:val="16"/>
                <w:szCs w:val="16"/>
              </w:rPr>
              <w:t>135 (43·7%)</w:t>
            </w:r>
          </w:p>
        </w:tc>
        <w:tc>
          <w:tcPr>
            <w:tcW w:w="1275" w:type="dxa"/>
            <w:tcBorders>
              <w:top w:val="single" w:sz="4" w:space="0" w:color="auto"/>
              <w:left w:val="nil"/>
              <w:bottom w:val="nil"/>
              <w:right w:val="nil"/>
            </w:tcBorders>
          </w:tcPr>
          <w:p w14:paraId="7A7AC35D" w14:textId="77777777" w:rsidR="00C73A0C" w:rsidRPr="0074295F" w:rsidRDefault="00C73A0C" w:rsidP="00C73A0C">
            <w:pPr>
              <w:jc w:val="center"/>
              <w:rPr>
                <w:color w:val="333333"/>
                <w:sz w:val="16"/>
                <w:szCs w:val="16"/>
              </w:rPr>
            </w:pPr>
            <w:r w:rsidRPr="0074295F">
              <w:rPr>
                <w:color w:val="333333"/>
                <w:sz w:val="16"/>
                <w:szCs w:val="16"/>
              </w:rPr>
              <w:t>237 (38·3%)</w:t>
            </w:r>
          </w:p>
        </w:tc>
      </w:tr>
      <w:tr w:rsidR="00C73A0C" w:rsidRPr="0074295F" w14:paraId="19B9D19D" w14:textId="77777777" w:rsidTr="00F207A1">
        <w:tc>
          <w:tcPr>
            <w:tcW w:w="2835" w:type="dxa"/>
            <w:vMerge/>
            <w:tcBorders>
              <w:top w:val="nil"/>
              <w:left w:val="nil"/>
              <w:bottom w:val="nil"/>
              <w:right w:val="nil"/>
            </w:tcBorders>
          </w:tcPr>
          <w:p w14:paraId="3D9600A9"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3EA41CF9" w14:textId="77777777" w:rsidR="00C73A0C" w:rsidRPr="0074295F" w:rsidRDefault="00C73A0C" w:rsidP="00C73A0C">
            <w:pPr>
              <w:rPr>
                <w:color w:val="333333"/>
                <w:sz w:val="16"/>
                <w:szCs w:val="16"/>
              </w:rPr>
            </w:pPr>
            <w:r w:rsidRPr="0074295F">
              <w:rPr>
                <w:color w:val="333333"/>
                <w:sz w:val="16"/>
                <w:szCs w:val="16"/>
              </w:rPr>
              <w:t>11 – 20</w:t>
            </w:r>
          </w:p>
        </w:tc>
        <w:tc>
          <w:tcPr>
            <w:tcW w:w="1276" w:type="dxa"/>
            <w:tcBorders>
              <w:top w:val="nil"/>
              <w:left w:val="nil"/>
              <w:bottom w:val="nil"/>
              <w:right w:val="nil"/>
            </w:tcBorders>
          </w:tcPr>
          <w:p w14:paraId="38F86488" w14:textId="77777777" w:rsidR="00C73A0C" w:rsidRPr="0074295F" w:rsidRDefault="00C73A0C" w:rsidP="00C73A0C">
            <w:pPr>
              <w:jc w:val="center"/>
              <w:rPr>
                <w:color w:val="333333"/>
                <w:sz w:val="16"/>
                <w:szCs w:val="16"/>
              </w:rPr>
            </w:pPr>
            <w:r w:rsidRPr="0074295F">
              <w:rPr>
                <w:color w:val="333333"/>
                <w:sz w:val="16"/>
                <w:szCs w:val="16"/>
              </w:rPr>
              <w:t>163 (52·6%)</w:t>
            </w:r>
          </w:p>
        </w:tc>
        <w:tc>
          <w:tcPr>
            <w:tcW w:w="1276" w:type="dxa"/>
            <w:tcBorders>
              <w:top w:val="nil"/>
              <w:left w:val="nil"/>
              <w:bottom w:val="nil"/>
              <w:right w:val="nil"/>
            </w:tcBorders>
          </w:tcPr>
          <w:p w14:paraId="2C359AB6" w14:textId="77777777" w:rsidR="00C73A0C" w:rsidRPr="0074295F" w:rsidRDefault="00C73A0C" w:rsidP="00C73A0C">
            <w:pPr>
              <w:jc w:val="center"/>
              <w:rPr>
                <w:color w:val="333333"/>
                <w:sz w:val="16"/>
                <w:szCs w:val="16"/>
              </w:rPr>
            </w:pPr>
            <w:r w:rsidRPr="0074295F">
              <w:rPr>
                <w:color w:val="333333"/>
                <w:sz w:val="16"/>
                <w:szCs w:val="16"/>
              </w:rPr>
              <w:t>142 (46·0%)</w:t>
            </w:r>
          </w:p>
        </w:tc>
        <w:tc>
          <w:tcPr>
            <w:tcW w:w="1275" w:type="dxa"/>
            <w:tcBorders>
              <w:top w:val="nil"/>
              <w:left w:val="nil"/>
              <w:bottom w:val="nil"/>
              <w:right w:val="nil"/>
            </w:tcBorders>
          </w:tcPr>
          <w:p w14:paraId="1F7D01C6" w14:textId="77777777" w:rsidR="00C73A0C" w:rsidRPr="0074295F" w:rsidRDefault="00C73A0C" w:rsidP="00C73A0C">
            <w:pPr>
              <w:jc w:val="center"/>
              <w:rPr>
                <w:color w:val="333333"/>
                <w:sz w:val="16"/>
                <w:szCs w:val="16"/>
              </w:rPr>
            </w:pPr>
            <w:r w:rsidRPr="0074295F">
              <w:rPr>
                <w:color w:val="333333"/>
                <w:sz w:val="16"/>
                <w:szCs w:val="16"/>
              </w:rPr>
              <w:t>305 (49·3%)</w:t>
            </w:r>
          </w:p>
        </w:tc>
      </w:tr>
      <w:tr w:rsidR="00C73A0C" w:rsidRPr="0074295F" w14:paraId="6A035A1C" w14:textId="77777777" w:rsidTr="00F207A1">
        <w:tc>
          <w:tcPr>
            <w:tcW w:w="2835" w:type="dxa"/>
            <w:vMerge/>
            <w:tcBorders>
              <w:top w:val="nil"/>
              <w:left w:val="nil"/>
              <w:bottom w:val="nil"/>
              <w:right w:val="nil"/>
            </w:tcBorders>
          </w:tcPr>
          <w:p w14:paraId="08AB2EDC"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nil"/>
              <w:right w:val="nil"/>
            </w:tcBorders>
          </w:tcPr>
          <w:p w14:paraId="2A315197" w14:textId="77777777" w:rsidR="00C73A0C" w:rsidRPr="0074295F" w:rsidRDefault="00C73A0C" w:rsidP="00C73A0C">
            <w:pPr>
              <w:rPr>
                <w:color w:val="333333"/>
                <w:sz w:val="16"/>
                <w:szCs w:val="16"/>
              </w:rPr>
            </w:pPr>
            <w:r w:rsidRPr="0074295F">
              <w:rPr>
                <w:color w:val="333333"/>
                <w:sz w:val="16"/>
                <w:szCs w:val="16"/>
              </w:rPr>
              <w:t>21 – 30</w:t>
            </w:r>
          </w:p>
        </w:tc>
        <w:tc>
          <w:tcPr>
            <w:tcW w:w="1276" w:type="dxa"/>
            <w:tcBorders>
              <w:top w:val="nil"/>
              <w:left w:val="nil"/>
              <w:bottom w:val="nil"/>
              <w:right w:val="nil"/>
            </w:tcBorders>
          </w:tcPr>
          <w:p w14:paraId="4113D304" w14:textId="77777777" w:rsidR="00C73A0C" w:rsidRPr="0074295F" w:rsidRDefault="00C73A0C" w:rsidP="00C73A0C">
            <w:pPr>
              <w:jc w:val="center"/>
              <w:rPr>
                <w:color w:val="333333"/>
                <w:sz w:val="16"/>
                <w:szCs w:val="16"/>
              </w:rPr>
            </w:pPr>
            <w:r w:rsidRPr="0074295F">
              <w:rPr>
                <w:color w:val="333333"/>
                <w:sz w:val="16"/>
                <w:szCs w:val="16"/>
              </w:rPr>
              <w:t>37 (11·9%)</w:t>
            </w:r>
          </w:p>
        </w:tc>
        <w:tc>
          <w:tcPr>
            <w:tcW w:w="1276" w:type="dxa"/>
            <w:tcBorders>
              <w:top w:val="nil"/>
              <w:left w:val="nil"/>
              <w:bottom w:val="nil"/>
              <w:right w:val="nil"/>
            </w:tcBorders>
          </w:tcPr>
          <w:p w14:paraId="30930D08" w14:textId="77777777" w:rsidR="00C73A0C" w:rsidRPr="0074295F" w:rsidRDefault="00C73A0C" w:rsidP="00C73A0C">
            <w:pPr>
              <w:jc w:val="center"/>
              <w:rPr>
                <w:color w:val="333333"/>
                <w:sz w:val="16"/>
                <w:szCs w:val="16"/>
              </w:rPr>
            </w:pPr>
            <w:r w:rsidRPr="0074295F">
              <w:rPr>
                <w:color w:val="333333"/>
                <w:sz w:val="16"/>
                <w:szCs w:val="16"/>
              </w:rPr>
              <w:t>27 (8·7%)</w:t>
            </w:r>
          </w:p>
        </w:tc>
        <w:tc>
          <w:tcPr>
            <w:tcW w:w="1275" w:type="dxa"/>
            <w:tcBorders>
              <w:top w:val="nil"/>
              <w:left w:val="nil"/>
              <w:bottom w:val="nil"/>
              <w:right w:val="nil"/>
            </w:tcBorders>
          </w:tcPr>
          <w:p w14:paraId="1467B7D0" w14:textId="77777777" w:rsidR="00C73A0C" w:rsidRPr="0074295F" w:rsidRDefault="00C73A0C" w:rsidP="00C73A0C">
            <w:pPr>
              <w:jc w:val="center"/>
              <w:rPr>
                <w:color w:val="333333"/>
                <w:sz w:val="16"/>
                <w:szCs w:val="16"/>
              </w:rPr>
            </w:pPr>
            <w:r w:rsidRPr="0074295F">
              <w:rPr>
                <w:color w:val="333333"/>
                <w:sz w:val="16"/>
                <w:szCs w:val="16"/>
              </w:rPr>
              <w:t>64 (10·3%)</w:t>
            </w:r>
          </w:p>
        </w:tc>
      </w:tr>
      <w:tr w:rsidR="00C73A0C" w:rsidRPr="0074295F" w14:paraId="7995B360" w14:textId="77777777" w:rsidTr="00F207A1">
        <w:tc>
          <w:tcPr>
            <w:tcW w:w="2835" w:type="dxa"/>
            <w:vMerge/>
            <w:tcBorders>
              <w:top w:val="nil"/>
              <w:left w:val="nil"/>
              <w:bottom w:val="nil"/>
              <w:right w:val="nil"/>
            </w:tcBorders>
          </w:tcPr>
          <w:p w14:paraId="1DA4E32E" w14:textId="77777777" w:rsidR="00C73A0C" w:rsidRPr="0074295F" w:rsidRDefault="00C73A0C" w:rsidP="00C73A0C">
            <w:pPr>
              <w:widowControl w:val="0"/>
              <w:pBdr>
                <w:top w:val="nil"/>
                <w:left w:val="nil"/>
                <w:bottom w:val="nil"/>
                <w:right w:val="nil"/>
                <w:between w:val="nil"/>
              </w:pBdr>
              <w:spacing w:line="276" w:lineRule="auto"/>
              <w:rPr>
                <w:color w:val="333333"/>
                <w:sz w:val="16"/>
                <w:szCs w:val="16"/>
              </w:rPr>
            </w:pPr>
          </w:p>
        </w:tc>
        <w:tc>
          <w:tcPr>
            <w:tcW w:w="2268" w:type="dxa"/>
            <w:tcBorders>
              <w:top w:val="nil"/>
              <w:left w:val="nil"/>
              <w:bottom w:val="single" w:sz="4" w:space="0" w:color="auto"/>
              <w:right w:val="nil"/>
            </w:tcBorders>
          </w:tcPr>
          <w:p w14:paraId="59AC0A9D" w14:textId="77777777" w:rsidR="00C73A0C" w:rsidRPr="0074295F" w:rsidRDefault="00C73A0C" w:rsidP="00C73A0C">
            <w:pPr>
              <w:rPr>
                <w:color w:val="333333"/>
                <w:sz w:val="16"/>
                <w:szCs w:val="16"/>
              </w:rPr>
            </w:pPr>
            <w:r w:rsidRPr="0074295F">
              <w:rPr>
                <w:color w:val="333333"/>
                <w:sz w:val="16"/>
                <w:szCs w:val="16"/>
              </w:rPr>
              <w:t>more than 30</w:t>
            </w:r>
          </w:p>
        </w:tc>
        <w:tc>
          <w:tcPr>
            <w:tcW w:w="1276" w:type="dxa"/>
            <w:tcBorders>
              <w:top w:val="nil"/>
              <w:left w:val="nil"/>
              <w:bottom w:val="single" w:sz="4" w:space="0" w:color="auto"/>
              <w:right w:val="nil"/>
            </w:tcBorders>
          </w:tcPr>
          <w:p w14:paraId="38201E00" w14:textId="77777777" w:rsidR="00C73A0C" w:rsidRPr="0074295F" w:rsidRDefault="00C73A0C" w:rsidP="00C73A0C">
            <w:pPr>
              <w:jc w:val="center"/>
              <w:rPr>
                <w:color w:val="333333"/>
                <w:sz w:val="16"/>
                <w:szCs w:val="16"/>
              </w:rPr>
            </w:pPr>
            <w:r w:rsidRPr="0074295F">
              <w:rPr>
                <w:color w:val="333333"/>
                <w:sz w:val="16"/>
                <w:szCs w:val="16"/>
              </w:rPr>
              <w:t>8 (2·6%)</w:t>
            </w:r>
          </w:p>
        </w:tc>
        <w:tc>
          <w:tcPr>
            <w:tcW w:w="1276" w:type="dxa"/>
            <w:tcBorders>
              <w:top w:val="nil"/>
              <w:left w:val="nil"/>
              <w:bottom w:val="single" w:sz="4" w:space="0" w:color="auto"/>
              <w:right w:val="nil"/>
            </w:tcBorders>
          </w:tcPr>
          <w:p w14:paraId="432BAE3B" w14:textId="77777777" w:rsidR="00C73A0C" w:rsidRPr="0074295F" w:rsidRDefault="00C73A0C" w:rsidP="00C73A0C">
            <w:pPr>
              <w:jc w:val="center"/>
              <w:rPr>
                <w:color w:val="333333"/>
                <w:sz w:val="16"/>
                <w:szCs w:val="16"/>
              </w:rPr>
            </w:pPr>
            <w:r w:rsidRPr="0074295F">
              <w:rPr>
                <w:color w:val="333333"/>
                <w:sz w:val="16"/>
                <w:szCs w:val="16"/>
              </w:rPr>
              <w:t>5 (1·6%)</w:t>
            </w:r>
          </w:p>
        </w:tc>
        <w:tc>
          <w:tcPr>
            <w:tcW w:w="1275" w:type="dxa"/>
            <w:tcBorders>
              <w:top w:val="nil"/>
              <w:left w:val="nil"/>
              <w:bottom w:val="single" w:sz="4" w:space="0" w:color="auto"/>
              <w:right w:val="nil"/>
            </w:tcBorders>
          </w:tcPr>
          <w:p w14:paraId="7DC7EB2A" w14:textId="77777777" w:rsidR="00C73A0C" w:rsidRPr="0074295F" w:rsidRDefault="00C73A0C" w:rsidP="00C73A0C">
            <w:pPr>
              <w:jc w:val="center"/>
              <w:rPr>
                <w:color w:val="333333"/>
                <w:sz w:val="16"/>
                <w:szCs w:val="16"/>
              </w:rPr>
            </w:pPr>
            <w:r w:rsidRPr="0074295F">
              <w:rPr>
                <w:color w:val="333333"/>
                <w:sz w:val="16"/>
                <w:szCs w:val="16"/>
              </w:rPr>
              <w:t>13 (2·1%)</w:t>
            </w:r>
          </w:p>
        </w:tc>
      </w:tr>
      <w:tr w:rsidR="00C73A0C" w:rsidRPr="0074295F" w14:paraId="4A0A7EAF" w14:textId="77777777" w:rsidTr="00F207A1">
        <w:tc>
          <w:tcPr>
            <w:tcW w:w="2835" w:type="dxa"/>
            <w:tcBorders>
              <w:top w:val="nil"/>
              <w:left w:val="nil"/>
              <w:bottom w:val="nil"/>
              <w:right w:val="nil"/>
            </w:tcBorders>
          </w:tcPr>
          <w:p w14:paraId="094EAE24" w14:textId="0253EFEF"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Age started smoking (years) n=617</w:t>
            </w:r>
          </w:p>
        </w:tc>
        <w:tc>
          <w:tcPr>
            <w:tcW w:w="2268" w:type="dxa"/>
            <w:tcBorders>
              <w:top w:val="nil"/>
              <w:left w:val="nil"/>
              <w:bottom w:val="single" w:sz="4" w:space="0" w:color="auto"/>
              <w:right w:val="nil"/>
            </w:tcBorders>
          </w:tcPr>
          <w:p w14:paraId="2A7B55AC"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589282F8" w14:textId="10DB944A" w:rsidR="00C73A0C" w:rsidRPr="0074295F" w:rsidRDefault="00C73A0C" w:rsidP="00C73A0C">
            <w:pPr>
              <w:jc w:val="center"/>
              <w:rPr>
                <w:color w:val="333333"/>
                <w:sz w:val="16"/>
                <w:szCs w:val="16"/>
              </w:rPr>
            </w:pPr>
            <w:r w:rsidRPr="0074295F">
              <w:rPr>
                <w:color w:val="333333"/>
                <w:sz w:val="16"/>
                <w:szCs w:val="16"/>
              </w:rPr>
              <w:t>17·1 (4·3)</w:t>
            </w:r>
          </w:p>
        </w:tc>
        <w:tc>
          <w:tcPr>
            <w:tcW w:w="1276" w:type="dxa"/>
            <w:tcBorders>
              <w:top w:val="nil"/>
              <w:left w:val="nil"/>
              <w:bottom w:val="single" w:sz="4" w:space="0" w:color="auto"/>
              <w:right w:val="nil"/>
            </w:tcBorders>
          </w:tcPr>
          <w:p w14:paraId="07B75BFC" w14:textId="3A9C1CE9" w:rsidR="00C73A0C" w:rsidRPr="0074295F" w:rsidRDefault="00C73A0C" w:rsidP="00C73A0C">
            <w:pPr>
              <w:jc w:val="center"/>
              <w:rPr>
                <w:color w:val="333333"/>
                <w:sz w:val="16"/>
                <w:szCs w:val="16"/>
              </w:rPr>
            </w:pPr>
            <w:r w:rsidRPr="0074295F">
              <w:rPr>
                <w:color w:val="333333"/>
                <w:sz w:val="16"/>
                <w:szCs w:val="16"/>
              </w:rPr>
              <w:t>16·6 (3·7)</w:t>
            </w:r>
          </w:p>
        </w:tc>
        <w:tc>
          <w:tcPr>
            <w:tcW w:w="1275" w:type="dxa"/>
            <w:tcBorders>
              <w:top w:val="nil"/>
              <w:left w:val="nil"/>
              <w:bottom w:val="single" w:sz="4" w:space="0" w:color="auto"/>
              <w:right w:val="nil"/>
            </w:tcBorders>
          </w:tcPr>
          <w:p w14:paraId="205077A3" w14:textId="15D7BE2F" w:rsidR="00C73A0C" w:rsidRPr="0074295F" w:rsidRDefault="00C73A0C" w:rsidP="00C73A0C">
            <w:pPr>
              <w:jc w:val="center"/>
              <w:rPr>
                <w:color w:val="333333"/>
                <w:sz w:val="16"/>
                <w:szCs w:val="16"/>
              </w:rPr>
            </w:pPr>
            <w:r w:rsidRPr="0074295F">
              <w:rPr>
                <w:color w:val="333333"/>
                <w:sz w:val="16"/>
                <w:szCs w:val="16"/>
              </w:rPr>
              <w:t>16·9 (4·0)</w:t>
            </w:r>
          </w:p>
        </w:tc>
      </w:tr>
      <w:tr w:rsidR="00C73A0C" w:rsidRPr="0074295F" w14:paraId="072554AA" w14:textId="77777777" w:rsidTr="00F207A1">
        <w:tc>
          <w:tcPr>
            <w:tcW w:w="2835" w:type="dxa"/>
            <w:tcBorders>
              <w:top w:val="nil"/>
              <w:left w:val="nil"/>
              <w:bottom w:val="nil"/>
              <w:right w:val="nil"/>
            </w:tcBorders>
          </w:tcPr>
          <w:p w14:paraId="0FAACA95" w14:textId="66AFED71"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Lives with other smokers n=617</w:t>
            </w:r>
          </w:p>
        </w:tc>
        <w:tc>
          <w:tcPr>
            <w:tcW w:w="2268" w:type="dxa"/>
            <w:tcBorders>
              <w:top w:val="nil"/>
              <w:left w:val="nil"/>
              <w:bottom w:val="single" w:sz="4" w:space="0" w:color="auto"/>
              <w:right w:val="nil"/>
            </w:tcBorders>
          </w:tcPr>
          <w:p w14:paraId="262A62CA"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431C9CC0" w14:textId="52D4A5D4" w:rsidR="00C73A0C" w:rsidRPr="0074295F" w:rsidRDefault="00C73A0C" w:rsidP="00C73A0C">
            <w:pPr>
              <w:jc w:val="center"/>
              <w:rPr>
                <w:color w:val="333333"/>
                <w:sz w:val="16"/>
                <w:szCs w:val="16"/>
              </w:rPr>
            </w:pPr>
            <w:r w:rsidRPr="0074295F">
              <w:rPr>
                <w:color w:val="333333"/>
                <w:sz w:val="16"/>
                <w:szCs w:val="16"/>
              </w:rPr>
              <w:t>105 (34·0%)</w:t>
            </w:r>
          </w:p>
        </w:tc>
        <w:tc>
          <w:tcPr>
            <w:tcW w:w="1276" w:type="dxa"/>
            <w:tcBorders>
              <w:top w:val="nil"/>
              <w:left w:val="nil"/>
              <w:bottom w:val="single" w:sz="4" w:space="0" w:color="auto"/>
              <w:right w:val="nil"/>
            </w:tcBorders>
          </w:tcPr>
          <w:p w14:paraId="3BB64286" w14:textId="120DF68E" w:rsidR="00C73A0C" w:rsidRPr="0074295F" w:rsidRDefault="00C73A0C" w:rsidP="00C73A0C">
            <w:pPr>
              <w:jc w:val="center"/>
              <w:rPr>
                <w:color w:val="333333"/>
                <w:sz w:val="16"/>
                <w:szCs w:val="16"/>
              </w:rPr>
            </w:pPr>
            <w:r w:rsidRPr="0074295F">
              <w:rPr>
                <w:color w:val="333333"/>
                <w:sz w:val="16"/>
                <w:szCs w:val="16"/>
              </w:rPr>
              <w:t>104 (33·8%)</w:t>
            </w:r>
          </w:p>
        </w:tc>
        <w:tc>
          <w:tcPr>
            <w:tcW w:w="1275" w:type="dxa"/>
            <w:tcBorders>
              <w:top w:val="nil"/>
              <w:left w:val="nil"/>
              <w:bottom w:val="single" w:sz="4" w:space="0" w:color="auto"/>
              <w:right w:val="nil"/>
            </w:tcBorders>
          </w:tcPr>
          <w:p w14:paraId="5A22E12D" w14:textId="10A7C201" w:rsidR="00C73A0C" w:rsidRPr="0074295F" w:rsidRDefault="00C73A0C" w:rsidP="00C73A0C">
            <w:pPr>
              <w:jc w:val="center"/>
              <w:rPr>
                <w:color w:val="333333"/>
                <w:sz w:val="16"/>
                <w:szCs w:val="16"/>
              </w:rPr>
            </w:pPr>
            <w:r w:rsidRPr="0074295F">
              <w:rPr>
                <w:color w:val="333333"/>
                <w:sz w:val="16"/>
                <w:szCs w:val="16"/>
              </w:rPr>
              <w:t>209 (33·9%)</w:t>
            </w:r>
          </w:p>
        </w:tc>
      </w:tr>
      <w:tr w:rsidR="00C73A0C" w:rsidRPr="0074295F" w14:paraId="465482BE" w14:textId="77777777" w:rsidTr="00F207A1">
        <w:tc>
          <w:tcPr>
            <w:tcW w:w="2835" w:type="dxa"/>
            <w:tcBorders>
              <w:top w:val="nil"/>
              <w:left w:val="nil"/>
              <w:bottom w:val="nil"/>
              <w:right w:val="nil"/>
            </w:tcBorders>
          </w:tcPr>
          <w:p w14:paraId="3E2DC504" w14:textId="3DB963ED"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At least 1 quit attempt in past 12 months</w:t>
            </w:r>
          </w:p>
        </w:tc>
        <w:tc>
          <w:tcPr>
            <w:tcW w:w="2268" w:type="dxa"/>
            <w:tcBorders>
              <w:top w:val="nil"/>
              <w:left w:val="nil"/>
              <w:bottom w:val="single" w:sz="4" w:space="0" w:color="auto"/>
              <w:right w:val="nil"/>
            </w:tcBorders>
          </w:tcPr>
          <w:p w14:paraId="7CEBFA53"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03EF341F" w14:textId="42EA9515" w:rsidR="00C73A0C" w:rsidRPr="0074295F" w:rsidRDefault="00C73A0C" w:rsidP="00C73A0C">
            <w:pPr>
              <w:jc w:val="center"/>
              <w:rPr>
                <w:color w:val="333333"/>
                <w:sz w:val="16"/>
                <w:szCs w:val="16"/>
              </w:rPr>
            </w:pPr>
            <w:r w:rsidRPr="0074295F">
              <w:rPr>
                <w:color w:val="333333"/>
                <w:sz w:val="16"/>
                <w:szCs w:val="16"/>
              </w:rPr>
              <w:t>196 (63·2%)</w:t>
            </w:r>
          </w:p>
        </w:tc>
        <w:tc>
          <w:tcPr>
            <w:tcW w:w="1276" w:type="dxa"/>
            <w:tcBorders>
              <w:top w:val="nil"/>
              <w:left w:val="nil"/>
              <w:bottom w:val="single" w:sz="4" w:space="0" w:color="auto"/>
              <w:right w:val="nil"/>
            </w:tcBorders>
          </w:tcPr>
          <w:p w14:paraId="0AAF4761" w14:textId="3CB86C3E" w:rsidR="00C73A0C" w:rsidRPr="0074295F" w:rsidRDefault="00C73A0C" w:rsidP="00C73A0C">
            <w:pPr>
              <w:jc w:val="center"/>
              <w:rPr>
                <w:color w:val="333333"/>
                <w:sz w:val="16"/>
                <w:szCs w:val="16"/>
              </w:rPr>
            </w:pPr>
            <w:r w:rsidRPr="0074295F">
              <w:rPr>
                <w:color w:val="333333"/>
                <w:sz w:val="16"/>
                <w:szCs w:val="16"/>
              </w:rPr>
              <w:t>196 (63·2%)</w:t>
            </w:r>
          </w:p>
        </w:tc>
        <w:tc>
          <w:tcPr>
            <w:tcW w:w="1275" w:type="dxa"/>
            <w:tcBorders>
              <w:top w:val="nil"/>
              <w:left w:val="nil"/>
              <w:bottom w:val="single" w:sz="4" w:space="0" w:color="auto"/>
              <w:right w:val="nil"/>
            </w:tcBorders>
          </w:tcPr>
          <w:p w14:paraId="01521DF9" w14:textId="0ECA6B4B" w:rsidR="00C73A0C" w:rsidRPr="0074295F" w:rsidRDefault="00C73A0C" w:rsidP="00C73A0C">
            <w:pPr>
              <w:jc w:val="center"/>
              <w:rPr>
                <w:color w:val="333333"/>
                <w:sz w:val="16"/>
                <w:szCs w:val="16"/>
              </w:rPr>
            </w:pPr>
            <w:r w:rsidRPr="0074295F">
              <w:rPr>
                <w:color w:val="333333"/>
                <w:sz w:val="16"/>
                <w:szCs w:val="16"/>
              </w:rPr>
              <w:t>392 (63·2%)</w:t>
            </w:r>
          </w:p>
        </w:tc>
      </w:tr>
      <w:tr w:rsidR="00C73A0C" w:rsidRPr="0074295F" w14:paraId="7BDC9E1B" w14:textId="77777777" w:rsidTr="00F207A1">
        <w:tc>
          <w:tcPr>
            <w:tcW w:w="2835" w:type="dxa"/>
            <w:tcBorders>
              <w:top w:val="nil"/>
              <w:left w:val="nil"/>
              <w:bottom w:val="nil"/>
              <w:right w:val="nil"/>
            </w:tcBorders>
          </w:tcPr>
          <w:p w14:paraId="33289016" w14:textId="02E01938"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FTND score 5-8</w:t>
            </w:r>
          </w:p>
        </w:tc>
        <w:tc>
          <w:tcPr>
            <w:tcW w:w="2268" w:type="dxa"/>
            <w:tcBorders>
              <w:top w:val="nil"/>
              <w:left w:val="nil"/>
              <w:bottom w:val="single" w:sz="4" w:space="0" w:color="auto"/>
              <w:right w:val="nil"/>
            </w:tcBorders>
          </w:tcPr>
          <w:p w14:paraId="362C71DC"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6218E4E7" w14:textId="3C66153B" w:rsidR="00C73A0C" w:rsidRPr="0074295F" w:rsidRDefault="00C73A0C" w:rsidP="00C73A0C">
            <w:pPr>
              <w:jc w:val="center"/>
              <w:rPr>
                <w:color w:val="333333"/>
                <w:sz w:val="16"/>
                <w:szCs w:val="16"/>
              </w:rPr>
            </w:pPr>
            <w:r w:rsidRPr="0074295F">
              <w:rPr>
                <w:color w:val="333333"/>
                <w:sz w:val="16"/>
                <w:szCs w:val="16"/>
              </w:rPr>
              <w:t>129 (41·6%)</w:t>
            </w:r>
          </w:p>
        </w:tc>
        <w:tc>
          <w:tcPr>
            <w:tcW w:w="1276" w:type="dxa"/>
            <w:tcBorders>
              <w:top w:val="nil"/>
              <w:left w:val="nil"/>
              <w:bottom w:val="single" w:sz="4" w:space="0" w:color="auto"/>
              <w:right w:val="nil"/>
            </w:tcBorders>
          </w:tcPr>
          <w:p w14:paraId="701265E8" w14:textId="0A1D6B61" w:rsidR="00C73A0C" w:rsidRPr="0074295F" w:rsidRDefault="00C73A0C" w:rsidP="00C73A0C">
            <w:pPr>
              <w:jc w:val="center"/>
              <w:rPr>
                <w:color w:val="333333"/>
                <w:sz w:val="16"/>
                <w:szCs w:val="16"/>
              </w:rPr>
            </w:pPr>
            <w:r w:rsidRPr="0074295F">
              <w:rPr>
                <w:color w:val="333333"/>
                <w:sz w:val="16"/>
                <w:szCs w:val="16"/>
              </w:rPr>
              <w:t>112 (36·1%)</w:t>
            </w:r>
          </w:p>
        </w:tc>
        <w:tc>
          <w:tcPr>
            <w:tcW w:w="1275" w:type="dxa"/>
            <w:tcBorders>
              <w:top w:val="nil"/>
              <w:left w:val="nil"/>
              <w:bottom w:val="single" w:sz="4" w:space="0" w:color="auto"/>
              <w:right w:val="nil"/>
            </w:tcBorders>
          </w:tcPr>
          <w:p w14:paraId="0CDC5604" w14:textId="0682E84D" w:rsidR="00C73A0C" w:rsidRPr="0074295F" w:rsidRDefault="00C73A0C" w:rsidP="00C73A0C">
            <w:pPr>
              <w:jc w:val="center"/>
              <w:rPr>
                <w:color w:val="333333"/>
                <w:sz w:val="16"/>
                <w:szCs w:val="16"/>
              </w:rPr>
            </w:pPr>
            <w:r w:rsidRPr="0074295F">
              <w:rPr>
                <w:color w:val="333333"/>
                <w:sz w:val="16"/>
                <w:szCs w:val="16"/>
              </w:rPr>
              <w:t>241 (38·9%)</w:t>
            </w:r>
          </w:p>
        </w:tc>
      </w:tr>
      <w:tr w:rsidR="00C73A0C" w:rsidRPr="0074295F" w14:paraId="347855F3" w14:textId="77777777" w:rsidTr="00F207A1">
        <w:tc>
          <w:tcPr>
            <w:tcW w:w="2835" w:type="dxa"/>
            <w:tcBorders>
              <w:top w:val="nil"/>
              <w:left w:val="nil"/>
              <w:bottom w:val="nil"/>
              <w:right w:val="nil"/>
            </w:tcBorders>
          </w:tcPr>
          <w:p w14:paraId="4AB1A5C5" w14:textId="33E45339"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Quit efficacy n=473</w:t>
            </w:r>
          </w:p>
        </w:tc>
        <w:tc>
          <w:tcPr>
            <w:tcW w:w="2268" w:type="dxa"/>
            <w:tcBorders>
              <w:top w:val="nil"/>
              <w:left w:val="nil"/>
              <w:bottom w:val="single" w:sz="4" w:space="0" w:color="auto"/>
              <w:right w:val="nil"/>
            </w:tcBorders>
          </w:tcPr>
          <w:p w14:paraId="1C3153EE"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2B6D9160" w14:textId="687A708C" w:rsidR="00C73A0C" w:rsidRPr="0074295F" w:rsidRDefault="00C73A0C" w:rsidP="00C73A0C">
            <w:pPr>
              <w:jc w:val="center"/>
              <w:rPr>
                <w:color w:val="333333"/>
                <w:sz w:val="16"/>
                <w:szCs w:val="16"/>
              </w:rPr>
            </w:pPr>
            <w:r w:rsidRPr="0074295F">
              <w:rPr>
                <w:color w:val="333333"/>
                <w:sz w:val="16"/>
                <w:szCs w:val="16"/>
              </w:rPr>
              <w:t>20·7 (4·3)</w:t>
            </w:r>
          </w:p>
        </w:tc>
        <w:tc>
          <w:tcPr>
            <w:tcW w:w="1276" w:type="dxa"/>
            <w:tcBorders>
              <w:top w:val="nil"/>
              <w:left w:val="nil"/>
              <w:bottom w:val="single" w:sz="4" w:space="0" w:color="auto"/>
              <w:right w:val="nil"/>
            </w:tcBorders>
          </w:tcPr>
          <w:p w14:paraId="256EE765" w14:textId="3C3C890B" w:rsidR="00C73A0C" w:rsidRPr="0074295F" w:rsidRDefault="00C73A0C" w:rsidP="00C73A0C">
            <w:pPr>
              <w:jc w:val="center"/>
              <w:rPr>
                <w:color w:val="333333"/>
                <w:sz w:val="16"/>
                <w:szCs w:val="16"/>
              </w:rPr>
            </w:pPr>
            <w:r w:rsidRPr="0074295F">
              <w:rPr>
                <w:color w:val="333333"/>
                <w:sz w:val="16"/>
                <w:szCs w:val="16"/>
              </w:rPr>
              <w:t>20·8 (4·1)</w:t>
            </w:r>
          </w:p>
        </w:tc>
        <w:tc>
          <w:tcPr>
            <w:tcW w:w="1275" w:type="dxa"/>
            <w:tcBorders>
              <w:top w:val="nil"/>
              <w:left w:val="nil"/>
              <w:bottom w:val="single" w:sz="4" w:space="0" w:color="auto"/>
              <w:right w:val="nil"/>
            </w:tcBorders>
          </w:tcPr>
          <w:p w14:paraId="2AAFC72A" w14:textId="79625132" w:rsidR="00C73A0C" w:rsidRPr="0074295F" w:rsidRDefault="00C73A0C" w:rsidP="00C73A0C">
            <w:pPr>
              <w:jc w:val="center"/>
              <w:rPr>
                <w:color w:val="333333"/>
                <w:sz w:val="16"/>
                <w:szCs w:val="16"/>
              </w:rPr>
            </w:pPr>
            <w:r w:rsidRPr="0074295F">
              <w:rPr>
                <w:color w:val="333333"/>
                <w:sz w:val="16"/>
                <w:szCs w:val="16"/>
              </w:rPr>
              <w:t>20·8 (4·2)</w:t>
            </w:r>
          </w:p>
        </w:tc>
      </w:tr>
      <w:tr w:rsidR="00C73A0C" w:rsidRPr="0074295F" w14:paraId="045D54C9" w14:textId="77777777" w:rsidTr="00F207A1">
        <w:tc>
          <w:tcPr>
            <w:tcW w:w="2835" w:type="dxa"/>
            <w:tcBorders>
              <w:top w:val="nil"/>
              <w:left w:val="nil"/>
              <w:bottom w:val="single" w:sz="4" w:space="0" w:color="auto"/>
              <w:right w:val="nil"/>
            </w:tcBorders>
          </w:tcPr>
          <w:p w14:paraId="07860DE4" w14:textId="59597990" w:rsidR="00C73A0C" w:rsidRPr="0074295F" w:rsidRDefault="00C73A0C" w:rsidP="00C73A0C">
            <w:pPr>
              <w:widowControl w:val="0"/>
              <w:pBdr>
                <w:top w:val="nil"/>
                <w:left w:val="nil"/>
                <w:bottom w:val="nil"/>
                <w:right w:val="nil"/>
                <w:between w:val="nil"/>
              </w:pBdr>
              <w:spacing w:line="276" w:lineRule="auto"/>
              <w:rPr>
                <w:color w:val="333333"/>
                <w:sz w:val="16"/>
                <w:szCs w:val="16"/>
              </w:rPr>
            </w:pPr>
            <w:r w:rsidRPr="0074295F">
              <w:rPr>
                <w:color w:val="333333"/>
                <w:sz w:val="16"/>
                <w:szCs w:val="16"/>
              </w:rPr>
              <w:t>Baseline CO reading n=473</w:t>
            </w:r>
          </w:p>
        </w:tc>
        <w:tc>
          <w:tcPr>
            <w:tcW w:w="2268" w:type="dxa"/>
            <w:tcBorders>
              <w:top w:val="nil"/>
              <w:left w:val="nil"/>
              <w:bottom w:val="single" w:sz="4" w:space="0" w:color="auto"/>
              <w:right w:val="nil"/>
            </w:tcBorders>
          </w:tcPr>
          <w:p w14:paraId="3CCFA9A9" w14:textId="77777777" w:rsidR="00C73A0C" w:rsidRPr="0074295F" w:rsidRDefault="00C73A0C" w:rsidP="00C73A0C">
            <w:pPr>
              <w:rPr>
                <w:color w:val="333333"/>
                <w:sz w:val="16"/>
                <w:szCs w:val="16"/>
              </w:rPr>
            </w:pPr>
          </w:p>
        </w:tc>
        <w:tc>
          <w:tcPr>
            <w:tcW w:w="1276" w:type="dxa"/>
            <w:tcBorders>
              <w:top w:val="nil"/>
              <w:left w:val="nil"/>
              <w:bottom w:val="single" w:sz="4" w:space="0" w:color="auto"/>
              <w:right w:val="nil"/>
            </w:tcBorders>
          </w:tcPr>
          <w:p w14:paraId="05AC9D54" w14:textId="4BD1E213" w:rsidR="00C73A0C" w:rsidRPr="0074295F" w:rsidRDefault="00C73A0C" w:rsidP="00C73A0C">
            <w:pPr>
              <w:jc w:val="center"/>
              <w:rPr>
                <w:color w:val="333333"/>
                <w:sz w:val="16"/>
                <w:szCs w:val="16"/>
              </w:rPr>
            </w:pPr>
            <w:r w:rsidRPr="0074295F">
              <w:rPr>
                <w:color w:val="333333"/>
                <w:sz w:val="16"/>
                <w:szCs w:val="16"/>
              </w:rPr>
              <w:t>17.5 (9.8)</w:t>
            </w:r>
          </w:p>
        </w:tc>
        <w:tc>
          <w:tcPr>
            <w:tcW w:w="1276" w:type="dxa"/>
            <w:tcBorders>
              <w:top w:val="nil"/>
              <w:left w:val="nil"/>
              <w:bottom w:val="single" w:sz="4" w:space="0" w:color="auto"/>
              <w:right w:val="nil"/>
            </w:tcBorders>
          </w:tcPr>
          <w:p w14:paraId="4A1C4654" w14:textId="4DDAD6EE" w:rsidR="00C73A0C" w:rsidRPr="0074295F" w:rsidRDefault="00C73A0C" w:rsidP="00C73A0C">
            <w:pPr>
              <w:jc w:val="center"/>
              <w:rPr>
                <w:color w:val="333333"/>
                <w:sz w:val="16"/>
                <w:szCs w:val="16"/>
              </w:rPr>
            </w:pPr>
            <w:r w:rsidRPr="0074295F">
              <w:rPr>
                <w:color w:val="333333"/>
                <w:sz w:val="16"/>
                <w:szCs w:val="16"/>
              </w:rPr>
              <w:t>15.1 (10.2)</w:t>
            </w:r>
          </w:p>
        </w:tc>
        <w:tc>
          <w:tcPr>
            <w:tcW w:w="1275" w:type="dxa"/>
            <w:tcBorders>
              <w:top w:val="nil"/>
              <w:left w:val="nil"/>
              <w:bottom w:val="single" w:sz="4" w:space="0" w:color="auto"/>
              <w:right w:val="nil"/>
            </w:tcBorders>
          </w:tcPr>
          <w:p w14:paraId="39C2E1CD" w14:textId="5F74551B" w:rsidR="00C73A0C" w:rsidRPr="0074295F" w:rsidRDefault="00C73A0C" w:rsidP="00C73A0C">
            <w:pPr>
              <w:jc w:val="center"/>
              <w:rPr>
                <w:color w:val="333333"/>
                <w:sz w:val="16"/>
                <w:szCs w:val="16"/>
              </w:rPr>
            </w:pPr>
            <w:r w:rsidRPr="0074295F">
              <w:rPr>
                <w:color w:val="333333"/>
                <w:sz w:val="16"/>
                <w:szCs w:val="16"/>
              </w:rPr>
              <w:t>16.4 (10.1)</w:t>
            </w:r>
          </w:p>
        </w:tc>
      </w:tr>
    </w:tbl>
    <w:p w14:paraId="4720B939" w14:textId="0E241B58" w:rsidR="0037720D" w:rsidRDefault="00C72E75">
      <w:pPr>
        <w:rPr>
          <w:color w:val="333333"/>
          <w:sz w:val="16"/>
          <w:szCs w:val="16"/>
        </w:rPr>
      </w:pPr>
      <w:r w:rsidRPr="0074295F">
        <w:rPr>
          <w:b/>
          <w:color w:val="333333"/>
          <w:sz w:val="16"/>
          <w:szCs w:val="16"/>
        </w:rPr>
        <w:t xml:space="preserve">Note. </w:t>
      </w:r>
      <w:r w:rsidRPr="0074295F">
        <w:rPr>
          <w:color w:val="333333"/>
          <w:sz w:val="16"/>
          <w:szCs w:val="16"/>
        </w:rPr>
        <w:t xml:space="preserve">ACE: Allen Carr’s Easyway method. </w:t>
      </w:r>
      <w:r w:rsidR="005A08AF" w:rsidRPr="005A08AF">
        <w:rPr>
          <w:color w:val="333333"/>
          <w:sz w:val="16"/>
          <w:szCs w:val="16"/>
        </w:rPr>
        <w:t xml:space="preserve">SSS: </w:t>
      </w:r>
      <w:r w:rsidR="005A08AF" w:rsidRPr="003E412C">
        <w:rPr>
          <w:sz w:val="16"/>
          <w:szCs w:val="16"/>
        </w:rPr>
        <w:t>specialist stop smoking service (SSS) providing behavioural and pharmacological support in accordance with national standards</w:t>
      </w:r>
      <w:r w:rsidRPr="0074295F">
        <w:rPr>
          <w:color w:val="333333"/>
          <w:sz w:val="16"/>
          <w:szCs w:val="16"/>
        </w:rPr>
        <w:t xml:space="preserve"> FTND: Fagerstrom Test for Nicotine dependence.</w:t>
      </w:r>
      <w:r w:rsidRPr="0074295F">
        <w:rPr>
          <w:b/>
          <w:color w:val="333333"/>
          <w:sz w:val="16"/>
          <w:szCs w:val="16"/>
        </w:rPr>
        <w:t xml:space="preserve"> </w:t>
      </w:r>
      <w:r w:rsidRPr="0074295F">
        <w:rPr>
          <w:color w:val="333333"/>
          <w:sz w:val="16"/>
          <w:szCs w:val="16"/>
        </w:rPr>
        <w:t>All measures were taken before randomisation, n=620 unless otherwise stated</w:t>
      </w:r>
    </w:p>
    <w:p w14:paraId="4D6EAD2D" w14:textId="77777777" w:rsidR="0037720D" w:rsidRDefault="0037720D">
      <w:pPr>
        <w:rPr>
          <w:b/>
          <w:color w:val="333333"/>
        </w:rPr>
      </w:pPr>
    </w:p>
    <w:p w14:paraId="29F67FA6" w14:textId="77777777" w:rsidR="0037720D" w:rsidRDefault="0037720D">
      <w:pPr>
        <w:rPr>
          <w:b/>
          <w:color w:val="333333"/>
        </w:rPr>
      </w:pPr>
    </w:p>
    <w:p w14:paraId="708BD726" w14:textId="77777777" w:rsidR="0037720D" w:rsidRDefault="0037720D">
      <w:pPr>
        <w:rPr>
          <w:b/>
          <w:color w:val="333333"/>
        </w:rPr>
      </w:pPr>
    </w:p>
    <w:p w14:paraId="3FC9B076" w14:textId="77777777" w:rsidR="0037720D" w:rsidRDefault="0037720D">
      <w:pPr>
        <w:rPr>
          <w:b/>
          <w:color w:val="333333"/>
        </w:rPr>
      </w:pPr>
    </w:p>
    <w:p w14:paraId="378368D2" w14:textId="77777777" w:rsidR="0037720D" w:rsidRDefault="0037720D">
      <w:pPr>
        <w:rPr>
          <w:b/>
          <w:color w:val="333333"/>
        </w:rPr>
      </w:pPr>
    </w:p>
    <w:p w14:paraId="475924D8" w14:textId="77777777" w:rsidR="0037720D" w:rsidRDefault="0037720D">
      <w:pPr>
        <w:rPr>
          <w:b/>
          <w:color w:val="333333"/>
        </w:rPr>
      </w:pPr>
    </w:p>
    <w:p w14:paraId="41E7432B" w14:textId="77777777" w:rsidR="0037720D" w:rsidRDefault="00C72E75">
      <w:pPr>
        <w:widowControl w:val="0"/>
        <w:pBdr>
          <w:top w:val="nil"/>
          <w:left w:val="nil"/>
          <w:bottom w:val="nil"/>
          <w:right w:val="nil"/>
          <w:between w:val="nil"/>
        </w:pBdr>
        <w:spacing w:line="276" w:lineRule="auto"/>
        <w:rPr>
          <w:b/>
          <w:color w:val="333333"/>
        </w:rPr>
        <w:sectPr w:rsidR="0037720D">
          <w:footerReference w:type="even" r:id="rId9"/>
          <w:footerReference w:type="default" r:id="rId10"/>
          <w:pgSz w:w="11900" w:h="16840"/>
          <w:pgMar w:top="1440" w:right="1440" w:bottom="1440" w:left="1440" w:header="708" w:footer="708" w:gutter="0"/>
          <w:pgNumType w:start="1"/>
          <w:cols w:space="720" w:equalWidth="0">
            <w:col w:w="9360"/>
          </w:cols>
        </w:sectPr>
      </w:pPr>
      <w:r>
        <w:br w:type="page"/>
      </w:r>
    </w:p>
    <w:p w14:paraId="60089426" w14:textId="4B797BF3" w:rsidR="0037720D" w:rsidRPr="00305173" w:rsidRDefault="00C72E75">
      <w:pPr>
        <w:rPr>
          <w:rFonts w:eastAsia="Calibri"/>
          <w:b/>
          <w:sz w:val="16"/>
          <w:szCs w:val="16"/>
        </w:rPr>
      </w:pPr>
      <w:r w:rsidRPr="00F207A1">
        <w:rPr>
          <w:b/>
          <w:sz w:val="16"/>
          <w:szCs w:val="16"/>
        </w:rPr>
        <w:t xml:space="preserve">Table </w:t>
      </w:r>
      <w:r w:rsidR="00C84D7F" w:rsidRPr="00F207A1">
        <w:rPr>
          <w:b/>
          <w:sz w:val="16"/>
          <w:szCs w:val="16"/>
        </w:rPr>
        <w:t>2</w:t>
      </w:r>
      <w:r w:rsidRPr="00F207A1">
        <w:rPr>
          <w:b/>
          <w:sz w:val="16"/>
          <w:szCs w:val="16"/>
        </w:rPr>
        <w:t xml:space="preserve">: </w:t>
      </w:r>
      <w:r w:rsidRPr="00F207A1">
        <w:rPr>
          <w:rFonts w:eastAsia="Calibri"/>
          <w:b/>
          <w:sz w:val="16"/>
          <w:szCs w:val="16"/>
        </w:rPr>
        <w:t>Participant flow and data summary</w:t>
      </w:r>
    </w:p>
    <w:tbl>
      <w:tblPr>
        <w:tblW w:w="9154" w:type="dxa"/>
        <w:tblBorders>
          <w:top w:val="single" w:sz="4" w:space="0" w:color="auto"/>
          <w:bottom w:val="single" w:sz="4" w:space="0" w:color="auto"/>
        </w:tblBorders>
        <w:tblLayout w:type="fixed"/>
        <w:tblLook w:val="0400" w:firstRow="0" w:lastRow="0" w:firstColumn="0" w:lastColumn="0" w:noHBand="0" w:noVBand="1"/>
      </w:tblPr>
      <w:tblGrid>
        <w:gridCol w:w="7220"/>
        <w:gridCol w:w="997"/>
        <w:gridCol w:w="937"/>
      </w:tblGrid>
      <w:tr w:rsidR="00B745EC" w:rsidRPr="00B745EC" w14:paraId="73E8C5B2" w14:textId="77777777" w:rsidTr="00F207A1">
        <w:tc>
          <w:tcPr>
            <w:tcW w:w="7220" w:type="dxa"/>
            <w:tcBorders>
              <w:top w:val="single" w:sz="4" w:space="0" w:color="auto"/>
              <w:bottom w:val="single" w:sz="4" w:space="0" w:color="auto"/>
            </w:tcBorders>
          </w:tcPr>
          <w:p w14:paraId="59D51169" w14:textId="77777777" w:rsidR="00B745EC" w:rsidRPr="00305173" w:rsidRDefault="00B745EC" w:rsidP="00B745EC">
            <w:pPr>
              <w:rPr>
                <w:rFonts w:eastAsia="Calibri"/>
                <w:bCs/>
                <w:sz w:val="16"/>
                <w:szCs w:val="16"/>
              </w:rPr>
            </w:pPr>
          </w:p>
        </w:tc>
        <w:tc>
          <w:tcPr>
            <w:tcW w:w="997" w:type="dxa"/>
            <w:tcBorders>
              <w:top w:val="single" w:sz="4" w:space="0" w:color="auto"/>
              <w:bottom w:val="single" w:sz="4" w:space="0" w:color="auto"/>
            </w:tcBorders>
          </w:tcPr>
          <w:p w14:paraId="5E09BCD7" w14:textId="77777777" w:rsidR="00B745EC" w:rsidRPr="00305173" w:rsidRDefault="00B745EC" w:rsidP="00B745EC">
            <w:pPr>
              <w:rPr>
                <w:rFonts w:eastAsia="Calibri"/>
                <w:bCs/>
                <w:i/>
                <w:iCs/>
                <w:sz w:val="16"/>
                <w:szCs w:val="16"/>
              </w:rPr>
            </w:pPr>
            <w:r w:rsidRPr="00305173">
              <w:rPr>
                <w:rFonts w:eastAsia="Calibri"/>
                <w:bCs/>
                <w:i/>
                <w:iCs/>
                <w:sz w:val="16"/>
                <w:szCs w:val="16"/>
              </w:rPr>
              <w:t>ACE</w:t>
            </w:r>
          </w:p>
        </w:tc>
        <w:tc>
          <w:tcPr>
            <w:tcW w:w="937" w:type="dxa"/>
            <w:tcBorders>
              <w:top w:val="single" w:sz="4" w:space="0" w:color="auto"/>
              <w:bottom w:val="single" w:sz="4" w:space="0" w:color="auto"/>
            </w:tcBorders>
          </w:tcPr>
          <w:p w14:paraId="369E59D3" w14:textId="3099C6F1" w:rsidR="00B745EC" w:rsidRPr="00305173" w:rsidRDefault="005A08AF" w:rsidP="00B745EC">
            <w:pPr>
              <w:rPr>
                <w:rFonts w:eastAsia="Calibri"/>
                <w:bCs/>
                <w:i/>
                <w:iCs/>
                <w:sz w:val="16"/>
                <w:szCs w:val="16"/>
              </w:rPr>
            </w:pPr>
            <w:r>
              <w:rPr>
                <w:rFonts w:eastAsia="Calibri"/>
                <w:bCs/>
                <w:i/>
                <w:iCs/>
                <w:sz w:val="16"/>
                <w:szCs w:val="16"/>
              </w:rPr>
              <w:t>SSS</w:t>
            </w:r>
          </w:p>
        </w:tc>
      </w:tr>
      <w:tr w:rsidR="00B745EC" w:rsidRPr="00B745EC" w14:paraId="560719F8" w14:textId="77777777" w:rsidTr="00F207A1">
        <w:tc>
          <w:tcPr>
            <w:tcW w:w="7220" w:type="dxa"/>
            <w:tcBorders>
              <w:top w:val="single" w:sz="4" w:space="0" w:color="auto"/>
            </w:tcBorders>
          </w:tcPr>
          <w:p w14:paraId="43F539E5" w14:textId="77777777" w:rsidR="00B745EC" w:rsidRPr="00305173" w:rsidRDefault="00B745EC" w:rsidP="00B745EC">
            <w:pPr>
              <w:rPr>
                <w:rFonts w:eastAsia="Calibri"/>
                <w:bCs/>
                <w:sz w:val="16"/>
                <w:szCs w:val="16"/>
              </w:rPr>
            </w:pPr>
            <w:r w:rsidRPr="00305173">
              <w:rPr>
                <w:rFonts w:eastAsia="Calibri"/>
                <w:bCs/>
                <w:sz w:val="16"/>
                <w:szCs w:val="16"/>
              </w:rPr>
              <w:t>Randomised</w:t>
            </w:r>
          </w:p>
        </w:tc>
        <w:tc>
          <w:tcPr>
            <w:tcW w:w="997" w:type="dxa"/>
            <w:tcBorders>
              <w:top w:val="single" w:sz="4" w:space="0" w:color="auto"/>
            </w:tcBorders>
          </w:tcPr>
          <w:p w14:paraId="31BAE653" w14:textId="77777777" w:rsidR="00B745EC" w:rsidRPr="00305173" w:rsidRDefault="00B745EC" w:rsidP="00B745EC">
            <w:pPr>
              <w:rPr>
                <w:rFonts w:eastAsia="Calibri"/>
                <w:bCs/>
                <w:sz w:val="16"/>
                <w:szCs w:val="16"/>
              </w:rPr>
            </w:pPr>
            <w:r w:rsidRPr="00305173">
              <w:rPr>
                <w:rFonts w:eastAsia="Calibri"/>
                <w:bCs/>
                <w:sz w:val="16"/>
                <w:szCs w:val="16"/>
              </w:rPr>
              <w:t>310</w:t>
            </w:r>
          </w:p>
        </w:tc>
        <w:tc>
          <w:tcPr>
            <w:tcW w:w="937" w:type="dxa"/>
            <w:tcBorders>
              <w:top w:val="single" w:sz="4" w:space="0" w:color="auto"/>
            </w:tcBorders>
          </w:tcPr>
          <w:p w14:paraId="6A22D9B6" w14:textId="77777777" w:rsidR="00B745EC" w:rsidRPr="00305173" w:rsidRDefault="00B745EC" w:rsidP="00B745EC">
            <w:pPr>
              <w:rPr>
                <w:rFonts w:eastAsia="Calibri"/>
                <w:bCs/>
                <w:sz w:val="16"/>
                <w:szCs w:val="16"/>
              </w:rPr>
            </w:pPr>
            <w:r w:rsidRPr="00305173">
              <w:rPr>
                <w:rFonts w:eastAsia="Calibri"/>
                <w:bCs/>
                <w:sz w:val="16"/>
                <w:szCs w:val="16"/>
              </w:rPr>
              <w:t>310</w:t>
            </w:r>
          </w:p>
        </w:tc>
      </w:tr>
      <w:tr w:rsidR="00B745EC" w:rsidRPr="00B745EC" w14:paraId="04107601" w14:textId="77777777" w:rsidTr="00F207A1">
        <w:tc>
          <w:tcPr>
            <w:tcW w:w="7220" w:type="dxa"/>
          </w:tcPr>
          <w:p w14:paraId="697C2CC9" w14:textId="77777777" w:rsidR="00B745EC" w:rsidRPr="00305173" w:rsidRDefault="00B745EC" w:rsidP="00B745EC">
            <w:pPr>
              <w:rPr>
                <w:rFonts w:eastAsia="Calibri"/>
                <w:bCs/>
                <w:sz w:val="16"/>
                <w:szCs w:val="16"/>
              </w:rPr>
            </w:pPr>
            <w:r w:rsidRPr="00305173">
              <w:rPr>
                <w:rFonts w:eastAsia="Calibri"/>
                <w:bCs/>
                <w:sz w:val="16"/>
                <w:szCs w:val="16"/>
              </w:rPr>
              <w:t xml:space="preserve">Eligible for inclusion in outcome analysis </w:t>
            </w:r>
          </w:p>
        </w:tc>
        <w:tc>
          <w:tcPr>
            <w:tcW w:w="997" w:type="dxa"/>
          </w:tcPr>
          <w:p w14:paraId="5BCF1839" w14:textId="77777777" w:rsidR="00B745EC" w:rsidRPr="00305173" w:rsidRDefault="00B745EC" w:rsidP="00B745EC">
            <w:pPr>
              <w:rPr>
                <w:rFonts w:eastAsia="Calibri"/>
                <w:bCs/>
                <w:sz w:val="16"/>
                <w:szCs w:val="16"/>
              </w:rPr>
            </w:pPr>
            <w:r w:rsidRPr="00305173">
              <w:rPr>
                <w:rFonts w:eastAsia="Calibri"/>
                <w:bCs/>
                <w:sz w:val="16"/>
                <w:szCs w:val="16"/>
              </w:rPr>
              <w:t>310</w:t>
            </w:r>
          </w:p>
        </w:tc>
        <w:tc>
          <w:tcPr>
            <w:tcW w:w="937" w:type="dxa"/>
          </w:tcPr>
          <w:p w14:paraId="32E1308E" w14:textId="77777777" w:rsidR="00B745EC" w:rsidRPr="00305173" w:rsidRDefault="00B745EC" w:rsidP="00B745EC">
            <w:pPr>
              <w:rPr>
                <w:rFonts w:eastAsia="Calibri"/>
                <w:bCs/>
                <w:sz w:val="16"/>
                <w:szCs w:val="16"/>
              </w:rPr>
            </w:pPr>
            <w:r w:rsidRPr="00305173">
              <w:rPr>
                <w:rFonts w:eastAsia="Calibri"/>
                <w:bCs/>
                <w:sz w:val="16"/>
                <w:szCs w:val="16"/>
              </w:rPr>
              <w:t>310</w:t>
            </w:r>
          </w:p>
        </w:tc>
      </w:tr>
      <w:tr w:rsidR="00B745EC" w:rsidRPr="00B745EC" w14:paraId="3E89FAA2" w14:textId="77777777" w:rsidTr="00F207A1">
        <w:tc>
          <w:tcPr>
            <w:tcW w:w="7220" w:type="dxa"/>
          </w:tcPr>
          <w:p w14:paraId="068BC39B" w14:textId="77777777" w:rsidR="00B745EC" w:rsidRPr="00305173" w:rsidRDefault="00B745EC" w:rsidP="00B745EC">
            <w:pPr>
              <w:rPr>
                <w:rFonts w:eastAsia="Calibri"/>
                <w:bCs/>
                <w:sz w:val="16"/>
                <w:szCs w:val="16"/>
              </w:rPr>
            </w:pPr>
            <w:r w:rsidRPr="00305173">
              <w:rPr>
                <w:rFonts w:eastAsia="Calibri"/>
                <w:bCs/>
                <w:sz w:val="16"/>
                <w:szCs w:val="16"/>
              </w:rPr>
              <w:t>Attended allocated treatment</w:t>
            </w:r>
          </w:p>
        </w:tc>
        <w:tc>
          <w:tcPr>
            <w:tcW w:w="997" w:type="dxa"/>
          </w:tcPr>
          <w:p w14:paraId="3ADBD079" w14:textId="77777777" w:rsidR="00B745EC" w:rsidRPr="00305173" w:rsidRDefault="00B745EC" w:rsidP="00B745EC">
            <w:pPr>
              <w:rPr>
                <w:rFonts w:eastAsia="Calibri"/>
                <w:bCs/>
                <w:sz w:val="16"/>
                <w:szCs w:val="16"/>
              </w:rPr>
            </w:pPr>
            <w:r w:rsidRPr="00305173">
              <w:rPr>
                <w:rFonts w:eastAsia="Calibri"/>
                <w:bCs/>
                <w:sz w:val="16"/>
                <w:szCs w:val="16"/>
              </w:rPr>
              <w:t>255</w:t>
            </w:r>
          </w:p>
        </w:tc>
        <w:tc>
          <w:tcPr>
            <w:tcW w:w="937" w:type="dxa"/>
          </w:tcPr>
          <w:p w14:paraId="1DD99085" w14:textId="77777777" w:rsidR="00B745EC" w:rsidRPr="00305173" w:rsidRDefault="00B745EC" w:rsidP="00B745EC">
            <w:pPr>
              <w:rPr>
                <w:rFonts w:eastAsia="Calibri"/>
                <w:bCs/>
                <w:sz w:val="16"/>
                <w:szCs w:val="16"/>
              </w:rPr>
            </w:pPr>
            <w:r w:rsidRPr="00305173">
              <w:rPr>
                <w:rFonts w:eastAsia="Calibri"/>
                <w:bCs/>
                <w:sz w:val="16"/>
                <w:szCs w:val="16"/>
              </w:rPr>
              <w:t>213</w:t>
            </w:r>
          </w:p>
        </w:tc>
      </w:tr>
      <w:tr w:rsidR="00B745EC" w:rsidRPr="00B745EC" w14:paraId="643EA81E" w14:textId="77777777" w:rsidTr="00F207A1">
        <w:tc>
          <w:tcPr>
            <w:tcW w:w="7220" w:type="dxa"/>
          </w:tcPr>
          <w:p w14:paraId="4E60FB28" w14:textId="77777777" w:rsidR="00B745EC" w:rsidRPr="00305173" w:rsidRDefault="00B745EC" w:rsidP="00B745EC">
            <w:pPr>
              <w:rPr>
                <w:rFonts w:eastAsia="Calibri"/>
                <w:bCs/>
                <w:sz w:val="16"/>
                <w:szCs w:val="16"/>
              </w:rPr>
            </w:pPr>
            <w:r w:rsidRPr="00305173">
              <w:rPr>
                <w:rFonts w:eastAsia="Calibri"/>
                <w:bCs/>
                <w:sz w:val="16"/>
                <w:szCs w:val="16"/>
              </w:rPr>
              <w:t>RS smoking</w:t>
            </w:r>
          </w:p>
        </w:tc>
        <w:tc>
          <w:tcPr>
            <w:tcW w:w="997" w:type="dxa"/>
          </w:tcPr>
          <w:p w14:paraId="7990135B" w14:textId="77777777" w:rsidR="00B745EC" w:rsidRPr="00305173" w:rsidRDefault="00B745EC" w:rsidP="00B745EC">
            <w:pPr>
              <w:rPr>
                <w:rFonts w:eastAsia="Calibri"/>
                <w:bCs/>
                <w:sz w:val="16"/>
                <w:szCs w:val="16"/>
              </w:rPr>
            </w:pPr>
          </w:p>
        </w:tc>
        <w:tc>
          <w:tcPr>
            <w:tcW w:w="937" w:type="dxa"/>
          </w:tcPr>
          <w:p w14:paraId="2743847E" w14:textId="77777777" w:rsidR="00B745EC" w:rsidRPr="00305173" w:rsidRDefault="00B745EC" w:rsidP="00B745EC">
            <w:pPr>
              <w:rPr>
                <w:rFonts w:eastAsia="Calibri"/>
                <w:bCs/>
                <w:sz w:val="16"/>
                <w:szCs w:val="16"/>
              </w:rPr>
            </w:pPr>
          </w:p>
        </w:tc>
      </w:tr>
      <w:tr w:rsidR="00B745EC" w:rsidRPr="00B745EC" w14:paraId="1375B7FA" w14:textId="77777777" w:rsidTr="00F207A1">
        <w:tc>
          <w:tcPr>
            <w:tcW w:w="7220" w:type="dxa"/>
          </w:tcPr>
          <w:p w14:paraId="52C478A4" w14:textId="4EDFEC67" w:rsidR="00B745EC" w:rsidRPr="00305173" w:rsidRDefault="00B745EC" w:rsidP="00210634">
            <w:pPr>
              <w:rPr>
                <w:rFonts w:eastAsia="Calibri"/>
                <w:bCs/>
                <w:sz w:val="16"/>
                <w:szCs w:val="16"/>
              </w:rPr>
            </w:pPr>
            <w:r w:rsidRPr="00305173">
              <w:rPr>
                <w:rFonts w:eastAsia="Calibri"/>
                <w:bCs/>
                <w:sz w:val="16"/>
                <w:szCs w:val="16"/>
              </w:rPr>
              <w:t xml:space="preserve">    Self-report of smoking at </w:t>
            </w:r>
            <w:r w:rsidR="00210634">
              <w:rPr>
                <w:rFonts w:eastAsia="Calibri"/>
                <w:bCs/>
                <w:sz w:val="16"/>
                <w:szCs w:val="16"/>
              </w:rPr>
              <w:t xml:space="preserve">26 weeks </w:t>
            </w:r>
            <w:r w:rsidRPr="00305173">
              <w:rPr>
                <w:rFonts w:eastAsia="Calibri"/>
                <w:bCs/>
                <w:sz w:val="16"/>
                <w:szCs w:val="16"/>
              </w:rPr>
              <w:t>(&gt;5 cigarettes)</w:t>
            </w:r>
          </w:p>
        </w:tc>
        <w:tc>
          <w:tcPr>
            <w:tcW w:w="997" w:type="dxa"/>
          </w:tcPr>
          <w:p w14:paraId="5654FB13" w14:textId="77777777" w:rsidR="00B745EC" w:rsidRPr="00305173" w:rsidRDefault="00B745EC" w:rsidP="00B745EC">
            <w:pPr>
              <w:rPr>
                <w:rFonts w:eastAsia="Calibri"/>
                <w:bCs/>
                <w:sz w:val="16"/>
                <w:szCs w:val="16"/>
              </w:rPr>
            </w:pPr>
            <w:r w:rsidRPr="00305173">
              <w:rPr>
                <w:rFonts w:eastAsia="Calibri"/>
                <w:bCs/>
                <w:sz w:val="16"/>
                <w:szCs w:val="16"/>
              </w:rPr>
              <w:t>24</w:t>
            </w:r>
          </w:p>
        </w:tc>
        <w:tc>
          <w:tcPr>
            <w:tcW w:w="937" w:type="dxa"/>
          </w:tcPr>
          <w:p w14:paraId="1530FD65" w14:textId="77777777" w:rsidR="00B745EC" w:rsidRPr="00305173" w:rsidRDefault="00B745EC" w:rsidP="00B745EC">
            <w:pPr>
              <w:rPr>
                <w:rFonts w:eastAsia="Calibri"/>
                <w:bCs/>
                <w:sz w:val="16"/>
                <w:szCs w:val="16"/>
              </w:rPr>
            </w:pPr>
            <w:r w:rsidRPr="00305173">
              <w:rPr>
                <w:rFonts w:eastAsia="Calibri"/>
                <w:bCs/>
                <w:sz w:val="16"/>
                <w:szCs w:val="16"/>
              </w:rPr>
              <w:t>31</w:t>
            </w:r>
          </w:p>
        </w:tc>
      </w:tr>
      <w:tr w:rsidR="00B745EC" w:rsidRPr="00B745EC" w14:paraId="69EEEA61" w14:textId="77777777" w:rsidTr="00F207A1">
        <w:tc>
          <w:tcPr>
            <w:tcW w:w="7220" w:type="dxa"/>
          </w:tcPr>
          <w:p w14:paraId="261FB2B6"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smoking at 12 weeks and debriefed  (&gt;5 cigarettes)</w:t>
            </w:r>
          </w:p>
        </w:tc>
        <w:tc>
          <w:tcPr>
            <w:tcW w:w="997" w:type="dxa"/>
          </w:tcPr>
          <w:p w14:paraId="2917AF22" w14:textId="77777777" w:rsidR="00B745EC" w:rsidRPr="00305173" w:rsidRDefault="00B745EC" w:rsidP="00B745EC">
            <w:pPr>
              <w:rPr>
                <w:rFonts w:eastAsia="Calibri"/>
                <w:bCs/>
                <w:sz w:val="16"/>
                <w:szCs w:val="16"/>
              </w:rPr>
            </w:pPr>
            <w:r w:rsidRPr="00305173">
              <w:rPr>
                <w:rFonts w:eastAsia="Calibri"/>
                <w:bCs/>
                <w:sz w:val="16"/>
                <w:szCs w:val="16"/>
              </w:rPr>
              <w:t>58</w:t>
            </w:r>
          </w:p>
        </w:tc>
        <w:tc>
          <w:tcPr>
            <w:tcW w:w="937" w:type="dxa"/>
          </w:tcPr>
          <w:p w14:paraId="0CA67BFA" w14:textId="77777777" w:rsidR="00B745EC" w:rsidRPr="00305173" w:rsidRDefault="00B745EC" w:rsidP="00B745EC">
            <w:pPr>
              <w:rPr>
                <w:rFonts w:eastAsia="Calibri"/>
                <w:bCs/>
                <w:sz w:val="16"/>
                <w:szCs w:val="16"/>
              </w:rPr>
            </w:pPr>
            <w:r w:rsidRPr="00305173">
              <w:rPr>
                <w:rFonts w:eastAsia="Calibri"/>
                <w:bCs/>
                <w:sz w:val="16"/>
                <w:szCs w:val="16"/>
              </w:rPr>
              <w:t>29</w:t>
            </w:r>
          </w:p>
        </w:tc>
      </w:tr>
      <w:tr w:rsidR="00B745EC" w:rsidRPr="00B745EC" w14:paraId="0C8119E1" w14:textId="77777777" w:rsidTr="00F207A1">
        <w:tc>
          <w:tcPr>
            <w:tcW w:w="7220" w:type="dxa"/>
          </w:tcPr>
          <w:p w14:paraId="0DA26CCC"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throughout FU, attended and failed at least one biochemical validation session</w:t>
            </w:r>
          </w:p>
        </w:tc>
        <w:tc>
          <w:tcPr>
            <w:tcW w:w="997" w:type="dxa"/>
          </w:tcPr>
          <w:p w14:paraId="2B34949E" w14:textId="77777777" w:rsidR="00B745EC" w:rsidRPr="00305173" w:rsidRDefault="00B745EC" w:rsidP="00B745EC">
            <w:pPr>
              <w:rPr>
                <w:rFonts w:eastAsia="Calibri"/>
                <w:bCs/>
                <w:sz w:val="16"/>
                <w:szCs w:val="16"/>
              </w:rPr>
            </w:pPr>
            <w:r w:rsidRPr="00305173">
              <w:rPr>
                <w:rFonts w:eastAsia="Calibri"/>
                <w:bCs/>
                <w:sz w:val="16"/>
                <w:szCs w:val="16"/>
              </w:rPr>
              <w:t>5</w:t>
            </w:r>
          </w:p>
        </w:tc>
        <w:tc>
          <w:tcPr>
            <w:tcW w:w="937" w:type="dxa"/>
          </w:tcPr>
          <w:p w14:paraId="1B364851" w14:textId="77777777" w:rsidR="00B745EC" w:rsidRPr="00305173" w:rsidRDefault="00B745EC" w:rsidP="00B745EC">
            <w:pPr>
              <w:rPr>
                <w:rFonts w:eastAsia="Calibri"/>
                <w:bCs/>
                <w:sz w:val="16"/>
                <w:szCs w:val="16"/>
              </w:rPr>
            </w:pPr>
            <w:r w:rsidRPr="00305173">
              <w:rPr>
                <w:rFonts w:eastAsia="Calibri"/>
                <w:bCs/>
                <w:sz w:val="16"/>
                <w:szCs w:val="16"/>
              </w:rPr>
              <w:t>0</w:t>
            </w:r>
          </w:p>
        </w:tc>
      </w:tr>
      <w:tr w:rsidR="00B745EC" w:rsidRPr="00B745EC" w14:paraId="06C23721" w14:textId="77777777" w:rsidTr="00F207A1">
        <w:tc>
          <w:tcPr>
            <w:tcW w:w="7220" w:type="dxa"/>
          </w:tcPr>
          <w:p w14:paraId="4FCA8708"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throughout FU, did not attend for a biochemical validation session at final FU</w:t>
            </w:r>
          </w:p>
        </w:tc>
        <w:tc>
          <w:tcPr>
            <w:tcW w:w="997" w:type="dxa"/>
          </w:tcPr>
          <w:p w14:paraId="27AB23E3" w14:textId="77777777" w:rsidR="00B745EC" w:rsidRPr="00305173" w:rsidRDefault="00B745EC" w:rsidP="00B745EC">
            <w:pPr>
              <w:rPr>
                <w:rFonts w:eastAsia="Calibri"/>
                <w:bCs/>
                <w:sz w:val="16"/>
                <w:szCs w:val="16"/>
              </w:rPr>
            </w:pPr>
            <w:r w:rsidRPr="00305173">
              <w:rPr>
                <w:rFonts w:eastAsia="Calibri"/>
                <w:bCs/>
                <w:sz w:val="16"/>
                <w:szCs w:val="16"/>
              </w:rPr>
              <w:t>0</w:t>
            </w:r>
          </w:p>
        </w:tc>
        <w:tc>
          <w:tcPr>
            <w:tcW w:w="937" w:type="dxa"/>
          </w:tcPr>
          <w:p w14:paraId="6B8C771B" w14:textId="77777777" w:rsidR="00B745EC" w:rsidRPr="00305173" w:rsidRDefault="00B745EC" w:rsidP="00B745EC">
            <w:pPr>
              <w:rPr>
                <w:rFonts w:eastAsia="Calibri"/>
                <w:bCs/>
                <w:sz w:val="16"/>
                <w:szCs w:val="16"/>
              </w:rPr>
            </w:pPr>
            <w:r w:rsidRPr="00305173">
              <w:rPr>
                <w:rFonts w:eastAsia="Calibri"/>
                <w:bCs/>
                <w:sz w:val="16"/>
                <w:szCs w:val="16"/>
              </w:rPr>
              <w:t>0</w:t>
            </w:r>
          </w:p>
        </w:tc>
      </w:tr>
      <w:tr w:rsidR="00B745EC" w:rsidRPr="00B745EC" w14:paraId="7F7C731F" w14:textId="77777777" w:rsidTr="00F207A1">
        <w:tc>
          <w:tcPr>
            <w:tcW w:w="7220" w:type="dxa"/>
          </w:tcPr>
          <w:p w14:paraId="63C9AB40" w14:textId="77777777" w:rsidR="00B745EC" w:rsidRPr="00305173" w:rsidRDefault="00B745EC" w:rsidP="00B745EC">
            <w:pPr>
              <w:rPr>
                <w:rFonts w:eastAsia="Calibri"/>
                <w:bCs/>
                <w:sz w:val="16"/>
                <w:szCs w:val="16"/>
              </w:rPr>
            </w:pPr>
            <w:r w:rsidRPr="00305173">
              <w:rPr>
                <w:rFonts w:eastAsia="Calibri"/>
                <w:bCs/>
                <w:sz w:val="16"/>
                <w:szCs w:val="16"/>
              </w:rPr>
              <w:t xml:space="preserve">    No contact at final FU</w:t>
            </w:r>
          </w:p>
        </w:tc>
        <w:tc>
          <w:tcPr>
            <w:tcW w:w="997" w:type="dxa"/>
          </w:tcPr>
          <w:p w14:paraId="4ABBB447" w14:textId="77777777" w:rsidR="00B745EC" w:rsidRPr="00305173" w:rsidRDefault="00B745EC" w:rsidP="00B745EC">
            <w:pPr>
              <w:rPr>
                <w:rFonts w:eastAsia="Calibri"/>
                <w:bCs/>
                <w:sz w:val="16"/>
                <w:szCs w:val="16"/>
              </w:rPr>
            </w:pPr>
            <w:r w:rsidRPr="00305173">
              <w:rPr>
                <w:rFonts w:eastAsia="Calibri"/>
                <w:bCs/>
                <w:sz w:val="16"/>
                <w:szCs w:val="16"/>
              </w:rPr>
              <w:t>220</w:t>
            </w:r>
          </w:p>
        </w:tc>
        <w:tc>
          <w:tcPr>
            <w:tcW w:w="937" w:type="dxa"/>
          </w:tcPr>
          <w:p w14:paraId="1DFFF591" w14:textId="77777777" w:rsidR="00B745EC" w:rsidRPr="00305173" w:rsidRDefault="00B745EC" w:rsidP="00B745EC">
            <w:pPr>
              <w:rPr>
                <w:rFonts w:eastAsia="Calibri"/>
                <w:bCs/>
                <w:sz w:val="16"/>
                <w:szCs w:val="16"/>
              </w:rPr>
            </w:pPr>
            <w:r w:rsidRPr="00305173">
              <w:rPr>
                <w:rFonts w:eastAsia="Calibri"/>
                <w:bCs/>
                <w:sz w:val="16"/>
                <w:szCs w:val="16"/>
              </w:rPr>
              <w:t>221</w:t>
            </w:r>
          </w:p>
        </w:tc>
      </w:tr>
      <w:tr w:rsidR="00B745EC" w:rsidRPr="00B745EC" w14:paraId="3396BEFC" w14:textId="77777777" w:rsidTr="00F207A1">
        <w:tc>
          <w:tcPr>
            <w:tcW w:w="7220" w:type="dxa"/>
          </w:tcPr>
          <w:p w14:paraId="645955FC" w14:textId="77777777" w:rsidR="00B745EC" w:rsidRPr="00305173" w:rsidRDefault="00B745EC" w:rsidP="00B745EC">
            <w:pPr>
              <w:rPr>
                <w:rFonts w:eastAsia="Calibri"/>
                <w:bCs/>
                <w:sz w:val="16"/>
                <w:szCs w:val="16"/>
              </w:rPr>
            </w:pPr>
            <w:r w:rsidRPr="00305173">
              <w:rPr>
                <w:rFonts w:eastAsia="Calibri"/>
                <w:bCs/>
                <w:sz w:val="16"/>
                <w:szCs w:val="16"/>
              </w:rPr>
              <w:t>RS abstinent</w:t>
            </w:r>
          </w:p>
        </w:tc>
        <w:tc>
          <w:tcPr>
            <w:tcW w:w="997" w:type="dxa"/>
          </w:tcPr>
          <w:p w14:paraId="524489C6" w14:textId="77777777" w:rsidR="00B745EC" w:rsidRPr="00305173" w:rsidRDefault="00B745EC" w:rsidP="00B745EC">
            <w:pPr>
              <w:rPr>
                <w:rFonts w:eastAsia="Calibri"/>
                <w:bCs/>
                <w:sz w:val="16"/>
                <w:szCs w:val="16"/>
              </w:rPr>
            </w:pPr>
          </w:p>
        </w:tc>
        <w:tc>
          <w:tcPr>
            <w:tcW w:w="937" w:type="dxa"/>
          </w:tcPr>
          <w:p w14:paraId="2A6659FB" w14:textId="77777777" w:rsidR="00B745EC" w:rsidRPr="00305173" w:rsidRDefault="00B745EC" w:rsidP="00B745EC">
            <w:pPr>
              <w:rPr>
                <w:rFonts w:eastAsia="Calibri"/>
                <w:bCs/>
                <w:sz w:val="16"/>
                <w:szCs w:val="16"/>
              </w:rPr>
            </w:pPr>
          </w:p>
        </w:tc>
      </w:tr>
      <w:tr w:rsidR="00B745EC" w:rsidRPr="00B745EC" w14:paraId="7CF4E763" w14:textId="77777777" w:rsidTr="00F207A1">
        <w:tc>
          <w:tcPr>
            <w:tcW w:w="7220" w:type="dxa"/>
          </w:tcPr>
          <w:p w14:paraId="3929AA5B" w14:textId="77777777" w:rsidR="00B745EC" w:rsidRPr="00305173" w:rsidRDefault="00B745EC" w:rsidP="00B745EC">
            <w:pPr>
              <w:rPr>
                <w:rFonts w:eastAsia="Calibri"/>
                <w:bCs/>
                <w:sz w:val="16"/>
                <w:szCs w:val="16"/>
              </w:rPr>
            </w:pPr>
            <w:r w:rsidRPr="00305173">
              <w:rPr>
                <w:rFonts w:eastAsia="Calibri"/>
                <w:bCs/>
                <w:sz w:val="16"/>
                <w:szCs w:val="16"/>
              </w:rPr>
              <w:t xml:space="preserve">    Self-report of abstinence (&lt;5 cigarettes) throughout FU, passed biochemical validation session at final FU</w:t>
            </w:r>
          </w:p>
        </w:tc>
        <w:tc>
          <w:tcPr>
            <w:tcW w:w="997" w:type="dxa"/>
          </w:tcPr>
          <w:p w14:paraId="0E79329D" w14:textId="77777777" w:rsidR="00B745EC" w:rsidRPr="00305173" w:rsidRDefault="00B745EC" w:rsidP="00B745EC">
            <w:pPr>
              <w:rPr>
                <w:rFonts w:eastAsia="Calibri"/>
                <w:bCs/>
                <w:sz w:val="16"/>
                <w:szCs w:val="16"/>
              </w:rPr>
            </w:pPr>
            <w:r w:rsidRPr="00305173">
              <w:rPr>
                <w:rFonts w:eastAsia="Calibri"/>
                <w:bCs/>
                <w:sz w:val="16"/>
                <w:szCs w:val="16"/>
              </w:rPr>
              <w:t>60</w:t>
            </w:r>
          </w:p>
        </w:tc>
        <w:tc>
          <w:tcPr>
            <w:tcW w:w="937" w:type="dxa"/>
          </w:tcPr>
          <w:p w14:paraId="5A97646F" w14:textId="77777777" w:rsidR="00B745EC" w:rsidRPr="00305173" w:rsidRDefault="00B745EC" w:rsidP="00B745EC">
            <w:pPr>
              <w:rPr>
                <w:rFonts w:eastAsia="Calibri"/>
                <w:bCs/>
                <w:sz w:val="16"/>
                <w:szCs w:val="16"/>
              </w:rPr>
            </w:pPr>
            <w:r w:rsidRPr="00305173">
              <w:rPr>
                <w:rFonts w:eastAsia="Calibri"/>
                <w:bCs/>
                <w:sz w:val="16"/>
                <w:szCs w:val="16"/>
              </w:rPr>
              <w:t>46</w:t>
            </w:r>
          </w:p>
        </w:tc>
      </w:tr>
      <w:tr w:rsidR="00B745EC" w:rsidRPr="00B745EC" w14:paraId="34F7F360" w14:textId="77777777" w:rsidTr="00F207A1">
        <w:tc>
          <w:tcPr>
            <w:tcW w:w="7220" w:type="dxa"/>
          </w:tcPr>
          <w:p w14:paraId="5A5DC4D6" w14:textId="77777777" w:rsidR="00B745EC" w:rsidRPr="00305173" w:rsidRDefault="00B745EC" w:rsidP="00B745EC">
            <w:pPr>
              <w:rPr>
                <w:rFonts w:eastAsia="Calibri"/>
                <w:bCs/>
                <w:sz w:val="16"/>
                <w:szCs w:val="16"/>
              </w:rPr>
            </w:pPr>
            <w:r w:rsidRPr="00305173">
              <w:rPr>
                <w:rFonts w:eastAsia="Calibri"/>
                <w:bCs/>
                <w:sz w:val="16"/>
                <w:szCs w:val="16"/>
              </w:rPr>
              <w:t>RS abstinence rate</w:t>
            </w:r>
          </w:p>
        </w:tc>
        <w:tc>
          <w:tcPr>
            <w:tcW w:w="997" w:type="dxa"/>
          </w:tcPr>
          <w:p w14:paraId="5A5539F4" w14:textId="77777777" w:rsidR="00B745EC" w:rsidRPr="00305173" w:rsidRDefault="00B745EC" w:rsidP="00B745EC">
            <w:pPr>
              <w:rPr>
                <w:rFonts w:eastAsia="Calibri"/>
                <w:bCs/>
                <w:sz w:val="16"/>
                <w:szCs w:val="16"/>
              </w:rPr>
            </w:pPr>
            <w:r w:rsidRPr="00305173">
              <w:rPr>
                <w:rFonts w:eastAsia="Calibri"/>
                <w:bCs/>
                <w:sz w:val="16"/>
                <w:szCs w:val="16"/>
              </w:rPr>
              <w:t>60/310</w:t>
            </w:r>
          </w:p>
        </w:tc>
        <w:tc>
          <w:tcPr>
            <w:tcW w:w="937" w:type="dxa"/>
          </w:tcPr>
          <w:p w14:paraId="129D3B48" w14:textId="77777777" w:rsidR="00B745EC" w:rsidRPr="00305173" w:rsidRDefault="00B745EC" w:rsidP="00B745EC">
            <w:pPr>
              <w:rPr>
                <w:rFonts w:eastAsia="Calibri"/>
                <w:bCs/>
                <w:sz w:val="16"/>
                <w:szCs w:val="16"/>
              </w:rPr>
            </w:pPr>
            <w:r w:rsidRPr="00305173">
              <w:rPr>
                <w:rFonts w:eastAsia="Calibri"/>
                <w:bCs/>
                <w:sz w:val="16"/>
                <w:szCs w:val="16"/>
              </w:rPr>
              <w:t>46/310</w:t>
            </w:r>
          </w:p>
        </w:tc>
      </w:tr>
    </w:tbl>
    <w:p w14:paraId="2A66509E" w14:textId="322F827C" w:rsidR="00B745EC" w:rsidRDefault="00B745EC">
      <w:pPr>
        <w:rPr>
          <w:rFonts w:ascii="Calibri" w:eastAsia="Calibri" w:hAnsi="Calibri" w:cs="Calibri"/>
          <w:b/>
          <w:sz w:val="22"/>
          <w:szCs w:val="22"/>
        </w:rPr>
      </w:pPr>
    </w:p>
    <w:p w14:paraId="63AD94A7" w14:textId="152CC10F" w:rsidR="00B745EC" w:rsidRDefault="00B745EC">
      <w:pPr>
        <w:rPr>
          <w:rFonts w:ascii="Calibri" w:eastAsia="Calibri" w:hAnsi="Calibri" w:cs="Calibri"/>
          <w:b/>
          <w:sz w:val="22"/>
          <w:szCs w:val="22"/>
        </w:rPr>
      </w:pPr>
    </w:p>
    <w:p w14:paraId="70F70F9F" w14:textId="77777777" w:rsidR="00B745EC" w:rsidRDefault="00B745EC">
      <w:pPr>
        <w:rPr>
          <w:b/>
          <w:sz w:val="20"/>
          <w:szCs w:val="20"/>
        </w:rPr>
      </w:pPr>
    </w:p>
    <w:p w14:paraId="517053AA" w14:textId="77777777" w:rsidR="0037720D" w:rsidRDefault="0037720D">
      <w:pPr>
        <w:rPr>
          <w:b/>
          <w:sz w:val="20"/>
          <w:szCs w:val="20"/>
        </w:rPr>
      </w:pPr>
    </w:p>
    <w:p w14:paraId="5D468DC7" w14:textId="77777777" w:rsidR="0037720D" w:rsidRDefault="00C72E75">
      <w:pPr>
        <w:rPr>
          <w:b/>
          <w:sz w:val="20"/>
          <w:szCs w:val="20"/>
        </w:rPr>
      </w:pPr>
      <w:r>
        <w:br w:type="page"/>
      </w:r>
    </w:p>
    <w:p w14:paraId="76B9F025" w14:textId="4E261AD5" w:rsidR="0037720D" w:rsidRDefault="00C72E75">
      <w:pPr>
        <w:rPr>
          <w:b/>
          <w:sz w:val="20"/>
          <w:szCs w:val="20"/>
        </w:rPr>
      </w:pPr>
      <w:r>
        <w:rPr>
          <w:b/>
          <w:sz w:val="20"/>
          <w:szCs w:val="20"/>
        </w:rPr>
        <w:t xml:space="preserve">Table </w:t>
      </w:r>
      <w:r w:rsidR="00C84D7F">
        <w:rPr>
          <w:b/>
          <w:sz w:val="20"/>
          <w:szCs w:val="20"/>
        </w:rPr>
        <w:t>3</w:t>
      </w:r>
      <w:r>
        <w:rPr>
          <w:b/>
          <w:sz w:val="20"/>
          <w:szCs w:val="20"/>
        </w:rPr>
        <w:t>: Efficacy of treatment, pharmacotherapy usage and treatment completion.</w:t>
      </w:r>
    </w:p>
    <w:p w14:paraId="563EA803" w14:textId="77777777" w:rsidR="0037720D" w:rsidRDefault="0037720D">
      <w:pPr>
        <w:keepNext/>
        <w:pBdr>
          <w:top w:val="nil"/>
          <w:left w:val="nil"/>
          <w:bottom w:val="nil"/>
          <w:right w:val="nil"/>
          <w:between w:val="nil"/>
        </w:pBdr>
        <w:spacing w:after="200"/>
        <w:rPr>
          <w:i/>
          <w:color w:val="44546A"/>
          <w:sz w:val="18"/>
          <w:szCs w:val="18"/>
        </w:rPr>
      </w:pPr>
    </w:p>
    <w:tbl>
      <w:tblPr>
        <w:tblStyle w:val="a1"/>
        <w:tblW w:w="10627" w:type="dxa"/>
        <w:tblBorders>
          <w:top w:val="single" w:sz="4" w:space="0" w:color="auto"/>
          <w:bottom w:val="single" w:sz="4" w:space="0" w:color="auto"/>
        </w:tblBorders>
        <w:tblLayout w:type="fixed"/>
        <w:tblLook w:val="0400" w:firstRow="0" w:lastRow="0" w:firstColumn="0" w:lastColumn="0" w:noHBand="0" w:noVBand="1"/>
      </w:tblPr>
      <w:tblGrid>
        <w:gridCol w:w="2689"/>
        <w:gridCol w:w="850"/>
        <w:gridCol w:w="1134"/>
        <w:gridCol w:w="1134"/>
        <w:gridCol w:w="992"/>
        <w:gridCol w:w="1843"/>
        <w:gridCol w:w="1985"/>
      </w:tblGrid>
      <w:tr w:rsidR="0037720D" w:rsidRPr="0074295F" w14:paraId="33C41D7E" w14:textId="77777777" w:rsidTr="00F207A1">
        <w:tc>
          <w:tcPr>
            <w:tcW w:w="2689" w:type="dxa"/>
            <w:tcBorders>
              <w:top w:val="single" w:sz="4" w:space="0" w:color="auto"/>
              <w:bottom w:val="single" w:sz="4" w:space="0" w:color="auto"/>
            </w:tcBorders>
          </w:tcPr>
          <w:p w14:paraId="3CC05C92" w14:textId="77777777" w:rsidR="0037720D" w:rsidRDefault="0037720D">
            <w:pPr>
              <w:rPr>
                <w:color w:val="333333"/>
                <w:sz w:val="16"/>
                <w:szCs w:val="16"/>
              </w:rPr>
            </w:pPr>
          </w:p>
        </w:tc>
        <w:tc>
          <w:tcPr>
            <w:tcW w:w="850" w:type="dxa"/>
            <w:tcBorders>
              <w:top w:val="single" w:sz="4" w:space="0" w:color="auto"/>
              <w:bottom w:val="single" w:sz="4" w:space="0" w:color="auto"/>
            </w:tcBorders>
          </w:tcPr>
          <w:p w14:paraId="3AAC32F1" w14:textId="77777777" w:rsidR="0037720D" w:rsidRPr="0074295F" w:rsidRDefault="00C72E75">
            <w:pPr>
              <w:jc w:val="center"/>
              <w:rPr>
                <w:b/>
                <w:sz w:val="16"/>
                <w:szCs w:val="16"/>
              </w:rPr>
            </w:pPr>
            <w:r w:rsidRPr="0074295F">
              <w:rPr>
                <w:b/>
                <w:sz w:val="16"/>
                <w:szCs w:val="16"/>
              </w:rPr>
              <w:t>n</w:t>
            </w:r>
          </w:p>
        </w:tc>
        <w:tc>
          <w:tcPr>
            <w:tcW w:w="1134" w:type="dxa"/>
            <w:tcBorders>
              <w:top w:val="single" w:sz="4" w:space="0" w:color="auto"/>
              <w:bottom w:val="single" w:sz="4" w:space="0" w:color="auto"/>
            </w:tcBorders>
          </w:tcPr>
          <w:p w14:paraId="7B2B2296" w14:textId="77777777" w:rsidR="0037720D" w:rsidRPr="0074295F" w:rsidRDefault="00C72E75">
            <w:pPr>
              <w:jc w:val="center"/>
              <w:rPr>
                <w:b/>
                <w:color w:val="333333"/>
                <w:sz w:val="16"/>
                <w:szCs w:val="16"/>
              </w:rPr>
            </w:pPr>
            <w:r w:rsidRPr="0074295F">
              <w:rPr>
                <w:b/>
                <w:sz w:val="16"/>
                <w:szCs w:val="16"/>
              </w:rPr>
              <w:t>ACE</w:t>
            </w:r>
          </w:p>
        </w:tc>
        <w:tc>
          <w:tcPr>
            <w:tcW w:w="1134" w:type="dxa"/>
            <w:tcBorders>
              <w:top w:val="single" w:sz="4" w:space="0" w:color="auto"/>
              <w:bottom w:val="single" w:sz="4" w:space="0" w:color="auto"/>
            </w:tcBorders>
          </w:tcPr>
          <w:p w14:paraId="40DAC8EE" w14:textId="1671EADD" w:rsidR="0037720D" w:rsidRPr="0074295F" w:rsidRDefault="005A08AF">
            <w:pPr>
              <w:jc w:val="center"/>
              <w:rPr>
                <w:b/>
                <w:color w:val="333333"/>
                <w:sz w:val="16"/>
                <w:szCs w:val="16"/>
              </w:rPr>
            </w:pPr>
            <w:r>
              <w:rPr>
                <w:b/>
                <w:sz w:val="16"/>
                <w:szCs w:val="16"/>
              </w:rPr>
              <w:t>SSS</w:t>
            </w:r>
          </w:p>
        </w:tc>
        <w:tc>
          <w:tcPr>
            <w:tcW w:w="992" w:type="dxa"/>
            <w:tcBorders>
              <w:top w:val="single" w:sz="4" w:space="0" w:color="auto"/>
              <w:bottom w:val="single" w:sz="4" w:space="0" w:color="auto"/>
            </w:tcBorders>
          </w:tcPr>
          <w:p w14:paraId="245B36CB" w14:textId="77777777" w:rsidR="0037720D" w:rsidRPr="0074295F" w:rsidRDefault="00C72E75">
            <w:pPr>
              <w:jc w:val="center"/>
              <w:rPr>
                <w:b/>
                <w:color w:val="333333"/>
                <w:sz w:val="16"/>
                <w:szCs w:val="16"/>
              </w:rPr>
            </w:pPr>
            <w:r w:rsidRPr="0074295F">
              <w:rPr>
                <w:b/>
                <w:color w:val="333333"/>
                <w:sz w:val="16"/>
                <w:szCs w:val="16"/>
              </w:rPr>
              <w:t>χ</w:t>
            </w:r>
            <w:r w:rsidRPr="0074295F">
              <w:rPr>
                <w:b/>
                <w:color w:val="333333"/>
                <w:sz w:val="16"/>
                <w:szCs w:val="16"/>
                <w:vertAlign w:val="superscript"/>
              </w:rPr>
              <w:t>2</w:t>
            </w:r>
            <w:r w:rsidRPr="0074295F">
              <w:rPr>
                <w:b/>
                <w:color w:val="333333"/>
                <w:sz w:val="16"/>
                <w:szCs w:val="16"/>
              </w:rPr>
              <w:t xml:space="preserve"> p-value</w:t>
            </w:r>
          </w:p>
        </w:tc>
        <w:tc>
          <w:tcPr>
            <w:tcW w:w="1843" w:type="dxa"/>
            <w:tcBorders>
              <w:top w:val="single" w:sz="4" w:space="0" w:color="auto"/>
              <w:bottom w:val="single" w:sz="4" w:space="0" w:color="auto"/>
            </w:tcBorders>
          </w:tcPr>
          <w:p w14:paraId="5A51C58A" w14:textId="77777777" w:rsidR="0037720D" w:rsidRPr="0074295F" w:rsidRDefault="00C72E75">
            <w:pPr>
              <w:jc w:val="center"/>
              <w:rPr>
                <w:b/>
                <w:color w:val="333333"/>
                <w:sz w:val="16"/>
                <w:szCs w:val="16"/>
              </w:rPr>
            </w:pPr>
            <w:r w:rsidRPr="0074295F">
              <w:rPr>
                <w:b/>
                <w:color w:val="333333"/>
                <w:sz w:val="16"/>
                <w:szCs w:val="16"/>
              </w:rPr>
              <w:t>Odds ratio (95% CI)</w:t>
            </w:r>
          </w:p>
        </w:tc>
        <w:tc>
          <w:tcPr>
            <w:tcW w:w="1985" w:type="dxa"/>
            <w:tcBorders>
              <w:top w:val="single" w:sz="4" w:space="0" w:color="auto"/>
              <w:bottom w:val="single" w:sz="4" w:space="0" w:color="auto"/>
            </w:tcBorders>
          </w:tcPr>
          <w:p w14:paraId="0E141707" w14:textId="77777777" w:rsidR="0037720D" w:rsidRPr="0074295F" w:rsidRDefault="00C72E75">
            <w:pPr>
              <w:jc w:val="center"/>
              <w:rPr>
                <w:b/>
                <w:color w:val="333333"/>
                <w:sz w:val="16"/>
                <w:szCs w:val="16"/>
              </w:rPr>
            </w:pPr>
            <w:r w:rsidRPr="0074295F">
              <w:rPr>
                <w:b/>
                <w:color w:val="333333"/>
                <w:sz w:val="16"/>
                <w:szCs w:val="16"/>
              </w:rPr>
              <w:t>Risk difference (95% CI)</w:t>
            </w:r>
          </w:p>
        </w:tc>
      </w:tr>
      <w:tr w:rsidR="0037720D" w:rsidRPr="0074295F" w14:paraId="190A8125" w14:textId="77777777" w:rsidTr="00F207A1">
        <w:tc>
          <w:tcPr>
            <w:tcW w:w="2689" w:type="dxa"/>
            <w:tcBorders>
              <w:top w:val="single" w:sz="4" w:space="0" w:color="auto"/>
              <w:bottom w:val="nil"/>
            </w:tcBorders>
          </w:tcPr>
          <w:p w14:paraId="05AC3C39" w14:textId="77777777" w:rsidR="0037720D" w:rsidRPr="0074295F" w:rsidRDefault="00C72E75">
            <w:pPr>
              <w:rPr>
                <w:b/>
                <w:color w:val="333333"/>
                <w:sz w:val="16"/>
                <w:szCs w:val="16"/>
              </w:rPr>
            </w:pPr>
            <w:r w:rsidRPr="0074295F">
              <w:rPr>
                <w:b/>
                <w:sz w:val="16"/>
                <w:szCs w:val="16"/>
              </w:rPr>
              <w:t>Treatment acceptability</w:t>
            </w:r>
          </w:p>
        </w:tc>
        <w:tc>
          <w:tcPr>
            <w:tcW w:w="850" w:type="dxa"/>
            <w:tcBorders>
              <w:top w:val="single" w:sz="4" w:space="0" w:color="auto"/>
              <w:bottom w:val="nil"/>
            </w:tcBorders>
          </w:tcPr>
          <w:p w14:paraId="3B8F1B31" w14:textId="77777777" w:rsidR="0037720D" w:rsidRPr="0074295F" w:rsidRDefault="0037720D">
            <w:pPr>
              <w:jc w:val="center"/>
              <w:rPr>
                <w:b/>
                <w:sz w:val="16"/>
                <w:szCs w:val="16"/>
              </w:rPr>
            </w:pPr>
          </w:p>
        </w:tc>
        <w:tc>
          <w:tcPr>
            <w:tcW w:w="1134" w:type="dxa"/>
            <w:tcBorders>
              <w:top w:val="single" w:sz="4" w:space="0" w:color="auto"/>
              <w:bottom w:val="nil"/>
            </w:tcBorders>
          </w:tcPr>
          <w:p w14:paraId="7C130163" w14:textId="77777777" w:rsidR="0037720D" w:rsidRPr="0074295F" w:rsidRDefault="0037720D">
            <w:pPr>
              <w:jc w:val="center"/>
              <w:rPr>
                <w:b/>
                <w:sz w:val="16"/>
                <w:szCs w:val="16"/>
              </w:rPr>
            </w:pPr>
          </w:p>
        </w:tc>
        <w:tc>
          <w:tcPr>
            <w:tcW w:w="1134" w:type="dxa"/>
            <w:tcBorders>
              <w:top w:val="single" w:sz="4" w:space="0" w:color="auto"/>
              <w:bottom w:val="nil"/>
            </w:tcBorders>
          </w:tcPr>
          <w:p w14:paraId="002923F6" w14:textId="77777777" w:rsidR="0037720D" w:rsidRPr="0074295F" w:rsidRDefault="0037720D">
            <w:pPr>
              <w:jc w:val="center"/>
              <w:rPr>
                <w:b/>
                <w:sz w:val="16"/>
                <w:szCs w:val="16"/>
              </w:rPr>
            </w:pPr>
          </w:p>
        </w:tc>
        <w:tc>
          <w:tcPr>
            <w:tcW w:w="992" w:type="dxa"/>
            <w:tcBorders>
              <w:top w:val="single" w:sz="4" w:space="0" w:color="auto"/>
              <w:bottom w:val="nil"/>
            </w:tcBorders>
          </w:tcPr>
          <w:p w14:paraId="4555448C" w14:textId="77777777" w:rsidR="0037720D" w:rsidRPr="003E412C" w:rsidRDefault="0037720D">
            <w:pPr>
              <w:jc w:val="center"/>
              <w:rPr>
                <w:b/>
                <w:color w:val="333333"/>
                <w:sz w:val="16"/>
                <w:szCs w:val="16"/>
              </w:rPr>
            </w:pPr>
          </w:p>
        </w:tc>
        <w:tc>
          <w:tcPr>
            <w:tcW w:w="1843" w:type="dxa"/>
            <w:tcBorders>
              <w:top w:val="single" w:sz="4" w:space="0" w:color="auto"/>
              <w:bottom w:val="nil"/>
            </w:tcBorders>
          </w:tcPr>
          <w:p w14:paraId="733380D4" w14:textId="77777777" w:rsidR="0037720D" w:rsidRPr="003E412C" w:rsidRDefault="0037720D">
            <w:pPr>
              <w:jc w:val="center"/>
              <w:rPr>
                <w:b/>
                <w:color w:val="333333"/>
                <w:sz w:val="16"/>
                <w:szCs w:val="16"/>
              </w:rPr>
            </w:pPr>
          </w:p>
        </w:tc>
        <w:tc>
          <w:tcPr>
            <w:tcW w:w="1985" w:type="dxa"/>
            <w:tcBorders>
              <w:top w:val="single" w:sz="4" w:space="0" w:color="auto"/>
              <w:bottom w:val="nil"/>
            </w:tcBorders>
          </w:tcPr>
          <w:p w14:paraId="19E248AB" w14:textId="77777777" w:rsidR="0037720D" w:rsidRPr="0074295F" w:rsidRDefault="0037720D">
            <w:pPr>
              <w:jc w:val="center"/>
              <w:rPr>
                <w:b/>
                <w:color w:val="333333"/>
                <w:sz w:val="16"/>
                <w:szCs w:val="16"/>
              </w:rPr>
            </w:pPr>
          </w:p>
        </w:tc>
      </w:tr>
      <w:tr w:rsidR="0037720D" w:rsidRPr="0074295F" w14:paraId="4E68011F" w14:textId="77777777" w:rsidTr="00F207A1">
        <w:tc>
          <w:tcPr>
            <w:tcW w:w="2689" w:type="dxa"/>
            <w:tcBorders>
              <w:top w:val="nil"/>
              <w:bottom w:val="single" w:sz="4" w:space="0" w:color="auto"/>
            </w:tcBorders>
          </w:tcPr>
          <w:p w14:paraId="430924AF" w14:textId="77777777" w:rsidR="0037720D" w:rsidRPr="0074295F" w:rsidRDefault="00C72E75">
            <w:pPr>
              <w:rPr>
                <w:color w:val="333333"/>
                <w:sz w:val="16"/>
                <w:szCs w:val="16"/>
              </w:rPr>
            </w:pPr>
            <w:r w:rsidRPr="0074295F">
              <w:rPr>
                <w:sz w:val="16"/>
                <w:szCs w:val="16"/>
              </w:rPr>
              <w:t>Attended treatment</w:t>
            </w:r>
          </w:p>
        </w:tc>
        <w:tc>
          <w:tcPr>
            <w:tcW w:w="850" w:type="dxa"/>
            <w:tcBorders>
              <w:top w:val="nil"/>
              <w:bottom w:val="single" w:sz="4" w:space="0" w:color="auto"/>
            </w:tcBorders>
          </w:tcPr>
          <w:p w14:paraId="50D128E9" w14:textId="77777777" w:rsidR="0037720D" w:rsidRPr="0074295F" w:rsidRDefault="00C72E75">
            <w:pPr>
              <w:jc w:val="center"/>
              <w:rPr>
                <w:b/>
                <w:sz w:val="16"/>
                <w:szCs w:val="16"/>
              </w:rPr>
            </w:pPr>
            <w:r w:rsidRPr="0074295F">
              <w:rPr>
                <w:sz w:val="16"/>
                <w:szCs w:val="16"/>
              </w:rPr>
              <w:t>310/310</w:t>
            </w:r>
          </w:p>
        </w:tc>
        <w:tc>
          <w:tcPr>
            <w:tcW w:w="1134" w:type="dxa"/>
            <w:tcBorders>
              <w:top w:val="nil"/>
              <w:bottom w:val="single" w:sz="4" w:space="0" w:color="auto"/>
            </w:tcBorders>
          </w:tcPr>
          <w:p w14:paraId="031B5C99" w14:textId="4F9A678B" w:rsidR="0037720D" w:rsidRPr="0074295F" w:rsidRDefault="00C142AB" w:rsidP="00C142AB">
            <w:pPr>
              <w:jc w:val="center"/>
              <w:rPr>
                <w:b/>
                <w:sz w:val="16"/>
                <w:szCs w:val="16"/>
              </w:rPr>
            </w:pPr>
            <w:r w:rsidRPr="0074295F">
              <w:rPr>
                <w:sz w:val="16"/>
                <w:szCs w:val="16"/>
              </w:rPr>
              <w:t>255</w:t>
            </w:r>
            <w:r w:rsidR="00C72E75" w:rsidRPr="0074295F">
              <w:rPr>
                <w:sz w:val="16"/>
                <w:szCs w:val="16"/>
              </w:rPr>
              <w:t xml:space="preserve"> (</w:t>
            </w:r>
            <w:r w:rsidRPr="0074295F">
              <w:rPr>
                <w:sz w:val="16"/>
                <w:szCs w:val="16"/>
              </w:rPr>
              <w:t>82.3</w:t>
            </w:r>
            <w:r w:rsidR="00C72E75" w:rsidRPr="0074295F">
              <w:rPr>
                <w:sz w:val="16"/>
                <w:szCs w:val="16"/>
              </w:rPr>
              <w:t>%)</w:t>
            </w:r>
          </w:p>
        </w:tc>
        <w:tc>
          <w:tcPr>
            <w:tcW w:w="1134" w:type="dxa"/>
            <w:tcBorders>
              <w:top w:val="nil"/>
              <w:bottom w:val="single" w:sz="4" w:space="0" w:color="auto"/>
            </w:tcBorders>
          </w:tcPr>
          <w:p w14:paraId="4BBC06EA" w14:textId="77777777" w:rsidR="0037720D" w:rsidRPr="0074295F" w:rsidRDefault="00C72E75">
            <w:pPr>
              <w:jc w:val="center"/>
              <w:rPr>
                <w:b/>
                <w:sz w:val="16"/>
                <w:szCs w:val="16"/>
              </w:rPr>
            </w:pPr>
            <w:r w:rsidRPr="0074295F">
              <w:rPr>
                <w:sz w:val="16"/>
                <w:szCs w:val="16"/>
              </w:rPr>
              <w:t>213 (68.7%)</w:t>
            </w:r>
          </w:p>
        </w:tc>
        <w:tc>
          <w:tcPr>
            <w:tcW w:w="992" w:type="dxa"/>
            <w:tcBorders>
              <w:top w:val="nil"/>
              <w:bottom w:val="single" w:sz="4" w:space="0" w:color="auto"/>
            </w:tcBorders>
          </w:tcPr>
          <w:p w14:paraId="076214BB" w14:textId="6FBEDCDE" w:rsidR="0037720D" w:rsidRPr="003E412C" w:rsidRDefault="00C142AB">
            <w:pPr>
              <w:jc w:val="center"/>
              <w:rPr>
                <w:b/>
                <w:color w:val="333333"/>
                <w:sz w:val="16"/>
                <w:szCs w:val="16"/>
              </w:rPr>
            </w:pPr>
            <w:r w:rsidRPr="003E412C">
              <w:rPr>
                <w:sz w:val="16"/>
                <w:szCs w:val="16"/>
              </w:rPr>
              <w:t>&lt;0.001</w:t>
            </w:r>
          </w:p>
        </w:tc>
        <w:tc>
          <w:tcPr>
            <w:tcW w:w="1843" w:type="dxa"/>
            <w:tcBorders>
              <w:top w:val="nil"/>
              <w:bottom w:val="single" w:sz="4" w:space="0" w:color="auto"/>
            </w:tcBorders>
          </w:tcPr>
          <w:p w14:paraId="58C20C9E" w14:textId="2F0A2E8E" w:rsidR="0037720D" w:rsidRPr="003E412C" w:rsidRDefault="002D6FFB" w:rsidP="00415B1C">
            <w:pPr>
              <w:jc w:val="center"/>
              <w:rPr>
                <w:b/>
                <w:color w:val="333333"/>
                <w:sz w:val="16"/>
                <w:szCs w:val="16"/>
              </w:rPr>
            </w:pPr>
            <w:r w:rsidRPr="003E412C">
              <w:rPr>
                <w:sz w:val="16"/>
                <w:szCs w:val="16"/>
              </w:rPr>
              <w:t>2.1</w:t>
            </w:r>
            <w:r w:rsidR="00415B1C" w:rsidRPr="003E412C">
              <w:rPr>
                <w:sz w:val="16"/>
                <w:szCs w:val="16"/>
              </w:rPr>
              <w:t>1</w:t>
            </w:r>
            <w:r w:rsidR="00C72E75" w:rsidRPr="003E412C">
              <w:rPr>
                <w:sz w:val="16"/>
                <w:szCs w:val="16"/>
              </w:rPr>
              <w:t xml:space="preserve"> (1.</w:t>
            </w:r>
            <w:r w:rsidRPr="003E412C">
              <w:rPr>
                <w:sz w:val="16"/>
                <w:szCs w:val="16"/>
              </w:rPr>
              <w:t>45</w:t>
            </w:r>
            <w:r w:rsidR="00C72E75" w:rsidRPr="003E412C">
              <w:rPr>
                <w:sz w:val="16"/>
                <w:szCs w:val="16"/>
              </w:rPr>
              <w:t xml:space="preserve">, </w:t>
            </w:r>
            <w:r w:rsidRPr="003E412C">
              <w:rPr>
                <w:sz w:val="16"/>
                <w:szCs w:val="16"/>
              </w:rPr>
              <w:t>3.</w:t>
            </w:r>
            <w:r w:rsidR="00415B1C" w:rsidRPr="003E412C">
              <w:rPr>
                <w:sz w:val="16"/>
                <w:szCs w:val="16"/>
              </w:rPr>
              <w:t>08</w:t>
            </w:r>
            <w:r w:rsidR="00C72E75" w:rsidRPr="003E412C">
              <w:rPr>
                <w:sz w:val="16"/>
                <w:szCs w:val="16"/>
              </w:rPr>
              <w:t>)</w:t>
            </w:r>
          </w:p>
        </w:tc>
        <w:tc>
          <w:tcPr>
            <w:tcW w:w="1985" w:type="dxa"/>
            <w:tcBorders>
              <w:top w:val="nil"/>
              <w:bottom w:val="single" w:sz="4" w:space="0" w:color="auto"/>
            </w:tcBorders>
          </w:tcPr>
          <w:p w14:paraId="276AFC91" w14:textId="3DD211A2" w:rsidR="0037720D" w:rsidRPr="0074295F" w:rsidRDefault="00C142AB" w:rsidP="00C142AB">
            <w:pPr>
              <w:jc w:val="center"/>
              <w:rPr>
                <w:b/>
                <w:color w:val="333333"/>
                <w:sz w:val="16"/>
                <w:szCs w:val="16"/>
              </w:rPr>
            </w:pPr>
            <w:r w:rsidRPr="0074295F">
              <w:rPr>
                <w:sz w:val="16"/>
                <w:szCs w:val="16"/>
              </w:rPr>
              <w:t>13.6</w:t>
            </w:r>
            <w:r w:rsidR="00C72E75" w:rsidRPr="0074295F">
              <w:rPr>
                <w:sz w:val="16"/>
                <w:szCs w:val="16"/>
              </w:rPr>
              <w:t>% (</w:t>
            </w:r>
            <w:r w:rsidRPr="0074295F">
              <w:rPr>
                <w:sz w:val="16"/>
                <w:szCs w:val="16"/>
              </w:rPr>
              <w:t>6.6%</w:t>
            </w:r>
            <w:r w:rsidR="00C72E75" w:rsidRPr="0074295F">
              <w:rPr>
                <w:sz w:val="16"/>
                <w:szCs w:val="16"/>
              </w:rPr>
              <w:t xml:space="preserve">%, </w:t>
            </w:r>
            <w:r w:rsidRPr="0074295F">
              <w:rPr>
                <w:sz w:val="16"/>
                <w:szCs w:val="16"/>
              </w:rPr>
              <w:t>20.4</w:t>
            </w:r>
            <w:r w:rsidR="00C72E75" w:rsidRPr="0074295F">
              <w:rPr>
                <w:sz w:val="16"/>
                <w:szCs w:val="16"/>
              </w:rPr>
              <w:t>%)</w:t>
            </w:r>
          </w:p>
        </w:tc>
      </w:tr>
      <w:tr w:rsidR="0037720D" w:rsidRPr="0074295F" w14:paraId="1ED43854" w14:textId="77777777" w:rsidTr="00F207A1">
        <w:tc>
          <w:tcPr>
            <w:tcW w:w="10627" w:type="dxa"/>
            <w:gridSpan w:val="7"/>
            <w:tcBorders>
              <w:top w:val="single" w:sz="4" w:space="0" w:color="auto"/>
            </w:tcBorders>
          </w:tcPr>
          <w:p w14:paraId="06FFCFD1" w14:textId="2BB99BE6" w:rsidR="0037720D" w:rsidRPr="003E412C" w:rsidRDefault="00C72E75">
            <w:pPr>
              <w:rPr>
                <w:b/>
                <w:color w:val="333333"/>
                <w:sz w:val="16"/>
                <w:szCs w:val="16"/>
              </w:rPr>
            </w:pPr>
            <w:r w:rsidRPr="003E412C">
              <w:rPr>
                <w:b/>
                <w:color w:val="333333"/>
                <w:sz w:val="16"/>
                <w:szCs w:val="16"/>
              </w:rPr>
              <w:t>Verified abstinence</w:t>
            </w:r>
            <w:r w:rsidR="00B4094A" w:rsidRPr="003E412C">
              <w:rPr>
                <w:b/>
                <w:color w:val="333333"/>
                <w:sz w:val="16"/>
                <w:szCs w:val="16"/>
              </w:rPr>
              <w:t>:</w:t>
            </w:r>
            <w:r w:rsidRPr="003E412C">
              <w:rPr>
                <w:b/>
                <w:color w:val="333333"/>
                <w:sz w:val="16"/>
                <w:szCs w:val="16"/>
              </w:rPr>
              <w:t xml:space="preserve"> (ITT)</w:t>
            </w:r>
            <w:r w:rsidR="00B4094A" w:rsidRPr="003E412C">
              <w:rPr>
                <w:b/>
                <w:color w:val="333333"/>
                <w:sz w:val="16"/>
                <w:szCs w:val="16"/>
              </w:rPr>
              <w:t xml:space="preserve"> analyses</w:t>
            </w:r>
          </w:p>
        </w:tc>
      </w:tr>
      <w:tr w:rsidR="0037720D" w:rsidRPr="0074295F" w14:paraId="5D8B3F68" w14:textId="77777777" w:rsidTr="00F207A1">
        <w:tc>
          <w:tcPr>
            <w:tcW w:w="2689" w:type="dxa"/>
          </w:tcPr>
          <w:p w14:paraId="4E81B938" w14:textId="77777777" w:rsidR="0037720D" w:rsidRPr="0074295F" w:rsidRDefault="00C72E75">
            <w:pPr>
              <w:rPr>
                <w:color w:val="333333"/>
                <w:sz w:val="16"/>
                <w:szCs w:val="16"/>
              </w:rPr>
            </w:pPr>
            <w:r w:rsidRPr="0074295F">
              <w:rPr>
                <w:color w:val="333333"/>
                <w:sz w:val="16"/>
                <w:szCs w:val="16"/>
              </w:rPr>
              <w:t>4 weeks</w:t>
            </w:r>
          </w:p>
        </w:tc>
        <w:tc>
          <w:tcPr>
            <w:tcW w:w="850" w:type="dxa"/>
          </w:tcPr>
          <w:p w14:paraId="61AB76DA" w14:textId="77777777" w:rsidR="0037720D" w:rsidRPr="0074295F" w:rsidRDefault="00C72E75">
            <w:pPr>
              <w:jc w:val="center"/>
              <w:rPr>
                <w:color w:val="333333"/>
                <w:sz w:val="16"/>
                <w:szCs w:val="16"/>
              </w:rPr>
            </w:pPr>
            <w:r w:rsidRPr="0074295F">
              <w:rPr>
                <w:color w:val="333333"/>
                <w:sz w:val="16"/>
                <w:szCs w:val="16"/>
              </w:rPr>
              <w:t>310/310</w:t>
            </w:r>
          </w:p>
        </w:tc>
        <w:tc>
          <w:tcPr>
            <w:tcW w:w="1134" w:type="dxa"/>
          </w:tcPr>
          <w:p w14:paraId="09FB7D6A" w14:textId="77777777" w:rsidR="0037720D" w:rsidRPr="0074295F" w:rsidRDefault="00C72E75">
            <w:pPr>
              <w:jc w:val="center"/>
              <w:rPr>
                <w:color w:val="333333"/>
                <w:sz w:val="16"/>
                <w:szCs w:val="16"/>
              </w:rPr>
            </w:pPr>
            <w:r w:rsidRPr="0074295F">
              <w:rPr>
                <w:color w:val="333333"/>
                <w:sz w:val="16"/>
                <w:szCs w:val="16"/>
              </w:rPr>
              <w:t>86 (27·7%)</w:t>
            </w:r>
          </w:p>
        </w:tc>
        <w:tc>
          <w:tcPr>
            <w:tcW w:w="1134" w:type="dxa"/>
          </w:tcPr>
          <w:p w14:paraId="1006F46C" w14:textId="77777777" w:rsidR="0037720D" w:rsidRPr="0074295F" w:rsidRDefault="00C72E75">
            <w:pPr>
              <w:jc w:val="center"/>
              <w:rPr>
                <w:color w:val="333333"/>
                <w:sz w:val="16"/>
                <w:szCs w:val="16"/>
              </w:rPr>
            </w:pPr>
            <w:r w:rsidRPr="0074295F">
              <w:rPr>
                <w:color w:val="333333"/>
                <w:sz w:val="16"/>
                <w:szCs w:val="16"/>
              </w:rPr>
              <w:t>104 (33·5%)</w:t>
            </w:r>
          </w:p>
        </w:tc>
        <w:tc>
          <w:tcPr>
            <w:tcW w:w="992" w:type="dxa"/>
          </w:tcPr>
          <w:p w14:paraId="75DB8D73" w14:textId="77777777" w:rsidR="0037720D" w:rsidRPr="003E412C" w:rsidRDefault="00C72E75">
            <w:pPr>
              <w:jc w:val="center"/>
              <w:rPr>
                <w:color w:val="333333"/>
                <w:sz w:val="16"/>
                <w:szCs w:val="16"/>
              </w:rPr>
            </w:pPr>
            <w:r w:rsidRPr="003E412C">
              <w:rPr>
                <w:color w:val="333333"/>
                <w:sz w:val="16"/>
                <w:szCs w:val="16"/>
              </w:rPr>
              <w:t>0·139</w:t>
            </w:r>
          </w:p>
        </w:tc>
        <w:tc>
          <w:tcPr>
            <w:tcW w:w="1843" w:type="dxa"/>
          </w:tcPr>
          <w:p w14:paraId="02CE7A27" w14:textId="0C36B170" w:rsidR="0037720D" w:rsidRPr="003E412C" w:rsidRDefault="00C72E75" w:rsidP="006558BA">
            <w:pPr>
              <w:jc w:val="center"/>
              <w:rPr>
                <w:color w:val="333333"/>
                <w:sz w:val="16"/>
                <w:szCs w:val="16"/>
              </w:rPr>
            </w:pPr>
            <w:r w:rsidRPr="003E412C">
              <w:rPr>
                <w:color w:val="333333"/>
                <w:sz w:val="16"/>
                <w:szCs w:val="16"/>
              </w:rPr>
              <w:t>0·7</w:t>
            </w:r>
            <w:r w:rsidR="006558BA" w:rsidRPr="003E412C">
              <w:rPr>
                <w:color w:val="333333"/>
                <w:sz w:val="16"/>
                <w:szCs w:val="16"/>
              </w:rPr>
              <w:t>6</w:t>
            </w:r>
            <w:r w:rsidRPr="003E412C">
              <w:rPr>
                <w:color w:val="333333"/>
                <w:sz w:val="16"/>
                <w:szCs w:val="16"/>
              </w:rPr>
              <w:t xml:space="preserve"> (0·5</w:t>
            </w:r>
            <w:r w:rsidR="006558BA" w:rsidRPr="003E412C">
              <w:rPr>
                <w:color w:val="333333"/>
                <w:sz w:val="16"/>
                <w:szCs w:val="16"/>
              </w:rPr>
              <w:t>4</w:t>
            </w:r>
            <w:r w:rsidRPr="003E412C">
              <w:rPr>
                <w:color w:val="333333"/>
                <w:sz w:val="16"/>
                <w:szCs w:val="16"/>
              </w:rPr>
              <w:t>, 1·</w:t>
            </w:r>
            <w:r w:rsidR="006558BA" w:rsidRPr="003E412C">
              <w:rPr>
                <w:color w:val="333333"/>
                <w:sz w:val="16"/>
                <w:szCs w:val="16"/>
              </w:rPr>
              <w:t>07</w:t>
            </w:r>
            <w:r w:rsidRPr="003E412C">
              <w:rPr>
                <w:color w:val="333333"/>
                <w:sz w:val="16"/>
                <w:szCs w:val="16"/>
              </w:rPr>
              <w:t>)</w:t>
            </w:r>
          </w:p>
        </w:tc>
        <w:tc>
          <w:tcPr>
            <w:tcW w:w="1985" w:type="dxa"/>
          </w:tcPr>
          <w:p w14:paraId="4630E9EF" w14:textId="77777777" w:rsidR="0037720D" w:rsidRPr="0074295F" w:rsidRDefault="00C72E75">
            <w:pPr>
              <w:jc w:val="center"/>
              <w:rPr>
                <w:color w:val="333333"/>
                <w:sz w:val="16"/>
                <w:szCs w:val="16"/>
              </w:rPr>
            </w:pPr>
            <w:r w:rsidRPr="0074295F">
              <w:rPr>
                <w:color w:val="333333"/>
                <w:sz w:val="16"/>
                <w:szCs w:val="16"/>
              </w:rPr>
              <w:t>-5·8% (-13·0%, 1·5%)</w:t>
            </w:r>
          </w:p>
        </w:tc>
      </w:tr>
      <w:tr w:rsidR="0037720D" w:rsidRPr="0074295F" w14:paraId="00489258" w14:textId="77777777" w:rsidTr="00F207A1">
        <w:tc>
          <w:tcPr>
            <w:tcW w:w="2689" w:type="dxa"/>
            <w:tcBorders>
              <w:bottom w:val="nil"/>
            </w:tcBorders>
          </w:tcPr>
          <w:p w14:paraId="420C517F" w14:textId="77777777" w:rsidR="0037720D" w:rsidRPr="0074295F" w:rsidRDefault="00C72E75">
            <w:pPr>
              <w:rPr>
                <w:color w:val="333333"/>
                <w:sz w:val="16"/>
                <w:szCs w:val="16"/>
              </w:rPr>
            </w:pPr>
            <w:r w:rsidRPr="0074295F">
              <w:rPr>
                <w:color w:val="333333"/>
                <w:sz w:val="16"/>
                <w:szCs w:val="16"/>
              </w:rPr>
              <w:t>12 weeks</w:t>
            </w:r>
          </w:p>
        </w:tc>
        <w:tc>
          <w:tcPr>
            <w:tcW w:w="850" w:type="dxa"/>
            <w:tcBorders>
              <w:bottom w:val="nil"/>
            </w:tcBorders>
          </w:tcPr>
          <w:p w14:paraId="6D9F515F" w14:textId="77777777" w:rsidR="0037720D" w:rsidRPr="0074295F" w:rsidRDefault="00C72E75">
            <w:pPr>
              <w:jc w:val="center"/>
              <w:rPr>
                <w:color w:val="333333"/>
                <w:sz w:val="16"/>
                <w:szCs w:val="16"/>
              </w:rPr>
            </w:pPr>
            <w:r w:rsidRPr="0074295F">
              <w:rPr>
                <w:color w:val="333333"/>
                <w:sz w:val="16"/>
                <w:szCs w:val="16"/>
              </w:rPr>
              <w:t>310/310</w:t>
            </w:r>
          </w:p>
        </w:tc>
        <w:tc>
          <w:tcPr>
            <w:tcW w:w="1134" w:type="dxa"/>
            <w:tcBorders>
              <w:bottom w:val="nil"/>
            </w:tcBorders>
          </w:tcPr>
          <w:p w14:paraId="14019A5B" w14:textId="77777777" w:rsidR="0037720D" w:rsidRPr="0074295F" w:rsidRDefault="00C72E75">
            <w:pPr>
              <w:jc w:val="center"/>
              <w:rPr>
                <w:color w:val="333333"/>
                <w:sz w:val="16"/>
                <w:szCs w:val="16"/>
              </w:rPr>
            </w:pPr>
            <w:r w:rsidRPr="0074295F">
              <w:rPr>
                <w:color w:val="333333"/>
                <w:sz w:val="16"/>
                <w:szCs w:val="16"/>
              </w:rPr>
              <w:t>67 (21·6%)</w:t>
            </w:r>
          </w:p>
        </w:tc>
        <w:tc>
          <w:tcPr>
            <w:tcW w:w="1134" w:type="dxa"/>
            <w:tcBorders>
              <w:bottom w:val="nil"/>
            </w:tcBorders>
          </w:tcPr>
          <w:p w14:paraId="1C8B5DD1" w14:textId="77777777" w:rsidR="0037720D" w:rsidRPr="0074295F" w:rsidRDefault="00C72E75">
            <w:pPr>
              <w:jc w:val="center"/>
              <w:rPr>
                <w:color w:val="333333"/>
                <w:sz w:val="16"/>
                <w:szCs w:val="16"/>
              </w:rPr>
            </w:pPr>
            <w:r w:rsidRPr="0074295F">
              <w:rPr>
                <w:color w:val="333333"/>
                <w:sz w:val="16"/>
                <w:szCs w:val="16"/>
              </w:rPr>
              <w:t>68 (21·9%)</w:t>
            </w:r>
          </w:p>
        </w:tc>
        <w:tc>
          <w:tcPr>
            <w:tcW w:w="992" w:type="dxa"/>
            <w:tcBorders>
              <w:bottom w:val="nil"/>
            </w:tcBorders>
          </w:tcPr>
          <w:p w14:paraId="299ADCB7" w14:textId="77777777" w:rsidR="0037720D" w:rsidRPr="003E412C" w:rsidRDefault="00C72E75">
            <w:pPr>
              <w:jc w:val="center"/>
              <w:rPr>
                <w:color w:val="333333"/>
                <w:sz w:val="16"/>
                <w:szCs w:val="16"/>
              </w:rPr>
            </w:pPr>
            <w:r w:rsidRPr="003E412C">
              <w:rPr>
                <w:color w:val="333333"/>
                <w:sz w:val="16"/>
                <w:szCs w:val="16"/>
              </w:rPr>
              <w:t>1·0</w:t>
            </w:r>
          </w:p>
        </w:tc>
        <w:tc>
          <w:tcPr>
            <w:tcW w:w="1843" w:type="dxa"/>
            <w:tcBorders>
              <w:bottom w:val="nil"/>
            </w:tcBorders>
          </w:tcPr>
          <w:p w14:paraId="35121E64" w14:textId="6297452F" w:rsidR="0037720D" w:rsidRPr="003E412C" w:rsidRDefault="00C72E75" w:rsidP="006558BA">
            <w:pPr>
              <w:jc w:val="center"/>
              <w:rPr>
                <w:color w:val="333333"/>
                <w:sz w:val="16"/>
                <w:szCs w:val="16"/>
              </w:rPr>
            </w:pPr>
            <w:r w:rsidRPr="003E412C">
              <w:rPr>
                <w:color w:val="333333"/>
                <w:sz w:val="16"/>
                <w:szCs w:val="16"/>
              </w:rPr>
              <w:t>0·9</w:t>
            </w:r>
            <w:r w:rsidR="006558BA" w:rsidRPr="003E412C">
              <w:rPr>
                <w:color w:val="333333"/>
                <w:sz w:val="16"/>
                <w:szCs w:val="16"/>
              </w:rPr>
              <w:t>8</w:t>
            </w:r>
            <w:r w:rsidRPr="003E412C">
              <w:rPr>
                <w:color w:val="333333"/>
                <w:sz w:val="16"/>
                <w:szCs w:val="16"/>
              </w:rPr>
              <w:t xml:space="preserve"> (0·67, 1·4</w:t>
            </w:r>
            <w:r w:rsidR="006558BA" w:rsidRPr="003E412C">
              <w:rPr>
                <w:color w:val="333333"/>
                <w:sz w:val="16"/>
                <w:szCs w:val="16"/>
              </w:rPr>
              <w:t>4</w:t>
            </w:r>
            <w:r w:rsidRPr="003E412C">
              <w:rPr>
                <w:color w:val="333333"/>
                <w:sz w:val="16"/>
                <w:szCs w:val="16"/>
              </w:rPr>
              <w:t>)</w:t>
            </w:r>
          </w:p>
        </w:tc>
        <w:tc>
          <w:tcPr>
            <w:tcW w:w="1985" w:type="dxa"/>
            <w:tcBorders>
              <w:bottom w:val="nil"/>
            </w:tcBorders>
          </w:tcPr>
          <w:p w14:paraId="1324A7DD" w14:textId="77777777" w:rsidR="0037720D" w:rsidRPr="0074295F" w:rsidRDefault="00C72E75">
            <w:pPr>
              <w:jc w:val="center"/>
              <w:rPr>
                <w:color w:val="333333"/>
                <w:sz w:val="16"/>
                <w:szCs w:val="16"/>
              </w:rPr>
            </w:pPr>
            <w:r w:rsidRPr="0074295F">
              <w:rPr>
                <w:color w:val="333333"/>
                <w:sz w:val="16"/>
                <w:szCs w:val="16"/>
              </w:rPr>
              <w:t>-0·3% (-6·8%, 6·2%)</w:t>
            </w:r>
          </w:p>
        </w:tc>
      </w:tr>
      <w:tr w:rsidR="0037720D" w:rsidRPr="0074295F" w14:paraId="3F4BB9C7" w14:textId="77777777" w:rsidTr="00F207A1">
        <w:tc>
          <w:tcPr>
            <w:tcW w:w="2689" w:type="dxa"/>
            <w:tcBorders>
              <w:top w:val="nil"/>
              <w:bottom w:val="single" w:sz="4" w:space="0" w:color="auto"/>
            </w:tcBorders>
          </w:tcPr>
          <w:p w14:paraId="7B22F143" w14:textId="77777777" w:rsidR="0037720D" w:rsidRPr="0074295F" w:rsidRDefault="00C72E75">
            <w:pPr>
              <w:rPr>
                <w:color w:val="333333"/>
                <w:sz w:val="16"/>
                <w:szCs w:val="16"/>
              </w:rPr>
            </w:pPr>
            <w:r w:rsidRPr="0074295F">
              <w:rPr>
                <w:color w:val="333333"/>
                <w:sz w:val="16"/>
                <w:szCs w:val="16"/>
              </w:rPr>
              <w:t>26 weeks (PO)</w:t>
            </w:r>
          </w:p>
        </w:tc>
        <w:tc>
          <w:tcPr>
            <w:tcW w:w="850" w:type="dxa"/>
            <w:tcBorders>
              <w:top w:val="nil"/>
              <w:bottom w:val="single" w:sz="4" w:space="0" w:color="auto"/>
            </w:tcBorders>
          </w:tcPr>
          <w:p w14:paraId="068E997F" w14:textId="77777777" w:rsidR="0037720D" w:rsidRPr="0074295F" w:rsidRDefault="00C72E75">
            <w:pPr>
              <w:jc w:val="center"/>
              <w:rPr>
                <w:color w:val="333333"/>
                <w:sz w:val="16"/>
                <w:szCs w:val="16"/>
              </w:rPr>
            </w:pPr>
            <w:r w:rsidRPr="0074295F">
              <w:rPr>
                <w:color w:val="333333"/>
                <w:sz w:val="16"/>
                <w:szCs w:val="16"/>
              </w:rPr>
              <w:t>310/310</w:t>
            </w:r>
          </w:p>
        </w:tc>
        <w:tc>
          <w:tcPr>
            <w:tcW w:w="1134" w:type="dxa"/>
            <w:tcBorders>
              <w:top w:val="nil"/>
              <w:bottom w:val="single" w:sz="4" w:space="0" w:color="auto"/>
            </w:tcBorders>
          </w:tcPr>
          <w:p w14:paraId="27A34C45" w14:textId="77777777" w:rsidR="0037720D" w:rsidRPr="0074295F" w:rsidRDefault="00C72E75">
            <w:pPr>
              <w:jc w:val="center"/>
              <w:rPr>
                <w:color w:val="333333"/>
                <w:sz w:val="16"/>
                <w:szCs w:val="16"/>
              </w:rPr>
            </w:pPr>
            <w:r w:rsidRPr="0074295F">
              <w:rPr>
                <w:color w:val="333333"/>
                <w:sz w:val="16"/>
                <w:szCs w:val="16"/>
              </w:rPr>
              <w:t>60 (19·4%)</w:t>
            </w:r>
          </w:p>
        </w:tc>
        <w:tc>
          <w:tcPr>
            <w:tcW w:w="1134" w:type="dxa"/>
            <w:tcBorders>
              <w:top w:val="nil"/>
              <w:bottom w:val="single" w:sz="4" w:space="0" w:color="auto"/>
            </w:tcBorders>
          </w:tcPr>
          <w:p w14:paraId="3EB1B035" w14:textId="77777777" w:rsidR="0037720D" w:rsidRPr="0074295F" w:rsidRDefault="00C72E75">
            <w:pPr>
              <w:jc w:val="center"/>
              <w:rPr>
                <w:color w:val="333333"/>
                <w:sz w:val="16"/>
                <w:szCs w:val="16"/>
              </w:rPr>
            </w:pPr>
            <w:r w:rsidRPr="0074295F">
              <w:rPr>
                <w:color w:val="333333"/>
                <w:sz w:val="16"/>
                <w:szCs w:val="16"/>
              </w:rPr>
              <w:t>46 (14·8%)</w:t>
            </w:r>
          </w:p>
        </w:tc>
        <w:tc>
          <w:tcPr>
            <w:tcW w:w="992" w:type="dxa"/>
            <w:tcBorders>
              <w:top w:val="nil"/>
              <w:bottom w:val="single" w:sz="4" w:space="0" w:color="auto"/>
            </w:tcBorders>
          </w:tcPr>
          <w:p w14:paraId="41C1C37C" w14:textId="77777777" w:rsidR="0037720D" w:rsidRPr="003E412C" w:rsidRDefault="00C72E75">
            <w:pPr>
              <w:jc w:val="center"/>
              <w:rPr>
                <w:color w:val="333333"/>
                <w:sz w:val="16"/>
                <w:szCs w:val="16"/>
              </w:rPr>
            </w:pPr>
            <w:r w:rsidRPr="003E412C">
              <w:rPr>
                <w:color w:val="333333"/>
                <w:sz w:val="16"/>
                <w:szCs w:val="16"/>
              </w:rPr>
              <w:t>0·165</w:t>
            </w:r>
          </w:p>
        </w:tc>
        <w:tc>
          <w:tcPr>
            <w:tcW w:w="1843" w:type="dxa"/>
            <w:tcBorders>
              <w:top w:val="nil"/>
              <w:bottom w:val="single" w:sz="4" w:space="0" w:color="auto"/>
            </w:tcBorders>
          </w:tcPr>
          <w:p w14:paraId="41754AE8" w14:textId="589899A7" w:rsidR="0037720D" w:rsidRPr="003E412C" w:rsidRDefault="00C72E75" w:rsidP="006558BA">
            <w:pPr>
              <w:jc w:val="center"/>
              <w:rPr>
                <w:color w:val="333333"/>
                <w:sz w:val="16"/>
                <w:szCs w:val="16"/>
              </w:rPr>
            </w:pPr>
            <w:r w:rsidRPr="003E412C">
              <w:rPr>
                <w:color w:val="333333"/>
                <w:sz w:val="16"/>
                <w:szCs w:val="16"/>
              </w:rPr>
              <w:t>1·</w:t>
            </w:r>
            <w:r w:rsidR="006558BA" w:rsidRPr="003E412C">
              <w:rPr>
                <w:color w:val="333333"/>
                <w:sz w:val="16"/>
                <w:szCs w:val="16"/>
              </w:rPr>
              <w:t>38</w:t>
            </w:r>
            <w:r w:rsidRPr="003E412C">
              <w:rPr>
                <w:color w:val="333333"/>
                <w:sz w:val="16"/>
                <w:szCs w:val="16"/>
              </w:rPr>
              <w:t xml:space="preserve"> (0·9</w:t>
            </w:r>
            <w:r w:rsidR="006558BA" w:rsidRPr="003E412C">
              <w:rPr>
                <w:color w:val="333333"/>
                <w:sz w:val="16"/>
                <w:szCs w:val="16"/>
              </w:rPr>
              <w:t>0</w:t>
            </w:r>
            <w:r w:rsidRPr="003E412C">
              <w:rPr>
                <w:color w:val="333333"/>
                <w:sz w:val="16"/>
                <w:szCs w:val="16"/>
              </w:rPr>
              <w:t>, 2·1</w:t>
            </w:r>
            <w:r w:rsidR="006558BA" w:rsidRPr="003E412C">
              <w:rPr>
                <w:color w:val="333333"/>
                <w:sz w:val="16"/>
                <w:szCs w:val="16"/>
              </w:rPr>
              <w:t>0</w:t>
            </w:r>
            <w:r w:rsidRPr="003E412C">
              <w:rPr>
                <w:color w:val="333333"/>
                <w:sz w:val="16"/>
                <w:szCs w:val="16"/>
              </w:rPr>
              <w:t>)</w:t>
            </w:r>
          </w:p>
        </w:tc>
        <w:tc>
          <w:tcPr>
            <w:tcW w:w="1985" w:type="dxa"/>
            <w:tcBorders>
              <w:top w:val="nil"/>
              <w:bottom w:val="single" w:sz="4" w:space="0" w:color="auto"/>
            </w:tcBorders>
          </w:tcPr>
          <w:p w14:paraId="4BC77E79" w14:textId="77777777" w:rsidR="0037720D" w:rsidRPr="0074295F" w:rsidRDefault="00C72E75">
            <w:pPr>
              <w:jc w:val="center"/>
              <w:rPr>
                <w:color w:val="333333"/>
                <w:sz w:val="16"/>
                <w:szCs w:val="16"/>
              </w:rPr>
            </w:pPr>
            <w:r w:rsidRPr="0074295F">
              <w:rPr>
                <w:color w:val="333333"/>
                <w:sz w:val="16"/>
                <w:szCs w:val="16"/>
              </w:rPr>
              <w:t>4·5% (-1·4%, 10·4%)</w:t>
            </w:r>
          </w:p>
        </w:tc>
      </w:tr>
      <w:tr w:rsidR="0037720D" w:rsidRPr="0074295F" w14:paraId="72290FBE" w14:textId="77777777" w:rsidTr="00F207A1">
        <w:tc>
          <w:tcPr>
            <w:tcW w:w="10627" w:type="dxa"/>
            <w:gridSpan w:val="7"/>
            <w:tcBorders>
              <w:top w:val="single" w:sz="4" w:space="0" w:color="auto"/>
            </w:tcBorders>
          </w:tcPr>
          <w:p w14:paraId="5722EE9E" w14:textId="558007D7" w:rsidR="0037720D" w:rsidRPr="0074295F" w:rsidRDefault="00B4094A">
            <w:pPr>
              <w:rPr>
                <w:b/>
                <w:color w:val="333333"/>
                <w:sz w:val="16"/>
                <w:szCs w:val="16"/>
              </w:rPr>
            </w:pPr>
            <w:r w:rsidRPr="0074295F">
              <w:rPr>
                <w:b/>
                <w:color w:val="333333"/>
                <w:sz w:val="16"/>
                <w:szCs w:val="16"/>
              </w:rPr>
              <w:t xml:space="preserve">Verified abstinence: </w:t>
            </w:r>
            <w:r w:rsidR="00C72E75" w:rsidRPr="0074295F">
              <w:rPr>
                <w:b/>
                <w:color w:val="333333"/>
                <w:sz w:val="16"/>
                <w:szCs w:val="16"/>
              </w:rPr>
              <w:t>Participants who attended treatment</w:t>
            </w:r>
            <w:r w:rsidRPr="0074295F">
              <w:rPr>
                <w:b/>
                <w:color w:val="333333"/>
                <w:sz w:val="16"/>
                <w:szCs w:val="16"/>
              </w:rPr>
              <w:t xml:space="preserve"> analyses</w:t>
            </w:r>
            <w:r w:rsidR="00B745EC" w:rsidRPr="0074295F">
              <w:rPr>
                <w:b/>
                <w:color w:val="333333"/>
                <w:sz w:val="16"/>
                <w:szCs w:val="16"/>
              </w:rPr>
              <w:t>*</w:t>
            </w:r>
          </w:p>
        </w:tc>
      </w:tr>
      <w:tr w:rsidR="0037720D" w:rsidRPr="0074295F" w14:paraId="3968F802" w14:textId="77777777" w:rsidTr="00F207A1">
        <w:tc>
          <w:tcPr>
            <w:tcW w:w="2689" w:type="dxa"/>
          </w:tcPr>
          <w:p w14:paraId="2C4DDEE4" w14:textId="77777777" w:rsidR="0037720D" w:rsidRPr="0074295F" w:rsidRDefault="00C72E75">
            <w:pPr>
              <w:rPr>
                <w:color w:val="333333"/>
                <w:sz w:val="16"/>
                <w:szCs w:val="16"/>
              </w:rPr>
            </w:pPr>
            <w:r w:rsidRPr="0074295F">
              <w:rPr>
                <w:color w:val="333333"/>
                <w:sz w:val="16"/>
                <w:szCs w:val="16"/>
              </w:rPr>
              <w:t>4 weeks</w:t>
            </w:r>
          </w:p>
        </w:tc>
        <w:tc>
          <w:tcPr>
            <w:tcW w:w="850" w:type="dxa"/>
          </w:tcPr>
          <w:p w14:paraId="426C95D6" w14:textId="3B04B7CC"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Pr>
          <w:p w14:paraId="5ABD17BF" w14:textId="00D2C210" w:rsidR="0037720D" w:rsidRPr="0074295F" w:rsidRDefault="002D6FFB" w:rsidP="002D6FFB">
            <w:pPr>
              <w:jc w:val="center"/>
              <w:rPr>
                <w:color w:val="333333"/>
                <w:sz w:val="16"/>
                <w:szCs w:val="16"/>
              </w:rPr>
            </w:pPr>
            <w:r w:rsidRPr="0074295F">
              <w:rPr>
                <w:color w:val="333333"/>
                <w:sz w:val="16"/>
                <w:szCs w:val="16"/>
              </w:rPr>
              <w:t>86</w:t>
            </w:r>
            <w:r w:rsidR="00C72E75" w:rsidRPr="0074295F">
              <w:rPr>
                <w:color w:val="333333"/>
                <w:sz w:val="16"/>
                <w:szCs w:val="16"/>
              </w:rPr>
              <w:t xml:space="preserve"> (3</w:t>
            </w:r>
            <w:r w:rsidRPr="0074295F">
              <w:rPr>
                <w:color w:val="333333"/>
                <w:sz w:val="16"/>
                <w:szCs w:val="16"/>
              </w:rPr>
              <w:t>3.7</w:t>
            </w:r>
            <w:r w:rsidR="00C72E75" w:rsidRPr="0074295F">
              <w:rPr>
                <w:color w:val="333333"/>
                <w:sz w:val="16"/>
                <w:szCs w:val="16"/>
              </w:rPr>
              <w:t>%)</w:t>
            </w:r>
          </w:p>
        </w:tc>
        <w:tc>
          <w:tcPr>
            <w:tcW w:w="1134" w:type="dxa"/>
          </w:tcPr>
          <w:p w14:paraId="2344CE89" w14:textId="77777777" w:rsidR="0037720D" w:rsidRPr="0074295F" w:rsidRDefault="00C72E75">
            <w:pPr>
              <w:jc w:val="center"/>
              <w:rPr>
                <w:color w:val="333333"/>
                <w:sz w:val="16"/>
                <w:szCs w:val="16"/>
              </w:rPr>
            </w:pPr>
            <w:r w:rsidRPr="0074295F">
              <w:rPr>
                <w:color w:val="333333"/>
                <w:sz w:val="16"/>
                <w:szCs w:val="16"/>
              </w:rPr>
              <w:t>104 (48·8%)</w:t>
            </w:r>
          </w:p>
        </w:tc>
        <w:tc>
          <w:tcPr>
            <w:tcW w:w="992" w:type="dxa"/>
          </w:tcPr>
          <w:p w14:paraId="21B41093" w14:textId="77777777" w:rsidR="0037720D" w:rsidRPr="0074295F" w:rsidRDefault="00C72E75">
            <w:pPr>
              <w:jc w:val="center"/>
              <w:rPr>
                <w:color w:val="333333"/>
                <w:sz w:val="16"/>
                <w:szCs w:val="16"/>
              </w:rPr>
            </w:pPr>
            <w:r w:rsidRPr="0074295F">
              <w:rPr>
                <w:color w:val="333333"/>
                <w:sz w:val="16"/>
                <w:szCs w:val="16"/>
              </w:rPr>
              <w:t>0·001</w:t>
            </w:r>
          </w:p>
        </w:tc>
        <w:tc>
          <w:tcPr>
            <w:tcW w:w="1843" w:type="dxa"/>
          </w:tcPr>
          <w:p w14:paraId="13EC90BA" w14:textId="467033C3" w:rsidR="0037720D" w:rsidRPr="0074295F" w:rsidRDefault="00C72E75" w:rsidP="00C748F1">
            <w:pPr>
              <w:jc w:val="center"/>
              <w:rPr>
                <w:color w:val="333333"/>
                <w:sz w:val="16"/>
                <w:szCs w:val="16"/>
              </w:rPr>
            </w:pPr>
            <w:r w:rsidRPr="0074295F">
              <w:rPr>
                <w:color w:val="333333"/>
                <w:sz w:val="16"/>
                <w:szCs w:val="16"/>
              </w:rPr>
              <w:t>0·5</w:t>
            </w:r>
            <w:r w:rsidR="00C748F1" w:rsidRPr="0074295F">
              <w:rPr>
                <w:color w:val="333333"/>
                <w:sz w:val="16"/>
                <w:szCs w:val="16"/>
              </w:rPr>
              <w:t>4</w:t>
            </w:r>
            <w:r w:rsidRPr="0074295F">
              <w:rPr>
                <w:color w:val="333333"/>
                <w:sz w:val="16"/>
                <w:szCs w:val="16"/>
              </w:rPr>
              <w:t>, (0·3</w:t>
            </w:r>
            <w:r w:rsidR="00C748F1" w:rsidRPr="0074295F">
              <w:rPr>
                <w:color w:val="333333"/>
                <w:sz w:val="16"/>
                <w:szCs w:val="16"/>
              </w:rPr>
              <w:t>7</w:t>
            </w:r>
            <w:r w:rsidRPr="0074295F">
              <w:rPr>
                <w:color w:val="333333"/>
                <w:sz w:val="16"/>
                <w:szCs w:val="16"/>
              </w:rPr>
              <w:t>, 0·7</w:t>
            </w:r>
            <w:r w:rsidR="00C748F1" w:rsidRPr="0074295F">
              <w:rPr>
                <w:color w:val="333333"/>
                <w:sz w:val="16"/>
                <w:szCs w:val="16"/>
              </w:rPr>
              <w:t>9</w:t>
            </w:r>
            <w:r w:rsidRPr="0074295F">
              <w:rPr>
                <w:color w:val="333333"/>
                <w:sz w:val="16"/>
                <w:szCs w:val="16"/>
              </w:rPr>
              <w:t>)</w:t>
            </w:r>
          </w:p>
        </w:tc>
        <w:tc>
          <w:tcPr>
            <w:tcW w:w="1985" w:type="dxa"/>
          </w:tcPr>
          <w:p w14:paraId="7578E152" w14:textId="22650B3C" w:rsidR="0037720D" w:rsidRPr="0074295F" w:rsidRDefault="00C72E75" w:rsidP="002D6FFB">
            <w:pPr>
              <w:jc w:val="center"/>
              <w:rPr>
                <w:color w:val="333333"/>
                <w:sz w:val="16"/>
                <w:szCs w:val="16"/>
              </w:rPr>
            </w:pPr>
            <w:r w:rsidRPr="0074295F">
              <w:rPr>
                <w:color w:val="333333"/>
                <w:sz w:val="16"/>
                <w:szCs w:val="16"/>
              </w:rPr>
              <w:t>-</w:t>
            </w:r>
            <w:r w:rsidR="002D6FFB" w:rsidRPr="0074295F">
              <w:rPr>
                <w:color w:val="333333"/>
                <w:sz w:val="16"/>
                <w:szCs w:val="16"/>
              </w:rPr>
              <w:t>15.1</w:t>
            </w:r>
            <w:r w:rsidRPr="0074295F">
              <w:rPr>
                <w:color w:val="333333"/>
                <w:sz w:val="16"/>
                <w:szCs w:val="16"/>
              </w:rPr>
              <w:t>% (-2</w:t>
            </w:r>
            <w:r w:rsidR="002D6FFB" w:rsidRPr="0074295F">
              <w:rPr>
                <w:color w:val="333333"/>
                <w:sz w:val="16"/>
                <w:szCs w:val="16"/>
              </w:rPr>
              <w:t>4.1</w:t>
            </w:r>
            <w:r w:rsidRPr="0074295F">
              <w:rPr>
                <w:color w:val="333333"/>
                <w:sz w:val="16"/>
                <w:szCs w:val="16"/>
              </w:rPr>
              <w:t xml:space="preserve">%, </w:t>
            </w:r>
            <w:r w:rsidR="002D6FFB" w:rsidRPr="0074295F">
              <w:rPr>
                <w:color w:val="333333"/>
                <w:sz w:val="16"/>
                <w:szCs w:val="16"/>
              </w:rPr>
              <w:t>5.9</w:t>
            </w:r>
            <w:r w:rsidRPr="0074295F">
              <w:rPr>
                <w:color w:val="333333"/>
                <w:sz w:val="16"/>
                <w:szCs w:val="16"/>
              </w:rPr>
              <w:t>%)</w:t>
            </w:r>
          </w:p>
        </w:tc>
      </w:tr>
      <w:tr w:rsidR="0037720D" w:rsidRPr="0074295F" w14:paraId="206976E5" w14:textId="77777777" w:rsidTr="00F207A1">
        <w:tc>
          <w:tcPr>
            <w:tcW w:w="2689" w:type="dxa"/>
            <w:tcBorders>
              <w:bottom w:val="nil"/>
            </w:tcBorders>
          </w:tcPr>
          <w:p w14:paraId="0AFF29E4" w14:textId="77777777" w:rsidR="0037720D" w:rsidRPr="0074295F" w:rsidRDefault="00C72E75">
            <w:pPr>
              <w:rPr>
                <w:color w:val="333333"/>
                <w:sz w:val="16"/>
                <w:szCs w:val="16"/>
              </w:rPr>
            </w:pPr>
            <w:r w:rsidRPr="0074295F">
              <w:rPr>
                <w:sz w:val="16"/>
                <w:szCs w:val="16"/>
              </w:rPr>
              <w:t>12 weeks</w:t>
            </w:r>
          </w:p>
        </w:tc>
        <w:tc>
          <w:tcPr>
            <w:tcW w:w="850" w:type="dxa"/>
            <w:tcBorders>
              <w:bottom w:val="nil"/>
            </w:tcBorders>
          </w:tcPr>
          <w:p w14:paraId="79F6B60A" w14:textId="6308EDE3"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Borders>
              <w:bottom w:val="nil"/>
            </w:tcBorders>
          </w:tcPr>
          <w:p w14:paraId="08B28FE7" w14:textId="734AD2E1" w:rsidR="0037720D" w:rsidRPr="0074295F" w:rsidRDefault="00C72E75" w:rsidP="00D8150D">
            <w:pPr>
              <w:jc w:val="center"/>
              <w:rPr>
                <w:color w:val="333333"/>
                <w:sz w:val="16"/>
                <w:szCs w:val="16"/>
              </w:rPr>
            </w:pPr>
            <w:r w:rsidRPr="0074295F">
              <w:rPr>
                <w:color w:val="333333"/>
                <w:sz w:val="16"/>
                <w:szCs w:val="16"/>
              </w:rPr>
              <w:t>6</w:t>
            </w:r>
            <w:r w:rsidR="00D8150D" w:rsidRPr="0074295F">
              <w:rPr>
                <w:color w:val="333333"/>
                <w:sz w:val="16"/>
                <w:szCs w:val="16"/>
              </w:rPr>
              <w:t>7</w:t>
            </w:r>
            <w:r w:rsidRPr="0074295F">
              <w:rPr>
                <w:color w:val="333333"/>
                <w:sz w:val="16"/>
                <w:szCs w:val="16"/>
              </w:rPr>
              <w:t xml:space="preserve"> (26·3%)</w:t>
            </w:r>
          </w:p>
        </w:tc>
        <w:tc>
          <w:tcPr>
            <w:tcW w:w="1134" w:type="dxa"/>
            <w:tcBorders>
              <w:bottom w:val="nil"/>
            </w:tcBorders>
          </w:tcPr>
          <w:p w14:paraId="4547448B" w14:textId="77777777" w:rsidR="0037720D" w:rsidRPr="0074295F" w:rsidRDefault="00C72E75">
            <w:pPr>
              <w:jc w:val="center"/>
              <w:rPr>
                <w:color w:val="333333"/>
                <w:sz w:val="16"/>
                <w:szCs w:val="16"/>
              </w:rPr>
            </w:pPr>
            <w:r w:rsidRPr="0074295F">
              <w:rPr>
                <w:color w:val="333333"/>
                <w:sz w:val="16"/>
                <w:szCs w:val="16"/>
              </w:rPr>
              <w:t>68 (31·9%)</w:t>
            </w:r>
          </w:p>
        </w:tc>
        <w:tc>
          <w:tcPr>
            <w:tcW w:w="992" w:type="dxa"/>
            <w:tcBorders>
              <w:bottom w:val="nil"/>
            </w:tcBorders>
          </w:tcPr>
          <w:p w14:paraId="5A1D681A" w14:textId="6785E2FD" w:rsidR="0037720D" w:rsidRPr="0074295F" w:rsidRDefault="00C72E75" w:rsidP="00D8150D">
            <w:pPr>
              <w:jc w:val="center"/>
              <w:rPr>
                <w:color w:val="333333"/>
                <w:sz w:val="16"/>
                <w:szCs w:val="16"/>
              </w:rPr>
            </w:pPr>
            <w:r w:rsidRPr="0074295F">
              <w:rPr>
                <w:color w:val="333333"/>
                <w:sz w:val="16"/>
                <w:szCs w:val="16"/>
              </w:rPr>
              <w:t>0·</w:t>
            </w:r>
            <w:r w:rsidR="00D8150D" w:rsidRPr="0074295F">
              <w:rPr>
                <w:color w:val="333333"/>
                <w:sz w:val="16"/>
                <w:szCs w:val="16"/>
              </w:rPr>
              <w:t>185</w:t>
            </w:r>
          </w:p>
        </w:tc>
        <w:tc>
          <w:tcPr>
            <w:tcW w:w="1843" w:type="dxa"/>
            <w:tcBorders>
              <w:bottom w:val="nil"/>
            </w:tcBorders>
          </w:tcPr>
          <w:p w14:paraId="352FA4F5" w14:textId="3DC1F343" w:rsidR="0037720D" w:rsidRPr="0074295F" w:rsidRDefault="00C72E75" w:rsidP="00C748F1">
            <w:pPr>
              <w:jc w:val="center"/>
              <w:rPr>
                <w:color w:val="333333"/>
                <w:sz w:val="16"/>
                <w:szCs w:val="16"/>
              </w:rPr>
            </w:pPr>
            <w:r w:rsidRPr="0074295F">
              <w:rPr>
                <w:color w:val="333333"/>
                <w:sz w:val="16"/>
                <w:szCs w:val="16"/>
              </w:rPr>
              <w:t>0·7</w:t>
            </w:r>
            <w:r w:rsidR="00C748F1" w:rsidRPr="0074295F">
              <w:rPr>
                <w:color w:val="333333"/>
                <w:sz w:val="16"/>
                <w:szCs w:val="16"/>
              </w:rPr>
              <w:t>5</w:t>
            </w:r>
            <w:r w:rsidRPr="0074295F">
              <w:rPr>
                <w:color w:val="333333"/>
                <w:sz w:val="16"/>
                <w:szCs w:val="16"/>
              </w:rPr>
              <w:t xml:space="preserve"> (0·50, 1·1</w:t>
            </w:r>
            <w:r w:rsidR="00C748F1" w:rsidRPr="0074295F">
              <w:rPr>
                <w:color w:val="333333"/>
                <w:sz w:val="16"/>
                <w:szCs w:val="16"/>
              </w:rPr>
              <w:t>3</w:t>
            </w:r>
            <w:r w:rsidRPr="0074295F">
              <w:rPr>
                <w:color w:val="333333"/>
                <w:sz w:val="16"/>
                <w:szCs w:val="16"/>
              </w:rPr>
              <w:t>)</w:t>
            </w:r>
          </w:p>
        </w:tc>
        <w:tc>
          <w:tcPr>
            <w:tcW w:w="1985" w:type="dxa"/>
            <w:tcBorders>
              <w:bottom w:val="nil"/>
            </w:tcBorders>
          </w:tcPr>
          <w:p w14:paraId="7FD819FA" w14:textId="3141D2D2" w:rsidR="0037720D" w:rsidRPr="0074295F" w:rsidRDefault="00C72E75" w:rsidP="00D8150D">
            <w:pPr>
              <w:jc w:val="center"/>
              <w:rPr>
                <w:color w:val="333333"/>
                <w:sz w:val="16"/>
                <w:szCs w:val="16"/>
              </w:rPr>
            </w:pPr>
            <w:r w:rsidRPr="0074295F">
              <w:rPr>
                <w:color w:val="333333"/>
                <w:sz w:val="16"/>
                <w:szCs w:val="16"/>
              </w:rPr>
              <w:t>-5·7% (-14·</w:t>
            </w:r>
            <w:r w:rsidR="00D8150D" w:rsidRPr="0074295F">
              <w:rPr>
                <w:color w:val="333333"/>
                <w:sz w:val="16"/>
                <w:szCs w:val="16"/>
              </w:rPr>
              <w:t>9</w:t>
            </w:r>
            <w:r w:rsidRPr="0074295F">
              <w:rPr>
                <w:color w:val="333333"/>
                <w:sz w:val="16"/>
                <w:szCs w:val="16"/>
              </w:rPr>
              <w:t>%, 2·</w:t>
            </w:r>
            <w:r w:rsidR="00D8150D" w:rsidRPr="0074295F">
              <w:rPr>
                <w:color w:val="333333"/>
                <w:sz w:val="16"/>
                <w:szCs w:val="16"/>
              </w:rPr>
              <w:t>9</w:t>
            </w:r>
            <w:r w:rsidRPr="0074295F">
              <w:rPr>
                <w:color w:val="333333"/>
                <w:sz w:val="16"/>
                <w:szCs w:val="16"/>
              </w:rPr>
              <w:t>%)</w:t>
            </w:r>
          </w:p>
        </w:tc>
      </w:tr>
      <w:tr w:rsidR="0037720D" w:rsidRPr="0074295F" w14:paraId="41FA0E8A" w14:textId="77777777" w:rsidTr="00F207A1">
        <w:tc>
          <w:tcPr>
            <w:tcW w:w="2689" w:type="dxa"/>
            <w:tcBorders>
              <w:top w:val="nil"/>
              <w:bottom w:val="single" w:sz="4" w:space="0" w:color="auto"/>
            </w:tcBorders>
          </w:tcPr>
          <w:p w14:paraId="0902F866" w14:textId="77777777" w:rsidR="0037720D" w:rsidRPr="0074295F" w:rsidRDefault="00C72E75">
            <w:pPr>
              <w:rPr>
                <w:color w:val="333333"/>
                <w:sz w:val="16"/>
                <w:szCs w:val="16"/>
              </w:rPr>
            </w:pPr>
            <w:r w:rsidRPr="0074295F">
              <w:rPr>
                <w:sz w:val="16"/>
                <w:szCs w:val="16"/>
              </w:rPr>
              <w:t>26 weeks</w:t>
            </w:r>
          </w:p>
        </w:tc>
        <w:tc>
          <w:tcPr>
            <w:tcW w:w="850" w:type="dxa"/>
            <w:tcBorders>
              <w:top w:val="nil"/>
              <w:bottom w:val="single" w:sz="4" w:space="0" w:color="auto"/>
            </w:tcBorders>
          </w:tcPr>
          <w:p w14:paraId="5200264A" w14:textId="2DE96C2C" w:rsidR="0037720D" w:rsidRPr="0074295F" w:rsidRDefault="002D6FFB">
            <w:pPr>
              <w:jc w:val="center"/>
              <w:rPr>
                <w:color w:val="333333"/>
                <w:sz w:val="16"/>
                <w:szCs w:val="16"/>
              </w:rPr>
            </w:pPr>
            <w:r w:rsidRPr="0074295F">
              <w:rPr>
                <w:color w:val="333333"/>
                <w:sz w:val="16"/>
                <w:szCs w:val="16"/>
              </w:rPr>
              <w:t>255</w:t>
            </w:r>
            <w:r w:rsidR="00C72E75" w:rsidRPr="0074295F">
              <w:rPr>
                <w:color w:val="333333"/>
                <w:sz w:val="16"/>
                <w:szCs w:val="16"/>
              </w:rPr>
              <w:t>/213</w:t>
            </w:r>
          </w:p>
        </w:tc>
        <w:tc>
          <w:tcPr>
            <w:tcW w:w="1134" w:type="dxa"/>
            <w:tcBorders>
              <w:top w:val="nil"/>
              <w:bottom w:val="single" w:sz="4" w:space="0" w:color="auto"/>
            </w:tcBorders>
          </w:tcPr>
          <w:p w14:paraId="6AC9B86D" w14:textId="27F84361" w:rsidR="0037720D" w:rsidRPr="0074295F" w:rsidRDefault="00C748F1" w:rsidP="00C748F1">
            <w:pPr>
              <w:jc w:val="center"/>
              <w:rPr>
                <w:color w:val="333333"/>
                <w:sz w:val="16"/>
                <w:szCs w:val="16"/>
              </w:rPr>
            </w:pPr>
            <w:r w:rsidRPr="0074295F">
              <w:rPr>
                <w:color w:val="333333"/>
                <w:sz w:val="16"/>
                <w:szCs w:val="16"/>
              </w:rPr>
              <w:t>60</w:t>
            </w:r>
            <w:r w:rsidR="00C72E75" w:rsidRPr="0074295F">
              <w:rPr>
                <w:color w:val="333333"/>
                <w:sz w:val="16"/>
                <w:szCs w:val="16"/>
              </w:rPr>
              <w:t xml:space="preserve"> (23·</w:t>
            </w:r>
            <w:r w:rsidRPr="0074295F">
              <w:rPr>
                <w:color w:val="333333"/>
                <w:sz w:val="16"/>
                <w:szCs w:val="16"/>
              </w:rPr>
              <w:t>5</w:t>
            </w:r>
            <w:r w:rsidR="00C72E75" w:rsidRPr="0074295F">
              <w:rPr>
                <w:color w:val="333333"/>
                <w:sz w:val="16"/>
                <w:szCs w:val="16"/>
              </w:rPr>
              <w:t>%)</w:t>
            </w:r>
          </w:p>
        </w:tc>
        <w:tc>
          <w:tcPr>
            <w:tcW w:w="1134" w:type="dxa"/>
            <w:tcBorders>
              <w:top w:val="nil"/>
              <w:bottom w:val="single" w:sz="4" w:space="0" w:color="auto"/>
            </w:tcBorders>
          </w:tcPr>
          <w:p w14:paraId="57B51BBE" w14:textId="77777777" w:rsidR="0037720D" w:rsidRPr="0074295F" w:rsidRDefault="00C72E75">
            <w:pPr>
              <w:jc w:val="center"/>
              <w:rPr>
                <w:color w:val="333333"/>
                <w:sz w:val="16"/>
                <w:szCs w:val="16"/>
              </w:rPr>
            </w:pPr>
            <w:r w:rsidRPr="0074295F">
              <w:rPr>
                <w:color w:val="333333"/>
                <w:sz w:val="16"/>
                <w:szCs w:val="16"/>
              </w:rPr>
              <w:t>44 (20·7%)</w:t>
            </w:r>
          </w:p>
        </w:tc>
        <w:tc>
          <w:tcPr>
            <w:tcW w:w="992" w:type="dxa"/>
            <w:tcBorders>
              <w:top w:val="nil"/>
              <w:bottom w:val="single" w:sz="4" w:space="0" w:color="auto"/>
            </w:tcBorders>
          </w:tcPr>
          <w:p w14:paraId="59F62276" w14:textId="661642A4" w:rsidR="0037720D" w:rsidRPr="0074295F" w:rsidRDefault="00C72E75" w:rsidP="00D8150D">
            <w:pPr>
              <w:jc w:val="center"/>
              <w:rPr>
                <w:color w:val="333333"/>
                <w:sz w:val="16"/>
                <w:szCs w:val="16"/>
              </w:rPr>
            </w:pPr>
            <w:r w:rsidRPr="0074295F">
              <w:rPr>
                <w:color w:val="333333"/>
                <w:sz w:val="16"/>
                <w:szCs w:val="16"/>
              </w:rPr>
              <w:t>0·</w:t>
            </w:r>
            <w:r w:rsidR="00D8150D" w:rsidRPr="0074295F">
              <w:rPr>
                <w:color w:val="333333"/>
                <w:sz w:val="16"/>
                <w:szCs w:val="16"/>
              </w:rPr>
              <w:t>503</w:t>
            </w:r>
          </w:p>
        </w:tc>
        <w:tc>
          <w:tcPr>
            <w:tcW w:w="1843" w:type="dxa"/>
            <w:tcBorders>
              <w:top w:val="nil"/>
              <w:bottom w:val="single" w:sz="4" w:space="0" w:color="auto"/>
            </w:tcBorders>
          </w:tcPr>
          <w:p w14:paraId="5294EBEC" w14:textId="57F8D2CB" w:rsidR="0037720D" w:rsidRPr="0074295F" w:rsidRDefault="00C72E75" w:rsidP="00C748F1">
            <w:pPr>
              <w:jc w:val="center"/>
              <w:rPr>
                <w:color w:val="333333"/>
                <w:sz w:val="16"/>
                <w:szCs w:val="16"/>
              </w:rPr>
            </w:pPr>
            <w:r w:rsidRPr="0074295F">
              <w:rPr>
                <w:color w:val="333333"/>
                <w:sz w:val="16"/>
                <w:szCs w:val="16"/>
              </w:rPr>
              <w:t>1·</w:t>
            </w:r>
            <w:r w:rsidR="00C748F1" w:rsidRPr="0074295F">
              <w:rPr>
                <w:color w:val="333333"/>
                <w:sz w:val="16"/>
                <w:szCs w:val="16"/>
              </w:rPr>
              <w:t>18</w:t>
            </w:r>
            <w:r w:rsidRPr="0074295F">
              <w:rPr>
                <w:color w:val="333333"/>
                <w:sz w:val="16"/>
                <w:szCs w:val="16"/>
              </w:rPr>
              <w:t xml:space="preserve"> (0·7</w:t>
            </w:r>
            <w:r w:rsidR="00C748F1" w:rsidRPr="0074295F">
              <w:rPr>
                <w:color w:val="333333"/>
                <w:sz w:val="16"/>
                <w:szCs w:val="16"/>
              </w:rPr>
              <w:t>5</w:t>
            </w:r>
            <w:r w:rsidRPr="0074295F">
              <w:rPr>
                <w:color w:val="333333"/>
                <w:sz w:val="16"/>
                <w:szCs w:val="16"/>
              </w:rPr>
              <w:t>, 1·</w:t>
            </w:r>
            <w:r w:rsidR="00C748F1" w:rsidRPr="0074295F">
              <w:rPr>
                <w:color w:val="333333"/>
                <w:sz w:val="16"/>
                <w:szCs w:val="16"/>
              </w:rPr>
              <w:t>85</w:t>
            </w:r>
            <w:r w:rsidRPr="0074295F">
              <w:rPr>
                <w:color w:val="333333"/>
                <w:sz w:val="16"/>
                <w:szCs w:val="16"/>
              </w:rPr>
              <w:t>)</w:t>
            </w:r>
          </w:p>
        </w:tc>
        <w:tc>
          <w:tcPr>
            <w:tcW w:w="1985" w:type="dxa"/>
            <w:tcBorders>
              <w:top w:val="nil"/>
              <w:bottom w:val="single" w:sz="4" w:space="0" w:color="auto"/>
            </w:tcBorders>
          </w:tcPr>
          <w:p w14:paraId="362B9B85" w14:textId="1532808F" w:rsidR="0037720D" w:rsidRPr="0074295F" w:rsidRDefault="00D8150D" w:rsidP="00D8150D">
            <w:pPr>
              <w:jc w:val="center"/>
              <w:rPr>
                <w:color w:val="333333"/>
                <w:sz w:val="16"/>
                <w:szCs w:val="16"/>
              </w:rPr>
            </w:pPr>
            <w:r w:rsidRPr="0074295F">
              <w:rPr>
                <w:color w:val="333333"/>
                <w:sz w:val="16"/>
                <w:szCs w:val="16"/>
              </w:rPr>
              <w:t>2.9</w:t>
            </w:r>
            <w:r w:rsidR="00C72E75" w:rsidRPr="0074295F">
              <w:rPr>
                <w:color w:val="333333"/>
                <w:sz w:val="16"/>
                <w:szCs w:val="16"/>
              </w:rPr>
              <w:t>% (-</w:t>
            </w:r>
            <w:r w:rsidRPr="0074295F">
              <w:rPr>
                <w:color w:val="333333"/>
                <w:sz w:val="16"/>
                <w:szCs w:val="16"/>
              </w:rPr>
              <w:t>5.1</w:t>
            </w:r>
            <w:r w:rsidR="00C72E75" w:rsidRPr="0074295F">
              <w:rPr>
                <w:color w:val="333333"/>
                <w:sz w:val="16"/>
                <w:szCs w:val="16"/>
              </w:rPr>
              <w:t>%, 10·</w:t>
            </w:r>
            <w:r w:rsidRPr="0074295F">
              <w:rPr>
                <w:color w:val="333333"/>
                <w:sz w:val="16"/>
                <w:szCs w:val="16"/>
              </w:rPr>
              <w:t>6</w:t>
            </w:r>
            <w:r w:rsidR="00C72E75" w:rsidRPr="0074295F">
              <w:rPr>
                <w:color w:val="333333"/>
                <w:sz w:val="16"/>
                <w:szCs w:val="16"/>
              </w:rPr>
              <w:t>%)</w:t>
            </w:r>
          </w:p>
        </w:tc>
      </w:tr>
      <w:tr w:rsidR="0037720D" w:rsidRPr="0074295F" w14:paraId="4B7FB1DA" w14:textId="77777777" w:rsidTr="00F207A1">
        <w:tc>
          <w:tcPr>
            <w:tcW w:w="10627" w:type="dxa"/>
            <w:gridSpan w:val="7"/>
            <w:tcBorders>
              <w:top w:val="single" w:sz="4" w:space="0" w:color="auto"/>
            </w:tcBorders>
          </w:tcPr>
          <w:p w14:paraId="310C9A14" w14:textId="77777777" w:rsidR="0037720D" w:rsidRPr="0074295F" w:rsidRDefault="00C72E75">
            <w:pPr>
              <w:rPr>
                <w:b/>
                <w:color w:val="333333"/>
                <w:sz w:val="16"/>
                <w:szCs w:val="16"/>
              </w:rPr>
            </w:pPr>
            <w:r w:rsidRPr="0074295F">
              <w:rPr>
                <w:b/>
                <w:sz w:val="16"/>
                <w:szCs w:val="16"/>
              </w:rPr>
              <w:t>Pharmacotherapy usage</w:t>
            </w:r>
          </w:p>
        </w:tc>
      </w:tr>
      <w:tr w:rsidR="0037720D" w:rsidRPr="0074295F" w14:paraId="00BFD0D6" w14:textId="77777777" w:rsidTr="00F207A1">
        <w:tc>
          <w:tcPr>
            <w:tcW w:w="2689" w:type="dxa"/>
          </w:tcPr>
          <w:p w14:paraId="7CD6E80F" w14:textId="77777777" w:rsidR="0037720D" w:rsidRPr="0074295F" w:rsidRDefault="00C72E75">
            <w:pPr>
              <w:rPr>
                <w:sz w:val="16"/>
                <w:szCs w:val="16"/>
              </w:rPr>
            </w:pPr>
            <w:r w:rsidRPr="0074295F">
              <w:rPr>
                <w:sz w:val="16"/>
                <w:szCs w:val="16"/>
              </w:rPr>
              <w:t>Completed study</w:t>
            </w:r>
          </w:p>
        </w:tc>
        <w:tc>
          <w:tcPr>
            <w:tcW w:w="850" w:type="dxa"/>
          </w:tcPr>
          <w:p w14:paraId="5B918EEB" w14:textId="77777777" w:rsidR="0037720D" w:rsidRPr="0074295F" w:rsidRDefault="00C72E75">
            <w:pPr>
              <w:jc w:val="center"/>
              <w:rPr>
                <w:color w:val="333333"/>
                <w:sz w:val="16"/>
                <w:szCs w:val="16"/>
              </w:rPr>
            </w:pPr>
            <w:r w:rsidRPr="0074295F">
              <w:rPr>
                <w:color w:val="333333"/>
                <w:sz w:val="16"/>
                <w:szCs w:val="16"/>
              </w:rPr>
              <w:t>134/161</w:t>
            </w:r>
          </w:p>
        </w:tc>
        <w:tc>
          <w:tcPr>
            <w:tcW w:w="1134" w:type="dxa"/>
          </w:tcPr>
          <w:p w14:paraId="7A24B6CB" w14:textId="77777777" w:rsidR="0037720D" w:rsidRPr="0074295F" w:rsidRDefault="00C72E75">
            <w:pPr>
              <w:jc w:val="center"/>
              <w:rPr>
                <w:color w:val="333333"/>
                <w:sz w:val="16"/>
                <w:szCs w:val="16"/>
              </w:rPr>
            </w:pPr>
            <w:r w:rsidRPr="0074295F">
              <w:rPr>
                <w:color w:val="333333"/>
                <w:sz w:val="16"/>
                <w:szCs w:val="16"/>
              </w:rPr>
              <w:t>64 (47·8%)</w:t>
            </w:r>
          </w:p>
        </w:tc>
        <w:tc>
          <w:tcPr>
            <w:tcW w:w="1134" w:type="dxa"/>
          </w:tcPr>
          <w:p w14:paraId="6D857963" w14:textId="77777777" w:rsidR="0037720D" w:rsidRPr="0074295F" w:rsidRDefault="00C72E75">
            <w:pPr>
              <w:jc w:val="center"/>
              <w:rPr>
                <w:color w:val="333333"/>
                <w:sz w:val="16"/>
                <w:szCs w:val="16"/>
              </w:rPr>
            </w:pPr>
            <w:r w:rsidRPr="0074295F">
              <w:rPr>
                <w:color w:val="333333"/>
                <w:sz w:val="16"/>
                <w:szCs w:val="16"/>
              </w:rPr>
              <w:t>154 (95·7%)</w:t>
            </w:r>
          </w:p>
        </w:tc>
        <w:tc>
          <w:tcPr>
            <w:tcW w:w="992" w:type="dxa"/>
          </w:tcPr>
          <w:p w14:paraId="348EBDAE"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630F99A5" w14:textId="2515C244" w:rsidR="0037720D" w:rsidRPr="0074295F" w:rsidRDefault="00C72E75" w:rsidP="00D8150D">
            <w:pPr>
              <w:jc w:val="center"/>
              <w:rPr>
                <w:color w:val="333333"/>
                <w:sz w:val="16"/>
                <w:szCs w:val="16"/>
              </w:rPr>
            </w:pPr>
            <w:r w:rsidRPr="0074295F">
              <w:rPr>
                <w:color w:val="333333"/>
                <w:sz w:val="16"/>
                <w:szCs w:val="16"/>
              </w:rPr>
              <w:t>0·0</w:t>
            </w:r>
            <w:r w:rsidR="00D8150D" w:rsidRPr="0074295F">
              <w:rPr>
                <w:color w:val="333333"/>
                <w:sz w:val="16"/>
                <w:szCs w:val="16"/>
              </w:rPr>
              <w:t>1</w:t>
            </w:r>
            <w:r w:rsidRPr="0074295F">
              <w:rPr>
                <w:color w:val="333333"/>
                <w:sz w:val="16"/>
                <w:szCs w:val="16"/>
              </w:rPr>
              <w:t xml:space="preserve"> (0·0</w:t>
            </w:r>
            <w:r w:rsidR="00D8150D" w:rsidRPr="0074295F">
              <w:rPr>
                <w:color w:val="333333"/>
                <w:sz w:val="16"/>
                <w:szCs w:val="16"/>
              </w:rPr>
              <w:t>0</w:t>
            </w:r>
            <w:r w:rsidRPr="0074295F">
              <w:rPr>
                <w:color w:val="333333"/>
                <w:sz w:val="16"/>
                <w:szCs w:val="16"/>
              </w:rPr>
              <w:t>, 0·07)</w:t>
            </w:r>
          </w:p>
        </w:tc>
        <w:tc>
          <w:tcPr>
            <w:tcW w:w="1985" w:type="dxa"/>
          </w:tcPr>
          <w:p w14:paraId="68863C2F" w14:textId="77777777" w:rsidR="0037720D" w:rsidRPr="0074295F" w:rsidRDefault="00C72E75">
            <w:pPr>
              <w:jc w:val="center"/>
              <w:rPr>
                <w:color w:val="333333"/>
                <w:sz w:val="16"/>
                <w:szCs w:val="16"/>
              </w:rPr>
            </w:pPr>
            <w:r w:rsidRPr="0074295F">
              <w:rPr>
                <w:color w:val="333333"/>
                <w:sz w:val="16"/>
                <w:szCs w:val="16"/>
              </w:rPr>
              <w:t>-47·9% (-56·5%, -38·4%)</w:t>
            </w:r>
          </w:p>
        </w:tc>
      </w:tr>
      <w:tr w:rsidR="0037720D" w:rsidRPr="0074295F" w14:paraId="4AECDA26" w14:textId="77777777" w:rsidTr="00F207A1">
        <w:tc>
          <w:tcPr>
            <w:tcW w:w="2689" w:type="dxa"/>
          </w:tcPr>
          <w:p w14:paraId="59BB5B96" w14:textId="77777777" w:rsidR="0037720D" w:rsidRPr="0074295F" w:rsidRDefault="00C72E75">
            <w:pPr>
              <w:rPr>
                <w:sz w:val="16"/>
                <w:szCs w:val="16"/>
              </w:rPr>
            </w:pPr>
            <w:r w:rsidRPr="0074295F">
              <w:rPr>
                <w:sz w:val="16"/>
                <w:szCs w:val="16"/>
              </w:rPr>
              <w:t>Completed study and treatment</w:t>
            </w:r>
          </w:p>
        </w:tc>
        <w:tc>
          <w:tcPr>
            <w:tcW w:w="850" w:type="dxa"/>
          </w:tcPr>
          <w:p w14:paraId="03B56C07" w14:textId="7FF84977" w:rsidR="0037720D" w:rsidRPr="0074295F" w:rsidRDefault="00D8150D">
            <w:pPr>
              <w:jc w:val="center"/>
              <w:rPr>
                <w:color w:val="333333"/>
                <w:sz w:val="16"/>
                <w:szCs w:val="16"/>
              </w:rPr>
            </w:pPr>
            <w:r w:rsidRPr="0074295F">
              <w:rPr>
                <w:color w:val="333333"/>
                <w:sz w:val="16"/>
                <w:szCs w:val="16"/>
              </w:rPr>
              <w:t>131</w:t>
            </w:r>
            <w:r w:rsidR="00C72E75" w:rsidRPr="0074295F">
              <w:rPr>
                <w:color w:val="333333"/>
                <w:sz w:val="16"/>
                <w:szCs w:val="16"/>
              </w:rPr>
              <w:t>/144</w:t>
            </w:r>
          </w:p>
        </w:tc>
        <w:tc>
          <w:tcPr>
            <w:tcW w:w="1134" w:type="dxa"/>
          </w:tcPr>
          <w:p w14:paraId="61FE0203" w14:textId="14655601" w:rsidR="0037720D" w:rsidRPr="0074295F" w:rsidRDefault="00D8150D" w:rsidP="00D8150D">
            <w:pPr>
              <w:jc w:val="center"/>
              <w:rPr>
                <w:color w:val="333333"/>
                <w:sz w:val="16"/>
                <w:szCs w:val="16"/>
              </w:rPr>
            </w:pPr>
            <w:r w:rsidRPr="0074295F">
              <w:rPr>
                <w:color w:val="333333"/>
                <w:sz w:val="16"/>
                <w:szCs w:val="16"/>
              </w:rPr>
              <w:t>62</w:t>
            </w:r>
            <w:r w:rsidR="00C72E75" w:rsidRPr="0074295F">
              <w:rPr>
                <w:color w:val="333333"/>
                <w:sz w:val="16"/>
                <w:szCs w:val="16"/>
              </w:rPr>
              <w:t xml:space="preserve"> (</w:t>
            </w:r>
            <w:r w:rsidRPr="0074295F">
              <w:rPr>
                <w:color w:val="333333"/>
                <w:sz w:val="16"/>
                <w:szCs w:val="16"/>
              </w:rPr>
              <w:t>47.3</w:t>
            </w:r>
            <w:r w:rsidR="00C72E75" w:rsidRPr="0074295F">
              <w:rPr>
                <w:color w:val="333333"/>
                <w:sz w:val="16"/>
                <w:szCs w:val="16"/>
              </w:rPr>
              <w:t>%)</w:t>
            </w:r>
          </w:p>
        </w:tc>
        <w:tc>
          <w:tcPr>
            <w:tcW w:w="1134" w:type="dxa"/>
          </w:tcPr>
          <w:p w14:paraId="68A01324" w14:textId="77777777" w:rsidR="0037720D" w:rsidRPr="0074295F" w:rsidRDefault="00C72E75">
            <w:pPr>
              <w:jc w:val="center"/>
              <w:rPr>
                <w:color w:val="333333"/>
                <w:sz w:val="16"/>
                <w:szCs w:val="16"/>
              </w:rPr>
            </w:pPr>
            <w:r w:rsidRPr="0074295F">
              <w:rPr>
                <w:color w:val="333333"/>
                <w:sz w:val="16"/>
                <w:szCs w:val="16"/>
              </w:rPr>
              <w:t>141 (97·9%)</w:t>
            </w:r>
          </w:p>
        </w:tc>
        <w:tc>
          <w:tcPr>
            <w:tcW w:w="992" w:type="dxa"/>
          </w:tcPr>
          <w:p w14:paraId="600B350D"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28FF1FEC" w14:textId="2181685B" w:rsidR="0037720D" w:rsidRPr="0074295F" w:rsidRDefault="00C72E75" w:rsidP="00D8150D">
            <w:pPr>
              <w:jc w:val="center"/>
              <w:rPr>
                <w:color w:val="333333"/>
                <w:sz w:val="16"/>
                <w:szCs w:val="16"/>
              </w:rPr>
            </w:pPr>
            <w:r w:rsidRPr="0074295F">
              <w:rPr>
                <w:color w:val="333333"/>
                <w:sz w:val="16"/>
                <w:szCs w:val="16"/>
              </w:rPr>
              <w:t>0·01 (0·00, 0·0</w:t>
            </w:r>
            <w:r w:rsidR="00D8150D" w:rsidRPr="0074295F">
              <w:rPr>
                <w:color w:val="333333"/>
                <w:sz w:val="16"/>
                <w:szCs w:val="16"/>
              </w:rPr>
              <w:t>5</w:t>
            </w:r>
            <w:r w:rsidRPr="0074295F">
              <w:rPr>
                <w:color w:val="333333"/>
                <w:sz w:val="16"/>
                <w:szCs w:val="16"/>
              </w:rPr>
              <w:t>)</w:t>
            </w:r>
          </w:p>
        </w:tc>
        <w:tc>
          <w:tcPr>
            <w:tcW w:w="1985" w:type="dxa"/>
          </w:tcPr>
          <w:p w14:paraId="5E785F4C" w14:textId="19526D95" w:rsidR="0037720D" w:rsidRPr="0074295F" w:rsidRDefault="00C72E75" w:rsidP="00A1761D">
            <w:pPr>
              <w:jc w:val="center"/>
              <w:rPr>
                <w:color w:val="333333"/>
                <w:sz w:val="16"/>
                <w:szCs w:val="16"/>
              </w:rPr>
            </w:pPr>
            <w:r w:rsidRPr="0074295F">
              <w:rPr>
                <w:color w:val="333333"/>
                <w:sz w:val="16"/>
                <w:szCs w:val="16"/>
              </w:rPr>
              <w:t>-5</w:t>
            </w:r>
            <w:r w:rsidR="00A1761D" w:rsidRPr="0074295F">
              <w:rPr>
                <w:color w:val="333333"/>
                <w:sz w:val="16"/>
                <w:szCs w:val="16"/>
              </w:rPr>
              <w:t>0</w:t>
            </w:r>
            <w:r w:rsidRPr="0074295F">
              <w:rPr>
                <w:color w:val="333333"/>
                <w:sz w:val="16"/>
                <w:szCs w:val="16"/>
              </w:rPr>
              <w:t>·</w:t>
            </w:r>
            <w:r w:rsidR="00A1761D" w:rsidRPr="0074295F">
              <w:rPr>
                <w:color w:val="333333"/>
                <w:sz w:val="16"/>
                <w:szCs w:val="16"/>
              </w:rPr>
              <w:t>6</w:t>
            </w:r>
            <w:r w:rsidRPr="0074295F">
              <w:rPr>
                <w:color w:val="333333"/>
                <w:sz w:val="16"/>
                <w:szCs w:val="16"/>
              </w:rPr>
              <w:t>% (-</w:t>
            </w:r>
            <w:r w:rsidR="00A1761D" w:rsidRPr="0074295F">
              <w:rPr>
                <w:color w:val="333333"/>
                <w:sz w:val="16"/>
                <w:szCs w:val="16"/>
              </w:rPr>
              <w:t>59</w:t>
            </w:r>
            <w:r w:rsidRPr="0074295F">
              <w:rPr>
                <w:color w:val="333333"/>
                <w:sz w:val="16"/>
                <w:szCs w:val="16"/>
              </w:rPr>
              <w:t>·</w:t>
            </w:r>
            <w:r w:rsidR="00A1761D" w:rsidRPr="0074295F">
              <w:rPr>
                <w:color w:val="333333"/>
                <w:sz w:val="16"/>
                <w:szCs w:val="16"/>
              </w:rPr>
              <w:t>4</w:t>
            </w:r>
            <w:r w:rsidRPr="0074295F">
              <w:rPr>
                <w:color w:val="333333"/>
                <w:sz w:val="16"/>
                <w:szCs w:val="16"/>
              </w:rPr>
              <w:t>%, -4</w:t>
            </w:r>
            <w:r w:rsidR="00A1761D" w:rsidRPr="0074295F">
              <w:rPr>
                <w:color w:val="333333"/>
                <w:sz w:val="16"/>
                <w:szCs w:val="16"/>
              </w:rPr>
              <w:t>0</w:t>
            </w:r>
            <w:r w:rsidRPr="0074295F">
              <w:rPr>
                <w:color w:val="333333"/>
                <w:sz w:val="16"/>
                <w:szCs w:val="16"/>
              </w:rPr>
              <w:t>·</w:t>
            </w:r>
            <w:r w:rsidR="00A1761D" w:rsidRPr="0074295F">
              <w:rPr>
                <w:color w:val="333333"/>
                <w:sz w:val="16"/>
                <w:szCs w:val="16"/>
              </w:rPr>
              <w:t>7</w:t>
            </w:r>
            <w:r w:rsidRPr="0074295F">
              <w:rPr>
                <w:color w:val="333333"/>
                <w:sz w:val="16"/>
                <w:szCs w:val="16"/>
              </w:rPr>
              <w:t>%)</w:t>
            </w:r>
          </w:p>
        </w:tc>
      </w:tr>
      <w:tr w:rsidR="0037720D" w:rsidRPr="0074295F" w14:paraId="370A234C" w14:textId="77777777" w:rsidTr="00F207A1">
        <w:tc>
          <w:tcPr>
            <w:tcW w:w="2689" w:type="dxa"/>
          </w:tcPr>
          <w:p w14:paraId="7B79C116" w14:textId="77777777" w:rsidR="0037720D" w:rsidRPr="0074295F" w:rsidRDefault="00C72E75">
            <w:pPr>
              <w:rPr>
                <w:sz w:val="16"/>
                <w:szCs w:val="16"/>
              </w:rPr>
            </w:pPr>
            <w:r w:rsidRPr="0074295F">
              <w:rPr>
                <w:sz w:val="16"/>
                <w:szCs w:val="16"/>
              </w:rPr>
              <w:t>Pharmacotherapy free at 26 weeks</w:t>
            </w:r>
          </w:p>
        </w:tc>
        <w:tc>
          <w:tcPr>
            <w:tcW w:w="850" w:type="dxa"/>
          </w:tcPr>
          <w:p w14:paraId="08F16EAB" w14:textId="77777777" w:rsidR="0037720D" w:rsidRPr="0074295F" w:rsidRDefault="00C72E75">
            <w:pPr>
              <w:jc w:val="center"/>
              <w:rPr>
                <w:color w:val="333333"/>
                <w:sz w:val="16"/>
                <w:szCs w:val="16"/>
              </w:rPr>
            </w:pPr>
            <w:r w:rsidRPr="0074295F">
              <w:rPr>
                <w:color w:val="333333"/>
                <w:sz w:val="16"/>
                <w:szCs w:val="16"/>
              </w:rPr>
              <w:t>91/89</w:t>
            </w:r>
          </w:p>
        </w:tc>
        <w:tc>
          <w:tcPr>
            <w:tcW w:w="1134" w:type="dxa"/>
          </w:tcPr>
          <w:p w14:paraId="312F4B65" w14:textId="77777777" w:rsidR="0037720D" w:rsidRPr="0074295F" w:rsidRDefault="00C72E75">
            <w:pPr>
              <w:jc w:val="center"/>
              <w:rPr>
                <w:color w:val="333333"/>
                <w:sz w:val="16"/>
                <w:szCs w:val="16"/>
              </w:rPr>
            </w:pPr>
            <w:r w:rsidRPr="0074295F">
              <w:rPr>
                <w:color w:val="333333"/>
                <w:sz w:val="16"/>
                <w:szCs w:val="16"/>
              </w:rPr>
              <w:t>76 (83·5%)</w:t>
            </w:r>
          </w:p>
        </w:tc>
        <w:tc>
          <w:tcPr>
            <w:tcW w:w="1134" w:type="dxa"/>
          </w:tcPr>
          <w:p w14:paraId="7E6C4126" w14:textId="77777777" w:rsidR="0037720D" w:rsidRPr="0074295F" w:rsidRDefault="00C72E75">
            <w:pPr>
              <w:jc w:val="center"/>
              <w:rPr>
                <w:color w:val="333333"/>
                <w:sz w:val="16"/>
                <w:szCs w:val="16"/>
              </w:rPr>
            </w:pPr>
            <w:r w:rsidRPr="0074295F">
              <w:rPr>
                <w:color w:val="333333"/>
                <w:sz w:val="16"/>
                <w:szCs w:val="16"/>
              </w:rPr>
              <w:t>36 (40·4%)</w:t>
            </w:r>
          </w:p>
        </w:tc>
        <w:tc>
          <w:tcPr>
            <w:tcW w:w="992" w:type="dxa"/>
          </w:tcPr>
          <w:p w14:paraId="1A0C3862" w14:textId="77777777" w:rsidR="0037720D" w:rsidRPr="0074295F" w:rsidRDefault="00C72E75">
            <w:pPr>
              <w:jc w:val="center"/>
              <w:rPr>
                <w:color w:val="333333"/>
                <w:sz w:val="16"/>
                <w:szCs w:val="16"/>
              </w:rPr>
            </w:pPr>
            <w:r w:rsidRPr="0074295F">
              <w:rPr>
                <w:color w:val="333333"/>
                <w:sz w:val="16"/>
                <w:szCs w:val="16"/>
              </w:rPr>
              <w:t>&lt;0·001</w:t>
            </w:r>
          </w:p>
        </w:tc>
        <w:tc>
          <w:tcPr>
            <w:tcW w:w="1843" w:type="dxa"/>
          </w:tcPr>
          <w:p w14:paraId="61DBB887" w14:textId="77777777" w:rsidR="0037720D" w:rsidRPr="0074295F" w:rsidRDefault="00C72E75">
            <w:pPr>
              <w:jc w:val="center"/>
              <w:rPr>
                <w:color w:val="333333"/>
                <w:sz w:val="16"/>
                <w:szCs w:val="16"/>
              </w:rPr>
            </w:pPr>
            <w:r w:rsidRPr="0074295F">
              <w:rPr>
                <w:color w:val="333333"/>
                <w:sz w:val="16"/>
                <w:szCs w:val="16"/>
              </w:rPr>
              <w:t>7·59 (3·71, 15·52)</w:t>
            </w:r>
          </w:p>
        </w:tc>
        <w:tc>
          <w:tcPr>
            <w:tcW w:w="1985" w:type="dxa"/>
          </w:tcPr>
          <w:p w14:paraId="45430456" w14:textId="77777777" w:rsidR="0037720D" w:rsidRPr="0074295F" w:rsidRDefault="00C72E75">
            <w:pPr>
              <w:jc w:val="center"/>
              <w:rPr>
                <w:color w:val="333333"/>
                <w:sz w:val="16"/>
                <w:szCs w:val="16"/>
              </w:rPr>
            </w:pPr>
            <w:r w:rsidRPr="0074295F">
              <w:rPr>
                <w:color w:val="333333"/>
                <w:sz w:val="16"/>
                <w:szCs w:val="16"/>
              </w:rPr>
              <w:t>43·1% (29·4%, -54·5%)</w:t>
            </w:r>
          </w:p>
        </w:tc>
      </w:tr>
    </w:tbl>
    <w:p w14:paraId="1AF8DC19" w14:textId="77E93649" w:rsidR="0037720D" w:rsidRDefault="00C72E75">
      <w:pPr>
        <w:rPr>
          <w:sz w:val="18"/>
          <w:szCs w:val="18"/>
        </w:rPr>
      </w:pPr>
      <w:r w:rsidRPr="0074295F">
        <w:rPr>
          <w:b/>
          <w:color w:val="333333"/>
        </w:rPr>
        <w:t xml:space="preserve">      </w:t>
      </w:r>
      <w:r w:rsidRPr="0074295F">
        <w:rPr>
          <w:b/>
          <w:color w:val="333333"/>
          <w:sz w:val="18"/>
          <w:szCs w:val="18"/>
        </w:rPr>
        <w:t xml:space="preserve">Note. </w:t>
      </w:r>
      <w:r w:rsidRPr="0074295F">
        <w:rPr>
          <w:color w:val="333333"/>
          <w:sz w:val="18"/>
          <w:szCs w:val="18"/>
        </w:rPr>
        <w:t>ITT: Intention to Treat.</w:t>
      </w:r>
      <w:r w:rsidRPr="0074295F">
        <w:rPr>
          <w:b/>
          <w:color w:val="333333"/>
          <w:sz w:val="18"/>
          <w:szCs w:val="18"/>
        </w:rPr>
        <w:t xml:space="preserve"> </w:t>
      </w:r>
      <w:r w:rsidRPr="0074295F">
        <w:rPr>
          <w:sz w:val="18"/>
          <w:szCs w:val="18"/>
        </w:rPr>
        <w:t xml:space="preserve">PO: Primary Outcome.    </w:t>
      </w:r>
      <w:r w:rsidR="00B745EC" w:rsidRPr="0074295F">
        <w:rPr>
          <w:sz w:val="18"/>
          <w:szCs w:val="18"/>
        </w:rPr>
        <w:t>* Non-attenders are treated as non-abstainers</w:t>
      </w:r>
    </w:p>
    <w:p w14:paraId="58207B7B" w14:textId="77777777" w:rsidR="0037720D" w:rsidRDefault="0037720D">
      <w:pPr>
        <w:rPr>
          <w:sz w:val="18"/>
          <w:szCs w:val="18"/>
        </w:rPr>
      </w:pPr>
    </w:p>
    <w:p w14:paraId="712DF3B3" w14:textId="77777777" w:rsidR="0037720D" w:rsidRDefault="0037720D">
      <w:pPr>
        <w:rPr>
          <w:sz w:val="18"/>
          <w:szCs w:val="18"/>
        </w:rPr>
      </w:pPr>
    </w:p>
    <w:p w14:paraId="0AEB07F3" w14:textId="77777777" w:rsidR="0037720D" w:rsidRDefault="0037720D">
      <w:pPr>
        <w:rPr>
          <w:sz w:val="18"/>
          <w:szCs w:val="18"/>
        </w:rPr>
      </w:pPr>
    </w:p>
    <w:p w14:paraId="759CBABC" w14:textId="77777777" w:rsidR="0037720D" w:rsidRDefault="00C72E75">
      <w:pPr>
        <w:rPr>
          <w:b/>
          <w:sz w:val="18"/>
          <w:szCs w:val="18"/>
        </w:rPr>
      </w:pPr>
      <w:r>
        <w:br w:type="page"/>
      </w:r>
    </w:p>
    <w:p w14:paraId="497B62C2" w14:textId="77777777" w:rsidR="0037720D" w:rsidRDefault="0037720D">
      <w:pPr>
        <w:rPr>
          <w:sz w:val="16"/>
          <w:szCs w:val="16"/>
        </w:rPr>
      </w:pPr>
      <w:bookmarkStart w:id="2" w:name="_1fob9te" w:colFirst="0" w:colLast="0"/>
      <w:bookmarkStart w:id="3" w:name="_rblncn1yoskt" w:colFirst="0" w:colLast="0"/>
      <w:bookmarkStart w:id="4" w:name="_8fjk69isorj9" w:colFirst="0" w:colLast="0"/>
      <w:bookmarkStart w:id="5" w:name="_7ldo1m9ojpbb" w:colFirst="0" w:colLast="0"/>
      <w:bookmarkStart w:id="6" w:name="_5ge038ckrqbm" w:colFirst="0" w:colLast="0"/>
      <w:bookmarkEnd w:id="2"/>
      <w:bookmarkEnd w:id="3"/>
      <w:bookmarkEnd w:id="4"/>
      <w:bookmarkEnd w:id="5"/>
      <w:bookmarkEnd w:id="6"/>
    </w:p>
    <w:p w14:paraId="1D88965A" w14:textId="2B4BD590" w:rsidR="0037720D" w:rsidRPr="00F207A1" w:rsidRDefault="00C72E75">
      <w:pPr>
        <w:rPr>
          <w:b/>
          <w:sz w:val="16"/>
          <w:szCs w:val="16"/>
        </w:rPr>
      </w:pPr>
      <w:bookmarkStart w:id="7" w:name="_2zdopqz5k618" w:colFirst="0" w:colLast="0"/>
      <w:bookmarkEnd w:id="7"/>
      <w:r w:rsidRPr="00F207A1">
        <w:rPr>
          <w:b/>
          <w:sz w:val="16"/>
          <w:szCs w:val="16"/>
        </w:rPr>
        <w:t xml:space="preserve">Table  </w:t>
      </w:r>
      <w:r w:rsidR="00C84D7F" w:rsidRPr="00F207A1">
        <w:rPr>
          <w:b/>
          <w:sz w:val="16"/>
          <w:szCs w:val="16"/>
        </w:rPr>
        <w:t>4</w:t>
      </w:r>
      <w:r w:rsidR="00F207A1">
        <w:rPr>
          <w:b/>
          <w:sz w:val="16"/>
          <w:szCs w:val="16"/>
        </w:rPr>
        <w:t>.</w:t>
      </w:r>
      <w:r w:rsidRPr="00F207A1">
        <w:rPr>
          <w:b/>
          <w:sz w:val="16"/>
          <w:szCs w:val="16"/>
        </w:rPr>
        <w:t xml:space="preserve"> Number of sessions attended by </w:t>
      </w:r>
      <w:r w:rsidR="005A08AF">
        <w:rPr>
          <w:b/>
          <w:sz w:val="16"/>
          <w:szCs w:val="16"/>
        </w:rPr>
        <w:t>SSS</w:t>
      </w:r>
      <w:r w:rsidRPr="00F207A1">
        <w:rPr>
          <w:b/>
          <w:sz w:val="16"/>
          <w:szCs w:val="16"/>
        </w:rPr>
        <w:t xml:space="preserve"> arm participants</w:t>
      </w:r>
    </w:p>
    <w:p w14:paraId="1BFCC76D" w14:textId="77777777" w:rsidR="0037720D" w:rsidRDefault="0037720D">
      <w:pPr>
        <w:rPr>
          <w:sz w:val="16"/>
          <w:szCs w:val="16"/>
        </w:rPr>
      </w:pPr>
      <w:bookmarkStart w:id="8" w:name="_n39kzyeu6ifo" w:colFirst="0" w:colLast="0"/>
      <w:bookmarkEnd w:id="8"/>
    </w:p>
    <w:p w14:paraId="4B7B5413" w14:textId="77777777" w:rsidR="0037720D" w:rsidRDefault="0037720D">
      <w:pPr>
        <w:rPr>
          <w:sz w:val="16"/>
          <w:szCs w:val="16"/>
        </w:rPr>
      </w:pPr>
    </w:p>
    <w:tbl>
      <w:tblPr>
        <w:tblStyle w:val="a2"/>
        <w:tblW w:w="3201" w:type="dxa"/>
        <w:tblBorders>
          <w:top w:val="nil"/>
          <w:left w:val="nil"/>
          <w:bottom w:val="nil"/>
          <w:right w:val="nil"/>
          <w:insideH w:val="nil"/>
          <w:insideV w:val="nil"/>
        </w:tblBorders>
        <w:tblLook w:val="0600" w:firstRow="0" w:lastRow="0" w:firstColumn="0" w:lastColumn="0" w:noHBand="1" w:noVBand="1"/>
      </w:tblPr>
      <w:tblGrid>
        <w:gridCol w:w="1701"/>
        <w:gridCol w:w="1500"/>
      </w:tblGrid>
      <w:tr w:rsidR="000F337F" w14:paraId="58EDB7F8" w14:textId="77777777" w:rsidTr="00F207A1">
        <w:trPr>
          <w:trHeight w:val="320"/>
        </w:trPr>
        <w:tc>
          <w:tcPr>
            <w:tcW w:w="1701" w:type="dxa"/>
            <w:tcBorders>
              <w:top w:val="single" w:sz="8" w:space="0" w:color="000000"/>
              <w:left w:val="nil"/>
              <w:bottom w:val="single" w:sz="8" w:space="0" w:color="000000"/>
              <w:right w:val="nil"/>
            </w:tcBorders>
            <w:tcMar>
              <w:top w:w="100" w:type="dxa"/>
              <w:left w:w="100" w:type="dxa"/>
              <w:bottom w:w="100" w:type="dxa"/>
              <w:right w:w="100" w:type="dxa"/>
            </w:tcMar>
          </w:tcPr>
          <w:p w14:paraId="55552E93" w14:textId="174CAE69" w:rsidR="000F337F" w:rsidRDefault="005A08AF">
            <w:pPr>
              <w:spacing w:line="276" w:lineRule="auto"/>
              <w:rPr>
                <w:sz w:val="16"/>
                <w:szCs w:val="16"/>
              </w:rPr>
            </w:pPr>
            <w:r>
              <w:rPr>
                <w:sz w:val="16"/>
                <w:szCs w:val="16"/>
              </w:rPr>
              <w:t>SSS</w:t>
            </w:r>
            <w:r w:rsidR="000F337F">
              <w:rPr>
                <w:sz w:val="16"/>
                <w:szCs w:val="16"/>
              </w:rPr>
              <w:t xml:space="preserve"> sessions attended</w:t>
            </w:r>
          </w:p>
        </w:tc>
        <w:tc>
          <w:tcPr>
            <w:tcW w:w="1500" w:type="dxa"/>
            <w:tcBorders>
              <w:top w:val="single" w:sz="8" w:space="0" w:color="000000"/>
              <w:left w:val="nil"/>
              <w:bottom w:val="single" w:sz="8" w:space="0" w:color="000000"/>
              <w:right w:val="nil"/>
            </w:tcBorders>
            <w:tcMar>
              <w:top w:w="100" w:type="dxa"/>
              <w:left w:w="100" w:type="dxa"/>
              <w:bottom w:w="100" w:type="dxa"/>
              <w:right w:w="100" w:type="dxa"/>
            </w:tcMar>
          </w:tcPr>
          <w:p w14:paraId="3FE896CB" w14:textId="20102CD9" w:rsidR="000F337F" w:rsidRDefault="000F337F">
            <w:pPr>
              <w:spacing w:line="276" w:lineRule="auto"/>
              <w:rPr>
                <w:sz w:val="16"/>
                <w:szCs w:val="16"/>
              </w:rPr>
            </w:pPr>
            <w:r>
              <w:rPr>
                <w:sz w:val="16"/>
                <w:szCs w:val="16"/>
              </w:rPr>
              <w:t>n participants (%)</w:t>
            </w:r>
          </w:p>
        </w:tc>
      </w:tr>
      <w:tr w:rsidR="000F337F" w14:paraId="110CAE1B"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32B79736" w14:textId="77777777" w:rsidR="000F337F" w:rsidRDefault="000F337F">
            <w:pPr>
              <w:spacing w:line="276" w:lineRule="auto"/>
              <w:rPr>
                <w:sz w:val="16"/>
                <w:szCs w:val="16"/>
              </w:rPr>
            </w:pPr>
            <w:r>
              <w:rPr>
                <w:sz w:val="16"/>
                <w:szCs w:val="16"/>
              </w:rPr>
              <w:t>1</w:t>
            </w:r>
          </w:p>
        </w:tc>
        <w:tc>
          <w:tcPr>
            <w:tcW w:w="1500" w:type="dxa"/>
            <w:tcBorders>
              <w:top w:val="nil"/>
              <w:left w:val="nil"/>
              <w:bottom w:val="nil"/>
              <w:right w:val="nil"/>
            </w:tcBorders>
            <w:tcMar>
              <w:top w:w="100" w:type="dxa"/>
              <w:left w:w="100" w:type="dxa"/>
              <w:bottom w:w="100" w:type="dxa"/>
              <w:right w:w="100" w:type="dxa"/>
            </w:tcMar>
          </w:tcPr>
          <w:p w14:paraId="4830BE98" w14:textId="2599831E" w:rsidR="000F337F" w:rsidRDefault="000F337F">
            <w:pPr>
              <w:spacing w:line="276" w:lineRule="auto"/>
              <w:rPr>
                <w:sz w:val="16"/>
                <w:szCs w:val="16"/>
              </w:rPr>
            </w:pPr>
            <w:r>
              <w:rPr>
                <w:sz w:val="16"/>
                <w:szCs w:val="16"/>
              </w:rPr>
              <w:t>42 (13.5%)</w:t>
            </w:r>
          </w:p>
        </w:tc>
      </w:tr>
      <w:tr w:rsidR="000F337F" w14:paraId="2952A9F4" w14:textId="77777777" w:rsidTr="00F207A1">
        <w:trPr>
          <w:trHeight w:val="51"/>
        </w:trPr>
        <w:tc>
          <w:tcPr>
            <w:tcW w:w="1701" w:type="dxa"/>
            <w:tcBorders>
              <w:top w:val="nil"/>
              <w:left w:val="nil"/>
              <w:bottom w:val="nil"/>
              <w:right w:val="nil"/>
            </w:tcBorders>
            <w:tcMar>
              <w:top w:w="100" w:type="dxa"/>
              <w:left w:w="100" w:type="dxa"/>
              <w:bottom w:w="100" w:type="dxa"/>
              <w:right w:w="100" w:type="dxa"/>
            </w:tcMar>
          </w:tcPr>
          <w:p w14:paraId="2E7FEFF7" w14:textId="77777777" w:rsidR="000F337F" w:rsidRDefault="000F337F">
            <w:pPr>
              <w:spacing w:line="276" w:lineRule="auto"/>
              <w:rPr>
                <w:sz w:val="16"/>
                <w:szCs w:val="16"/>
              </w:rPr>
            </w:pPr>
            <w:r>
              <w:rPr>
                <w:sz w:val="16"/>
                <w:szCs w:val="16"/>
              </w:rPr>
              <w:t>2</w:t>
            </w:r>
          </w:p>
        </w:tc>
        <w:tc>
          <w:tcPr>
            <w:tcW w:w="1500" w:type="dxa"/>
            <w:tcBorders>
              <w:top w:val="nil"/>
              <w:left w:val="nil"/>
              <w:bottom w:val="nil"/>
              <w:right w:val="nil"/>
            </w:tcBorders>
            <w:tcMar>
              <w:top w:w="100" w:type="dxa"/>
              <w:left w:w="100" w:type="dxa"/>
              <w:bottom w:w="100" w:type="dxa"/>
              <w:right w:w="100" w:type="dxa"/>
            </w:tcMar>
          </w:tcPr>
          <w:p w14:paraId="7D25AC5F" w14:textId="1A29E9D4" w:rsidR="000F337F" w:rsidRDefault="000F337F">
            <w:pPr>
              <w:spacing w:line="276" w:lineRule="auto"/>
              <w:rPr>
                <w:sz w:val="16"/>
                <w:szCs w:val="16"/>
              </w:rPr>
            </w:pPr>
            <w:r>
              <w:rPr>
                <w:sz w:val="16"/>
                <w:szCs w:val="16"/>
              </w:rPr>
              <w:t>25 (8.1%)</w:t>
            </w:r>
          </w:p>
        </w:tc>
      </w:tr>
      <w:tr w:rsidR="000F337F" w14:paraId="6AC1EB02" w14:textId="77777777" w:rsidTr="00F207A1">
        <w:trPr>
          <w:trHeight w:val="220"/>
        </w:trPr>
        <w:tc>
          <w:tcPr>
            <w:tcW w:w="1701" w:type="dxa"/>
            <w:tcBorders>
              <w:top w:val="nil"/>
              <w:left w:val="nil"/>
              <w:bottom w:val="nil"/>
              <w:right w:val="nil"/>
            </w:tcBorders>
            <w:tcMar>
              <w:top w:w="100" w:type="dxa"/>
              <w:left w:w="100" w:type="dxa"/>
              <w:bottom w:w="100" w:type="dxa"/>
              <w:right w:w="100" w:type="dxa"/>
            </w:tcMar>
          </w:tcPr>
          <w:p w14:paraId="634ECFC7" w14:textId="77777777" w:rsidR="000F337F" w:rsidRDefault="000F337F">
            <w:pPr>
              <w:spacing w:line="276" w:lineRule="auto"/>
              <w:rPr>
                <w:sz w:val="16"/>
                <w:szCs w:val="16"/>
              </w:rPr>
            </w:pPr>
            <w:r>
              <w:rPr>
                <w:sz w:val="16"/>
                <w:szCs w:val="16"/>
              </w:rPr>
              <w:t>3</w:t>
            </w:r>
          </w:p>
        </w:tc>
        <w:tc>
          <w:tcPr>
            <w:tcW w:w="1500" w:type="dxa"/>
            <w:tcBorders>
              <w:top w:val="nil"/>
              <w:left w:val="nil"/>
              <w:bottom w:val="nil"/>
              <w:right w:val="nil"/>
            </w:tcBorders>
            <w:tcMar>
              <w:top w:w="100" w:type="dxa"/>
              <w:left w:w="100" w:type="dxa"/>
              <w:bottom w:w="100" w:type="dxa"/>
              <w:right w:w="100" w:type="dxa"/>
            </w:tcMar>
          </w:tcPr>
          <w:p w14:paraId="6185F2D6" w14:textId="6906C54B" w:rsidR="000F337F" w:rsidRDefault="000F337F">
            <w:pPr>
              <w:spacing w:line="276" w:lineRule="auto"/>
              <w:rPr>
                <w:sz w:val="16"/>
                <w:szCs w:val="16"/>
              </w:rPr>
            </w:pPr>
            <w:r>
              <w:rPr>
                <w:sz w:val="16"/>
                <w:szCs w:val="16"/>
              </w:rPr>
              <w:t>18 (5.8%)</w:t>
            </w:r>
          </w:p>
        </w:tc>
      </w:tr>
      <w:tr w:rsidR="000F337F" w14:paraId="0FE36981" w14:textId="77777777" w:rsidTr="00F207A1">
        <w:trPr>
          <w:trHeight w:val="100"/>
        </w:trPr>
        <w:tc>
          <w:tcPr>
            <w:tcW w:w="1701" w:type="dxa"/>
            <w:tcBorders>
              <w:top w:val="nil"/>
              <w:left w:val="nil"/>
              <w:bottom w:val="nil"/>
              <w:right w:val="nil"/>
            </w:tcBorders>
            <w:tcMar>
              <w:top w:w="100" w:type="dxa"/>
              <w:left w:w="100" w:type="dxa"/>
              <w:bottom w:w="100" w:type="dxa"/>
              <w:right w:w="100" w:type="dxa"/>
            </w:tcMar>
          </w:tcPr>
          <w:p w14:paraId="2C61A1D1" w14:textId="77777777" w:rsidR="000F337F" w:rsidRDefault="000F337F">
            <w:pPr>
              <w:spacing w:line="276" w:lineRule="auto"/>
              <w:rPr>
                <w:sz w:val="16"/>
                <w:szCs w:val="16"/>
              </w:rPr>
            </w:pPr>
            <w:r>
              <w:rPr>
                <w:sz w:val="16"/>
                <w:szCs w:val="16"/>
              </w:rPr>
              <w:t>4</w:t>
            </w:r>
          </w:p>
        </w:tc>
        <w:tc>
          <w:tcPr>
            <w:tcW w:w="1500" w:type="dxa"/>
            <w:tcBorders>
              <w:top w:val="nil"/>
              <w:left w:val="nil"/>
              <w:bottom w:val="nil"/>
              <w:right w:val="nil"/>
            </w:tcBorders>
            <w:tcMar>
              <w:top w:w="100" w:type="dxa"/>
              <w:left w:w="100" w:type="dxa"/>
              <w:bottom w:w="100" w:type="dxa"/>
              <w:right w:w="100" w:type="dxa"/>
            </w:tcMar>
          </w:tcPr>
          <w:p w14:paraId="38898C98" w14:textId="7B5A535A" w:rsidR="000F337F" w:rsidRDefault="000F337F">
            <w:pPr>
              <w:spacing w:line="276" w:lineRule="auto"/>
              <w:rPr>
                <w:sz w:val="16"/>
                <w:szCs w:val="16"/>
              </w:rPr>
            </w:pPr>
            <w:r>
              <w:rPr>
                <w:sz w:val="16"/>
                <w:szCs w:val="16"/>
              </w:rPr>
              <w:t>21 (6.8%)</w:t>
            </w:r>
          </w:p>
        </w:tc>
      </w:tr>
      <w:tr w:rsidR="000F337F" w14:paraId="49E19FF9" w14:textId="77777777" w:rsidTr="00F207A1">
        <w:trPr>
          <w:trHeight w:val="120"/>
        </w:trPr>
        <w:tc>
          <w:tcPr>
            <w:tcW w:w="1701" w:type="dxa"/>
            <w:tcBorders>
              <w:top w:val="nil"/>
              <w:left w:val="nil"/>
              <w:bottom w:val="nil"/>
              <w:right w:val="nil"/>
            </w:tcBorders>
            <w:tcMar>
              <w:top w:w="100" w:type="dxa"/>
              <w:left w:w="100" w:type="dxa"/>
              <w:bottom w:w="100" w:type="dxa"/>
              <w:right w:w="100" w:type="dxa"/>
            </w:tcMar>
          </w:tcPr>
          <w:p w14:paraId="22533BE1" w14:textId="77777777" w:rsidR="000F337F" w:rsidRDefault="000F337F">
            <w:pPr>
              <w:spacing w:line="276" w:lineRule="auto"/>
              <w:rPr>
                <w:sz w:val="16"/>
                <w:szCs w:val="16"/>
              </w:rPr>
            </w:pPr>
            <w:r>
              <w:rPr>
                <w:sz w:val="16"/>
                <w:szCs w:val="16"/>
              </w:rPr>
              <w:t>5</w:t>
            </w:r>
          </w:p>
        </w:tc>
        <w:tc>
          <w:tcPr>
            <w:tcW w:w="1500" w:type="dxa"/>
            <w:tcBorders>
              <w:top w:val="nil"/>
              <w:left w:val="nil"/>
              <w:bottom w:val="nil"/>
              <w:right w:val="nil"/>
            </w:tcBorders>
            <w:tcMar>
              <w:top w:w="100" w:type="dxa"/>
              <w:left w:w="100" w:type="dxa"/>
              <w:bottom w:w="100" w:type="dxa"/>
              <w:right w:w="100" w:type="dxa"/>
            </w:tcMar>
          </w:tcPr>
          <w:p w14:paraId="6E2CDB30" w14:textId="5990930E" w:rsidR="000F337F" w:rsidRDefault="000F337F">
            <w:pPr>
              <w:spacing w:line="276" w:lineRule="auto"/>
              <w:rPr>
                <w:sz w:val="16"/>
                <w:szCs w:val="16"/>
              </w:rPr>
            </w:pPr>
            <w:r>
              <w:rPr>
                <w:sz w:val="16"/>
                <w:szCs w:val="16"/>
              </w:rPr>
              <w:t>31 (10.0%)</w:t>
            </w:r>
          </w:p>
        </w:tc>
      </w:tr>
      <w:tr w:rsidR="000F337F" w14:paraId="6D8FF06F" w14:textId="77777777" w:rsidTr="00F207A1">
        <w:trPr>
          <w:trHeight w:val="120"/>
        </w:trPr>
        <w:tc>
          <w:tcPr>
            <w:tcW w:w="1701" w:type="dxa"/>
            <w:tcBorders>
              <w:top w:val="nil"/>
              <w:left w:val="nil"/>
              <w:bottom w:val="nil"/>
              <w:right w:val="nil"/>
            </w:tcBorders>
            <w:tcMar>
              <w:top w:w="100" w:type="dxa"/>
              <w:left w:w="100" w:type="dxa"/>
              <w:bottom w:w="100" w:type="dxa"/>
              <w:right w:w="100" w:type="dxa"/>
            </w:tcMar>
          </w:tcPr>
          <w:p w14:paraId="6FC2DDB5" w14:textId="77777777" w:rsidR="000F337F" w:rsidRDefault="000F337F">
            <w:pPr>
              <w:spacing w:line="276" w:lineRule="auto"/>
              <w:rPr>
                <w:sz w:val="16"/>
                <w:szCs w:val="16"/>
              </w:rPr>
            </w:pPr>
            <w:r>
              <w:rPr>
                <w:sz w:val="16"/>
                <w:szCs w:val="16"/>
              </w:rPr>
              <w:t>6</w:t>
            </w:r>
          </w:p>
        </w:tc>
        <w:tc>
          <w:tcPr>
            <w:tcW w:w="1500" w:type="dxa"/>
            <w:tcBorders>
              <w:top w:val="nil"/>
              <w:left w:val="nil"/>
              <w:bottom w:val="nil"/>
              <w:right w:val="nil"/>
            </w:tcBorders>
            <w:tcMar>
              <w:top w:w="100" w:type="dxa"/>
              <w:left w:w="100" w:type="dxa"/>
              <w:bottom w:w="100" w:type="dxa"/>
              <w:right w:w="100" w:type="dxa"/>
            </w:tcMar>
          </w:tcPr>
          <w:p w14:paraId="21C0692F" w14:textId="653B37C2" w:rsidR="000F337F" w:rsidRDefault="000F337F">
            <w:pPr>
              <w:spacing w:line="276" w:lineRule="auto"/>
              <w:rPr>
                <w:sz w:val="16"/>
                <w:szCs w:val="16"/>
              </w:rPr>
            </w:pPr>
            <w:r>
              <w:rPr>
                <w:sz w:val="16"/>
                <w:szCs w:val="16"/>
              </w:rPr>
              <w:t>57 (18.4%)</w:t>
            </w:r>
          </w:p>
        </w:tc>
      </w:tr>
      <w:tr w:rsidR="000F337F" w14:paraId="444577F9"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4607D3A7" w14:textId="77777777" w:rsidR="000F337F" w:rsidRDefault="000F337F">
            <w:pPr>
              <w:spacing w:line="276" w:lineRule="auto"/>
              <w:rPr>
                <w:sz w:val="16"/>
                <w:szCs w:val="16"/>
              </w:rPr>
            </w:pPr>
            <w:r>
              <w:rPr>
                <w:sz w:val="16"/>
                <w:szCs w:val="16"/>
              </w:rPr>
              <w:t>7</w:t>
            </w:r>
          </w:p>
        </w:tc>
        <w:tc>
          <w:tcPr>
            <w:tcW w:w="1500" w:type="dxa"/>
            <w:tcBorders>
              <w:top w:val="nil"/>
              <w:left w:val="nil"/>
              <w:bottom w:val="nil"/>
              <w:right w:val="nil"/>
            </w:tcBorders>
            <w:tcMar>
              <w:top w:w="100" w:type="dxa"/>
              <w:left w:w="100" w:type="dxa"/>
              <w:bottom w:w="100" w:type="dxa"/>
              <w:right w:w="100" w:type="dxa"/>
            </w:tcMar>
          </w:tcPr>
          <w:p w14:paraId="354F74ED" w14:textId="6F973308" w:rsidR="000F337F" w:rsidRDefault="000F337F">
            <w:pPr>
              <w:spacing w:line="276" w:lineRule="auto"/>
              <w:rPr>
                <w:sz w:val="16"/>
                <w:szCs w:val="16"/>
              </w:rPr>
            </w:pPr>
            <w:r>
              <w:rPr>
                <w:sz w:val="16"/>
                <w:szCs w:val="16"/>
              </w:rPr>
              <w:t>9 (2.9%)</w:t>
            </w:r>
          </w:p>
        </w:tc>
      </w:tr>
      <w:tr w:rsidR="000F337F" w14:paraId="1B369A53" w14:textId="77777777" w:rsidTr="00F207A1">
        <w:tc>
          <w:tcPr>
            <w:tcW w:w="1701" w:type="dxa"/>
            <w:tcBorders>
              <w:top w:val="nil"/>
              <w:left w:val="nil"/>
              <w:bottom w:val="nil"/>
              <w:right w:val="nil"/>
            </w:tcBorders>
            <w:tcMar>
              <w:top w:w="100" w:type="dxa"/>
              <w:left w:w="100" w:type="dxa"/>
              <w:bottom w:w="100" w:type="dxa"/>
              <w:right w:w="100" w:type="dxa"/>
            </w:tcMar>
          </w:tcPr>
          <w:p w14:paraId="3818570F" w14:textId="77777777" w:rsidR="000F337F" w:rsidRDefault="000F337F">
            <w:pPr>
              <w:spacing w:line="276" w:lineRule="auto"/>
              <w:rPr>
                <w:sz w:val="16"/>
                <w:szCs w:val="16"/>
              </w:rPr>
            </w:pPr>
            <w:r>
              <w:rPr>
                <w:sz w:val="16"/>
                <w:szCs w:val="16"/>
              </w:rPr>
              <w:t>8</w:t>
            </w:r>
          </w:p>
        </w:tc>
        <w:tc>
          <w:tcPr>
            <w:tcW w:w="1500" w:type="dxa"/>
            <w:tcBorders>
              <w:top w:val="nil"/>
              <w:left w:val="nil"/>
              <w:bottom w:val="nil"/>
              <w:right w:val="nil"/>
            </w:tcBorders>
            <w:tcMar>
              <w:top w:w="100" w:type="dxa"/>
              <w:left w:w="100" w:type="dxa"/>
              <w:bottom w:w="100" w:type="dxa"/>
              <w:right w:w="100" w:type="dxa"/>
            </w:tcMar>
          </w:tcPr>
          <w:p w14:paraId="18D0BEDB" w14:textId="56F5ACCF" w:rsidR="000F337F" w:rsidRDefault="000F337F">
            <w:pPr>
              <w:spacing w:line="276" w:lineRule="auto"/>
              <w:rPr>
                <w:sz w:val="16"/>
                <w:szCs w:val="16"/>
              </w:rPr>
            </w:pPr>
            <w:r>
              <w:rPr>
                <w:sz w:val="16"/>
                <w:szCs w:val="16"/>
              </w:rPr>
              <w:t>8 (2.6%)</w:t>
            </w:r>
          </w:p>
        </w:tc>
      </w:tr>
      <w:tr w:rsidR="000F337F" w14:paraId="2017E424" w14:textId="77777777" w:rsidTr="00F207A1">
        <w:trPr>
          <w:trHeight w:val="15"/>
        </w:trPr>
        <w:tc>
          <w:tcPr>
            <w:tcW w:w="1701" w:type="dxa"/>
            <w:tcBorders>
              <w:top w:val="nil"/>
              <w:left w:val="nil"/>
              <w:bottom w:val="nil"/>
              <w:right w:val="nil"/>
            </w:tcBorders>
            <w:tcMar>
              <w:top w:w="100" w:type="dxa"/>
              <w:left w:w="100" w:type="dxa"/>
              <w:bottom w:w="100" w:type="dxa"/>
              <w:right w:w="100" w:type="dxa"/>
            </w:tcMar>
          </w:tcPr>
          <w:p w14:paraId="18CB0F90" w14:textId="77777777" w:rsidR="000F337F" w:rsidRDefault="000F337F">
            <w:pPr>
              <w:spacing w:line="276" w:lineRule="auto"/>
              <w:rPr>
                <w:sz w:val="16"/>
                <w:szCs w:val="16"/>
              </w:rPr>
            </w:pPr>
            <w:r>
              <w:rPr>
                <w:sz w:val="16"/>
                <w:szCs w:val="16"/>
              </w:rPr>
              <w:t>9</w:t>
            </w:r>
          </w:p>
        </w:tc>
        <w:tc>
          <w:tcPr>
            <w:tcW w:w="1500" w:type="dxa"/>
            <w:tcBorders>
              <w:top w:val="nil"/>
              <w:left w:val="nil"/>
              <w:bottom w:val="nil"/>
              <w:right w:val="nil"/>
            </w:tcBorders>
            <w:tcMar>
              <w:top w:w="100" w:type="dxa"/>
              <w:left w:w="100" w:type="dxa"/>
              <w:bottom w:w="100" w:type="dxa"/>
              <w:right w:w="100" w:type="dxa"/>
            </w:tcMar>
          </w:tcPr>
          <w:p w14:paraId="4120BDA3" w14:textId="7C22D052" w:rsidR="000F337F" w:rsidRDefault="000F337F">
            <w:pPr>
              <w:spacing w:line="276" w:lineRule="auto"/>
              <w:rPr>
                <w:sz w:val="16"/>
                <w:szCs w:val="16"/>
              </w:rPr>
            </w:pPr>
            <w:r>
              <w:rPr>
                <w:sz w:val="16"/>
                <w:szCs w:val="16"/>
              </w:rPr>
              <w:t>1 (0.3%)</w:t>
            </w:r>
          </w:p>
        </w:tc>
      </w:tr>
      <w:tr w:rsidR="000F337F" w14:paraId="21540BA3" w14:textId="77777777" w:rsidTr="00F207A1">
        <w:trPr>
          <w:trHeight w:val="24"/>
        </w:trPr>
        <w:tc>
          <w:tcPr>
            <w:tcW w:w="1701" w:type="dxa"/>
            <w:tcBorders>
              <w:top w:val="nil"/>
              <w:left w:val="nil"/>
              <w:bottom w:val="single" w:sz="8" w:space="0" w:color="000000"/>
              <w:right w:val="nil"/>
            </w:tcBorders>
            <w:tcMar>
              <w:top w:w="100" w:type="dxa"/>
              <w:left w:w="100" w:type="dxa"/>
              <w:bottom w:w="100" w:type="dxa"/>
              <w:right w:w="100" w:type="dxa"/>
            </w:tcMar>
          </w:tcPr>
          <w:p w14:paraId="4F980F52" w14:textId="77777777" w:rsidR="000F337F" w:rsidRDefault="000F337F">
            <w:pPr>
              <w:spacing w:line="276" w:lineRule="auto"/>
              <w:rPr>
                <w:sz w:val="16"/>
                <w:szCs w:val="16"/>
              </w:rPr>
            </w:pPr>
            <w:r>
              <w:rPr>
                <w:sz w:val="16"/>
                <w:szCs w:val="16"/>
              </w:rPr>
              <w:t>10</w:t>
            </w:r>
          </w:p>
        </w:tc>
        <w:tc>
          <w:tcPr>
            <w:tcW w:w="1500" w:type="dxa"/>
            <w:tcBorders>
              <w:top w:val="nil"/>
              <w:left w:val="nil"/>
              <w:bottom w:val="single" w:sz="8" w:space="0" w:color="000000"/>
              <w:right w:val="nil"/>
            </w:tcBorders>
            <w:tcMar>
              <w:top w:w="100" w:type="dxa"/>
              <w:left w:w="100" w:type="dxa"/>
              <w:bottom w:w="100" w:type="dxa"/>
              <w:right w:w="100" w:type="dxa"/>
            </w:tcMar>
          </w:tcPr>
          <w:p w14:paraId="17909941" w14:textId="0FE40E06" w:rsidR="000F337F" w:rsidRDefault="000F337F">
            <w:pPr>
              <w:spacing w:line="276" w:lineRule="auto"/>
              <w:rPr>
                <w:sz w:val="16"/>
                <w:szCs w:val="16"/>
              </w:rPr>
            </w:pPr>
            <w:bookmarkStart w:id="9" w:name="_3a6b2oxtiu77" w:colFirst="0" w:colLast="0"/>
            <w:bookmarkEnd w:id="9"/>
            <w:r>
              <w:rPr>
                <w:sz w:val="16"/>
                <w:szCs w:val="16"/>
              </w:rPr>
              <w:t>1 (0.3%)</w:t>
            </w:r>
          </w:p>
        </w:tc>
      </w:tr>
    </w:tbl>
    <w:p w14:paraId="304F2875" w14:textId="30DEEFFA" w:rsidR="0037720D" w:rsidRDefault="0037720D">
      <w:pPr>
        <w:rPr>
          <w:sz w:val="18"/>
          <w:szCs w:val="18"/>
        </w:rPr>
      </w:pPr>
      <w:bookmarkStart w:id="10" w:name="_t0wfkb6xr9p" w:colFirst="0" w:colLast="0"/>
      <w:bookmarkEnd w:id="10"/>
    </w:p>
    <w:p w14:paraId="73A90622" w14:textId="4308B309" w:rsidR="002A35C8" w:rsidRDefault="002A35C8">
      <w:pPr>
        <w:rPr>
          <w:sz w:val="18"/>
          <w:szCs w:val="18"/>
        </w:rPr>
      </w:pPr>
    </w:p>
    <w:p w14:paraId="49E0870E" w14:textId="77777777" w:rsidR="002A35C8" w:rsidRDefault="002A35C8" w:rsidP="002A35C8">
      <w:pPr>
        <w:jc w:val="center"/>
        <w:rPr>
          <w:b/>
          <w:sz w:val="16"/>
          <w:szCs w:val="16"/>
        </w:rPr>
      </w:pPr>
      <w:r>
        <w:rPr>
          <w:b/>
          <w:sz w:val="16"/>
          <w:szCs w:val="16"/>
        </w:rPr>
        <w:t>Appendix</w:t>
      </w:r>
    </w:p>
    <w:p w14:paraId="45A9F2FC" w14:textId="77777777" w:rsidR="002A35C8" w:rsidRDefault="002A35C8" w:rsidP="002A35C8">
      <w:pPr>
        <w:rPr>
          <w:i/>
          <w:sz w:val="16"/>
          <w:szCs w:val="16"/>
        </w:rPr>
      </w:pPr>
      <w:r>
        <w:rPr>
          <w:i/>
          <w:sz w:val="16"/>
          <w:szCs w:val="16"/>
        </w:rPr>
        <w:t>Brief summary of the ACE perspective and method.</w:t>
      </w:r>
    </w:p>
    <w:p w14:paraId="23DB91A7" w14:textId="77777777" w:rsidR="002A35C8" w:rsidRDefault="002A35C8" w:rsidP="002A35C8">
      <w:pPr>
        <w:rPr>
          <w:sz w:val="16"/>
          <w:szCs w:val="16"/>
        </w:rPr>
      </w:pPr>
    </w:p>
    <w:p w14:paraId="396F80EB" w14:textId="77777777" w:rsidR="002A35C8" w:rsidRDefault="002A35C8" w:rsidP="002A35C8">
      <w:pPr>
        <w:rPr>
          <w:sz w:val="16"/>
          <w:szCs w:val="16"/>
        </w:rPr>
      </w:pPr>
      <w:r>
        <w:rPr>
          <w:sz w:val="16"/>
          <w:szCs w:val="16"/>
        </w:rPr>
        <w:t>The Allen Carr’s Easyway method combines elements cognitive restructuring and a brief relaxation phase. Initially, clients are invited to relax, and encouraged to smoke during breaks in the session. They are encouraged to be sceptical of the method and query elements as the session proceeds. The session then outlines arguments from the perspective that (i) the client has not always been a smoker, (ii) that smoking is not a pleasurable activity, (iii) that quitting is not a loss, but a gain (or a loss of a burden/negative need) and (iv) that, given the above, quitting does not require immense willpower or involve unpleasant feelings or experiences v) most unpleasant feelings experienced in previous attempts to quit were mainly caused by negative and skewed thought processes (and the physical reaction caused by those thought processes) rather than nicotine withdrawal, (vi) therefore once  (i), (ii), (iii), (iv), (v) have been explained and understood using everyday examples of the smoker’s own experience – the process of stopping smoking is not unpleasant or arduous – but relatively easy and enjoyable. Towards the end of the session, clients are given an expectation of what quitting will be like. They are also encouraged to avoid suppressing thoughts about smoking but to reframe such thoughts positively, and the main points of discussion are re-iterated. Following this, clients have a final ritual cigarette in silence, then discard their remaining cigarettes. There is then a short relaxation session (similar to a guided hypnotherapy session in which the main arguments are restated). Finally, clients are encouraged to think of themselves as non-smokers, asked to make a written record of what it was about their life as a smoker that made them want to stop smoking, and warned against relapse. They are also invited to contact the treatment team if they need advice.</w:t>
      </w:r>
      <w:bookmarkStart w:id="11" w:name="_GoBack"/>
      <w:bookmarkEnd w:id="11"/>
    </w:p>
    <w:p w14:paraId="05B19BA1" w14:textId="77777777" w:rsidR="002A35C8" w:rsidRDefault="002A35C8" w:rsidP="002A35C8">
      <w:pPr>
        <w:rPr>
          <w:sz w:val="16"/>
          <w:szCs w:val="16"/>
        </w:rPr>
      </w:pPr>
    </w:p>
    <w:p w14:paraId="09AC2451" w14:textId="77777777" w:rsidR="002A35C8" w:rsidRDefault="002A35C8" w:rsidP="002A35C8">
      <w:pPr>
        <w:rPr>
          <w:sz w:val="16"/>
          <w:szCs w:val="16"/>
        </w:rPr>
      </w:pPr>
      <w:r>
        <w:rPr>
          <w:sz w:val="16"/>
          <w:szCs w:val="16"/>
        </w:rPr>
        <w:t>Following the session, SMS messages are sent to clients (accompanied by the ACE contact number) on days 1, 3, 10, 18, 45, 70, as follows;</w:t>
      </w:r>
    </w:p>
    <w:p w14:paraId="2BF9ED13" w14:textId="77777777" w:rsidR="002A35C8" w:rsidRDefault="002A35C8" w:rsidP="002A35C8">
      <w:pPr>
        <w:rPr>
          <w:sz w:val="16"/>
          <w:szCs w:val="16"/>
        </w:rPr>
      </w:pPr>
    </w:p>
    <w:p w14:paraId="2E08CDD7" w14:textId="14BAE1D9" w:rsidR="002A35C8" w:rsidRDefault="005A08AF" w:rsidP="002A35C8">
      <w:pPr>
        <w:rPr>
          <w:sz w:val="16"/>
          <w:szCs w:val="16"/>
        </w:rPr>
      </w:pPr>
      <w:r>
        <w:rPr>
          <w:sz w:val="16"/>
          <w:szCs w:val="16"/>
        </w:rPr>
        <w:t xml:space="preserve"> </w:t>
      </w:r>
      <w:r w:rsidR="002A35C8">
        <w:rPr>
          <w:sz w:val="16"/>
          <w:szCs w:val="16"/>
        </w:rPr>
        <w:t>Day 1: Good luck today! Please save our number on your phone in case you have any questions afterwards</w:t>
      </w:r>
    </w:p>
    <w:p w14:paraId="22CD8614" w14:textId="77777777" w:rsidR="002A35C8" w:rsidRDefault="002A35C8" w:rsidP="002A35C8">
      <w:pPr>
        <w:rPr>
          <w:sz w:val="16"/>
          <w:szCs w:val="16"/>
        </w:rPr>
      </w:pPr>
      <w:r>
        <w:rPr>
          <w:sz w:val="16"/>
          <w:szCs w:val="16"/>
        </w:rPr>
        <w:t xml:space="preserve"> Day 3: (Name), Hope all is well with you :). Do give us a call if you have any questions or need some support</w:t>
      </w:r>
    </w:p>
    <w:p w14:paraId="419D5FFE" w14:textId="77777777" w:rsidR="002A35C8" w:rsidRDefault="002A35C8" w:rsidP="002A35C8">
      <w:pPr>
        <w:rPr>
          <w:sz w:val="16"/>
          <w:szCs w:val="16"/>
        </w:rPr>
      </w:pPr>
      <w:r>
        <w:rPr>
          <w:sz w:val="16"/>
          <w:szCs w:val="16"/>
        </w:rPr>
        <w:t xml:space="preserve"> Day 10: (Name), How are you doing? Don’t forget you can give us a call for support</w:t>
      </w:r>
    </w:p>
    <w:p w14:paraId="4D786BFD" w14:textId="77777777" w:rsidR="002A35C8" w:rsidRDefault="002A35C8" w:rsidP="002A35C8">
      <w:pPr>
        <w:rPr>
          <w:sz w:val="16"/>
          <w:szCs w:val="16"/>
        </w:rPr>
      </w:pPr>
      <w:r>
        <w:rPr>
          <w:sz w:val="16"/>
          <w:szCs w:val="16"/>
        </w:rPr>
        <w:t xml:space="preserve"> Day 18: (Name) Happy non-smoker? Yay! If not please do give us a call for support</w:t>
      </w:r>
    </w:p>
    <w:p w14:paraId="1FD3A526" w14:textId="77777777" w:rsidR="002A35C8" w:rsidRDefault="002A35C8" w:rsidP="002A35C8">
      <w:pPr>
        <w:rPr>
          <w:sz w:val="16"/>
          <w:szCs w:val="16"/>
        </w:rPr>
      </w:pPr>
      <w:r>
        <w:rPr>
          <w:sz w:val="16"/>
          <w:szCs w:val="16"/>
        </w:rPr>
        <w:t xml:space="preserve"> Day 45: (Name), Happy non-smoker? YIPPEE! If not please do give us a call for support</w:t>
      </w:r>
    </w:p>
    <w:p w14:paraId="15736D49" w14:textId="77777777" w:rsidR="002A35C8" w:rsidRDefault="002A35C8" w:rsidP="002A35C8">
      <w:pPr>
        <w:rPr>
          <w:sz w:val="16"/>
          <w:szCs w:val="16"/>
        </w:rPr>
      </w:pPr>
      <w:r>
        <w:rPr>
          <w:sz w:val="16"/>
          <w:szCs w:val="16"/>
        </w:rPr>
        <w:t xml:space="preserve"> Day 70: (Name), Are you a happy non-smoker? If so YAY – if not please do give us a call for help.</w:t>
      </w:r>
    </w:p>
    <w:p w14:paraId="08345221" w14:textId="77777777" w:rsidR="002A35C8" w:rsidRDefault="002A35C8" w:rsidP="002A35C8">
      <w:pPr>
        <w:rPr>
          <w:sz w:val="16"/>
          <w:szCs w:val="16"/>
        </w:rPr>
      </w:pPr>
      <w:r>
        <w:rPr>
          <w:sz w:val="16"/>
          <w:szCs w:val="16"/>
        </w:rPr>
        <w:t xml:space="preserve"> </w:t>
      </w:r>
    </w:p>
    <w:p w14:paraId="5A3F6FD6" w14:textId="77777777" w:rsidR="002A35C8" w:rsidRDefault="002A35C8" w:rsidP="002A35C8">
      <w:pPr>
        <w:rPr>
          <w:sz w:val="16"/>
          <w:szCs w:val="16"/>
        </w:rPr>
      </w:pPr>
      <w:r>
        <w:rPr>
          <w:sz w:val="16"/>
          <w:szCs w:val="16"/>
        </w:rPr>
        <w:t xml:space="preserve">If clients contact the ACE team for additional support standard responses to those who had smoked was to recommend they attend back-up session and offered dates to attend. Clients who had not smoked was to be offered a call back. Call-backs involved discussing the smokers experience since attending the session, checking that the client had made a written record of what life was like for them as a smoker in line with advice given in the session, and given guidance on how to react to thoughts about cigarettes or smoking so that the experience ceased to be difficult or negative.  </w:t>
      </w:r>
    </w:p>
    <w:p w14:paraId="4EB25941" w14:textId="77777777" w:rsidR="002A35C8" w:rsidRDefault="002A35C8" w:rsidP="002A35C8">
      <w:pPr>
        <w:rPr>
          <w:sz w:val="16"/>
          <w:szCs w:val="16"/>
        </w:rPr>
      </w:pPr>
    </w:p>
    <w:p w14:paraId="2B16FDC3" w14:textId="77777777" w:rsidR="002A35C8" w:rsidRDefault="002A35C8" w:rsidP="002A35C8">
      <w:pPr>
        <w:rPr>
          <w:sz w:val="16"/>
          <w:szCs w:val="16"/>
        </w:rPr>
      </w:pPr>
    </w:p>
    <w:p w14:paraId="2C11F1F1" w14:textId="77777777" w:rsidR="002A35C8" w:rsidRDefault="002A35C8" w:rsidP="002A35C8">
      <w:pPr>
        <w:rPr>
          <w:sz w:val="16"/>
          <w:szCs w:val="16"/>
        </w:rPr>
      </w:pPr>
    </w:p>
    <w:p w14:paraId="3FC93B62" w14:textId="77777777" w:rsidR="002A35C8" w:rsidRDefault="002A35C8">
      <w:pPr>
        <w:rPr>
          <w:sz w:val="18"/>
          <w:szCs w:val="18"/>
        </w:rPr>
      </w:pPr>
    </w:p>
    <w:sectPr w:rsidR="002A35C8" w:rsidSect="00C142AB">
      <w:pgSz w:w="16840" w:h="11900" w:orient="landscape"/>
      <w:pgMar w:top="1440" w:right="1440" w:bottom="1440" w:left="1440" w:header="708" w:footer="708"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6849" w14:textId="77777777" w:rsidR="000D5A4A" w:rsidRDefault="000D5A4A">
      <w:r>
        <w:separator/>
      </w:r>
    </w:p>
  </w:endnote>
  <w:endnote w:type="continuationSeparator" w:id="0">
    <w:p w14:paraId="6E161D8A" w14:textId="77777777" w:rsidR="000D5A4A" w:rsidRDefault="000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F479" w14:textId="77777777" w:rsidR="00756039" w:rsidRDefault="007560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588BD8B" w14:textId="77777777" w:rsidR="00756039" w:rsidRDefault="0075603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D6A5" w14:textId="12D158B5" w:rsidR="00756039" w:rsidRDefault="007560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D5A4A">
      <w:rPr>
        <w:noProof/>
        <w:color w:val="000000"/>
      </w:rPr>
      <w:t>1</w:t>
    </w:r>
    <w:r>
      <w:rPr>
        <w:color w:val="000000"/>
      </w:rPr>
      <w:fldChar w:fldCharType="end"/>
    </w:r>
  </w:p>
  <w:p w14:paraId="512C1B15" w14:textId="77777777" w:rsidR="00756039" w:rsidRDefault="0075603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8BBC" w14:textId="77777777" w:rsidR="000D5A4A" w:rsidRDefault="000D5A4A">
      <w:r>
        <w:separator/>
      </w:r>
    </w:p>
  </w:footnote>
  <w:footnote w:type="continuationSeparator" w:id="0">
    <w:p w14:paraId="58F1CC02" w14:textId="77777777" w:rsidR="000D5A4A" w:rsidRDefault="000D5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3681"/>
    <w:multiLevelType w:val="multilevel"/>
    <w:tmpl w:val="3DA06C74"/>
    <w:lvl w:ilvl="0">
      <w:start w:val="1"/>
      <w:numFmt w:val="decimal"/>
      <w:lvlText w:val="%1"/>
      <w:lvlJc w:val="left"/>
      <w:pPr>
        <w:ind w:left="502" w:hanging="360"/>
      </w:pPr>
      <w:rPr>
        <w:rFonts w:ascii="Times New Roman" w:eastAsia="Times New Roman" w:hAnsi="Times New Roman" w:cs="Times New Roman"/>
        <w:sz w:val="23"/>
        <w:szCs w:val="23"/>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0D"/>
    <w:rsid w:val="00036FD6"/>
    <w:rsid w:val="000602AF"/>
    <w:rsid w:val="00075F8F"/>
    <w:rsid w:val="00096426"/>
    <w:rsid w:val="000A6301"/>
    <w:rsid w:val="000A6957"/>
    <w:rsid w:val="000C07FD"/>
    <w:rsid w:val="000C3240"/>
    <w:rsid w:val="000D56BE"/>
    <w:rsid w:val="000D5A4A"/>
    <w:rsid w:val="000F337F"/>
    <w:rsid w:val="00101E48"/>
    <w:rsid w:val="001273C9"/>
    <w:rsid w:val="00177525"/>
    <w:rsid w:val="001A0A36"/>
    <w:rsid w:val="001A21FA"/>
    <w:rsid w:val="001B394A"/>
    <w:rsid w:val="001D4DAE"/>
    <w:rsid w:val="00210634"/>
    <w:rsid w:val="00222E60"/>
    <w:rsid w:val="00244215"/>
    <w:rsid w:val="00254BF0"/>
    <w:rsid w:val="002A35C8"/>
    <w:rsid w:val="002C16E1"/>
    <w:rsid w:val="002C28FB"/>
    <w:rsid w:val="002D6FFB"/>
    <w:rsid w:val="00305173"/>
    <w:rsid w:val="00310D72"/>
    <w:rsid w:val="0033218F"/>
    <w:rsid w:val="00357679"/>
    <w:rsid w:val="0037720D"/>
    <w:rsid w:val="00377F0E"/>
    <w:rsid w:val="00395184"/>
    <w:rsid w:val="003A2517"/>
    <w:rsid w:val="003C3BC7"/>
    <w:rsid w:val="003E412C"/>
    <w:rsid w:val="003F48AA"/>
    <w:rsid w:val="00415B1C"/>
    <w:rsid w:val="00415E23"/>
    <w:rsid w:val="004701E0"/>
    <w:rsid w:val="004712A0"/>
    <w:rsid w:val="004B7FA2"/>
    <w:rsid w:val="00557583"/>
    <w:rsid w:val="00567638"/>
    <w:rsid w:val="00591E84"/>
    <w:rsid w:val="00593B62"/>
    <w:rsid w:val="005A08AF"/>
    <w:rsid w:val="005C23EE"/>
    <w:rsid w:val="005E5DC4"/>
    <w:rsid w:val="006128DA"/>
    <w:rsid w:val="006558BA"/>
    <w:rsid w:val="006C4AA9"/>
    <w:rsid w:val="006E1A2C"/>
    <w:rsid w:val="00700DFD"/>
    <w:rsid w:val="0074295F"/>
    <w:rsid w:val="00756039"/>
    <w:rsid w:val="00797316"/>
    <w:rsid w:val="007E79E8"/>
    <w:rsid w:val="007F05D7"/>
    <w:rsid w:val="007F31DF"/>
    <w:rsid w:val="00844F0A"/>
    <w:rsid w:val="0087713C"/>
    <w:rsid w:val="008C68EF"/>
    <w:rsid w:val="008D0F61"/>
    <w:rsid w:val="008D111F"/>
    <w:rsid w:val="008E011A"/>
    <w:rsid w:val="008F5F74"/>
    <w:rsid w:val="00900612"/>
    <w:rsid w:val="009469A3"/>
    <w:rsid w:val="00984B43"/>
    <w:rsid w:val="0098633F"/>
    <w:rsid w:val="009B0EB5"/>
    <w:rsid w:val="009C590A"/>
    <w:rsid w:val="009D5730"/>
    <w:rsid w:val="009F159D"/>
    <w:rsid w:val="00A06578"/>
    <w:rsid w:val="00A1761D"/>
    <w:rsid w:val="00A26A92"/>
    <w:rsid w:val="00A409CD"/>
    <w:rsid w:val="00A40BDD"/>
    <w:rsid w:val="00A7274B"/>
    <w:rsid w:val="00A92F3E"/>
    <w:rsid w:val="00AB07BB"/>
    <w:rsid w:val="00AC1ED1"/>
    <w:rsid w:val="00AF715F"/>
    <w:rsid w:val="00B31569"/>
    <w:rsid w:val="00B4094A"/>
    <w:rsid w:val="00B723A6"/>
    <w:rsid w:val="00B745EC"/>
    <w:rsid w:val="00BA41BD"/>
    <w:rsid w:val="00BA5F8B"/>
    <w:rsid w:val="00BD0A21"/>
    <w:rsid w:val="00BE5C09"/>
    <w:rsid w:val="00BF5CA7"/>
    <w:rsid w:val="00C142AB"/>
    <w:rsid w:val="00C642AE"/>
    <w:rsid w:val="00C72E75"/>
    <w:rsid w:val="00C73A0C"/>
    <w:rsid w:val="00C748F1"/>
    <w:rsid w:val="00C84D7F"/>
    <w:rsid w:val="00CA0172"/>
    <w:rsid w:val="00CA1285"/>
    <w:rsid w:val="00D6481F"/>
    <w:rsid w:val="00D80C79"/>
    <w:rsid w:val="00D8150D"/>
    <w:rsid w:val="00D8234C"/>
    <w:rsid w:val="00DA580E"/>
    <w:rsid w:val="00DB1827"/>
    <w:rsid w:val="00DB2969"/>
    <w:rsid w:val="00DF75A7"/>
    <w:rsid w:val="00E13EA9"/>
    <w:rsid w:val="00E33447"/>
    <w:rsid w:val="00E62DAC"/>
    <w:rsid w:val="00E63499"/>
    <w:rsid w:val="00E84487"/>
    <w:rsid w:val="00E84DB2"/>
    <w:rsid w:val="00EC026A"/>
    <w:rsid w:val="00EF5E0C"/>
    <w:rsid w:val="00F173AC"/>
    <w:rsid w:val="00F207A1"/>
    <w:rsid w:val="00F51BF6"/>
    <w:rsid w:val="00F52747"/>
    <w:rsid w:val="00F81CAC"/>
    <w:rsid w:val="00FA72FD"/>
    <w:rsid w:val="00FB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679D"/>
  <w15:docId w15:val="{543DF486-E802-CE40-A4FE-9763C5C2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73"/>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BDD"/>
    <w:rPr>
      <w:sz w:val="18"/>
      <w:szCs w:val="18"/>
    </w:rPr>
  </w:style>
  <w:style w:type="character" w:customStyle="1" w:styleId="BalloonTextChar">
    <w:name w:val="Balloon Text Char"/>
    <w:basedOn w:val="DefaultParagraphFont"/>
    <w:link w:val="BalloonText"/>
    <w:uiPriority w:val="99"/>
    <w:semiHidden/>
    <w:rsid w:val="00A40BDD"/>
    <w:rPr>
      <w:sz w:val="18"/>
      <w:szCs w:val="18"/>
    </w:rPr>
  </w:style>
  <w:style w:type="paragraph" w:styleId="CommentSubject">
    <w:name w:val="annotation subject"/>
    <w:basedOn w:val="CommentText"/>
    <w:next w:val="CommentText"/>
    <w:link w:val="CommentSubjectChar"/>
    <w:uiPriority w:val="99"/>
    <w:semiHidden/>
    <w:unhideWhenUsed/>
    <w:rsid w:val="00F81CAC"/>
    <w:rPr>
      <w:b/>
      <w:bCs/>
    </w:rPr>
  </w:style>
  <w:style w:type="character" w:customStyle="1" w:styleId="CommentSubjectChar">
    <w:name w:val="Comment Subject Char"/>
    <w:basedOn w:val="CommentTextChar"/>
    <w:link w:val="CommentSubject"/>
    <w:uiPriority w:val="99"/>
    <w:semiHidden/>
    <w:rsid w:val="00F81CAC"/>
    <w:rPr>
      <w:b/>
      <w:bCs/>
      <w:sz w:val="20"/>
      <w:szCs w:val="20"/>
    </w:rPr>
  </w:style>
  <w:style w:type="paragraph" w:styleId="Revision">
    <w:name w:val="Revision"/>
    <w:hidden/>
    <w:uiPriority w:val="99"/>
    <w:semiHidden/>
    <w:rsid w:val="00BE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0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woodk6@lsb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6391</Words>
  <Characters>36430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Frings, Daniel</cp:lastModifiedBy>
  <cp:revision>3</cp:revision>
  <cp:lastPrinted>2019-08-26T11:53:00Z</cp:lastPrinted>
  <dcterms:created xsi:type="dcterms:W3CDTF">2019-11-05T15:18:00Z</dcterms:created>
  <dcterms:modified xsi:type="dcterms:W3CDTF">2019-11-11T12:45:00Z</dcterms:modified>
</cp:coreProperties>
</file>