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C4D9E3C" w14:textId="05CDA371" w:rsidR="00363AEA" w:rsidRDefault="000E39F8">
      <w:pPr>
        <w:rPr>
          <w:b/>
        </w:rPr>
      </w:pPr>
      <w:r w:rsidRPr="000E39F8">
        <w:rPr>
          <w:b/>
        </w:rPr>
        <w:t>The risk of permanent discontinuation of oral anticoagulation in patients with atrial fibrillation: data from the GARFIELD-AF regist</w:t>
      </w:r>
      <w:r>
        <w:rPr>
          <w:b/>
        </w:rPr>
        <w:t>ry</w:t>
      </w:r>
    </w:p>
    <w:p w14:paraId="7931F0D6" w14:textId="77777777" w:rsidR="00AF2A80" w:rsidRDefault="00AF2A80">
      <w:pPr>
        <w:rPr>
          <w:b/>
        </w:rPr>
      </w:pPr>
    </w:p>
    <w:p w14:paraId="72E6E112" w14:textId="52C73FAC" w:rsidR="00AF2A80" w:rsidRPr="00AF2A80" w:rsidRDefault="00AF2A80" w:rsidP="00AF2A80">
      <w:r w:rsidRPr="00AF2A80">
        <w:rPr>
          <w:b/>
        </w:rPr>
        <w:t xml:space="preserve">Authors (up to 15): </w:t>
      </w:r>
      <w:r w:rsidRPr="00AF2A80">
        <w:t>Frank Cools</w:t>
      </w:r>
      <w:r w:rsidRPr="00AF2A80">
        <w:rPr>
          <w:vertAlign w:val="superscript"/>
        </w:rPr>
        <w:t>1</w:t>
      </w:r>
      <w:r w:rsidRPr="00AF2A80">
        <w:t>,</w:t>
      </w:r>
      <w:r>
        <w:rPr>
          <w:b/>
        </w:rPr>
        <w:t xml:space="preserve"> </w:t>
      </w:r>
      <w:r w:rsidR="002F2417">
        <w:t>A. John Camm</w:t>
      </w:r>
      <w:r w:rsidR="002F2417">
        <w:rPr>
          <w:vertAlign w:val="superscript"/>
        </w:rPr>
        <w:t>2</w:t>
      </w:r>
      <w:r w:rsidRPr="00AF2A80">
        <w:t>, Jean-Pierre Bassand</w:t>
      </w:r>
      <w:r w:rsidR="002F2417">
        <w:rPr>
          <w:vertAlign w:val="superscript"/>
        </w:rPr>
        <w:t>3,4</w:t>
      </w:r>
      <w:r w:rsidRPr="00AF2A80">
        <w:t xml:space="preserve">, </w:t>
      </w:r>
      <w:r w:rsidR="002F2417">
        <w:t>Freek W.A. Verheugt</w:t>
      </w:r>
      <w:r w:rsidR="002F2417">
        <w:rPr>
          <w:vertAlign w:val="superscript"/>
        </w:rPr>
        <w:t>5</w:t>
      </w:r>
      <w:r w:rsidR="002F2417">
        <w:t xml:space="preserve">, </w:t>
      </w:r>
      <w:r w:rsidR="002F2417" w:rsidRPr="00AF2A80">
        <w:t>Shu Yang</w:t>
      </w:r>
      <w:r w:rsidR="002F2417">
        <w:rPr>
          <w:vertAlign w:val="superscript"/>
        </w:rPr>
        <w:t>6</w:t>
      </w:r>
      <w:r w:rsidR="002F2417" w:rsidRPr="00AF2A80">
        <w:t xml:space="preserve">, </w:t>
      </w:r>
      <w:proofErr w:type="spellStart"/>
      <w:r w:rsidR="002F2417" w:rsidRPr="00AF2A80">
        <w:t>Anastasio</w:t>
      </w:r>
      <w:proofErr w:type="spellEnd"/>
      <w:r w:rsidR="002F2417" w:rsidRPr="00AF2A80">
        <w:t xml:space="preserve"> Tsiatis</w:t>
      </w:r>
      <w:r w:rsidR="002F2417">
        <w:rPr>
          <w:vertAlign w:val="superscript"/>
        </w:rPr>
        <w:t>6</w:t>
      </w:r>
      <w:r w:rsidR="002F2417">
        <w:rPr>
          <w:b/>
        </w:rPr>
        <w:t>,</w:t>
      </w:r>
      <w:r w:rsidR="002F2417">
        <w:t xml:space="preserve"> David A. Fitzmaurice</w:t>
      </w:r>
      <w:r w:rsidR="002F2417">
        <w:rPr>
          <w:vertAlign w:val="superscript"/>
        </w:rPr>
        <w:t>7</w:t>
      </w:r>
      <w:r w:rsidRPr="00AF2A80">
        <w:t>, Samuel Z. Goldhaber</w:t>
      </w:r>
      <w:r w:rsidRPr="002F2417">
        <w:rPr>
          <w:vertAlign w:val="superscript"/>
        </w:rPr>
        <w:t>8</w:t>
      </w:r>
      <w:r w:rsidR="002F2417">
        <w:t>, Shinya Goto</w:t>
      </w:r>
      <w:r w:rsidR="002F2417">
        <w:rPr>
          <w:vertAlign w:val="superscript"/>
        </w:rPr>
        <w:t>9</w:t>
      </w:r>
      <w:r w:rsidR="002F2417">
        <w:t>, Sylvia Haas</w:t>
      </w:r>
      <w:r w:rsidR="002F2417" w:rsidRPr="00AF2A80">
        <w:rPr>
          <w:vertAlign w:val="superscript"/>
        </w:rPr>
        <w:t>1</w:t>
      </w:r>
      <w:r w:rsidR="002F2417">
        <w:rPr>
          <w:vertAlign w:val="superscript"/>
        </w:rPr>
        <w:t>0</w:t>
      </w:r>
      <w:r w:rsidR="002F2417">
        <w:t>, Frank Misselwitz</w:t>
      </w:r>
      <w:r w:rsidR="002F2417" w:rsidRPr="00AF2A80">
        <w:rPr>
          <w:vertAlign w:val="superscript"/>
        </w:rPr>
        <w:t>1</w:t>
      </w:r>
      <w:r w:rsidR="006317D8">
        <w:rPr>
          <w:vertAlign w:val="superscript"/>
        </w:rPr>
        <w:t>1</w:t>
      </w:r>
      <w:r w:rsidRPr="00AF2A80">
        <w:t xml:space="preserve">, </w:t>
      </w:r>
      <w:r w:rsidR="002F2417">
        <w:t>Alexander G.G. Turpie</w:t>
      </w:r>
      <w:r w:rsidR="002F2417" w:rsidRPr="00AF2A80">
        <w:rPr>
          <w:vertAlign w:val="superscript"/>
        </w:rPr>
        <w:t>1</w:t>
      </w:r>
      <w:r w:rsidR="006317D8">
        <w:rPr>
          <w:vertAlign w:val="superscript"/>
        </w:rPr>
        <w:t>2</w:t>
      </w:r>
      <w:r w:rsidRPr="00AF2A80">
        <w:t xml:space="preserve">, </w:t>
      </w:r>
      <w:r w:rsidR="002F2417">
        <w:t>Keith A.A. Fox</w:t>
      </w:r>
      <w:r w:rsidR="002F2417" w:rsidRPr="00AF2A80">
        <w:rPr>
          <w:vertAlign w:val="superscript"/>
        </w:rPr>
        <w:t>1</w:t>
      </w:r>
      <w:r w:rsidR="006317D8">
        <w:rPr>
          <w:vertAlign w:val="superscript"/>
        </w:rPr>
        <w:t>3</w:t>
      </w:r>
      <w:r w:rsidR="002F2417" w:rsidRPr="00AF2A80">
        <w:t xml:space="preserve">, </w:t>
      </w:r>
      <w:r w:rsidR="002F2417">
        <w:t>Ajay K. Kakkar</w:t>
      </w:r>
      <w:r w:rsidR="006317D8">
        <w:rPr>
          <w:vertAlign w:val="superscript"/>
        </w:rPr>
        <w:t>3,14</w:t>
      </w:r>
      <w:r w:rsidRPr="00AF2A80">
        <w:t>,</w:t>
      </w:r>
      <w:r w:rsidR="002F2417">
        <w:t xml:space="preserve"> </w:t>
      </w:r>
      <w:r w:rsidRPr="00AF2A80">
        <w:t>for the GARFIELD-AF Investigators</w:t>
      </w:r>
    </w:p>
    <w:p w14:paraId="1E5564A8" w14:textId="77777777" w:rsidR="00AF2A80" w:rsidRPr="00AF2A80" w:rsidRDefault="00AF2A80" w:rsidP="00AF2A80">
      <w:pPr>
        <w:rPr>
          <w:b/>
        </w:rPr>
      </w:pPr>
    </w:p>
    <w:p w14:paraId="4D0330E9" w14:textId="77777777" w:rsidR="00AF2A80" w:rsidRPr="00AF2A80" w:rsidRDefault="00AF2A80" w:rsidP="00AF2A80">
      <w:pPr>
        <w:rPr>
          <w:b/>
        </w:rPr>
      </w:pPr>
      <w:r w:rsidRPr="00AF2A80">
        <w:rPr>
          <w:b/>
        </w:rPr>
        <w:t>Institutions:</w:t>
      </w:r>
    </w:p>
    <w:p w14:paraId="0E78371C" w14:textId="3FEE7279" w:rsidR="00AF2A80" w:rsidRPr="001F0749" w:rsidRDefault="001F0749" w:rsidP="00AF2A80">
      <w:pPr>
        <w:pStyle w:val="ListParagraph"/>
        <w:numPr>
          <w:ilvl w:val="0"/>
          <w:numId w:val="2"/>
        </w:numPr>
        <w:rPr>
          <w:lang w:val="nl-BE"/>
        </w:rPr>
      </w:pPr>
      <w:r>
        <w:rPr>
          <w:lang w:val="nl-BE"/>
        </w:rPr>
        <w:t xml:space="preserve">AZ </w:t>
      </w:r>
      <w:proofErr w:type="spellStart"/>
      <w:r>
        <w:rPr>
          <w:lang w:val="nl-BE"/>
        </w:rPr>
        <w:t>Klina</w:t>
      </w:r>
      <w:proofErr w:type="spellEnd"/>
      <w:r w:rsidR="00AF2A80" w:rsidRPr="001F0749">
        <w:rPr>
          <w:lang w:val="nl-BE"/>
        </w:rPr>
        <w:t>, Brasschaat, Belgium</w:t>
      </w:r>
    </w:p>
    <w:p w14:paraId="1919C869" w14:textId="0DD9F657" w:rsidR="00AF2A80" w:rsidRPr="00AF2A80" w:rsidRDefault="00AF2A80" w:rsidP="00AF2A80">
      <w:pPr>
        <w:pStyle w:val="ListParagraph"/>
        <w:numPr>
          <w:ilvl w:val="0"/>
          <w:numId w:val="2"/>
        </w:numPr>
      </w:pPr>
      <w:r w:rsidRPr="00AF2A80">
        <w:t>St. George’s University of London and Imperial College, London, UK</w:t>
      </w:r>
    </w:p>
    <w:p w14:paraId="0D2A191F" w14:textId="474D17A5" w:rsidR="00AF2A80" w:rsidRPr="00AF2A80" w:rsidRDefault="00AF2A80" w:rsidP="00AF2A80">
      <w:pPr>
        <w:pStyle w:val="ListParagraph"/>
        <w:numPr>
          <w:ilvl w:val="0"/>
          <w:numId w:val="2"/>
        </w:numPr>
      </w:pPr>
      <w:r w:rsidRPr="00AF2A80">
        <w:t>Thrombosis Research Institute, London, UK</w:t>
      </w:r>
    </w:p>
    <w:p w14:paraId="23127DD9" w14:textId="55156FB4" w:rsidR="00AF2A80" w:rsidRDefault="00AF2A80" w:rsidP="00AF2A80">
      <w:pPr>
        <w:pStyle w:val="ListParagraph"/>
        <w:numPr>
          <w:ilvl w:val="0"/>
          <w:numId w:val="2"/>
        </w:numPr>
      </w:pPr>
      <w:r w:rsidRPr="00AF2A80">
        <w:t xml:space="preserve">University of </w:t>
      </w:r>
      <w:proofErr w:type="spellStart"/>
      <w:r w:rsidRPr="00AF2A80">
        <w:t>Besançon</w:t>
      </w:r>
      <w:proofErr w:type="spellEnd"/>
      <w:r w:rsidRPr="00AF2A80">
        <w:t xml:space="preserve">, </w:t>
      </w:r>
      <w:proofErr w:type="spellStart"/>
      <w:r w:rsidRPr="00AF2A80">
        <w:t>Besançon</w:t>
      </w:r>
      <w:proofErr w:type="spellEnd"/>
      <w:r w:rsidRPr="00AF2A80">
        <w:t>, France</w:t>
      </w:r>
    </w:p>
    <w:p w14:paraId="7AEB197E" w14:textId="77777777" w:rsidR="002F2417" w:rsidRPr="001F0749" w:rsidRDefault="002F2417" w:rsidP="002F2417">
      <w:pPr>
        <w:pStyle w:val="ListParagraph"/>
        <w:numPr>
          <w:ilvl w:val="0"/>
          <w:numId w:val="2"/>
        </w:numPr>
        <w:rPr>
          <w:lang w:val="nl-BE"/>
        </w:rPr>
      </w:pPr>
      <w:r w:rsidRPr="001F0749">
        <w:rPr>
          <w:lang w:val="nl-BE"/>
        </w:rPr>
        <w:t xml:space="preserve">Onze Lieve </w:t>
      </w:r>
      <w:proofErr w:type="spellStart"/>
      <w:r w:rsidRPr="001F0749">
        <w:rPr>
          <w:lang w:val="nl-BE"/>
        </w:rPr>
        <w:t>Vrouwe</w:t>
      </w:r>
      <w:proofErr w:type="spellEnd"/>
      <w:r w:rsidRPr="001F0749">
        <w:rPr>
          <w:lang w:val="nl-BE"/>
        </w:rPr>
        <w:t xml:space="preserve"> Gasthuis (OLVG), Amsterdam, The Netherlands</w:t>
      </w:r>
    </w:p>
    <w:p w14:paraId="4EFDD542" w14:textId="676A3FE6" w:rsidR="002F2417" w:rsidRPr="00AF2A80" w:rsidRDefault="00D37978" w:rsidP="002F2417">
      <w:pPr>
        <w:pStyle w:val="ListParagraph"/>
        <w:numPr>
          <w:ilvl w:val="0"/>
          <w:numId w:val="2"/>
        </w:numPr>
      </w:pPr>
      <w:r>
        <w:t>North Carolina State University, Raleigh, NC,</w:t>
      </w:r>
      <w:r w:rsidR="002F2417">
        <w:t xml:space="preserve"> USA</w:t>
      </w:r>
    </w:p>
    <w:p w14:paraId="1772C188" w14:textId="35BFD682" w:rsidR="00AF2A80" w:rsidRPr="00AF2A80" w:rsidRDefault="00AF2A80" w:rsidP="00AF2A80">
      <w:pPr>
        <w:pStyle w:val="ListParagraph"/>
        <w:numPr>
          <w:ilvl w:val="0"/>
          <w:numId w:val="2"/>
        </w:numPr>
      </w:pPr>
      <w:r w:rsidRPr="00AF2A80">
        <w:t>University of Warwick Medical School, UK</w:t>
      </w:r>
    </w:p>
    <w:p w14:paraId="7F2363E2" w14:textId="2E22853F" w:rsidR="00AF2A80" w:rsidRPr="00AF2A80" w:rsidRDefault="00AF2A80" w:rsidP="002F2417">
      <w:pPr>
        <w:pStyle w:val="ListParagraph"/>
        <w:numPr>
          <w:ilvl w:val="0"/>
          <w:numId w:val="2"/>
        </w:numPr>
      </w:pPr>
      <w:r w:rsidRPr="00AF2A80">
        <w:t>Mayo Clinic, Rochester, MN, USA</w:t>
      </w:r>
      <w:r w:rsidR="002F2417">
        <w:t xml:space="preserve"> </w:t>
      </w:r>
      <w:r w:rsidRPr="00AF2A80">
        <w:t>Brigham and Women’s Hospital and Harvard Medical School, Boston, MA, USA</w:t>
      </w:r>
    </w:p>
    <w:p w14:paraId="0BBBD156" w14:textId="6A8D3D4D" w:rsidR="00AF2A80" w:rsidRPr="00AF2A80" w:rsidRDefault="00AF2A80" w:rsidP="00AF2A80">
      <w:pPr>
        <w:pStyle w:val="ListParagraph"/>
        <w:numPr>
          <w:ilvl w:val="0"/>
          <w:numId w:val="2"/>
        </w:numPr>
      </w:pPr>
      <w:r w:rsidRPr="00AF2A80">
        <w:t>Tokai University, Kanagawa, Japan</w:t>
      </w:r>
    </w:p>
    <w:p w14:paraId="3F5A8A03" w14:textId="6F0C59B3" w:rsidR="00AF2A80" w:rsidRPr="00AF2A80" w:rsidRDefault="00AF2A80" w:rsidP="00AF2A80">
      <w:pPr>
        <w:pStyle w:val="ListParagraph"/>
        <w:numPr>
          <w:ilvl w:val="0"/>
          <w:numId w:val="2"/>
        </w:numPr>
      </w:pPr>
      <w:r w:rsidRPr="00AF2A80">
        <w:t>Formerly Department of Medicine, Technical University of Munich, Munich, Germany</w:t>
      </w:r>
    </w:p>
    <w:p w14:paraId="0F6D70A8" w14:textId="61C31308" w:rsidR="00AF2A80" w:rsidRPr="00AF2A80" w:rsidRDefault="00AF2A80" w:rsidP="00AF2A80">
      <w:pPr>
        <w:pStyle w:val="ListParagraph"/>
        <w:numPr>
          <w:ilvl w:val="0"/>
          <w:numId w:val="2"/>
        </w:numPr>
      </w:pPr>
      <w:r w:rsidRPr="00AF2A80">
        <w:t>Bayer HealthCare Pharmaceuticals, Berlin, Germany</w:t>
      </w:r>
    </w:p>
    <w:p w14:paraId="74878F28" w14:textId="10DD6C6F" w:rsidR="00AF2A80" w:rsidRDefault="00AF2A80" w:rsidP="00AF2A80">
      <w:pPr>
        <w:pStyle w:val="ListParagraph"/>
        <w:numPr>
          <w:ilvl w:val="0"/>
          <w:numId w:val="2"/>
        </w:numPr>
      </w:pPr>
      <w:r w:rsidRPr="00AF2A80">
        <w:t>McMaster University, Hamilton, Canada</w:t>
      </w:r>
    </w:p>
    <w:p w14:paraId="529DC7FA" w14:textId="7296D46A" w:rsidR="002F2417" w:rsidRPr="00AF2A80" w:rsidRDefault="002F2417" w:rsidP="002F2417">
      <w:pPr>
        <w:pStyle w:val="ListParagraph"/>
        <w:numPr>
          <w:ilvl w:val="0"/>
          <w:numId w:val="2"/>
        </w:numPr>
      </w:pPr>
      <w:r w:rsidRPr="00AF2A80">
        <w:t>Centre for Cardiovascular Science, University of Edinburgh, Edinburgh, UK</w:t>
      </w:r>
    </w:p>
    <w:p w14:paraId="03FF8AEB" w14:textId="56BCC297" w:rsidR="00AF2A80" w:rsidRPr="00AF2A80" w:rsidRDefault="00AF2A80" w:rsidP="00AF2A80">
      <w:pPr>
        <w:pStyle w:val="ListParagraph"/>
        <w:numPr>
          <w:ilvl w:val="0"/>
          <w:numId w:val="2"/>
        </w:numPr>
      </w:pPr>
      <w:r w:rsidRPr="00AF2A80">
        <w:t>University College London, London, UK</w:t>
      </w:r>
    </w:p>
    <w:p w14:paraId="244F05E0" w14:textId="77777777" w:rsidR="001E2F61" w:rsidRDefault="001E2F61" w:rsidP="00711D64">
      <w:pPr>
        <w:jc w:val="both"/>
        <w:rPr>
          <w:b/>
        </w:rPr>
      </w:pPr>
    </w:p>
    <w:p w14:paraId="44F67934" w14:textId="4E2609B3" w:rsidR="00F62FD7" w:rsidRDefault="00BE6E07" w:rsidP="00711D64">
      <w:pPr>
        <w:jc w:val="both"/>
        <w:rPr>
          <w:b/>
        </w:rPr>
      </w:pPr>
      <w:r w:rsidRPr="00F62FD7">
        <w:rPr>
          <w:b/>
        </w:rPr>
        <w:t>Background</w:t>
      </w:r>
      <w:r>
        <w:t xml:space="preserve">: </w:t>
      </w:r>
      <w:r w:rsidR="00D85CC3">
        <w:t>O</w:t>
      </w:r>
      <w:r w:rsidR="007957DA">
        <w:t xml:space="preserve">ral anticoagulant </w:t>
      </w:r>
      <w:r w:rsidR="001F0749">
        <w:t xml:space="preserve">therapy </w:t>
      </w:r>
      <w:r w:rsidR="0002739A">
        <w:t xml:space="preserve">(OAC) </w:t>
      </w:r>
      <w:r w:rsidR="00655A5D">
        <w:t xml:space="preserve">is </w:t>
      </w:r>
      <w:r w:rsidR="006317D8">
        <w:t>indicated</w:t>
      </w:r>
      <w:r w:rsidR="00655A5D">
        <w:t xml:space="preserve"> </w:t>
      </w:r>
      <w:r w:rsidR="005C301C">
        <w:t>f</w:t>
      </w:r>
      <w:r w:rsidR="007957DA">
        <w:t xml:space="preserve">or patients </w:t>
      </w:r>
      <w:r w:rsidR="009A4B24">
        <w:t xml:space="preserve">(pts.) </w:t>
      </w:r>
      <w:r w:rsidR="007957DA">
        <w:t>with</w:t>
      </w:r>
      <w:r w:rsidR="00A64C7A">
        <w:t xml:space="preserve"> atrial fibrillation</w:t>
      </w:r>
      <w:r w:rsidR="00E3566F">
        <w:t xml:space="preserve"> (AF)</w:t>
      </w:r>
      <w:r w:rsidR="00676E27">
        <w:t xml:space="preserve"> </w:t>
      </w:r>
      <w:r w:rsidR="00CB5800">
        <w:t>at</w:t>
      </w:r>
      <w:r w:rsidR="00655A5D">
        <w:t xml:space="preserve"> increased </w:t>
      </w:r>
      <w:r w:rsidR="00CB5800">
        <w:t>stroke risk</w:t>
      </w:r>
      <w:r w:rsidR="00BB365A">
        <w:t>.</w:t>
      </w:r>
      <w:r w:rsidR="00CB5800">
        <w:t xml:space="preserve"> There are f</w:t>
      </w:r>
      <w:r w:rsidR="0029392B">
        <w:t xml:space="preserve">ew real-world </w:t>
      </w:r>
      <w:r w:rsidR="00A76A5F">
        <w:t xml:space="preserve">data </w:t>
      </w:r>
      <w:r w:rsidR="00655A5D">
        <w:t xml:space="preserve">on OAC </w:t>
      </w:r>
      <w:r w:rsidR="00A64C7A">
        <w:t xml:space="preserve">discontinuation </w:t>
      </w:r>
      <w:r w:rsidR="00A76A5F">
        <w:t xml:space="preserve">and its impact on </w:t>
      </w:r>
      <w:r w:rsidR="00A64C7A">
        <w:t>outcome</w:t>
      </w:r>
      <w:r w:rsidR="00A76A5F">
        <w:t>s</w:t>
      </w:r>
      <w:r w:rsidR="00A64C7A">
        <w:t xml:space="preserve">. </w:t>
      </w:r>
      <w:r w:rsidR="004A77A6">
        <w:t xml:space="preserve">We describe </w:t>
      </w:r>
      <w:r w:rsidR="007B7F29">
        <w:t xml:space="preserve">outcome </w:t>
      </w:r>
      <w:r w:rsidR="004A77A6">
        <w:t xml:space="preserve">of </w:t>
      </w:r>
      <w:r w:rsidR="00715FDC">
        <w:t>pts.</w:t>
      </w:r>
      <w:r w:rsidR="004A77A6">
        <w:t xml:space="preserve"> in the Global Anti</w:t>
      </w:r>
      <w:r w:rsidR="006317D8">
        <w:t xml:space="preserve">coagulant Registry in the FIELD of </w:t>
      </w:r>
      <w:r w:rsidR="004A77A6">
        <w:t>AF (GARFIELD-AF) who per</w:t>
      </w:r>
      <w:r w:rsidR="007B7F29">
        <w:t>manently discontinue their OAC</w:t>
      </w:r>
      <w:r w:rsidR="007878B7">
        <w:t xml:space="preserve"> during 2 years of follow-up</w:t>
      </w:r>
      <w:r w:rsidR="007B7F29">
        <w:t>.</w:t>
      </w:r>
      <w:r w:rsidR="001628BA">
        <w:rPr>
          <w:b/>
        </w:rPr>
        <w:t xml:space="preserve"> </w:t>
      </w:r>
    </w:p>
    <w:p w14:paraId="7ADC3774" w14:textId="4862A1B3" w:rsidR="00704CEA" w:rsidRPr="00C364EA" w:rsidRDefault="00BE6E07" w:rsidP="00711D64">
      <w:pPr>
        <w:jc w:val="both"/>
      </w:pPr>
      <w:r w:rsidRPr="00F62FD7">
        <w:rPr>
          <w:b/>
        </w:rPr>
        <w:t>Methods</w:t>
      </w:r>
      <w:r>
        <w:t xml:space="preserve">: </w:t>
      </w:r>
      <w:r w:rsidR="00715FDC">
        <w:t>pts.</w:t>
      </w:r>
      <w:r w:rsidR="008D0CFF">
        <w:t xml:space="preserve"> </w:t>
      </w:r>
      <w:r w:rsidR="00CB5800">
        <w:t>included</w:t>
      </w:r>
      <w:r w:rsidR="00CD6DA3">
        <w:t xml:space="preserve"> in GARFIELD-AF</w:t>
      </w:r>
      <w:r w:rsidR="00C54FE9">
        <w:t xml:space="preserve"> had a </w:t>
      </w:r>
      <w:r>
        <w:t>new diagn</w:t>
      </w:r>
      <w:r w:rsidR="00E3566F">
        <w:t>osis of AF</w:t>
      </w:r>
      <w:r>
        <w:t xml:space="preserve"> and </w:t>
      </w:r>
      <w:r w:rsidR="0065791A">
        <w:rPr>
          <w:color w:val="000000" w:themeColor="text1"/>
        </w:rPr>
        <w:t>at least one</w:t>
      </w:r>
      <w:r w:rsidR="00C569E0">
        <w:t xml:space="preserve"> </w:t>
      </w:r>
      <w:r w:rsidR="00782560">
        <w:t xml:space="preserve">stroke </w:t>
      </w:r>
      <w:r w:rsidR="00C569E0">
        <w:t>risk factor</w:t>
      </w:r>
      <w:r w:rsidR="002B6959">
        <w:t xml:space="preserve">: </w:t>
      </w:r>
      <w:r w:rsidR="00704CEA">
        <w:t>22811</w:t>
      </w:r>
      <w:r w:rsidR="00E3566F">
        <w:t xml:space="preserve"> </w:t>
      </w:r>
      <w:r w:rsidR="008D0CFF">
        <w:t>pts.</w:t>
      </w:r>
      <w:r w:rsidR="00BE1C26">
        <w:t xml:space="preserve"> </w:t>
      </w:r>
      <w:r w:rsidR="0065791A">
        <w:t xml:space="preserve">enrolled between April 2013 and August 2016, </w:t>
      </w:r>
      <w:r w:rsidR="002B6959">
        <w:t xml:space="preserve">were included that received </w:t>
      </w:r>
      <w:r w:rsidR="00A15FBF">
        <w:t>OAC for</w:t>
      </w:r>
      <w:r w:rsidR="0029392B">
        <w:t xml:space="preserve"> stroke prevention</w:t>
      </w:r>
      <w:r>
        <w:t>. OAC was</w:t>
      </w:r>
      <w:r w:rsidR="00655A5D">
        <w:t xml:space="preserve"> considered to be permanently discontinued if </w:t>
      </w:r>
      <w:r w:rsidR="00DF56E7">
        <w:t>stopped for at least 7 days</w:t>
      </w:r>
      <w:r w:rsidR="00C364EA">
        <w:t xml:space="preserve">. </w:t>
      </w:r>
      <w:r w:rsidR="00CE2979">
        <w:t>M</w:t>
      </w:r>
      <w:r w:rsidR="00885D79">
        <w:t xml:space="preserve">arginal </w:t>
      </w:r>
      <w:r w:rsidR="00DB667B">
        <w:t>s</w:t>
      </w:r>
      <w:r w:rsidR="00885D79">
        <w:t xml:space="preserve">tructural </w:t>
      </w:r>
      <w:r w:rsidR="00DB667B">
        <w:t>m</w:t>
      </w:r>
      <w:r w:rsidR="00885D79">
        <w:t>odel</w:t>
      </w:r>
      <w:r w:rsidR="00C71AEF">
        <w:t>s estimated the effect of discontinuation on the following outcomes:</w:t>
      </w:r>
      <w:r w:rsidR="005453E0">
        <w:t xml:space="preserve"> </w:t>
      </w:r>
      <w:r w:rsidR="00DB667B">
        <w:rPr>
          <w:color w:val="000000" w:themeColor="text1"/>
        </w:rPr>
        <w:t>composite endpoint of death/non-</w:t>
      </w:r>
      <w:r w:rsidR="00151043">
        <w:rPr>
          <w:color w:val="000000" w:themeColor="text1"/>
        </w:rPr>
        <w:t>haemorrhagic</w:t>
      </w:r>
      <w:r w:rsidR="00DB667B">
        <w:rPr>
          <w:color w:val="000000" w:themeColor="text1"/>
        </w:rPr>
        <w:t xml:space="preserve"> stroke</w:t>
      </w:r>
      <w:r w:rsidR="00245D5B">
        <w:rPr>
          <w:color w:val="000000" w:themeColor="text1"/>
        </w:rPr>
        <w:t xml:space="preserve"> </w:t>
      </w:r>
      <w:r w:rsidR="00FE35AE">
        <w:rPr>
          <w:color w:val="000000" w:themeColor="text1"/>
        </w:rPr>
        <w:t>or</w:t>
      </w:r>
      <w:r w:rsidR="00245D5B">
        <w:rPr>
          <w:color w:val="000000" w:themeColor="text1"/>
        </w:rPr>
        <w:t xml:space="preserve"> </w:t>
      </w:r>
      <w:r w:rsidR="00923B5B">
        <w:rPr>
          <w:color w:val="000000" w:themeColor="text1"/>
        </w:rPr>
        <w:t>systemic embolism</w:t>
      </w:r>
      <w:r w:rsidR="000B0B28">
        <w:rPr>
          <w:color w:val="000000" w:themeColor="text1"/>
        </w:rPr>
        <w:t xml:space="preserve"> </w:t>
      </w:r>
      <w:r w:rsidR="00DB667B">
        <w:rPr>
          <w:color w:val="000000" w:themeColor="text1"/>
        </w:rPr>
        <w:t>(</w:t>
      </w:r>
      <w:r w:rsidR="000B0B28">
        <w:rPr>
          <w:color w:val="000000" w:themeColor="text1"/>
        </w:rPr>
        <w:t>NHS+</w:t>
      </w:r>
      <w:r w:rsidR="00DB667B">
        <w:rPr>
          <w:color w:val="000000" w:themeColor="text1"/>
        </w:rPr>
        <w:t>SE)/myocardial infarction</w:t>
      </w:r>
      <w:r w:rsidR="006317D8">
        <w:rPr>
          <w:color w:val="000000" w:themeColor="text1"/>
        </w:rPr>
        <w:t xml:space="preserve"> (</w:t>
      </w:r>
      <w:r w:rsidR="00923B5B">
        <w:rPr>
          <w:color w:val="000000" w:themeColor="text1"/>
        </w:rPr>
        <w:t>MI)</w:t>
      </w:r>
      <w:r w:rsidR="00DB667B">
        <w:rPr>
          <w:color w:val="000000" w:themeColor="text1"/>
        </w:rPr>
        <w:t xml:space="preserve">, </w:t>
      </w:r>
      <w:r w:rsidR="004A6113">
        <w:rPr>
          <w:color w:val="000000" w:themeColor="text1"/>
        </w:rPr>
        <w:t>death/</w:t>
      </w:r>
      <w:r w:rsidR="000B0B28">
        <w:rPr>
          <w:color w:val="000000" w:themeColor="text1"/>
        </w:rPr>
        <w:t>NHS+SE</w:t>
      </w:r>
      <w:r w:rsidR="00DB667B">
        <w:rPr>
          <w:color w:val="000000" w:themeColor="text1"/>
        </w:rPr>
        <w:t xml:space="preserve">, </w:t>
      </w:r>
      <w:r w:rsidR="00245D5B">
        <w:rPr>
          <w:color w:val="000000" w:themeColor="text1"/>
        </w:rPr>
        <w:t>and also</w:t>
      </w:r>
      <w:r w:rsidR="00923B5B">
        <w:rPr>
          <w:color w:val="000000" w:themeColor="text1"/>
        </w:rPr>
        <w:t xml:space="preserve"> death, </w:t>
      </w:r>
      <w:r w:rsidR="000B0B28">
        <w:rPr>
          <w:color w:val="000000" w:themeColor="text1"/>
        </w:rPr>
        <w:t xml:space="preserve">NHS+SE </w:t>
      </w:r>
      <w:r w:rsidR="00DB667B">
        <w:rPr>
          <w:color w:val="000000" w:themeColor="text1"/>
        </w:rPr>
        <w:t xml:space="preserve">and </w:t>
      </w:r>
      <w:r w:rsidR="004A6113">
        <w:rPr>
          <w:color w:val="000000" w:themeColor="text1"/>
        </w:rPr>
        <w:t>MI</w:t>
      </w:r>
      <w:r w:rsidR="00DB667B">
        <w:rPr>
          <w:color w:val="000000" w:themeColor="text1"/>
        </w:rPr>
        <w:t>.</w:t>
      </w:r>
      <w:r w:rsidR="001628BA">
        <w:rPr>
          <w:color w:val="000000" w:themeColor="text1"/>
        </w:rPr>
        <w:t xml:space="preserve"> </w:t>
      </w:r>
      <w:r w:rsidR="00C54FE9">
        <w:rPr>
          <w:color w:val="000000" w:themeColor="text1"/>
        </w:rPr>
        <w:t>Adjustment</w:t>
      </w:r>
      <w:r w:rsidR="00A40AEE">
        <w:rPr>
          <w:color w:val="000000" w:themeColor="text1"/>
        </w:rPr>
        <w:t>s</w:t>
      </w:r>
      <w:r w:rsidR="00C54FE9">
        <w:rPr>
          <w:color w:val="000000" w:themeColor="text1"/>
        </w:rPr>
        <w:t xml:space="preserve"> were made for </w:t>
      </w:r>
      <w:r w:rsidR="00CB0F30">
        <w:rPr>
          <w:color w:val="000000" w:themeColor="text1"/>
        </w:rPr>
        <w:t xml:space="preserve">both baseline factors and </w:t>
      </w:r>
      <w:r w:rsidR="00552776">
        <w:rPr>
          <w:color w:val="000000" w:themeColor="text1"/>
        </w:rPr>
        <w:t>time dependent variables</w:t>
      </w:r>
      <w:r w:rsidR="00782560">
        <w:rPr>
          <w:color w:val="000000" w:themeColor="text1"/>
        </w:rPr>
        <w:t>.</w:t>
      </w:r>
    </w:p>
    <w:p w14:paraId="677E19B9" w14:textId="5A4FE11A" w:rsidR="00F62FD7" w:rsidRDefault="00BE6E07" w:rsidP="00752E71">
      <w:pPr>
        <w:jc w:val="both"/>
        <w:rPr>
          <w:b/>
        </w:rPr>
      </w:pPr>
      <w:r w:rsidRPr="00F62FD7">
        <w:rPr>
          <w:b/>
        </w:rPr>
        <w:t>Results</w:t>
      </w:r>
      <w:r>
        <w:t xml:space="preserve">: </w:t>
      </w:r>
      <w:r w:rsidR="00D71A8C" w:rsidRPr="00143187">
        <w:rPr>
          <w:bCs/>
        </w:rPr>
        <w:t>9</w:t>
      </w:r>
      <w:r w:rsidR="00D71A8C" w:rsidRPr="00143187">
        <w:rPr>
          <w:color w:val="000000" w:themeColor="text1"/>
        </w:rPr>
        <w:t xml:space="preserve">.5% of </w:t>
      </w:r>
      <w:r w:rsidR="008D0CFF">
        <w:rPr>
          <w:color w:val="000000" w:themeColor="text1"/>
        </w:rPr>
        <w:t>pts.</w:t>
      </w:r>
      <w:r w:rsidR="00D71A8C" w:rsidRPr="00143187">
        <w:rPr>
          <w:color w:val="000000" w:themeColor="text1"/>
        </w:rPr>
        <w:t xml:space="preserve"> discontinued OAC over</w:t>
      </w:r>
      <w:r w:rsidR="00D71A8C">
        <w:rPr>
          <w:color w:val="000000" w:themeColor="text1"/>
        </w:rPr>
        <w:t xml:space="preserve"> </w:t>
      </w:r>
      <w:r w:rsidR="00D71A8C" w:rsidRPr="00143187">
        <w:rPr>
          <w:color w:val="000000" w:themeColor="text1"/>
        </w:rPr>
        <w:t>a median follow-up of 710 days (IQR 487-731)</w:t>
      </w:r>
      <w:r w:rsidR="00D46DFC">
        <w:rPr>
          <w:color w:val="000000" w:themeColor="text1"/>
        </w:rPr>
        <w:t xml:space="preserve">, </w:t>
      </w:r>
      <w:r w:rsidR="00C06009">
        <w:t>43</w:t>
      </w:r>
      <w:r w:rsidR="00C54FE9">
        <w:t>.</w:t>
      </w:r>
      <w:r w:rsidR="00C06009">
        <w:t>8% within the first 4 months.</w:t>
      </w:r>
      <w:r w:rsidR="001628BA">
        <w:t xml:space="preserve"> </w:t>
      </w:r>
      <w:r w:rsidR="00245D5B">
        <w:t>La</w:t>
      </w:r>
      <w:r w:rsidR="00EB22CA">
        <w:t>st OAC used was</w:t>
      </w:r>
      <w:r w:rsidR="00C06009">
        <w:t xml:space="preserve"> a vitamin-K-antagonis</w:t>
      </w:r>
      <w:r w:rsidR="001628BA">
        <w:t>t</w:t>
      </w:r>
      <w:r w:rsidR="00EB22CA">
        <w:t xml:space="preserve"> in 46,5%</w:t>
      </w:r>
      <w:r w:rsidR="00C06009">
        <w:t xml:space="preserve"> </w:t>
      </w:r>
      <w:r w:rsidR="00EB22CA">
        <w:t>and a NOAC in 53,5</w:t>
      </w:r>
      <w:r w:rsidR="00C06009">
        <w:t>%</w:t>
      </w:r>
      <w:r w:rsidR="00A40AEE">
        <w:t>.</w:t>
      </w:r>
      <w:r w:rsidR="008A2F5B">
        <w:t xml:space="preserve"> </w:t>
      </w:r>
      <w:r w:rsidR="00A40AEE" w:rsidRPr="00447EDA">
        <w:rPr>
          <w:rFonts w:eastAsia="Times New Roman"/>
          <w:bCs/>
        </w:rPr>
        <w:t xml:space="preserve">After </w:t>
      </w:r>
      <w:r w:rsidR="00A05B8B">
        <w:rPr>
          <w:rFonts w:eastAsia="Times New Roman"/>
          <w:bCs/>
        </w:rPr>
        <w:t>adjustment</w:t>
      </w:r>
      <w:r w:rsidR="00A40AEE">
        <w:rPr>
          <w:rFonts w:eastAsia="Times New Roman"/>
          <w:bCs/>
        </w:rPr>
        <w:t>,</w:t>
      </w:r>
      <w:r w:rsidR="00A40AEE" w:rsidRPr="00447EDA">
        <w:rPr>
          <w:rFonts w:eastAsia="Times New Roman"/>
          <w:bCs/>
        </w:rPr>
        <w:t xml:space="preserve"> we found that r</w:t>
      </w:r>
      <w:r w:rsidR="00A40AEE" w:rsidRPr="00447EDA">
        <w:t>elative</w:t>
      </w:r>
      <w:r w:rsidR="00A40AEE">
        <w:t xml:space="preserve"> </w:t>
      </w:r>
      <w:r w:rsidR="00FB3916">
        <w:t xml:space="preserve">to </w:t>
      </w:r>
      <w:r w:rsidR="008D0CFF">
        <w:t>pts.</w:t>
      </w:r>
      <w:r w:rsidR="00FB3916">
        <w:t xml:space="preserve"> who remained on OAC, </w:t>
      </w:r>
      <w:r w:rsidR="000C3673">
        <w:t>those</w:t>
      </w:r>
      <w:r w:rsidR="008D0CFF">
        <w:t xml:space="preserve"> </w:t>
      </w:r>
      <w:r w:rsidR="00DF23ED">
        <w:t xml:space="preserve">who </w:t>
      </w:r>
      <w:r w:rsidR="00D544F0">
        <w:t>discontinued</w:t>
      </w:r>
      <w:r w:rsidR="005B55C7">
        <w:t xml:space="preserve"> </w:t>
      </w:r>
      <w:r w:rsidR="0029392B">
        <w:t xml:space="preserve">had </w:t>
      </w:r>
      <w:r w:rsidR="001628BA">
        <w:t xml:space="preserve">a </w:t>
      </w:r>
      <w:r w:rsidR="0029392B">
        <w:t xml:space="preserve">significantly </w:t>
      </w:r>
      <w:r w:rsidR="00AA5208">
        <w:t xml:space="preserve">increased risk </w:t>
      </w:r>
      <w:r w:rsidR="00AA5208">
        <w:rPr>
          <w:color w:val="000000" w:themeColor="text1"/>
        </w:rPr>
        <w:t>for all endpoint-events</w:t>
      </w:r>
      <w:r w:rsidR="00DF23ED" w:rsidRPr="00A502CC">
        <w:rPr>
          <w:color w:val="000000" w:themeColor="text1"/>
        </w:rPr>
        <w:t xml:space="preserve"> (p&lt;0</w:t>
      </w:r>
      <w:r w:rsidR="00C569E0">
        <w:rPr>
          <w:color w:val="000000" w:themeColor="text1"/>
        </w:rPr>
        <w:t>.</w:t>
      </w:r>
      <w:r w:rsidR="00DF23ED" w:rsidRPr="00A502CC">
        <w:rPr>
          <w:color w:val="000000" w:themeColor="text1"/>
        </w:rPr>
        <w:t>001)</w:t>
      </w:r>
      <w:r w:rsidR="00923B5B" w:rsidRPr="00A502CC">
        <w:rPr>
          <w:color w:val="000000" w:themeColor="text1"/>
        </w:rPr>
        <w:t xml:space="preserve">: </w:t>
      </w:r>
      <w:r w:rsidR="00923B5B" w:rsidRPr="009D673C">
        <w:t>death/</w:t>
      </w:r>
      <w:r w:rsidR="00151043" w:rsidRPr="009D673C">
        <w:rPr>
          <w:color w:val="000000" w:themeColor="text1"/>
        </w:rPr>
        <w:t>NHS+SE</w:t>
      </w:r>
      <w:r w:rsidR="006317D8">
        <w:rPr>
          <w:color w:val="000000" w:themeColor="text1"/>
        </w:rPr>
        <w:t>/</w:t>
      </w:r>
      <w:r w:rsidR="00923B5B" w:rsidRPr="009D673C">
        <w:rPr>
          <w:color w:val="000000" w:themeColor="text1"/>
        </w:rPr>
        <w:t>MI</w:t>
      </w:r>
      <w:r w:rsidR="00151043" w:rsidRPr="009D673C">
        <w:rPr>
          <w:color w:val="000000" w:themeColor="text1"/>
        </w:rPr>
        <w:t>, death/ NHS+SE</w:t>
      </w:r>
      <w:r w:rsidR="00923B5B" w:rsidRPr="009D673C">
        <w:rPr>
          <w:color w:val="000000" w:themeColor="text1"/>
        </w:rPr>
        <w:t xml:space="preserve">, death, </w:t>
      </w:r>
      <w:r w:rsidR="00151043" w:rsidRPr="009D673C">
        <w:rPr>
          <w:color w:val="000000" w:themeColor="text1"/>
        </w:rPr>
        <w:t>NHS+SE</w:t>
      </w:r>
      <w:r w:rsidR="006317D8">
        <w:rPr>
          <w:color w:val="000000" w:themeColor="text1"/>
        </w:rPr>
        <w:t xml:space="preserve"> and </w:t>
      </w:r>
      <w:r w:rsidR="00923B5B" w:rsidRPr="009D673C">
        <w:rPr>
          <w:color w:val="000000" w:themeColor="text1"/>
        </w:rPr>
        <w:t>MI</w:t>
      </w:r>
      <w:r w:rsidR="00923B5B">
        <w:rPr>
          <w:color w:val="000000" w:themeColor="text1"/>
        </w:rPr>
        <w:t xml:space="preserve"> (</w:t>
      </w:r>
      <w:r w:rsidR="00CE2979">
        <w:rPr>
          <w:color w:val="000000" w:themeColor="text1"/>
        </w:rPr>
        <w:t>Fig.</w:t>
      </w:r>
      <w:r w:rsidR="000550EF">
        <w:rPr>
          <w:color w:val="000000" w:themeColor="text1"/>
        </w:rPr>
        <w:t xml:space="preserve"> </w:t>
      </w:r>
      <w:r w:rsidR="00763440">
        <w:rPr>
          <w:color w:val="000000" w:themeColor="text1"/>
        </w:rPr>
        <w:t>1</w:t>
      </w:r>
      <w:r w:rsidR="00A40AEE">
        <w:rPr>
          <w:color w:val="000000" w:themeColor="text1"/>
        </w:rPr>
        <w:t>A</w:t>
      </w:r>
      <w:r w:rsidR="00923B5B">
        <w:rPr>
          <w:color w:val="000000" w:themeColor="text1"/>
        </w:rPr>
        <w:t>)</w:t>
      </w:r>
      <w:r w:rsidR="00BF08E5">
        <w:rPr>
          <w:color w:val="000000" w:themeColor="text1"/>
        </w:rPr>
        <w:t>. Th</w:t>
      </w:r>
      <w:r w:rsidR="00C569E0">
        <w:rPr>
          <w:color w:val="000000" w:themeColor="text1"/>
        </w:rPr>
        <w:t>e</w:t>
      </w:r>
      <w:r w:rsidR="00BF08E5">
        <w:rPr>
          <w:color w:val="000000" w:themeColor="text1"/>
        </w:rPr>
        <w:t xml:space="preserve">se results were </w:t>
      </w:r>
      <w:r w:rsidR="00B964CF">
        <w:rPr>
          <w:color w:val="000000" w:themeColor="text1"/>
        </w:rPr>
        <w:t xml:space="preserve">confirmed </w:t>
      </w:r>
      <w:r w:rsidR="000550EF">
        <w:rPr>
          <w:color w:val="000000" w:themeColor="text1"/>
        </w:rPr>
        <w:t xml:space="preserve">by sensitivity analyses </w:t>
      </w:r>
      <w:r w:rsidR="00C569E0">
        <w:rPr>
          <w:color w:val="000000" w:themeColor="text1"/>
        </w:rPr>
        <w:t xml:space="preserve">among </w:t>
      </w:r>
      <w:r w:rsidR="008D0CFF">
        <w:t xml:space="preserve">pts. </w:t>
      </w:r>
      <w:r w:rsidR="00C569E0">
        <w:rPr>
          <w:color w:val="000000" w:themeColor="text1"/>
        </w:rPr>
        <w:t xml:space="preserve">who </w:t>
      </w:r>
      <w:r w:rsidR="00B964CF">
        <w:rPr>
          <w:color w:val="000000" w:themeColor="text1"/>
        </w:rPr>
        <w:t>did not restart</w:t>
      </w:r>
      <w:r w:rsidR="00752E71">
        <w:rPr>
          <w:color w:val="000000" w:themeColor="text1"/>
        </w:rPr>
        <w:t xml:space="preserve"> </w:t>
      </w:r>
      <w:r w:rsidR="006C3C30">
        <w:rPr>
          <w:color w:val="000000" w:themeColor="text1"/>
        </w:rPr>
        <w:t xml:space="preserve">any </w:t>
      </w:r>
      <w:r w:rsidR="00752E71">
        <w:rPr>
          <w:color w:val="000000" w:themeColor="text1"/>
        </w:rPr>
        <w:t>OAC</w:t>
      </w:r>
      <w:r w:rsidR="00A40AEE">
        <w:rPr>
          <w:color w:val="000000" w:themeColor="text1"/>
        </w:rPr>
        <w:t xml:space="preserve"> (Fig. 1B</w:t>
      </w:r>
      <w:r w:rsidR="00CE2979">
        <w:rPr>
          <w:color w:val="000000" w:themeColor="text1"/>
        </w:rPr>
        <w:t>)</w:t>
      </w:r>
      <w:r w:rsidR="00752E71">
        <w:rPr>
          <w:color w:val="000000" w:themeColor="text1"/>
        </w:rPr>
        <w:t xml:space="preserve">, </w:t>
      </w:r>
      <w:r w:rsidR="00C569E0">
        <w:rPr>
          <w:color w:val="000000" w:themeColor="text1"/>
        </w:rPr>
        <w:t xml:space="preserve">and </w:t>
      </w:r>
      <w:r w:rsidR="00B07E9F">
        <w:rPr>
          <w:color w:val="000000" w:themeColor="text1"/>
        </w:rPr>
        <w:t xml:space="preserve">when a 30-day window was used. </w:t>
      </w:r>
      <w:r w:rsidR="00CE2979">
        <w:rPr>
          <w:color w:val="000000" w:themeColor="text1"/>
        </w:rPr>
        <w:t>(Fig.</w:t>
      </w:r>
      <w:r w:rsidR="000550EF">
        <w:rPr>
          <w:color w:val="000000" w:themeColor="text1"/>
        </w:rPr>
        <w:t xml:space="preserve"> 1</w:t>
      </w:r>
      <w:r w:rsidR="00A40AEE">
        <w:rPr>
          <w:color w:val="000000" w:themeColor="text1"/>
        </w:rPr>
        <w:t>C</w:t>
      </w:r>
      <w:r w:rsidR="003E5BD3">
        <w:rPr>
          <w:color w:val="000000" w:themeColor="text1"/>
        </w:rPr>
        <w:t>)</w:t>
      </w:r>
      <w:r w:rsidR="00752E71">
        <w:rPr>
          <w:color w:val="000000" w:themeColor="text1"/>
        </w:rPr>
        <w:t>.</w:t>
      </w:r>
      <w:r w:rsidR="001628BA">
        <w:rPr>
          <w:b/>
        </w:rPr>
        <w:t xml:space="preserve"> </w:t>
      </w:r>
    </w:p>
    <w:p w14:paraId="3304E42C" w14:textId="18D5DC59" w:rsidR="00752E71" w:rsidRDefault="00BE6E07" w:rsidP="00752E71">
      <w:pPr>
        <w:jc w:val="both"/>
      </w:pPr>
      <w:r w:rsidRPr="00F62FD7">
        <w:rPr>
          <w:b/>
        </w:rPr>
        <w:t>Conclusion</w:t>
      </w:r>
      <w:r w:rsidR="00752E71">
        <w:t>:</w:t>
      </w:r>
      <w:r w:rsidR="00C569E0">
        <w:t xml:space="preserve"> </w:t>
      </w:r>
      <w:r w:rsidR="00DF56E7">
        <w:t xml:space="preserve">The rate of discontinuation in this study was 9.5% over a 2-year follow-up. </w:t>
      </w:r>
      <w:r w:rsidR="00752E71">
        <w:t xml:space="preserve">When </w:t>
      </w:r>
      <w:r w:rsidR="00172F65">
        <w:t>OAC</w:t>
      </w:r>
      <w:r w:rsidR="00AA5208">
        <w:t xml:space="preserve"> was stopped for at least</w:t>
      </w:r>
      <w:r w:rsidR="00752E71">
        <w:t xml:space="preserve"> 7 days, the clinical outcome was significantly worse, </w:t>
      </w:r>
      <w:r w:rsidR="00AA5208">
        <w:t>including</w:t>
      </w:r>
      <w:r w:rsidR="001628BA">
        <w:t xml:space="preserve"> a </w:t>
      </w:r>
      <w:r w:rsidR="00752E71">
        <w:t>higher chance of dying, w</w:t>
      </w:r>
      <w:r w:rsidR="00763440">
        <w:t>h</w:t>
      </w:r>
      <w:r w:rsidR="00752E71">
        <w:t xml:space="preserve">ether or not OAC </w:t>
      </w:r>
      <w:r w:rsidR="005E6158">
        <w:t xml:space="preserve">was restarted </w:t>
      </w:r>
      <w:r w:rsidR="00752E71">
        <w:lastRenderedPageBreak/>
        <w:t xml:space="preserve">afterwards. </w:t>
      </w:r>
      <w:r w:rsidR="00CB0F30">
        <w:t xml:space="preserve">These results </w:t>
      </w:r>
      <w:r w:rsidR="000550EF">
        <w:t>imply</w:t>
      </w:r>
      <w:r w:rsidR="00CB0F30">
        <w:t xml:space="preserve"> </w:t>
      </w:r>
      <w:r w:rsidR="001628BA">
        <w:t xml:space="preserve">that </w:t>
      </w:r>
      <w:r w:rsidR="00CB0F30">
        <w:t xml:space="preserve">care should be taken when considering permanent discontinuation </w:t>
      </w:r>
      <w:r w:rsidR="00C569E0">
        <w:t xml:space="preserve">of </w:t>
      </w:r>
      <w:r w:rsidR="00CB0F30">
        <w:t xml:space="preserve">OAC treatment in </w:t>
      </w:r>
      <w:r w:rsidR="00AA5208">
        <w:t>pts. with AF</w:t>
      </w:r>
      <w:r w:rsidR="00CB0F30">
        <w:t>.</w:t>
      </w:r>
    </w:p>
    <w:p w14:paraId="191C2F53" w14:textId="77777777" w:rsidR="00430295" w:rsidRDefault="00031C9D">
      <w:r>
        <w:t xml:space="preserve">Figure </w:t>
      </w:r>
      <w:r w:rsidR="00E22DF6">
        <w:t>1</w:t>
      </w:r>
      <w:r>
        <w:t xml:space="preserve">. </w:t>
      </w:r>
      <w:r w:rsidR="005C00DC">
        <w:t>Adjusted h</w:t>
      </w:r>
      <w:r w:rsidR="00D21009">
        <w:t xml:space="preserve">azard ratios of patients that discontinued OAC </w:t>
      </w:r>
      <w:r w:rsidR="00430295">
        <w:t xml:space="preserve"> </w:t>
      </w:r>
    </w:p>
    <w:p w14:paraId="3A38BC44" w14:textId="77777777" w:rsidR="00A40AEE" w:rsidRDefault="00A40AEE" w:rsidP="005C00DC">
      <w:pPr>
        <w:pStyle w:val="Text"/>
        <w:rPr>
          <w:rFonts w:ascii="Times New Roman" w:hAnsi="Times New Roman"/>
          <w:b/>
          <w:sz w:val="20"/>
          <w:lang w:val="en-US"/>
        </w:rPr>
      </w:pPr>
    </w:p>
    <w:p w14:paraId="61E107CF" w14:textId="365B807B" w:rsidR="00A40AEE" w:rsidRDefault="00A40AEE" w:rsidP="005C00DC">
      <w:pPr>
        <w:pStyle w:val="Text"/>
        <w:rPr>
          <w:rFonts w:ascii="Times New Roman" w:hAnsi="Times New Roman"/>
          <w:b/>
          <w:sz w:val="20"/>
          <w:lang w:val="en-US"/>
        </w:rPr>
      </w:pPr>
      <w:r>
        <w:rPr>
          <w:rFonts w:ascii="Times New Roman" w:hAnsi="Times New Roman"/>
          <w:b/>
          <w:noProof/>
          <w:sz w:val="20"/>
          <w:lang w:val="nl-BE" w:eastAsia="nl-BE"/>
        </w:rPr>
        <w:drawing>
          <wp:inline distT="0" distB="0" distL="0" distR="0" wp14:anchorId="6F5CBFC1" wp14:editId="5753D800">
            <wp:extent cx="5164518" cy="3686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est_Discontinuation resized for abstrac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3626" cy="3699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BA9892" w14:textId="1D2798AF" w:rsidR="001054C7" w:rsidRDefault="001054C7">
      <w:bookmarkStart w:id="0" w:name="_GoBack"/>
      <w:bookmarkEnd w:id="0"/>
    </w:p>
    <w:sectPr w:rsidR="001054C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80435"/>
    <w:multiLevelType w:val="hybridMultilevel"/>
    <w:tmpl w:val="CF941538"/>
    <w:lvl w:ilvl="0" w:tplc="BF8AB84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263690"/>
    <w:multiLevelType w:val="hybridMultilevel"/>
    <w:tmpl w:val="F1A4C2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yMzEztzQ2MTG2NDdX0lEKTi0uzszPAykwrAUAwrDaNSwAAAA="/>
  </w:docVars>
  <w:rsids>
    <w:rsidRoot w:val="00BE6E07"/>
    <w:rsid w:val="000127AA"/>
    <w:rsid w:val="00014E83"/>
    <w:rsid w:val="000263D5"/>
    <w:rsid w:val="0002739A"/>
    <w:rsid w:val="00031C9D"/>
    <w:rsid w:val="000550EF"/>
    <w:rsid w:val="00066024"/>
    <w:rsid w:val="000A41BB"/>
    <w:rsid w:val="000B0B28"/>
    <w:rsid w:val="000C3673"/>
    <w:rsid w:val="000C6C6B"/>
    <w:rsid w:val="000E39F8"/>
    <w:rsid w:val="000E4DB7"/>
    <w:rsid w:val="00101AA6"/>
    <w:rsid w:val="00104BEA"/>
    <w:rsid w:val="001054C7"/>
    <w:rsid w:val="00151043"/>
    <w:rsid w:val="0015133C"/>
    <w:rsid w:val="001628BA"/>
    <w:rsid w:val="00172F65"/>
    <w:rsid w:val="001A3993"/>
    <w:rsid w:val="001B3198"/>
    <w:rsid w:val="001E2F61"/>
    <w:rsid w:val="001F0749"/>
    <w:rsid w:val="0022752E"/>
    <w:rsid w:val="00245D5B"/>
    <w:rsid w:val="00253792"/>
    <w:rsid w:val="0029392B"/>
    <w:rsid w:val="002B6959"/>
    <w:rsid w:val="002D506F"/>
    <w:rsid w:val="002F2417"/>
    <w:rsid w:val="00352AB3"/>
    <w:rsid w:val="00363AEA"/>
    <w:rsid w:val="0038618F"/>
    <w:rsid w:val="003874D6"/>
    <w:rsid w:val="003E5BD3"/>
    <w:rsid w:val="004109BA"/>
    <w:rsid w:val="00430295"/>
    <w:rsid w:val="004A6113"/>
    <w:rsid w:val="004A77A6"/>
    <w:rsid w:val="005309C5"/>
    <w:rsid w:val="0053195B"/>
    <w:rsid w:val="005377F0"/>
    <w:rsid w:val="00543C03"/>
    <w:rsid w:val="005453E0"/>
    <w:rsid w:val="00552776"/>
    <w:rsid w:val="0058394A"/>
    <w:rsid w:val="005B55C7"/>
    <w:rsid w:val="005B7C57"/>
    <w:rsid w:val="005C00DC"/>
    <w:rsid w:val="005C301C"/>
    <w:rsid w:val="005E6158"/>
    <w:rsid w:val="005F51E0"/>
    <w:rsid w:val="006211B7"/>
    <w:rsid w:val="006317D8"/>
    <w:rsid w:val="00655A5D"/>
    <w:rsid w:val="0065791A"/>
    <w:rsid w:val="00676E27"/>
    <w:rsid w:val="006A4E9A"/>
    <w:rsid w:val="006C276F"/>
    <w:rsid w:val="006C3C30"/>
    <w:rsid w:val="006D1126"/>
    <w:rsid w:val="006D7071"/>
    <w:rsid w:val="00704CEA"/>
    <w:rsid w:val="007104A3"/>
    <w:rsid w:val="00711D64"/>
    <w:rsid w:val="00715FDC"/>
    <w:rsid w:val="00726EA5"/>
    <w:rsid w:val="007510F9"/>
    <w:rsid w:val="007529C3"/>
    <w:rsid w:val="00752E71"/>
    <w:rsid w:val="0075319C"/>
    <w:rsid w:val="00763440"/>
    <w:rsid w:val="0077013B"/>
    <w:rsid w:val="00782560"/>
    <w:rsid w:val="007878B7"/>
    <w:rsid w:val="007957DA"/>
    <w:rsid w:val="007B7F29"/>
    <w:rsid w:val="007C66B6"/>
    <w:rsid w:val="00802252"/>
    <w:rsid w:val="00843C68"/>
    <w:rsid w:val="00885D79"/>
    <w:rsid w:val="008941BC"/>
    <w:rsid w:val="008A2F5B"/>
    <w:rsid w:val="008A7C43"/>
    <w:rsid w:val="008D0CFF"/>
    <w:rsid w:val="00923B5B"/>
    <w:rsid w:val="00943281"/>
    <w:rsid w:val="009A4B24"/>
    <w:rsid w:val="009D11EC"/>
    <w:rsid w:val="009D673C"/>
    <w:rsid w:val="00A04CCD"/>
    <w:rsid w:val="00A05B8B"/>
    <w:rsid w:val="00A15FBF"/>
    <w:rsid w:val="00A161BE"/>
    <w:rsid w:val="00A31395"/>
    <w:rsid w:val="00A40AEE"/>
    <w:rsid w:val="00A502CC"/>
    <w:rsid w:val="00A64C7A"/>
    <w:rsid w:val="00A74103"/>
    <w:rsid w:val="00A76A5F"/>
    <w:rsid w:val="00AA5208"/>
    <w:rsid w:val="00AB0408"/>
    <w:rsid w:val="00AC36ED"/>
    <w:rsid w:val="00AF2A80"/>
    <w:rsid w:val="00B02011"/>
    <w:rsid w:val="00B07E9F"/>
    <w:rsid w:val="00B67665"/>
    <w:rsid w:val="00B964CF"/>
    <w:rsid w:val="00BA4916"/>
    <w:rsid w:val="00BB365A"/>
    <w:rsid w:val="00BC7FC5"/>
    <w:rsid w:val="00BE1C26"/>
    <w:rsid w:val="00BE6E07"/>
    <w:rsid w:val="00BF08E5"/>
    <w:rsid w:val="00C06009"/>
    <w:rsid w:val="00C364EA"/>
    <w:rsid w:val="00C54FE9"/>
    <w:rsid w:val="00C569E0"/>
    <w:rsid w:val="00C6010D"/>
    <w:rsid w:val="00C662FB"/>
    <w:rsid w:val="00C71AEF"/>
    <w:rsid w:val="00CB0F30"/>
    <w:rsid w:val="00CB5800"/>
    <w:rsid w:val="00CC5F13"/>
    <w:rsid w:val="00CD6DA3"/>
    <w:rsid w:val="00CE2979"/>
    <w:rsid w:val="00CF244B"/>
    <w:rsid w:val="00D21009"/>
    <w:rsid w:val="00D37978"/>
    <w:rsid w:val="00D425BE"/>
    <w:rsid w:val="00D46459"/>
    <w:rsid w:val="00D46DFC"/>
    <w:rsid w:val="00D544F0"/>
    <w:rsid w:val="00D71A8C"/>
    <w:rsid w:val="00D82D7F"/>
    <w:rsid w:val="00D85CC3"/>
    <w:rsid w:val="00D9022B"/>
    <w:rsid w:val="00DB667B"/>
    <w:rsid w:val="00DB69DF"/>
    <w:rsid w:val="00DF1194"/>
    <w:rsid w:val="00DF23ED"/>
    <w:rsid w:val="00DF56E7"/>
    <w:rsid w:val="00E22DF6"/>
    <w:rsid w:val="00E3566F"/>
    <w:rsid w:val="00E945FC"/>
    <w:rsid w:val="00EB22CA"/>
    <w:rsid w:val="00F5214A"/>
    <w:rsid w:val="00F62FD7"/>
    <w:rsid w:val="00FB3916"/>
    <w:rsid w:val="00FD31B6"/>
    <w:rsid w:val="00FE3133"/>
    <w:rsid w:val="00FE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16F9CE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nhideWhenUsed/>
  </w:style>
  <w:style w:type="character" w:customStyle="1" w:styleId="CommentTextChar">
    <w:name w:val="Comment Text Char"/>
    <w:basedOn w:val="DefaultParagraphFont"/>
    <w:link w:val="CommentText"/>
    <w:locked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Lucida Grande" w:hAnsi="Lucida Grande" w:cs="Lucida Grande" w:hint="default"/>
      <w:sz w:val="18"/>
      <w:szCs w:val="18"/>
      <w:lang w:eastAsia="en-US"/>
    </w:rPr>
  </w:style>
  <w:style w:type="character" w:styleId="CommentReference">
    <w:name w:val="annotation reference"/>
    <w:basedOn w:val="DefaultParagraphFont"/>
    <w:unhideWhenUsed/>
    <w:rPr>
      <w:sz w:val="18"/>
      <w:szCs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A3993"/>
    <w:rPr>
      <w:sz w:val="24"/>
      <w:szCs w:val="24"/>
      <w:lang w:eastAsia="en-US"/>
    </w:rPr>
  </w:style>
  <w:style w:type="paragraph" w:customStyle="1" w:styleId="Instructions">
    <w:name w:val="Instructions"/>
    <w:basedOn w:val="Normal"/>
    <w:next w:val="Text"/>
    <w:link w:val="InstructionsChar"/>
    <w:rsid w:val="00DF1194"/>
    <w:pPr>
      <w:spacing w:line="360" w:lineRule="auto"/>
    </w:pPr>
    <w:rPr>
      <w:rFonts w:ascii="Arial" w:eastAsia="Times New Roman" w:hAnsi="Arial" w:cs="Arial"/>
      <w:bCs/>
      <w:i/>
      <w:iCs/>
      <w:sz w:val="20"/>
      <w:szCs w:val="20"/>
      <w:lang w:eastAsia="en-GB"/>
    </w:rPr>
  </w:style>
  <w:style w:type="paragraph" w:customStyle="1" w:styleId="Text">
    <w:name w:val="Text"/>
    <w:basedOn w:val="Normal"/>
    <w:link w:val="TextChar"/>
    <w:rsid w:val="00DF1194"/>
    <w:pPr>
      <w:spacing w:line="360" w:lineRule="auto"/>
    </w:pPr>
    <w:rPr>
      <w:rFonts w:ascii="Arial" w:eastAsia="Times New Roman" w:hAnsi="Arial"/>
      <w:sz w:val="22"/>
      <w:szCs w:val="20"/>
    </w:rPr>
  </w:style>
  <w:style w:type="character" w:customStyle="1" w:styleId="InstructionsChar">
    <w:name w:val="Instructions Char"/>
    <w:basedOn w:val="DefaultParagraphFont"/>
    <w:link w:val="Instructions"/>
    <w:rsid w:val="00DF1194"/>
    <w:rPr>
      <w:rFonts w:ascii="Arial" w:eastAsia="Times New Roman" w:hAnsi="Arial" w:cs="Arial"/>
      <w:bCs/>
      <w:i/>
      <w:iCs/>
      <w:lang w:eastAsia="en-GB"/>
    </w:rPr>
  </w:style>
  <w:style w:type="character" w:customStyle="1" w:styleId="TextChar">
    <w:name w:val="Text Char"/>
    <w:basedOn w:val="DefaultParagraphFont"/>
    <w:link w:val="Text"/>
    <w:rsid w:val="00DF1194"/>
    <w:rPr>
      <w:rFonts w:ascii="Arial" w:eastAsia="Times New Roman" w:hAnsi="Arial"/>
      <w:sz w:val="22"/>
      <w:lang w:eastAsia="en-US"/>
    </w:rPr>
  </w:style>
  <w:style w:type="character" w:styleId="Emphasis">
    <w:name w:val="Emphasis"/>
    <w:basedOn w:val="DefaultParagraphFont"/>
    <w:uiPriority w:val="20"/>
    <w:qFormat/>
    <w:rsid w:val="00A76A5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54FE9"/>
    <w:pPr>
      <w:spacing w:before="100" w:beforeAutospacing="1" w:after="100" w:afterAutospacing="1"/>
    </w:pPr>
    <w:rPr>
      <w:rFonts w:eastAsia="Times New Roman"/>
      <w:lang w:eastAsia="en-GB"/>
    </w:rPr>
  </w:style>
  <w:style w:type="paragraph" w:styleId="ListParagraph">
    <w:name w:val="List Paragraph"/>
    <w:basedOn w:val="Normal"/>
    <w:uiPriority w:val="34"/>
    <w:qFormat/>
    <w:rsid w:val="00AF2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5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els sorteren"/>
</file>

<file path=customXml/itemProps1.xml><?xml version="1.0" encoding="utf-8"?>
<ds:datastoreItem xmlns:ds="http://schemas.openxmlformats.org/officeDocument/2006/customXml" ds:itemID="{C2F90F16-FCC7-480E-8B02-904BF088C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Frank's Heart Institution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Cools</dc:creator>
  <cp:keywords/>
  <dc:description/>
  <cp:lastModifiedBy>John Camm</cp:lastModifiedBy>
  <cp:revision>2</cp:revision>
  <cp:lastPrinted>2018-07-30T20:44:00Z</cp:lastPrinted>
  <dcterms:created xsi:type="dcterms:W3CDTF">2019-09-06T17:32:00Z</dcterms:created>
  <dcterms:modified xsi:type="dcterms:W3CDTF">2019-09-06T17:32:00Z</dcterms:modified>
</cp:coreProperties>
</file>