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9C03E" w14:textId="77777777" w:rsidR="00445DDF" w:rsidRPr="0020759F" w:rsidRDefault="00445DDF" w:rsidP="00541593">
      <w:pPr>
        <w:jc w:val="center"/>
        <w:rPr>
          <w:b/>
          <w:sz w:val="44"/>
        </w:rPr>
      </w:pPr>
      <w:r w:rsidRPr="0020759F">
        <w:rPr>
          <w:b/>
          <w:sz w:val="44"/>
        </w:rPr>
        <w:t>Prescription of antiepileptic medicines including valproate in pregnant women:</w:t>
      </w:r>
    </w:p>
    <w:p w14:paraId="14F0ECC2" w14:textId="77777777" w:rsidR="00445DDF" w:rsidRPr="0020759F" w:rsidRDefault="00445DDF" w:rsidP="00541593">
      <w:pPr>
        <w:jc w:val="center"/>
        <w:rPr>
          <w:b/>
          <w:sz w:val="44"/>
        </w:rPr>
      </w:pPr>
      <w:r w:rsidRPr="0020759F">
        <w:rPr>
          <w:b/>
          <w:sz w:val="44"/>
        </w:rPr>
        <w:t xml:space="preserve"> a study in three European countries</w:t>
      </w:r>
    </w:p>
    <w:p w14:paraId="79B786F8" w14:textId="77777777" w:rsidR="00445DDF" w:rsidRPr="0020759F" w:rsidRDefault="00445DDF" w:rsidP="00541593">
      <w:pPr>
        <w:jc w:val="center"/>
        <w:rPr>
          <w:sz w:val="32"/>
        </w:rPr>
      </w:pPr>
      <w:r w:rsidRPr="0020759F">
        <w:rPr>
          <w:sz w:val="32"/>
        </w:rPr>
        <w:t>SHORT RUNNING TITLE – Antiepileptic medicines in European pregnant women</w:t>
      </w:r>
    </w:p>
    <w:p w14:paraId="10C1D6A7" w14:textId="77777777" w:rsidR="00445DDF" w:rsidRPr="0020759F" w:rsidRDefault="00445DDF"/>
    <w:p w14:paraId="77547033" w14:textId="77777777" w:rsidR="00445DDF" w:rsidRPr="0020759F" w:rsidRDefault="00445DDF" w:rsidP="00541593">
      <w:pPr>
        <w:jc w:val="center"/>
        <w:rPr>
          <w:sz w:val="24"/>
          <w:szCs w:val="24"/>
        </w:rPr>
      </w:pPr>
      <w:r w:rsidRPr="0020759F">
        <w:rPr>
          <w:sz w:val="24"/>
          <w:szCs w:val="24"/>
        </w:rPr>
        <w:t>Caroline Hurault-Delarue</w:t>
      </w:r>
      <w:r w:rsidRPr="0020759F">
        <w:rPr>
          <w:sz w:val="24"/>
          <w:szCs w:val="24"/>
          <w:vertAlign w:val="superscript"/>
        </w:rPr>
        <w:t>1*</w:t>
      </w:r>
      <w:r w:rsidRPr="0020759F">
        <w:rPr>
          <w:sz w:val="24"/>
          <w:szCs w:val="24"/>
        </w:rPr>
        <w:t>, Joan K Morris</w:t>
      </w:r>
      <w:r w:rsidRPr="0020759F">
        <w:rPr>
          <w:sz w:val="24"/>
          <w:szCs w:val="24"/>
          <w:vertAlign w:val="superscript"/>
        </w:rPr>
        <w:t>2*</w:t>
      </w:r>
      <w:r w:rsidRPr="0020759F">
        <w:rPr>
          <w:sz w:val="24"/>
          <w:szCs w:val="24"/>
        </w:rPr>
        <w:t>, Rachel Charlton</w:t>
      </w:r>
      <w:r w:rsidRPr="0020759F">
        <w:rPr>
          <w:sz w:val="24"/>
          <w:szCs w:val="24"/>
          <w:vertAlign w:val="superscript"/>
        </w:rPr>
        <w:t>3</w:t>
      </w:r>
      <w:r w:rsidRPr="0020759F">
        <w:rPr>
          <w:sz w:val="24"/>
          <w:szCs w:val="24"/>
        </w:rPr>
        <w:t>,  Rosa Gini</w:t>
      </w:r>
      <w:r w:rsidRPr="0020759F">
        <w:rPr>
          <w:sz w:val="24"/>
          <w:szCs w:val="24"/>
          <w:vertAlign w:val="superscript"/>
        </w:rPr>
        <w:t>4</w:t>
      </w:r>
      <w:r w:rsidRPr="0020759F">
        <w:rPr>
          <w:sz w:val="24"/>
          <w:szCs w:val="24"/>
        </w:rPr>
        <w:t>, Maria Loane</w:t>
      </w:r>
      <w:r w:rsidRPr="0020759F">
        <w:rPr>
          <w:sz w:val="24"/>
          <w:szCs w:val="24"/>
          <w:vertAlign w:val="superscript"/>
        </w:rPr>
        <w:t>5</w:t>
      </w:r>
      <w:r w:rsidRPr="0020759F">
        <w:rPr>
          <w:sz w:val="24"/>
          <w:szCs w:val="24"/>
        </w:rPr>
        <w:t>, Anna Pierini</w:t>
      </w:r>
      <w:r w:rsidRPr="0020759F">
        <w:rPr>
          <w:sz w:val="24"/>
          <w:szCs w:val="24"/>
          <w:vertAlign w:val="superscript"/>
        </w:rPr>
        <w:t>6</w:t>
      </w:r>
      <w:r w:rsidRPr="0020759F">
        <w:rPr>
          <w:sz w:val="24"/>
          <w:szCs w:val="24"/>
        </w:rPr>
        <w:t>, Aurora Puccini</w:t>
      </w:r>
      <w:r w:rsidRPr="0020759F">
        <w:rPr>
          <w:sz w:val="24"/>
          <w:szCs w:val="24"/>
          <w:vertAlign w:val="superscript"/>
        </w:rPr>
        <w:t>7</w:t>
      </w:r>
      <w:r w:rsidRPr="0020759F">
        <w:rPr>
          <w:sz w:val="24"/>
          <w:szCs w:val="24"/>
        </w:rPr>
        <w:t>, Amanda Neville</w:t>
      </w:r>
      <w:r w:rsidRPr="0020759F">
        <w:rPr>
          <w:sz w:val="24"/>
          <w:szCs w:val="24"/>
          <w:vertAlign w:val="superscript"/>
        </w:rPr>
        <w:t>8</w:t>
      </w:r>
      <w:r w:rsidRPr="0020759F">
        <w:rPr>
          <w:sz w:val="24"/>
          <w:szCs w:val="24"/>
        </w:rPr>
        <w:t>, Julia Snowball</w:t>
      </w:r>
      <w:r w:rsidRPr="0020759F">
        <w:rPr>
          <w:sz w:val="24"/>
          <w:szCs w:val="24"/>
          <w:vertAlign w:val="superscript"/>
        </w:rPr>
        <w:t>3</w:t>
      </w:r>
      <w:r w:rsidRPr="0020759F">
        <w:rPr>
          <w:sz w:val="24"/>
          <w:szCs w:val="24"/>
        </w:rPr>
        <w:t>, Christine Damase-Michel</w:t>
      </w:r>
      <w:r w:rsidRPr="0020759F">
        <w:rPr>
          <w:sz w:val="24"/>
          <w:szCs w:val="24"/>
          <w:vertAlign w:val="superscript"/>
        </w:rPr>
        <w:t>1</w:t>
      </w:r>
      <w:r w:rsidRPr="0020759F">
        <w:rPr>
          <w:sz w:val="24"/>
          <w:szCs w:val="24"/>
        </w:rPr>
        <w:t xml:space="preserve">, on behalf of the </w:t>
      </w:r>
      <w:proofErr w:type="spellStart"/>
      <w:r w:rsidRPr="0020759F">
        <w:rPr>
          <w:sz w:val="24"/>
          <w:szCs w:val="24"/>
        </w:rPr>
        <w:t>EUROmediSAFE</w:t>
      </w:r>
      <w:proofErr w:type="spellEnd"/>
      <w:r w:rsidRPr="0020759F">
        <w:rPr>
          <w:sz w:val="24"/>
          <w:szCs w:val="24"/>
        </w:rPr>
        <w:t xml:space="preserve"> consortium</w:t>
      </w:r>
    </w:p>
    <w:p w14:paraId="7D6142D2" w14:textId="77777777" w:rsidR="00445DDF" w:rsidRPr="0020759F" w:rsidRDefault="00445DDF" w:rsidP="00541593">
      <w:pPr>
        <w:jc w:val="center"/>
        <w:rPr>
          <w:sz w:val="24"/>
          <w:szCs w:val="24"/>
        </w:rPr>
      </w:pPr>
    </w:p>
    <w:p w14:paraId="174D5A84" w14:textId="77777777" w:rsidR="00445DDF" w:rsidRPr="0020759F" w:rsidRDefault="00445DDF" w:rsidP="0024784D">
      <w:pPr>
        <w:jc w:val="both"/>
        <w:rPr>
          <w:b/>
          <w:sz w:val="24"/>
          <w:szCs w:val="24"/>
          <w:lang w:val="fr-FR"/>
        </w:rPr>
      </w:pPr>
      <w:proofErr w:type="spellStart"/>
      <w:r w:rsidRPr="0020759F">
        <w:rPr>
          <w:b/>
          <w:sz w:val="24"/>
          <w:szCs w:val="24"/>
          <w:lang w:val="fr-FR"/>
        </w:rPr>
        <w:t>Author</w:t>
      </w:r>
      <w:proofErr w:type="spellEnd"/>
      <w:r w:rsidRPr="0020759F">
        <w:rPr>
          <w:b/>
          <w:sz w:val="24"/>
          <w:szCs w:val="24"/>
          <w:lang w:val="fr-FR"/>
        </w:rPr>
        <w:t xml:space="preserve"> Affiliations: </w:t>
      </w:r>
    </w:p>
    <w:p w14:paraId="0D9646E8" w14:textId="77777777" w:rsidR="00445DDF" w:rsidRPr="0020759F" w:rsidRDefault="00445DDF" w:rsidP="0024784D">
      <w:pPr>
        <w:jc w:val="both"/>
        <w:rPr>
          <w:sz w:val="24"/>
          <w:szCs w:val="24"/>
          <w:lang w:val="fr-FR"/>
        </w:rPr>
      </w:pPr>
      <w:r w:rsidRPr="0020759F">
        <w:rPr>
          <w:sz w:val="24"/>
          <w:szCs w:val="24"/>
          <w:lang w:val="fr-FR"/>
        </w:rPr>
        <w:t xml:space="preserve">* Joint first </w:t>
      </w:r>
      <w:proofErr w:type="spellStart"/>
      <w:r w:rsidRPr="0020759F">
        <w:rPr>
          <w:sz w:val="24"/>
          <w:szCs w:val="24"/>
          <w:lang w:val="fr-FR"/>
        </w:rPr>
        <w:t>authors</w:t>
      </w:r>
      <w:proofErr w:type="spellEnd"/>
    </w:p>
    <w:p w14:paraId="592AFAA9" w14:textId="77777777" w:rsidR="00445DDF" w:rsidRPr="0020759F" w:rsidRDefault="00445DDF" w:rsidP="0024784D">
      <w:pPr>
        <w:jc w:val="both"/>
        <w:rPr>
          <w:sz w:val="24"/>
          <w:szCs w:val="24"/>
          <w:lang w:val="fr-FR"/>
        </w:rPr>
      </w:pPr>
      <w:r w:rsidRPr="0020759F">
        <w:rPr>
          <w:sz w:val="24"/>
          <w:szCs w:val="24"/>
          <w:lang w:val="fr-FR"/>
        </w:rPr>
        <w:t xml:space="preserve">1: Pharmacologie Faculté de Médecine, Université Paul-Sabatier Toulouse III, CHU Toulouse, UMR INSERM 1027, France; </w:t>
      </w:r>
    </w:p>
    <w:p w14:paraId="60DF1111" w14:textId="3EE6E69E" w:rsidR="00445DDF" w:rsidRPr="0020759F" w:rsidRDefault="00445DDF" w:rsidP="0024784D">
      <w:pPr>
        <w:jc w:val="both"/>
        <w:rPr>
          <w:sz w:val="24"/>
          <w:szCs w:val="24"/>
        </w:rPr>
      </w:pPr>
      <w:r w:rsidRPr="0020759F">
        <w:rPr>
          <w:rFonts w:eastAsia="Arial Unicode MS" w:cs="Arial"/>
          <w:sz w:val="24"/>
          <w:szCs w:val="24"/>
          <w:lang w:val="en-US"/>
        </w:rPr>
        <w:t>2</w:t>
      </w:r>
      <w:r w:rsidRPr="0020759F">
        <w:rPr>
          <w:rFonts w:eastAsia="Arial Unicode MS" w:cs="Arial"/>
          <w:sz w:val="24"/>
          <w:szCs w:val="24"/>
        </w:rPr>
        <w:t xml:space="preserve">: </w:t>
      </w:r>
      <w:r w:rsidRPr="0020759F">
        <w:rPr>
          <w:sz w:val="24"/>
          <w:szCs w:val="24"/>
        </w:rPr>
        <w:t>Population Health Research Institute, St George’s University of London, UK;</w:t>
      </w:r>
    </w:p>
    <w:p w14:paraId="689E93B0" w14:textId="77777777" w:rsidR="00445DDF" w:rsidRPr="0020759F" w:rsidRDefault="00445DDF" w:rsidP="0024784D">
      <w:pPr>
        <w:jc w:val="both"/>
        <w:rPr>
          <w:sz w:val="24"/>
          <w:szCs w:val="24"/>
        </w:rPr>
      </w:pPr>
      <w:r w:rsidRPr="0020759F">
        <w:rPr>
          <w:sz w:val="24"/>
          <w:szCs w:val="24"/>
          <w:lang w:val="en-US"/>
        </w:rPr>
        <w:t>3</w:t>
      </w:r>
      <w:r w:rsidR="00AE57B3" w:rsidRPr="0020759F">
        <w:rPr>
          <w:sz w:val="24"/>
          <w:szCs w:val="24"/>
          <w:lang w:val="en-US"/>
        </w:rPr>
        <w:t>:</w:t>
      </w:r>
      <w:r w:rsidRPr="0020759F">
        <w:rPr>
          <w:sz w:val="24"/>
          <w:szCs w:val="24"/>
          <w:lang w:val="en-US"/>
        </w:rPr>
        <w:t xml:space="preserve"> </w:t>
      </w:r>
      <w:r w:rsidRPr="0020759F">
        <w:rPr>
          <w:sz w:val="24"/>
          <w:szCs w:val="24"/>
        </w:rPr>
        <w:t xml:space="preserve">Department of Pharmacy &amp; Pharmacology, University of Bath, Bath, UK; </w:t>
      </w:r>
    </w:p>
    <w:p w14:paraId="2694B0F7" w14:textId="77777777" w:rsidR="00445DDF" w:rsidRPr="0020759F" w:rsidRDefault="00445DDF" w:rsidP="0024784D">
      <w:pPr>
        <w:jc w:val="both"/>
        <w:rPr>
          <w:rFonts w:cs="Arial"/>
          <w:sz w:val="24"/>
          <w:szCs w:val="24"/>
          <w:lang w:val="it-IT"/>
        </w:rPr>
      </w:pPr>
      <w:r w:rsidRPr="0020759F">
        <w:rPr>
          <w:sz w:val="24"/>
          <w:szCs w:val="24"/>
          <w:lang w:val="it-IT"/>
        </w:rPr>
        <w:t xml:space="preserve">4: </w:t>
      </w:r>
      <w:r w:rsidRPr="0020759F">
        <w:rPr>
          <w:rFonts w:cs="Arial"/>
          <w:sz w:val="24"/>
          <w:szCs w:val="24"/>
          <w:lang w:val="it-IT"/>
        </w:rPr>
        <w:t xml:space="preserve">Agenzia regionale di sanità della Toscana, Italy; </w:t>
      </w:r>
    </w:p>
    <w:p w14:paraId="3155A808" w14:textId="77777777" w:rsidR="00445DDF" w:rsidRPr="0020759F" w:rsidRDefault="00445DDF" w:rsidP="0024784D">
      <w:pPr>
        <w:jc w:val="both"/>
        <w:rPr>
          <w:sz w:val="24"/>
          <w:szCs w:val="24"/>
          <w:lang w:val="en-US"/>
        </w:rPr>
      </w:pPr>
      <w:r w:rsidRPr="0020759F">
        <w:rPr>
          <w:sz w:val="24"/>
          <w:szCs w:val="24"/>
          <w:lang w:val="en-US"/>
        </w:rPr>
        <w:t xml:space="preserve">5: Faculty Life &amp; Health Sciences, Ulster University, Newtownabbey, Northern Ireland; </w:t>
      </w:r>
    </w:p>
    <w:p w14:paraId="3E1C0C81" w14:textId="77777777" w:rsidR="00445DDF" w:rsidRPr="0020759F" w:rsidRDefault="00445DDF" w:rsidP="0024784D">
      <w:pPr>
        <w:jc w:val="both"/>
        <w:rPr>
          <w:rFonts w:eastAsia="Arial Unicode MS" w:cs="Arial"/>
          <w:sz w:val="24"/>
          <w:szCs w:val="24"/>
        </w:rPr>
      </w:pPr>
      <w:r w:rsidRPr="0020759F">
        <w:rPr>
          <w:rFonts w:cs="Arial"/>
          <w:sz w:val="24"/>
          <w:szCs w:val="24"/>
          <w:lang w:val="en-US"/>
        </w:rPr>
        <w:t xml:space="preserve">6: </w:t>
      </w:r>
      <w:r w:rsidRPr="0020759F">
        <w:rPr>
          <w:rFonts w:eastAsia="Arial Unicode MS" w:cs="Arial"/>
          <w:sz w:val="24"/>
          <w:szCs w:val="24"/>
        </w:rPr>
        <w:t xml:space="preserve">Institute of Clinical Physiology - National Research Council (IFC-CNR)/Fondazione Toscana “Gabriele </w:t>
      </w:r>
      <w:proofErr w:type="spellStart"/>
      <w:r w:rsidRPr="0020759F">
        <w:rPr>
          <w:rFonts w:eastAsia="Arial Unicode MS" w:cs="Arial"/>
          <w:sz w:val="24"/>
          <w:szCs w:val="24"/>
        </w:rPr>
        <w:t>Monasterio</w:t>
      </w:r>
      <w:proofErr w:type="spellEnd"/>
      <w:r w:rsidRPr="0020759F">
        <w:rPr>
          <w:rFonts w:eastAsia="Arial Unicode MS" w:cs="Arial"/>
          <w:sz w:val="24"/>
          <w:szCs w:val="24"/>
        </w:rPr>
        <w:t xml:space="preserve">”, Pisa, Italy; </w:t>
      </w:r>
    </w:p>
    <w:p w14:paraId="55188349" w14:textId="77777777" w:rsidR="00445DDF" w:rsidRPr="0020759F" w:rsidRDefault="00445DDF" w:rsidP="0024784D">
      <w:pPr>
        <w:jc w:val="both"/>
        <w:rPr>
          <w:rFonts w:cs="Arial"/>
          <w:sz w:val="24"/>
          <w:szCs w:val="24"/>
        </w:rPr>
      </w:pPr>
      <w:r w:rsidRPr="0020759F">
        <w:rPr>
          <w:rFonts w:eastAsia="Arial Unicode MS" w:cs="Arial"/>
          <w:sz w:val="24"/>
          <w:szCs w:val="24"/>
        </w:rPr>
        <w:t xml:space="preserve">7: </w:t>
      </w:r>
      <w:r w:rsidRPr="0020759F">
        <w:rPr>
          <w:rFonts w:cs="Arial"/>
          <w:sz w:val="24"/>
          <w:szCs w:val="24"/>
        </w:rPr>
        <w:t xml:space="preserve">Drug Policy Service, Emilia Romagna Region Health Authority, Bologna, Italy; </w:t>
      </w:r>
    </w:p>
    <w:p w14:paraId="287159DE" w14:textId="77777777" w:rsidR="00445DDF" w:rsidRPr="0020759F" w:rsidRDefault="00445DDF" w:rsidP="0024784D">
      <w:pPr>
        <w:jc w:val="both"/>
        <w:rPr>
          <w:rFonts w:eastAsia="Arial Unicode MS" w:cs="Arial"/>
          <w:sz w:val="24"/>
          <w:szCs w:val="24"/>
        </w:rPr>
      </w:pPr>
      <w:r w:rsidRPr="0020759F">
        <w:rPr>
          <w:rFonts w:cs="Arial"/>
          <w:sz w:val="24"/>
          <w:szCs w:val="24"/>
        </w:rPr>
        <w:t xml:space="preserve">8: </w:t>
      </w:r>
      <w:r w:rsidRPr="0020759F">
        <w:rPr>
          <w:rFonts w:eastAsia="Arial Unicode MS" w:cs="Arial"/>
          <w:sz w:val="24"/>
          <w:szCs w:val="24"/>
        </w:rPr>
        <w:t xml:space="preserve">IMER (Emilia Romagna Registry of Birth Defects), Centre for Clinical and Epidemiological Research, University of Ferrara and </w:t>
      </w:r>
      <w:proofErr w:type="spellStart"/>
      <w:r w:rsidRPr="0020759F">
        <w:rPr>
          <w:rFonts w:eastAsia="Arial Unicode MS" w:cs="Arial"/>
          <w:sz w:val="24"/>
          <w:szCs w:val="24"/>
        </w:rPr>
        <w:t>Azienda</w:t>
      </w:r>
      <w:proofErr w:type="spellEnd"/>
      <w:r w:rsidRPr="0020759F">
        <w:rPr>
          <w:rFonts w:eastAsia="Arial Unicode MS" w:cs="Arial"/>
          <w:sz w:val="24"/>
          <w:szCs w:val="24"/>
        </w:rPr>
        <w:t xml:space="preserve"> </w:t>
      </w:r>
      <w:proofErr w:type="spellStart"/>
      <w:r w:rsidRPr="0020759F">
        <w:rPr>
          <w:rFonts w:eastAsia="Arial Unicode MS" w:cs="Arial"/>
          <w:sz w:val="24"/>
          <w:szCs w:val="24"/>
        </w:rPr>
        <w:t>Ospedaliero-Universitaria</w:t>
      </w:r>
      <w:proofErr w:type="spellEnd"/>
      <w:r w:rsidRPr="0020759F">
        <w:rPr>
          <w:rFonts w:eastAsia="Arial Unicode MS" w:cs="Arial"/>
          <w:sz w:val="24"/>
          <w:szCs w:val="24"/>
        </w:rPr>
        <w:t xml:space="preserve"> di Ferrara, Ferrara, Italy; </w:t>
      </w:r>
    </w:p>
    <w:p w14:paraId="1F916507" w14:textId="77777777" w:rsidR="00445DDF" w:rsidRPr="0020759F" w:rsidRDefault="00445DDF" w:rsidP="0024784D">
      <w:pPr>
        <w:jc w:val="both"/>
        <w:rPr>
          <w:rFonts w:eastAsia="Arial Unicode MS" w:cs="Arial"/>
          <w:sz w:val="24"/>
          <w:szCs w:val="24"/>
        </w:rPr>
      </w:pPr>
    </w:p>
    <w:p w14:paraId="27DD8D0B" w14:textId="77777777" w:rsidR="00445DDF" w:rsidRPr="0020759F" w:rsidRDefault="00445DDF" w:rsidP="0024784D">
      <w:pPr>
        <w:rPr>
          <w:rFonts w:cs="Calibri"/>
          <w:bCs/>
          <w:sz w:val="24"/>
          <w:szCs w:val="24"/>
          <w:lang w:val="en-US" w:eastAsia="fr-FR"/>
        </w:rPr>
      </w:pPr>
      <w:r w:rsidRPr="0020759F">
        <w:rPr>
          <w:rFonts w:cs="Calibri"/>
          <w:bCs/>
          <w:sz w:val="24"/>
          <w:szCs w:val="24"/>
          <w:lang w:val="en-US" w:eastAsia="fr-FR"/>
        </w:rPr>
        <w:t xml:space="preserve">Corresponding author: </w:t>
      </w:r>
    </w:p>
    <w:p w14:paraId="7978AE1E" w14:textId="77777777" w:rsidR="00445DDF" w:rsidRPr="0020759F" w:rsidRDefault="00445DDF" w:rsidP="0024784D">
      <w:pPr>
        <w:rPr>
          <w:rFonts w:cs="Calibri"/>
          <w:bCs/>
          <w:sz w:val="24"/>
          <w:szCs w:val="24"/>
          <w:lang w:val="en-US" w:eastAsia="fr-FR"/>
        </w:rPr>
      </w:pPr>
      <w:r w:rsidRPr="0020759F">
        <w:rPr>
          <w:rFonts w:cs="Calibri"/>
          <w:bCs/>
          <w:sz w:val="24"/>
          <w:szCs w:val="24"/>
          <w:lang w:val="en-US" w:eastAsia="fr-FR"/>
        </w:rPr>
        <w:t>Joan Morris</w:t>
      </w:r>
    </w:p>
    <w:p w14:paraId="25BCADE9" w14:textId="77777777" w:rsidR="00445DDF" w:rsidRPr="0020759F" w:rsidRDefault="00445DDF" w:rsidP="0024784D">
      <w:pPr>
        <w:rPr>
          <w:rFonts w:cs="Calibri"/>
          <w:bCs/>
          <w:sz w:val="24"/>
          <w:szCs w:val="24"/>
          <w:lang w:val="en-US" w:eastAsia="fr-FR"/>
        </w:rPr>
      </w:pPr>
      <w:r w:rsidRPr="0020759F">
        <w:rPr>
          <w:rFonts w:cs="Calibri"/>
          <w:bCs/>
          <w:sz w:val="24"/>
          <w:szCs w:val="24"/>
          <w:lang w:val="en-US" w:eastAsia="fr-FR"/>
        </w:rPr>
        <w:t>Population Health Research Institute, St George’s, University of London, Cranmer Terrace, SW17 ORE</w:t>
      </w:r>
    </w:p>
    <w:p w14:paraId="5268849B" w14:textId="77777777" w:rsidR="00445DDF" w:rsidRPr="0020759F" w:rsidRDefault="00445DDF" w:rsidP="0024784D">
      <w:pPr>
        <w:rPr>
          <w:rFonts w:cs="Calibri"/>
          <w:bCs/>
          <w:sz w:val="24"/>
          <w:szCs w:val="24"/>
          <w:lang w:val="en-US" w:eastAsia="fr-FR"/>
        </w:rPr>
      </w:pPr>
      <w:r w:rsidRPr="0020759F">
        <w:rPr>
          <w:rFonts w:cs="Calibri"/>
          <w:bCs/>
          <w:sz w:val="24"/>
          <w:szCs w:val="24"/>
          <w:lang w:val="en-US" w:eastAsia="fr-FR"/>
        </w:rPr>
        <w:t xml:space="preserve">email: </w:t>
      </w:r>
      <w:hyperlink r:id="rId8" w:history="1">
        <w:r w:rsidRPr="0020759F">
          <w:rPr>
            <w:rStyle w:val="Hyperlink"/>
            <w:rFonts w:cs="Calibri"/>
            <w:bCs/>
            <w:color w:val="auto"/>
            <w:sz w:val="24"/>
            <w:szCs w:val="24"/>
            <w:lang w:val="en-US" w:eastAsia="fr-FR"/>
          </w:rPr>
          <w:t>jmorris@sgul.ac.uk</w:t>
        </w:r>
      </w:hyperlink>
      <w:r w:rsidRPr="0020759F">
        <w:rPr>
          <w:rFonts w:cs="Calibri"/>
          <w:bCs/>
          <w:sz w:val="24"/>
          <w:szCs w:val="24"/>
          <w:lang w:val="en-US" w:eastAsia="fr-FR"/>
        </w:rPr>
        <w:t xml:space="preserve">  phone number: +44 (0)208 725 1324</w:t>
      </w:r>
    </w:p>
    <w:p w14:paraId="0EB41AA9" w14:textId="77777777" w:rsidR="00445DDF" w:rsidRPr="0020759F" w:rsidRDefault="00445DDF" w:rsidP="0024784D">
      <w:pPr>
        <w:rPr>
          <w:rFonts w:cs="Calibri"/>
          <w:bCs/>
          <w:sz w:val="24"/>
          <w:szCs w:val="24"/>
          <w:lang w:val="en-US" w:eastAsia="fr-FR"/>
        </w:rPr>
      </w:pPr>
      <w:proofErr w:type="spellStart"/>
      <w:r w:rsidRPr="0020759F">
        <w:rPr>
          <w:rFonts w:cs="Calibri"/>
          <w:bCs/>
          <w:sz w:val="24"/>
          <w:szCs w:val="24"/>
          <w:lang w:val="en-US" w:eastAsia="fr-FR"/>
        </w:rPr>
        <w:t>Orcid</w:t>
      </w:r>
      <w:proofErr w:type="spellEnd"/>
      <w:r w:rsidRPr="0020759F">
        <w:rPr>
          <w:rFonts w:cs="Calibri"/>
          <w:bCs/>
          <w:sz w:val="24"/>
          <w:szCs w:val="24"/>
          <w:lang w:val="en-US" w:eastAsia="fr-FR"/>
        </w:rPr>
        <w:t>: 0000-0002-7164-612X</w:t>
      </w:r>
    </w:p>
    <w:p w14:paraId="2E6F6B89" w14:textId="77777777" w:rsidR="00445DDF" w:rsidRPr="0020759F" w:rsidRDefault="00445DDF" w:rsidP="0024784D">
      <w:pPr>
        <w:rPr>
          <w:rFonts w:cs="Calibri"/>
          <w:bCs/>
          <w:sz w:val="24"/>
          <w:szCs w:val="24"/>
          <w:lang w:val="en-US" w:eastAsia="fr-FR"/>
        </w:rPr>
      </w:pPr>
    </w:p>
    <w:p w14:paraId="037D2BB5" w14:textId="77777777" w:rsidR="00445DDF" w:rsidRPr="0020759F" w:rsidRDefault="00445DDF" w:rsidP="0024784D">
      <w:pPr>
        <w:rPr>
          <w:rFonts w:cs="Calibri"/>
          <w:bCs/>
          <w:sz w:val="24"/>
          <w:szCs w:val="24"/>
          <w:lang w:val="en-US" w:eastAsia="fr-FR"/>
        </w:rPr>
      </w:pPr>
      <w:r w:rsidRPr="0020759F">
        <w:rPr>
          <w:rFonts w:cs="Calibri"/>
          <w:bCs/>
          <w:sz w:val="24"/>
          <w:szCs w:val="24"/>
          <w:lang w:val="en-US" w:eastAsia="fr-FR"/>
        </w:rPr>
        <w:t>Key Words:</w:t>
      </w:r>
      <w:r w:rsidRPr="0020759F">
        <w:t xml:space="preserve"> </w:t>
      </w:r>
      <w:r w:rsidRPr="0020759F">
        <w:rPr>
          <w:rFonts w:cs="Calibri"/>
          <w:bCs/>
          <w:sz w:val="24"/>
          <w:szCs w:val="24"/>
          <w:lang w:val="en-US" w:eastAsia="fr-FR"/>
        </w:rPr>
        <w:t>Antiepileptic drugs, Pregnancy, Europe, Valproate, Linkage</w:t>
      </w:r>
    </w:p>
    <w:p w14:paraId="7402766C" w14:textId="77777777" w:rsidR="00445DDF" w:rsidRPr="0020759F" w:rsidRDefault="00445DDF" w:rsidP="00355CCA">
      <w:pPr>
        <w:spacing w:before="100" w:beforeAutospacing="1" w:after="100" w:afterAutospacing="1" w:line="360" w:lineRule="auto"/>
        <w:rPr>
          <w:rFonts w:cs="Calibri"/>
          <w:bCs/>
          <w:sz w:val="24"/>
          <w:szCs w:val="24"/>
          <w:lang w:val="en-US" w:eastAsia="fr-FR"/>
        </w:rPr>
      </w:pPr>
      <w:r w:rsidRPr="0020759F">
        <w:rPr>
          <w:rFonts w:cs="Calibri"/>
          <w:bCs/>
          <w:sz w:val="24"/>
          <w:szCs w:val="24"/>
          <w:lang w:val="en-US" w:eastAsia="fr-FR"/>
        </w:rPr>
        <w:br w:type="page"/>
      </w:r>
    </w:p>
    <w:p w14:paraId="1D860BDE" w14:textId="77777777" w:rsidR="00445DDF" w:rsidRPr="0020759F" w:rsidRDefault="007B37F6" w:rsidP="00A514FA">
      <w:pPr>
        <w:pStyle w:val="Heading1"/>
        <w:spacing w:line="480" w:lineRule="auto"/>
        <w:rPr>
          <w:color w:val="auto"/>
          <w:lang w:val="en-US"/>
        </w:rPr>
      </w:pPr>
      <w:r w:rsidRPr="0020759F">
        <w:rPr>
          <w:noProof/>
          <w:lang w:val="fr-FR" w:eastAsia="fr-FR"/>
        </w:rPr>
        <w:lastRenderedPageBreak/>
        <mc:AlternateContent>
          <mc:Choice Requires="wps">
            <w:drawing>
              <wp:anchor distT="0" distB="0" distL="114300" distR="114300" simplePos="0" relativeHeight="251657216" behindDoc="0" locked="0" layoutInCell="1" allowOverlap="1" wp14:anchorId="0CE8CFFA" wp14:editId="282026C0">
                <wp:simplePos x="0" y="0"/>
                <wp:positionH relativeFrom="column">
                  <wp:posOffset>-254000</wp:posOffset>
                </wp:positionH>
                <wp:positionV relativeFrom="paragraph">
                  <wp:posOffset>-63500</wp:posOffset>
                </wp:positionV>
                <wp:extent cx="6267450" cy="48069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806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10761" id="Rectangle 1" o:spid="_x0000_s1026" style="position:absolute;margin-left:-20pt;margin-top:-5pt;width:493.5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" filled="f" strokecolor="windowText" strokeweight="2pt">
                <v:path arrowok="t"/>
              </v:rect>
            </w:pict>
          </mc:Fallback>
        </mc:AlternateContent>
      </w:r>
      <w:r w:rsidR="00445DDF" w:rsidRPr="0020759F">
        <w:rPr>
          <w:color w:val="auto"/>
          <w:lang w:val="en-US"/>
        </w:rPr>
        <w:t xml:space="preserve">Key points </w:t>
      </w:r>
    </w:p>
    <w:p w14:paraId="007EB8B1" w14:textId="442D4944" w:rsidR="00E671D1" w:rsidRPr="0020759F" w:rsidRDefault="00E671D1" w:rsidP="00A514FA">
      <w:pPr>
        <w:pStyle w:val="ListParagraph"/>
        <w:numPr>
          <w:ilvl w:val="0"/>
          <w:numId w:val="22"/>
        </w:numPr>
        <w:spacing w:after="160" w:line="480" w:lineRule="auto"/>
        <w:rPr>
          <w:rFonts w:asciiTheme="minorHAnsi" w:hAnsiTheme="minorHAnsi" w:cstheme="minorHAnsi"/>
        </w:rPr>
      </w:pPr>
      <w:r w:rsidRPr="0020759F">
        <w:rPr>
          <w:rFonts w:asciiTheme="minorHAnsi" w:hAnsiTheme="minorHAnsi" w:cstheme="minorHAnsi"/>
        </w:rPr>
        <w:t>Exposure to some AEDs during pregnancy increases the risk of major congenital malformations in the offspring, such as neural tube defects and cleft palate. The risk varies by AED with valproate having the highest risk.</w:t>
      </w:r>
    </w:p>
    <w:p w14:paraId="3A81F63A" w14:textId="1AFD3FA1" w:rsidR="00445DDF" w:rsidRPr="0020759F" w:rsidRDefault="00445DDF" w:rsidP="00A514FA">
      <w:pPr>
        <w:pStyle w:val="ListParagraph"/>
        <w:numPr>
          <w:ilvl w:val="0"/>
          <w:numId w:val="22"/>
        </w:numPr>
        <w:spacing w:after="160" w:line="480" w:lineRule="auto"/>
      </w:pPr>
      <w:r w:rsidRPr="0020759F">
        <w:t xml:space="preserve">Antiepileptic drugs (AED) should be prescribed with caution during pregnancy. </w:t>
      </w:r>
    </w:p>
    <w:p w14:paraId="0EE53E50" w14:textId="77777777" w:rsidR="00445DDF" w:rsidRPr="0020759F" w:rsidRDefault="00445DDF" w:rsidP="00A514FA">
      <w:pPr>
        <w:pStyle w:val="ListParagraph"/>
        <w:numPr>
          <w:ilvl w:val="0"/>
          <w:numId w:val="22"/>
        </w:numPr>
        <w:spacing w:after="160" w:line="480" w:lineRule="auto"/>
      </w:pPr>
      <w:r w:rsidRPr="0020759F">
        <w:t>The study using electronic health care databases analyses AEDs prescribed to over 1 million pregnant women from the UK, France and Italy; 2007-16.</w:t>
      </w:r>
    </w:p>
    <w:p w14:paraId="0B944CCC" w14:textId="77777777" w:rsidR="00445DDF" w:rsidRPr="0020759F" w:rsidRDefault="00445DDF" w:rsidP="00A514FA">
      <w:pPr>
        <w:pStyle w:val="ListParagraph"/>
        <w:numPr>
          <w:ilvl w:val="0"/>
          <w:numId w:val="22"/>
        </w:numPr>
        <w:spacing w:after="160" w:line="480" w:lineRule="auto"/>
      </w:pPr>
      <w:r w:rsidRPr="0020759F">
        <w:t>AED prescribing during pregnancy was 3.0 (2.8-3.1) per 1,000 in Emilia Romagna, 5.9 (5.6-6.1) in Tuscany,</w:t>
      </w:r>
      <w:r w:rsidRPr="0020759F" w:rsidDel="00391403">
        <w:t xml:space="preserve"> </w:t>
      </w:r>
      <w:r w:rsidRPr="0020759F">
        <w:t xml:space="preserve">6.3 (5.7-6.9) in France and 7.8 (7.5-8.0) in the UK. </w:t>
      </w:r>
    </w:p>
    <w:p w14:paraId="5352D765" w14:textId="77777777" w:rsidR="00445DDF" w:rsidRPr="0020759F" w:rsidRDefault="00445DDF" w:rsidP="00A514FA">
      <w:pPr>
        <w:pStyle w:val="ListParagraph"/>
        <w:numPr>
          <w:ilvl w:val="0"/>
          <w:numId w:val="22"/>
        </w:numPr>
        <w:spacing w:after="160" w:line="480" w:lineRule="auto"/>
      </w:pPr>
      <w:r w:rsidRPr="0020759F">
        <w:t xml:space="preserve">Valproate was prescribed to 28.6% of AED exposed pregnant women in Tuscany, 21.6% in France, 16.7% in Emilia Romagna and 11.9% in the UK. </w:t>
      </w:r>
    </w:p>
    <w:p w14:paraId="19F52885" w14:textId="127FBB6B" w:rsidR="00445DDF" w:rsidRDefault="00445DDF" w:rsidP="00E36849">
      <w:pPr>
        <w:pStyle w:val="ListParagraph"/>
        <w:numPr>
          <w:ilvl w:val="0"/>
          <w:numId w:val="22"/>
        </w:numPr>
        <w:spacing w:after="160" w:line="480" w:lineRule="auto"/>
      </w:pPr>
      <w:r w:rsidRPr="0020759F">
        <w:t xml:space="preserve">Variations in AED prescribing including that of valproate during pregnancy indicate the potential for reductions in some regions.  </w:t>
      </w:r>
    </w:p>
    <w:p w14:paraId="4945C62C" w14:textId="77777777" w:rsidR="00E36849" w:rsidRPr="00E36849" w:rsidRDefault="00E36849" w:rsidP="00E36849">
      <w:pPr>
        <w:pStyle w:val="ListParagraph"/>
        <w:spacing w:after="160" w:line="480" w:lineRule="auto"/>
      </w:pPr>
    </w:p>
    <w:p w14:paraId="04841198" w14:textId="77777777" w:rsidR="0005152B" w:rsidRPr="0020759F" w:rsidRDefault="0005152B" w:rsidP="00355CCA">
      <w:pPr>
        <w:spacing w:before="100" w:beforeAutospacing="1" w:after="100" w:afterAutospacing="1" w:line="360" w:lineRule="auto"/>
        <w:rPr>
          <w:rFonts w:cs="Calibri"/>
          <w:bCs/>
          <w:sz w:val="24"/>
          <w:szCs w:val="24"/>
          <w:lang w:val="en-US" w:eastAsia="fr-FR"/>
        </w:rPr>
      </w:pPr>
    </w:p>
    <w:p w14:paraId="6D2037F3" w14:textId="3D230BAF" w:rsidR="00445DDF" w:rsidRPr="0020759F" w:rsidRDefault="00445DDF" w:rsidP="00355CCA">
      <w:pPr>
        <w:spacing w:before="100" w:beforeAutospacing="1" w:after="100" w:afterAutospacing="1" w:line="360" w:lineRule="auto"/>
        <w:rPr>
          <w:rFonts w:cs="Calibri"/>
          <w:bCs/>
          <w:sz w:val="24"/>
          <w:szCs w:val="24"/>
          <w:lang w:val="en-US" w:eastAsia="fr-FR"/>
        </w:rPr>
      </w:pPr>
      <w:r w:rsidRPr="0020759F">
        <w:rPr>
          <w:rFonts w:cs="Calibri"/>
          <w:bCs/>
          <w:sz w:val="24"/>
          <w:szCs w:val="24"/>
          <w:lang w:val="en-US" w:eastAsia="fr-FR"/>
        </w:rPr>
        <w:t xml:space="preserve">Word Count: </w:t>
      </w:r>
      <w:r w:rsidR="000664B0" w:rsidRPr="0020759F">
        <w:rPr>
          <w:rFonts w:cs="Calibri"/>
          <w:bCs/>
          <w:sz w:val="24"/>
          <w:szCs w:val="24"/>
          <w:lang w:val="en-US" w:eastAsia="fr-FR"/>
        </w:rPr>
        <w:t>6099</w:t>
      </w:r>
    </w:p>
    <w:p w14:paraId="080F69FB"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526169AC"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7E1FBAC1"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224C8510"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6C996F88"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5558A180" w14:textId="77777777" w:rsidR="00445DDF" w:rsidRPr="0020759F" w:rsidRDefault="00445DDF" w:rsidP="00355CCA">
      <w:pPr>
        <w:spacing w:before="100" w:beforeAutospacing="1" w:after="100" w:afterAutospacing="1" w:line="360" w:lineRule="auto"/>
        <w:rPr>
          <w:rFonts w:cs="Calibri"/>
          <w:bCs/>
          <w:sz w:val="24"/>
          <w:szCs w:val="24"/>
          <w:lang w:val="en-US" w:eastAsia="fr-FR"/>
        </w:rPr>
      </w:pPr>
    </w:p>
    <w:p w14:paraId="4A120D3D" w14:textId="747B49FF" w:rsidR="00445DDF" w:rsidRPr="00E36849" w:rsidRDefault="00445DDF" w:rsidP="00E36849">
      <w:pPr>
        <w:pStyle w:val="Heading1"/>
        <w:spacing w:line="480" w:lineRule="auto"/>
        <w:rPr>
          <w:rFonts w:ascii="Times New Roman" w:hAnsi="Times New Roman"/>
          <w:color w:val="auto"/>
        </w:rPr>
      </w:pPr>
      <w:r w:rsidRPr="0020759F">
        <w:rPr>
          <w:rFonts w:ascii="Times New Roman" w:hAnsi="Times New Roman"/>
          <w:color w:val="auto"/>
        </w:rPr>
        <w:lastRenderedPageBreak/>
        <w:t xml:space="preserve">Abstract </w:t>
      </w:r>
    </w:p>
    <w:p w14:paraId="3192BEF1" w14:textId="77777777" w:rsidR="00445DDF" w:rsidRPr="0020759F" w:rsidRDefault="00445DDF" w:rsidP="00E268E7">
      <w:pPr>
        <w:spacing w:line="480" w:lineRule="auto"/>
        <w:rPr>
          <w:rFonts w:ascii="Times New Roman" w:hAnsi="Times New Roman"/>
          <w:b/>
          <w:sz w:val="24"/>
          <w:szCs w:val="24"/>
        </w:rPr>
      </w:pPr>
      <w:r w:rsidRPr="0020759F">
        <w:rPr>
          <w:rFonts w:ascii="Times New Roman" w:hAnsi="Times New Roman"/>
          <w:b/>
          <w:sz w:val="24"/>
          <w:szCs w:val="24"/>
        </w:rPr>
        <w:t>Purpose</w:t>
      </w:r>
    </w:p>
    <w:p w14:paraId="3A5FB004" w14:textId="02B37EFA" w:rsidR="0005152B" w:rsidRPr="0020759F" w:rsidRDefault="0005152B" w:rsidP="007E5DD8">
      <w:pPr>
        <w:spacing w:line="480" w:lineRule="auto"/>
        <w:jc w:val="both"/>
        <w:rPr>
          <w:rFonts w:ascii="Times New Roman" w:hAnsi="Times New Roman"/>
          <w:sz w:val="24"/>
        </w:rPr>
      </w:pPr>
      <w:r w:rsidRPr="0020759F">
        <w:rPr>
          <w:rFonts w:ascii="Times New Roman" w:hAnsi="Times New Roman"/>
          <w:sz w:val="24"/>
        </w:rPr>
        <w:t xml:space="preserve">To study patterns of </w:t>
      </w:r>
      <w:r w:rsidR="00445DDF" w:rsidRPr="0020759F">
        <w:rPr>
          <w:rFonts w:ascii="Times New Roman" w:hAnsi="Times New Roman"/>
          <w:sz w:val="24"/>
          <w:szCs w:val="24"/>
        </w:rPr>
        <w:t xml:space="preserve">Antiepileptic drugs (AED) </w:t>
      </w:r>
      <w:r w:rsidRPr="0020759F">
        <w:rPr>
          <w:rFonts w:ascii="Times New Roman" w:hAnsi="Times New Roman"/>
          <w:sz w:val="24"/>
        </w:rPr>
        <w:t xml:space="preserve">prescribing, particularly valproate, during pregnancy over a 10 year-period in the </w:t>
      </w:r>
      <w:r w:rsidR="00445DDF" w:rsidRPr="0020759F">
        <w:rPr>
          <w:rFonts w:ascii="Times New Roman" w:hAnsi="Times New Roman"/>
          <w:sz w:val="24"/>
        </w:rPr>
        <w:t>UK, Italy and France</w:t>
      </w:r>
      <w:r w:rsidRPr="0020759F">
        <w:rPr>
          <w:rFonts w:ascii="Times New Roman" w:hAnsi="Times New Roman"/>
          <w:sz w:val="24"/>
        </w:rPr>
        <w:t>.</w:t>
      </w:r>
      <w:bookmarkStart w:id="0" w:name="_GoBack"/>
      <w:bookmarkEnd w:id="0"/>
    </w:p>
    <w:p w14:paraId="45491449" w14:textId="77777777" w:rsidR="00445DDF" w:rsidRPr="0020759F" w:rsidRDefault="00445DDF" w:rsidP="00E268E7">
      <w:pPr>
        <w:spacing w:line="480" w:lineRule="auto"/>
        <w:rPr>
          <w:rFonts w:ascii="Times New Roman" w:hAnsi="Times New Roman"/>
          <w:b/>
          <w:sz w:val="24"/>
          <w:szCs w:val="24"/>
        </w:rPr>
      </w:pPr>
      <w:r w:rsidRPr="0020759F">
        <w:rPr>
          <w:rFonts w:ascii="Times New Roman" w:hAnsi="Times New Roman"/>
          <w:b/>
          <w:sz w:val="24"/>
          <w:szCs w:val="24"/>
        </w:rPr>
        <w:t>Methods</w:t>
      </w:r>
    </w:p>
    <w:p w14:paraId="1F9C0418" w14:textId="77777777" w:rsidR="00445DDF" w:rsidRPr="0020759F" w:rsidRDefault="005624EF" w:rsidP="00E268E7">
      <w:pPr>
        <w:spacing w:line="480" w:lineRule="auto"/>
        <w:rPr>
          <w:rFonts w:ascii="Times New Roman" w:hAnsi="Times New Roman"/>
          <w:sz w:val="24"/>
          <w:szCs w:val="24"/>
        </w:rPr>
      </w:pPr>
      <w:r w:rsidRPr="0020759F">
        <w:rPr>
          <w:rFonts w:ascii="Times New Roman" w:hAnsi="Times New Roman"/>
          <w:sz w:val="24"/>
          <w:szCs w:val="24"/>
        </w:rPr>
        <w:t>Data on pregnancies conceived after 1</w:t>
      </w:r>
      <w:r w:rsidRPr="0020759F">
        <w:rPr>
          <w:rFonts w:ascii="Times New Roman" w:hAnsi="Times New Roman"/>
          <w:sz w:val="24"/>
          <w:szCs w:val="24"/>
          <w:vertAlign w:val="superscript"/>
        </w:rPr>
        <w:t>st</w:t>
      </w:r>
      <w:r w:rsidRPr="0020759F">
        <w:rPr>
          <w:rFonts w:ascii="Times New Roman" w:hAnsi="Times New Roman"/>
          <w:sz w:val="24"/>
          <w:szCs w:val="24"/>
        </w:rPr>
        <w:t xml:space="preserve"> J</w:t>
      </w:r>
      <w:r w:rsidR="003D49E9" w:rsidRPr="0020759F">
        <w:rPr>
          <w:rFonts w:ascii="Times New Roman" w:hAnsi="Times New Roman"/>
          <w:sz w:val="24"/>
          <w:szCs w:val="24"/>
        </w:rPr>
        <w:t>anuary</w:t>
      </w:r>
      <w:r w:rsidRPr="0020759F">
        <w:rPr>
          <w:rFonts w:ascii="Times New Roman" w:hAnsi="Times New Roman"/>
          <w:sz w:val="24"/>
          <w:szCs w:val="24"/>
        </w:rPr>
        <w:t xml:space="preserve"> 2007 with outcomes before 31</w:t>
      </w:r>
      <w:r w:rsidRPr="0020759F">
        <w:rPr>
          <w:rFonts w:ascii="Times New Roman" w:hAnsi="Times New Roman"/>
          <w:sz w:val="24"/>
          <w:szCs w:val="24"/>
          <w:vertAlign w:val="superscript"/>
        </w:rPr>
        <w:t>st</w:t>
      </w:r>
      <w:r w:rsidRPr="0020759F">
        <w:rPr>
          <w:rFonts w:ascii="Times New Roman" w:hAnsi="Times New Roman"/>
          <w:sz w:val="24"/>
          <w:szCs w:val="24"/>
        </w:rPr>
        <w:t xml:space="preserve"> December 2016 were extracted from f</w:t>
      </w:r>
      <w:r w:rsidR="00445DDF" w:rsidRPr="0020759F">
        <w:rPr>
          <w:rFonts w:ascii="Times New Roman" w:hAnsi="Times New Roman"/>
          <w:sz w:val="24"/>
          <w:szCs w:val="24"/>
        </w:rPr>
        <w:t>our European electronic healthcare databases (380,499 in the United Kingdom (UK), 66,681 in France and 649,918 in Italy [355,767 in Emilia Romagna and 294,151 in</w:t>
      </w:r>
      <w:r w:rsidRPr="0020759F">
        <w:rPr>
          <w:rFonts w:ascii="Times New Roman" w:hAnsi="Times New Roman"/>
          <w:sz w:val="24"/>
          <w:szCs w:val="24"/>
        </w:rPr>
        <w:t xml:space="preserve"> Tuscany]). Prevalence</w:t>
      </w:r>
      <w:r w:rsidR="00445DDF" w:rsidRPr="0020759F">
        <w:rPr>
          <w:rFonts w:ascii="Times New Roman" w:hAnsi="Times New Roman"/>
          <w:sz w:val="24"/>
          <w:szCs w:val="24"/>
        </w:rPr>
        <w:t xml:space="preserve"> of AEDs with an ATC code starting N03A and clobazam (N05BA09) were stratified by country and calendar year.</w:t>
      </w:r>
    </w:p>
    <w:p w14:paraId="3F55E2D0" w14:textId="77777777" w:rsidR="00445DDF" w:rsidRPr="0020759F" w:rsidRDefault="00445DDF" w:rsidP="00E268E7">
      <w:pPr>
        <w:spacing w:line="480" w:lineRule="auto"/>
        <w:rPr>
          <w:rFonts w:ascii="Times New Roman" w:hAnsi="Times New Roman"/>
          <w:b/>
          <w:sz w:val="24"/>
          <w:szCs w:val="24"/>
        </w:rPr>
      </w:pPr>
      <w:r w:rsidRPr="0020759F">
        <w:rPr>
          <w:rFonts w:ascii="Times New Roman" w:hAnsi="Times New Roman"/>
          <w:b/>
          <w:sz w:val="24"/>
          <w:szCs w:val="24"/>
        </w:rPr>
        <w:t>Results</w:t>
      </w:r>
    </w:p>
    <w:p w14:paraId="5CEB1416" w14:textId="5D5DF2A2" w:rsidR="00445DDF" w:rsidRPr="0020759F" w:rsidRDefault="00445DDF" w:rsidP="00E268E7">
      <w:pPr>
        <w:spacing w:line="480" w:lineRule="auto"/>
        <w:rPr>
          <w:rFonts w:ascii="Times New Roman" w:hAnsi="Times New Roman"/>
          <w:sz w:val="24"/>
          <w:szCs w:val="24"/>
        </w:rPr>
      </w:pPr>
      <w:r w:rsidRPr="0020759F">
        <w:rPr>
          <w:rFonts w:ascii="Times New Roman" w:hAnsi="Times New Roman"/>
          <w:sz w:val="24"/>
          <w:szCs w:val="24"/>
        </w:rPr>
        <w:t>AED prescribing during pregnancy varied from 3.0 (2.8-3.1) per 1,000</w:t>
      </w:r>
      <w:r w:rsidR="00AC01D5" w:rsidRPr="0020759F">
        <w:rPr>
          <w:rFonts w:ascii="Times New Roman" w:hAnsi="Times New Roman"/>
          <w:sz w:val="24"/>
          <w:szCs w:val="24"/>
        </w:rPr>
        <w:t xml:space="preserve"> pregnancies</w:t>
      </w:r>
      <w:r w:rsidRPr="0020759F">
        <w:rPr>
          <w:rFonts w:ascii="Times New Roman" w:hAnsi="Times New Roman"/>
          <w:sz w:val="24"/>
          <w:szCs w:val="24"/>
        </w:rPr>
        <w:t xml:space="preserve"> in Emilia Romagna to 7.8 (7.5-8.0) in the UK, 5.9 (5.6-6.1) in Tuscany and 6.3 (5.7-6.9) in France. Lamotrigine was commonly prescribed in all regions with a third of women exposed to an AED during pregnancy taking lamotrigine in the UK and France. Valproate was prescribed to 28.6% of AED exposed pregnant women in Tuscany, 21.6% in France, 16.7% in Emilia Romagna and 11.9% in the UK. Over the study period the prevalence of AED prescribing increased in the UK mainly due to increases in pregabalin and gabapentin; declined in France mainly related to decreases in clonazepam and remained constant in Italy. Valproate prescriptions declined to a prevalence </w:t>
      </w:r>
      <w:r w:rsidR="009F1393" w:rsidRPr="0020759F">
        <w:rPr>
          <w:rFonts w:ascii="Times New Roman" w:hAnsi="Times New Roman"/>
          <w:sz w:val="24"/>
          <w:szCs w:val="24"/>
        </w:rPr>
        <w:t>&lt;</w:t>
      </w:r>
      <w:r w:rsidRPr="0020759F">
        <w:rPr>
          <w:rFonts w:ascii="Times New Roman" w:hAnsi="Times New Roman"/>
          <w:sz w:val="24"/>
          <w:szCs w:val="24"/>
        </w:rPr>
        <w:t xml:space="preserve">1 per 1,000 </w:t>
      </w:r>
      <w:r w:rsidR="009F1393" w:rsidRPr="0020759F">
        <w:rPr>
          <w:rFonts w:ascii="Times New Roman" w:hAnsi="Times New Roman"/>
          <w:sz w:val="24"/>
          <w:szCs w:val="24"/>
        </w:rPr>
        <w:t xml:space="preserve">pregnancies </w:t>
      </w:r>
      <w:r w:rsidRPr="0020759F">
        <w:rPr>
          <w:rFonts w:ascii="Times New Roman" w:hAnsi="Times New Roman"/>
          <w:sz w:val="24"/>
          <w:szCs w:val="24"/>
        </w:rPr>
        <w:t>in 2015-2016 in the UK, France and Emilia Romagna.</w:t>
      </w:r>
    </w:p>
    <w:p w14:paraId="416E779E" w14:textId="77777777" w:rsidR="00445DDF" w:rsidRPr="0020759F" w:rsidRDefault="00445DDF" w:rsidP="00E268E7">
      <w:pPr>
        <w:spacing w:line="480" w:lineRule="auto"/>
        <w:rPr>
          <w:rFonts w:ascii="Times New Roman" w:hAnsi="Times New Roman"/>
          <w:b/>
          <w:sz w:val="24"/>
          <w:szCs w:val="24"/>
        </w:rPr>
      </w:pPr>
      <w:r w:rsidRPr="0020759F">
        <w:rPr>
          <w:rFonts w:ascii="Times New Roman" w:hAnsi="Times New Roman"/>
          <w:b/>
          <w:sz w:val="24"/>
          <w:szCs w:val="24"/>
        </w:rPr>
        <w:t>Conclusions</w:t>
      </w:r>
    </w:p>
    <w:p w14:paraId="45EFCA41" w14:textId="77777777" w:rsidR="00445DDF" w:rsidRPr="0020759F" w:rsidRDefault="00445DDF" w:rsidP="00E268E7">
      <w:pPr>
        <w:spacing w:line="480" w:lineRule="auto"/>
        <w:rPr>
          <w:rFonts w:ascii="Times New Roman" w:hAnsi="Times New Roman"/>
          <w:b/>
          <w:bCs/>
          <w:sz w:val="28"/>
          <w:szCs w:val="28"/>
        </w:rPr>
      </w:pPr>
      <w:r w:rsidRPr="0020759F">
        <w:rPr>
          <w:rFonts w:ascii="Times New Roman" w:hAnsi="Times New Roman"/>
          <w:sz w:val="24"/>
          <w:szCs w:val="24"/>
        </w:rPr>
        <w:t xml:space="preserve">Variations in AED prescribing during pregnancy indicate the potential for further reductions, particularly of valproate. Increases in pregabalin/gabapentin prescribing, for which risks are not well-known, is a cause for concern. </w:t>
      </w:r>
      <w:r w:rsidRPr="0020759F">
        <w:rPr>
          <w:rFonts w:ascii="Times New Roman" w:hAnsi="Times New Roman"/>
        </w:rPr>
        <w:br w:type="page"/>
      </w:r>
    </w:p>
    <w:p w14:paraId="756C5A11" w14:textId="04A89972" w:rsidR="00445DDF" w:rsidRPr="00E36849" w:rsidRDefault="00445DDF" w:rsidP="00E36849">
      <w:pPr>
        <w:pStyle w:val="Heading1"/>
        <w:spacing w:line="480" w:lineRule="auto"/>
        <w:rPr>
          <w:color w:val="auto"/>
        </w:rPr>
      </w:pPr>
      <w:r w:rsidRPr="0020759F">
        <w:rPr>
          <w:color w:val="auto"/>
        </w:rPr>
        <w:lastRenderedPageBreak/>
        <w:t>Introduction</w:t>
      </w:r>
    </w:p>
    <w:p w14:paraId="58C8347D"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rPr>
        <w:t>Drugs classified as “Antiepileptics” in the Anatomical Therapeutic Chemical (ATC) classification may be indicated in several disorders depending on the country: epilepsy, bipolar disorder, anxiety, neuropathic pain and migraine prophylaxis. A recent European study, involving the United Kingdom (UK), France and Italy, showed that 1.2% to 2.9% of women of childbearing age received a prescription for a drug from the antiepileptic drugs (AED) ATC class in 2016</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{"citationID":"s2JefvRQ","properties":{"formattedCitation":"\\super 1\\nosupersub{}","plainCitation":"1","noteIndex":0},"citationItems":[{"id":593,"uris":["http://zotero.org/users/2684309/items/Q5UJB2VD"],"uri":["http://zotero.org/users/2684309/items/Q5UJB2VD"],"itemData":{"id":593,"type":"article-journal","title":"Prescriptions of antiepileptic medications in women in three European countries between 2007 and 2016 : effect of a warning concerning valproate","author":[{"family":"Charlton","given":"Rachel"},{"family":"Damase-Michel","given":"Damase-Michel"},{"family":"Hurault-Delarue","given":"Caroline"},{"family":"Gini","given":"Rosa"},{"family":"Loane","given":"Maria"},{"family":"Pierini","given":"Anna"},{"family":"Puccini","given":"Aurora"},{"family":"Neville","given":"Amanda"},{"family":"Snowball","given":"Julia"},{"family":"Morris","given":"Joan"}],"issued":{"date-parts":[["2018",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w:t>
      </w:r>
      <w:r w:rsidRPr="0020759F">
        <w:rPr>
          <w:rFonts w:ascii="Times New Roman" w:hAnsi="Times New Roman"/>
          <w:sz w:val="24"/>
        </w:rPr>
        <w:fldChar w:fldCharType="end"/>
      </w:r>
      <w:r w:rsidRPr="0020759F">
        <w:rPr>
          <w:rFonts w:ascii="Times New Roman" w:hAnsi="Times New Roman"/>
          <w:sz w:val="24"/>
        </w:rPr>
        <w:t>.</w:t>
      </w:r>
    </w:p>
    <w:p w14:paraId="1392720F"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rPr>
        <w:t>It is now well demonstrated that exposure to some AEDs during pregnancy increases the risk of major congenital malformations in the offspring, such as neural tube defects and cleft palate,  from two- to three-fold</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{"citationID":"1hstg1vl1f","properties":{"formattedCitation":"\\super 2\\uc0\\u8211{}5\\nosupersub{}","plainCitation":"2–5","noteIndex":0},"citationItems":[{"id":609,"uris":["http://zotero.org/users/2684309/items/46ZVUZJD"],"uri":["http://zotero.org/users/2684309/items/46ZVUZJD"],"itemData":{"id":609,"type":"article-journal","title":"Malformation risks of antiepileptic drugs in pregnancy: a prospective study from the UK Epilepsy and Pregnancy Register","container-title":"Journal of Neurology, Neurosurgery, and Psychiatry","page":"193-198","volume":"77","issue":"2","source":"PubMed","abstract":"OBJECTIVE: To assess the relative risk of major congenital malformation (MCM) from in utero exposure to antiepileptic drug (AEDs).\nMETHODS: Prospective data collected by the UK Epilepsy and Pregnancy Register were analysed. The presence of MCMs recorded within the first three months of life was the main outcome measure.\nRESULTS: Full outcome data were collected on 3607 cases. The overall MCM rate for all AED exposed cases was 4.2% (95% confidence interval (CI), 3.6% to 5.0%). The MCM rate was higher for polytherapy (6.0%) (n = 770) than for monotherapy (3.7%) (n = 2598) (crude odds ratio (OR) = 1.63 (p = 0.010), adjusted OR = 1.83 (p = 0.002)). The MCM rate for women with epilepsy who had not taken AEDs during pregnancy (n = 239) was 3.5% (1.8% to 6.8%). The MCM rate was greater for pregnancies exposed only to valproate (6.2% (95% CI, 4.6% to 8.2%) than only to carbamazepine (2.2% (1.4% to 3.4%) (OR = 2.78 (p&lt;0.001); adjusted OR = 2.97 (p&lt;0.001)). There were fewer MCMs for pregnancies exposed only to lamotrigine than only to valproate. A positive dose response for MCMs was found for lamotrigine (p = 0.006). Polytherapy combinations containing valproate carried a higher risk of MCM than combinations not containing valproate (OR = 2.49 (1.31 to 4.70)).\nCONCLUSIONS: Only 4.2% of live births to women with epilepsy had an MCM. The MCM rate for polytherapy exposure was greater than for monotherapy exposure. Polytherapy regimens containing valproate had significantly more MCMs than those not containing valproate. For monotherapy exposures, carbamazepine was associated with the lowest risk of MCM.","DOI":"10.1136/jnnp.2005.074203","ISSN":"0022-3050","note":"PMID: 16157661\nPMCID: PMC2077578","title-short":"Malformation risks of antiepileptic drugs in pregnancy","journalAbbreviation":"J. Neurol. Neurosurg. Psychiatry","language":"eng","author":[{"family":"Morrow","given":"J."},{"family":"Russell","given":"A."},{"family":"Guthrie","given":"E."},{"family":"Parsons","given":"L."},{"family":"Robertson","given":"I."},{"family":"Waddell","given":"R."},{"family":"Irwin","given":"B."},{"family":"McGivern","given":"R. C."},{"family":"Morrison","given":"P. J."},{"family":"Craig","given":"J."}],"issued":{"date-parts":[["2006",2]]}},"label":"page"},{"id":608,"uris":["http://zotero.org/users/2684309/items/4SI55A2N"],"uri":["http://zotero.org/users/2684309/items/4SI55A2N"],"itemData":{"id":608,"type":"article-journal","title":"Pregnancy outcomes in women with epilepsy: a systematic review and meta-analysis of published pregnancy registries and cohorts","container-title":"Epilepsy Research","page":"1-13","volume":"81","issue":"1","source":"PubMed","abstract":"PURPOSE: To conduct a systematic review and meta-analysis to quantify the incidence of congenital malformations (CMs) and other pregnancy outcomes as a function of in utero anti-epileptic drug (AED) exposure.\nMETHODS: We performed a systematic literature review to identify all published registries and cohort studies of births from pregnant women with epilepsy (WWE) that reported incidence of CMs. Overall incidences were calculated using a random effects model.\nRESULTS: The review included 59 studies that met inclusion/exclusion criteria, involving 65,533 pregnancies in WWE and 1,817,024 in healthy women. The calculated incidence of births with CM in WWE [7.08%; 95% CIs 5.62, 8.54] was higher than healthy women [2.28%; CIs 1.46, 3.10]. Incidence was highest for AED polytherapy [16.78%; CIs 0.51, 33.05]. The AED with the highest CM incidence was valproate, which was 10.73% [CIs 8.16, 13.29] for valproate monotherapy.\nCONCLUSIONS: Results of this systematic literature review suggest that the overall incidence of CMs in children born of WWE is approximately threefold that of healthy women. The risk is elevated for all AED monotherapy and further elevated for AED polytherapy compared to women without epilepsy. The risk was significantly higher for children exposed to valproate monotherapy and to polytherapy of 2 or more drugs when the polytherapy combination included phenobarital, phenytoin, or valproate. Further research is needed to delineate the specific risk for each individual AED and to determine underlying mechanisms including genetic risk factors.","DOI":"10.1016/j.eplepsyres.2008.04.022","ISSN":"0920-1211","note":"PMID: 18565732\nPMCID: PMC2660205","title-short":"Pregnancy outcomes in women with epilepsy","journalAbbreviation":"Epilepsy Res.","language":"eng","author":[{"family":"Meador","given":"Kimford"},{"family":"Reynolds","given":"Matthew W."},{"family":"Crean","given":"Sheila"},{"family":"Fahrbach","given":"Kyle"},{"family":"Probst","given":"Corey"}],"issued":{"date-parts":[["2008",9]]}},"label":"page"},{"id":607,"uris":["http://zotero.org/users/2684309/items/TRFNA9BT"],"uri":["http://zotero.org/users/2684309/items/TRFNA9BT"],"itemData":{"id":607,"type":"article-journal","title":"Malformation risk of antiepileptic drug exposure during pregnancy in women with epilepsy: Results from a pregnancy registry in South India","container-title":"Epilepsia","page":"274-281","volume":"58","issue":"2","source":"PubMed","abstract":"OBJECTIVE: Kerala Registry of Epilepsy and Pregnancy had been prospectively evaluating the reproductive issues of women with epilepsy since April 1998. This analysis aimed to estimate the relative risk of major congenital malformations (MCM) to the registrants.\nMETHODS: All pregnancies with known outcome in this register until December 2013 were included. Malformation status was evaluated by antenatal ultrasonography, physical examination at birth, echocardiography, and abdomen ultrasonography at 3 months of age and a final review at 1 year of age.\nRESULTS: There were 1,688 fetuses (singlets 1,643, twins 21, and triplet 1) resulting in 1,622 live births. All were born to women of Asian origin living in South India. The MCM rate for all live births was 6.84% (95% confidence interval [CI] 5.71-8.18) and for all pregnancy outcomes including fetal loss was 7.11% (95% CI 5.98-8.44). The MCM rates (mean with 95% CI) for exposed group were 6.4% (5.03-8.03) for monotherapy and 9.9% (7.37-13.13) for polytherapy; internal control group (women with epilepsy [WWE] not on antiepileptic drugs [AEDs] in first trimester) 5.6% (3.34-9.11), external control group (women without epilepsy or AED exposure in first trimester) 3.45% (1.94-6.07). Valproate monotherapy group had a dose-dependent relative risk for MCM of 2.6 (95% CI 1.30-5.20) compared to the external control group. The preliminary data on MCM rate for the nine total clobazam monotherapy (22.2%; 95% CI 6.2-54.7) signals increased risk that needs further validation on larger sample size. There was no association between MCM rate and maternal socioeconomic status, epilepsy syndrome, or use of folic acid in first trimester.\nSIGNIFICANCE: This dataset from South India confirms the increased risk of MCM with exposure to AEDs, particularly polytherapy. A dose-dependent increased risk was observed with valproate. The increased risk associated with clobazam monotherapy is an important signal that needs to be confirmed in a larger sample.","DOI":"10.1111/epi.13632","ISSN":"1528-1167","note":"PMID: 28084641","title-short":"Malformation risk of antiepileptic drug exposure during pregnancy in women with epilepsy","journalAbbreviation":"Epilepsia","language":"eng","author":[{"family":"Thomas","given":"Sanjeev V."},{"family":"Jose","given":"Manna"},{"family":"Divakaran","given":"Srividya"},{"family":"Sankara Sarma","given":"Prabhakaran"}],"issued":{"date-parts":[["2017"]]}},"label":"page"},{"id":606,"uris":["http://zotero.org/users/2684309/items/XPGKXW6Z"],"uri":["http://zotero.org/users/2684309/items/XPGKXW6Z"],"itemData":{"id":606,"type":"article-journal","title":"Monotherapy treatment of epilepsy in pregnancy: congenital malformation outcomes in the child","container-title":"The Cochrane Database of Systematic Reviews","page":"CD010224","volume":"11","source":"PubMed","abstract":"BACKGROUND: There is evidence that certain antiepileptic drugs (AEDs) are teratogenic and are associated with an increased risk of congenital malformation. The majority of women with epilepsy continue taking AEDs throughout pregnancy; therefore it is important that comprehensive information on the potential risks associated with AED treatment is available.\nOBJECTIVES: To assess the effects of prenatal exposure to AEDs on the prevalence of congenital malformations in the child.\nSEARCH METHODS: We searched the Cochrane Epilepsy Group Specialized Register (September 2015), Cochrane Central Register of Controlled Trials (CENTRAL) (2015, Issue 11), MEDLINE (via Ovid) (1946 to September 2015), EMBASE (1974 to September 2015), Pharmline (1978 to September 2015), Reprotox (1983 to September 2015) and conference abstracts (2010-2015) without language restriction.\nSELECTION CRITERIA: We included prospective cohort controlled studies, cohort studies set within pregnancy registries and randomised controlled trials. Participants were women with epilepsy taking AEDs; the two control groups were women without epilepsy and women with epilepsy who were not taking AEDs during pregnancy.\nDATA COLLECTION AND ANALYSIS: Three authors independently selected studies for inclusion. Five authors completed data extraction and risk of bias assessments. The primary outcome was the presence of a major congenital malformation. Secondary outcomes included specific types of major congenital malformations. Where meta-analysis was not possible, we reviewed included studies narratively.\nMAIN RESULTS: We included 50 studies, with 31 contributing to meta-analysis. Study quality varied, and given the observational design, all were at high risk of certain biases. However, biases were balanced across the AEDs investigated and we believe that the results are not explained by these biases.Children exposed to carbamazepine (CBZ) were at a higher risk of malformation than children born to women without epilepsy (N = 1367 vs 2146, risk ratio (RR) 2.01, 95% confidence interval (CI) 1.20 to 3.36) and women with untreated epilepsy (N = 3058 vs 1287, RR 1.50, 95% CI 1.03 to 2.19). Children exposed to phenobarbital (PB) were at a higher risk of malformation than children born to women without epilepsy (N = 345 vs 1591, RR 2.84, 95% CI 1.57 to 5.13). Children exposed to phenytoin (PHT) were at an increased risk of malformation compared with children born to women without epilepsy (N = 477 vs 987, RR 2.38, 95% CI 1.12 to 5.03) and to women with untreated epilepsy (N = 640 vs 1256, RR 2.40, 95% CI 1.42 to 4.08). Children exposed to topiramate (TPM) were at an increased risk of malformation compared with children born to women without epilepsy (N = 359 vs 442, RR 3.69, 95% CI 1.36 to 10.07). The children exposed to valproate (VPA) were at a higher risk of malformation compared with children born to women without epilepsy (N = 467 vs 1936, RR 5.69, 95% CI 3.33 to 9.73) and to women with untreated epilepsy (N = 1923 vs 1259, RR 3.13, 95% CI 2.16 to 4.54). There was no increased risk for major malformation for lamotrigine (LTG). Gabapentin (GBP), levetiracetam (LEV), oxcarbazepine (OXC), primidone (PRM) or zonisamide (ZNS) were not associated with an increased risk, however, there were substantially fewer data for these medications.For AED comparisons, children exposed to VPA had the greatest risk of malformation (10.93%, 95% CI 8.91 to 13.13). Children exposed to VPA were at an increased risk of malformation compared with children exposed to CBZ (N = 2529 vs 4549, RR 2.44, 95% CI 2.00 to 2.94), GBP (N = 1814 vs 190, RR 6.21, 95% CI 1.91 to 20.23), LEV (N = 1814 vs 817, RR 5.82, 95% CI 3.13 to 10.81), LTG (N = 2021 vs 4164, RR 3.56, 95% CI 2.77 to 4.58), TPM (N = 1814 vs 473, RR 2.35, 95% CI 1.40 to 3.95), OXC (N = 676 vs 238, RR 3.71, 95% CI 1.65 to 8.33), PB (N = 1137 vs 626, RR 1.59, 95% CI 1.11 to 2.29, PHT (N = 2319 vs 1137, RR 2.00, 95% CI 1.48 to 2.71) or ZNS (N = 323 vs 90, RR 17.13, 95% CI 1.06 to 277.48). Children exposed to CBZ were at a higher risk of malformation than those exposed to LEV (N = 3051 vs 817, RR 1.84, 95% CI 1.03 to 3.29) and children exposed to LTG (N = 3385 vs 4164, RR 1.34, 95% CI 1.01 to 1.76). Children exposed to PB were at a higher risk of malformation compared with children exposed to GBP (N = 204 vs 159, RR 8.33, 95% CI 1.04 to 50.00), LEV (N = 204 vs 513, RR 2.33, 95% CI 1.04 to 5.00) or LTG (N = 282 vs 1959, RR 3.13, 95% CI 1.64 to 5.88). Children exposed to PHT had a higher risk of malformation than children exposed to LTG (N = 624 vs 4082, RR 1.89, 95% CI 1.19 to 2.94) or to LEV (N = 566 vs 817, RR 2.04, 95% CI 1.09 to 3.85); however, the comparison to LEV was not significant in the random-effects model. Children exposed to TPM were at a higher risk of malformation than children exposed to LEV (N = 473 vs 817, RR 2.00, 95% CI 1.03 to 3.85) or LTG (N = 473 vs 3975, RR 1.79, 95% CI 1.06 to 2.94). There were no other significant differences, or comparisons were limited to a single study.We found significantly higher rates of specific malformations associating PB exposure with cardiac malformations and VPA exposure with neural tube, cardiac, oro-facial/craniofacial, and skeletal and limb malformations in comparison to other AEDs. Dose of exposure mediated the risk of malformation following VPA exposure; a potential dose-response association for the other AEDs remained less clear.\nAUTHORS' CONCLUSIONS: Exposure in the womb to certain AEDs carried an increased risk of malformation in the foetus and may be associated with specific patterns of malformation. Based on current evidence, LEV and LTG exposure carried the lowest risk of overall malformation; however, data pertaining to specific malformations are lacking. Physicians should discuss both the risks and treatment efficacy with the patient prior to commencing treatment.","DOI":"10.1002/14651858.CD010224.pub2","ISSN":"1469-493X","note":"PMID: 27819746","title-short":"Monotherapy treatment of epilepsy in pregnancy","journalAbbreviation":"Cochrane Database Syst Rev","language":"eng","author":[{"family":"Weston","given":"Jennifer"},{"family":"Bromley","given":"Rebecca"},{"family":"Jackson","given":"Cerian F."},{"family":"Adab","given":"Naghme"},{"family":"Clayton-Smith","given":"Jill"},{"family":"Greenhalgh","given":"Janette"},{"family":"Hounsome","given":"Juliet"},{"family":"McKay","given":"Andrew J."},{"family":"Tudur Smith","given":"Catrin"},{"family":"Marson","given":"Anthony G."}],"issued":{"date-parts":[["2016"]],"season":"07"}},"label":"page"}],"schema":"https://github.com/citation-style-language/schema/raw/master/csl-citation.json"}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2–5</w:t>
      </w:r>
      <w:r w:rsidRPr="0020759F">
        <w:rPr>
          <w:rFonts w:ascii="Times New Roman" w:hAnsi="Times New Roman"/>
          <w:sz w:val="24"/>
        </w:rPr>
        <w:fldChar w:fldCharType="end"/>
      </w:r>
      <w:r w:rsidRPr="0020759F">
        <w:rPr>
          <w:rFonts w:ascii="Times New Roman" w:hAnsi="Times New Roman"/>
          <w:sz w:val="24"/>
        </w:rPr>
        <w:t>. The risk varies by AED</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{"citationID":"XwtMLLkL","properties":{"formattedCitation":"\\super 6\\nosupersub{}","plainCitation":"6","noteIndex":0},"citationItems":[{"id":605,"uris":["http://zotero.org/users/2684309/items/ZXKPKZ53"],"uri":["http://zotero.org/users/2684309/items/ZXKPKZ53"],"itemData":{"id":605,"type":"article-journal","title":"Maternal Use of Antiepileptic Agents During Pregnancy and Major Congenital Malformations in Children","container-title":"JAMA","page":"1700-1701","volume":"318","issue":"17","source":"jamanetwork.com","abstract":"&lt;h3&gt;Clinical Question&lt;/h3&gt;&lt;p&gt;Is maternal use of antiepileptic drugs during pregnancy associated with major congenital malformations in children?&lt;/p&gt;&lt;h3&gt;Bottom Line&lt;/h3&gt;&lt;p&gt;Certain antiepileptic drugs were associated with increased rates of congenital malformations (eg, spina bifida, cardiac anomalies). Lamotrigine (2.31% in 4195 pregnancies) and levetiracetam (1.77% in 817 pregnancies) were associated with the lowest risk and valproate was associated with the highest risk (10.93% in 2565 pregnancies) compared with the offspring of women without epilepsy (2.51% in 2154 pregnancies).&lt;/p&gt;","DOI":"10.1001/jama.2017.14485","ISSN":"0098-7484","journalAbbreviation":"JAMA","language":"en","author":[{"family":"Bromley","given":"Rebecca L."},{"family":"Weston","given":"Jennifer"},{"family":"Marson","given":"Anthony G."}],"issued":{"date-parts":[["2017",11,7]]}}}],"schema":"https://github.com/citation-style-language/schema/raw/master/csl-citation.json"}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6</w:t>
      </w:r>
      <w:r w:rsidRPr="0020759F">
        <w:rPr>
          <w:rFonts w:ascii="Times New Roman" w:hAnsi="Times New Roman"/>
          <w:sz w:val="24"/>
        </w:rPr>
        <w:fldChar w:fldCharType="end"/>
      </w:r>
      <w:r w:rsidRPr="0020759F">
        <w:rPr>
          <w:rFonts w:ascii="Times New Roman" w:hAnsi="Times New Roman"/>
          <w:sz w:val="24"/>
        </w:rPr>
        <w:t>: valproate is known to have the highest risk</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{"citationID":"LDcaHlgd","properties":{"formattedCitation":"\\super 2\\nosupersub{}","plainCitation":"2","noteIndex":0},"citationItems":[{"id":609,"uris":["http://zotero.org/users/2684309/items/46ZVUZJD"],"uri":["http://zotero.org/users/2684309/items/46ZVUZJD"],"itemData":{"id":609,"type":"article-journal","title":"Malformation risks of antiepileptic drugs in pregnancy: a prospective study from the UK Epilepsy and Pregnancy Register","container-title":"Journal of Neurology, Neurosurgery, and Psychiatry","page":"193-198","volume":"77","issue":"2","source":"PubMed","abstract":"OBJECTIVE: To assess the relative risk of major congenital malformation (MCM) from in utero exposure to antiepileptic drug (AEDs).\nMETHODS: Prospective data collected by the UK Epilepsy and Pregnancy Register were analysed. The presence of MCMs recorded within the first three months of life was the main outcome measure.\nRESULTS: Full outcome data were collected on 3607 cases. The overall MCM rate for all AED exposed cases was 4.2% (95% confidence interval (CI), 3.6% to 5.0%). The MCM rate was higher for polytherapy (6.0%) (n = 770) than for monotherapy (3.7%) (n = 2598) (crude odds ratio (OR) = 1.63 (p = 0.010), adjusted OR = 1.83 (p = 0.002)). The MCM rate for women with epilepsy who had not taken AEDs during pregnancy (n = 239) was 3.5% (1.8% to 6.8%). The MCM rate was greater for pregnancies exposed only to valproate (6.2% (95% CI, 4.6% to 8.2%) than only to carbamazepine (2.2% (1.4% to 3.4%) (OR = 2.78 (p&lt;0.001); adjusted OR = 2.97 (p&lt;0.001)). There were fewer MCMs for pregnancies exposed only to lamotrigine than only to valproate. A positive dose response for MCMs was found for lamotrigine (p = 0.006). Polytherapy combinations containing valproate carried a higher risk of MCM than combinations not containing valproate (OR = 2.49 (1.31 to 4.70)).\nCONCLUSIONS: Only 4.2% of live births to women with epilepsy had an MCM. The MCM rate for polytherapy exposure was greater than for monotherapy exposure. Polytherapy regimens containing valproate had significantly more MCMs than those not containing valproate. For monotherapy exposures, carbamazepine was associated with the lowest risk of MCM.","DOI":"10.1136/jnnp.2005.074203","ISSN":"0022-3050","note":"PMID: 16157661\nPMCID: PMC2077578","title-short":"Malformation risks of antiepileptic drugs in pregnancy","journalAbbreviation":"J. Neurol. Neurosurg. Psychiatry","language":"eng","author":[{"family":"Morrow","given":"J."},{"family":"Russell","given":"A."},{"family":"Guthrie","given":"E."},{"family":"Parsons","given":"L."},{"family":"Robertson","given":"I."},{"family":"Waddell","given":"R."},{"family":"Irwin","given":"B."},{"family":"McGivern","given":"R. C."},{"family":"Morrison","given":"P. J."},{"family":"Craig","given":"J."}],"issued":{"date-parts":[["2006",2]]}}}],"schema":"https://github.com/citation-style-language/schema/raw/master/csl-citation.json"}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w:t>
      </w:r>
      <w:r w:rsidRPr="0020759F">
        <w:rPr>
          <w:rFonts w:ascii="Times New Roman" w:hAnsi="Times New Roman"/>
          <w:sz w:val="24"/>
        </w:rPr>
        <w:fldChar w:fldCharType="end"/>
      </w:r>
      <w:r w:rsidRPr="0020759F">
        <w:rPr>
          <w:rFonts w:ascii="Times New Roman" w:hAnsi="Times New Roman"/>
          <w:sz w:val="24"/>
        </w:rPr>
        <w:t xml:space="preserve"> whereas lamotrigine may represent the safest AED during pregnancy</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{"citationID":"HmJ7Ne1K","properties":{"formattedCitation":"\\super 5\\nosupersub{}","plainCitation":"5","noteIndex":0},"citationItems":[{"id":606,"uris":["http://zotero.org/users/2684309/items/XPGKXW6Z"],"uri":["http://zotero.org/users/2684309/items/XPGKXW6Z"],"itemData":{"id":606,"type":"article-journal","title":"Monotherapy treatment of epilepsy in pregnancy: congenital malformation outcomes in the child","container-title":"The Cochrane Database of Systematic Reviews","page":"CD010224","volume":"11","source":"PubMed","abstract":"BACKGROUND: There is evidence that certain antiepileptic drugs (AEDs) are teratogenic and are associated with an increased risk of congenital malformation. The majority of women with epilepsy continue taking AEDs throughout pregnancy; therefore it is important that comprehensive information on the potential risks associated with AED treatment is available.\nOBJECTIVES: To assess the effects of prenatal exposure to AEDs on the prevalence of congenital malformations in the child.\nSEARCH METHODS: We searched the Cochrane Epilepsy Group Specialized Register (September 2015), Cochrane Central Register of Controlled Trials (CENTRAL) (2015, Issue 11), MEDLINE (via Ovid) (1946 to September 2015), EMBASE (1974 to September 2015), Pharmline (1978 to September 2015), Reprotox (1983 to September 2015) and conference abstracts (2010-2015) without language restriction.\nSELECTION CRITERIA: We included prospective cohort controlled studies, cohort studies set within pregnancy registries and randomised controlled trials. Participants were women with epilepsy taking AEDs; the two control groups were women without epilepsy and women with epilepsy who were not taking AEDs during pregnancy.\nDATA COLLECTION AND ANALYSIS: Three authors independently selected studies for inclusion. Five authors completed data extraction and risk of bias assessments. The primary outcome was the presence of a major congenital malformation. Secondary outcomes included specific types of major congenital malformations. Where meta-analysis was not possible, we reviewed included studies narratively.\nMAIN RESULTS: We included 50 studies, with 31 contributing to meta-analysis. Study quality varied, and given the observational design, all were at high risk of certain biases. However, biases were balanced across the AEDs investigated and we believe that the results are not explained by these biases.Children exposed to carbamazepine (CBZ) were at a higher risk of malformation than children born to women without epilepsy (N = 1367 vs 2146, risk ratio (RR) 2.01, 95% confidence interval (CI) 1.20 to 3.36) and women with untreated epilepsy (N = 3058 vs 1287, RR 1.50, 95% CI 1.03 to 2.19). Children exposed to phenobarbital (PB) were at a higher risk of malformation than children born to women without epilepsy (N = 345 vs 1591, RR 2.84, 95% CI 1.57 to 5.13). Children exposed to phenytoin (PHT) were at an increased risk of malformation compared with children born to women without epilepsy (N = 477 vs 987, RR 2.38, 95% CI 1.12 to 5.03) and to women with untreated epilepsy (N = 640 vs 1256, RR 2.40, 95% CI 1.42 to 4.08). Children exposed to topiramate (TPM) were at an increased risk of malformation compared with children born to women without epilepsy (N = 359 vs 442, RR 3.69, 95% CI 1.36 to 10.07). The children exposed to valproate (VPA) were at a higher risk of malformation compared with children born to women without epilepsy (N = 467 vs 1936, RR 5.69, 95% CI 3.33 to 9.73) and to women with untreated epilepsy (N = 1923 vs 1259, RR 3.13, 95% CI 2.16 to 4.54). There was no increased risk for major malformation for lamotrigine (LTG). Gabapentin (GBP), levetiracetam (LEV), oxcarbazepine (OXC), primidone (PRM) or zonisamide (ZNS) were not associated with an increased risk, however, there were substantially fewer data for these medications.For AED comparisons, children exposed to VPA had the greatest risk of malformation (10.93%, 95% CI 8.91 to 13.13). Children exposed to VPA were at an increased risk of malformation compared with children exposed to CBZ (N = 2529 vs 4549, RR 2.44, 95% CI 2.00 to 2.94), GBP (N = 1814 vs 190, RR 6.21, 95% CI 1.91 to 20.23), LEV (N = 1814 vs 817, RR 5.82, 95% CI 3.13 to 10.81), LTG (N = 2021 vs 4164, RR 3.56, 95% CI 2.77 to 4.58), TPM (N = 1814 vs 473, RR 2.35, 95% CI 1.40 to 3.95), OXC (N = 676 vs 238, RR 3.71, 95% CI 1.65 to 8.33), PB (N = 1137 vs 626, RR 1.59, 95% CI 1.11 to 2.29, PHT (N = 2319 vs 1137, RR 2.00, 95% CI 1.48 to 2.71) or ZNS (N = 323 vs 90, RR 17.13, 95% CI 1.06 to 277.48). Children exposed to CBZ were at a higher risk of malformation than those exposed to LEV (N = 3051 vs 817, RR 1.84, 95% CI 1.03 to 3.29) and children exposed to LTG (N = 3385 vs 4164, RR 1.34, 95% CI 1.01 to 1.76). Children exposed to PB were at a higher risk of malformation compared with children exposed to GBP (N = 204 vs 159, RR 8.33, 95% CI 1.04 to 50.00), LEV (N = 204 vs 513, RR 2.33, 95% CI 1.04 to 5.00) or LTG (N = 282 vs 1959, RR 3.13, 95% CI 1.64 to 5.88). Children exposed to PHT had a higher risk of malformation than children exposed to LTG (N = 624 vs 4082, RR 1.89, 95% CI 1.19 to 2.94) or to LEV (N = 566 vs 817, RR 2.04, 95% CI 1.09 to 3.85); however, the comparison to LEV was not significant in the random-effects model. Children exposed to TPM were at a higher risk of malformation than children exposed to LEV (N = 473 vs 817, RR 2.00, 95% CI 1.03 to 3.85) or LTG (N = 473 vs 3975, RR 1.79, 95% CI 1.06 to 2.94). There were no other significant differences, or comparisons were limited to a single study.We found significantly higher rates of specific malformations associating PB exposure with cardiac malformations and VPA exposure with neural tube, cardiac, oro-facial/craniofacial, and skeletal and limb malformations in comparison to other AEDs. Dose of exposure mediated the risk of malformation following VPA exposure; a potential dose-response association for the other AEDs remained less clear.\nAUTHORS' CONCLUSIONS: Exposure in the womb to certain AEDs carried an increased risk of malformation in the foetus and may be associated with specific patterns of malformation. Based on current evidence, LEV and LTG exposure carried the lowest risk of overall malformation; however, data pertaining to specific malformations are lacking. Physicians should discuss both the risks and treatment efficacy with the patient prior to commencing treatment.","DOI":"10.1002/14651858.CD010224.pub2","ISSN":"1469-493X","note":"PMID: 27819746","title-short":"Monotherapy treatment of epilepsy in pregnancy","journalAbbreviation":"Cochrane Database Syst Rev","language":"eng","author":[{"family":"Weston","given":"Jennifer"},{"family":"Bromley","given":"Rebecca"},{"family":"Jackson","given":"Cerian F."},{"family":"Adab","given":"Naghme"},{"family":"Clayton-Smith","given":"Jill"},{"family":"Greenhalgh","given":"Janette"},{"family":"Hounsome","given":"Juliet"},{"family":"McKay","given":"Andrew J."},{"family":"Tudur Smith","given":"Catrin"},{"family":"Marson","given":"Anthony G."}],"issued":{"date-parts":[["2016"]],"season":"07"}}}],"schema":"https://github.com/citation-style-language/schema/raw/master/csl-citation.json"}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5</w:t>
      </w:r>
      <w:r w:rsidRPr="0020759F">
        <w:rPr>
          <w:rFonts w:ascii="Times New Roman" w:hAnsi="Times New Roman"/>
          <w:sz w:val="24"/>
        </w:rPr>
        <w:fldChar w:fldCharType="end"/>
      </w:r>
      <w:r w:rsidRPr="0020759F">
        <w:rPr>
          <w:rFonts w:ascii="Times New Roman" w:hAnsi="Times New Roman"/>
          <w:sz w:val="24"/>
        </w:rPr>
        <w:t xml:space="preserve">. Furthermore, since the early 2000s, several studies have suggested a risk of neurodevelopmental problems in children exposed </w:t>
      </w:r>
      <w:r w:rsidRPr="0020759F">
        <w:rPr>
          <w:rFonts w:ascii="Times New Roman" w:hAnsi="Times New Roman"/>
          <w:i/>
          <w:sz w:val="24"/>
        </w:rPr>
        <w:t>in-utero</w:t>
      </w:r>
      <w:r w:rsidRPr="0020759F">
        <w:rPr>
          <w:rFonts w:ascii="Times New Roman" w:hAnsi="Times New Roman"/>
          <w:sz w:val="24"/>
        </w:rPr>
        <w:t xml:space="preserve"> to valproate</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{"citationID":"yFyhaG5h","properties":{"formattedCitation":"\\super 7\\nosupersub{}","plainCitation":"7","noteIndex":0},"citationItems":[{"id":604,"uris":["http://zotero.org/users/2684309/items/U4N9B575"],"uri":["http://zotero.org/users/2684309/items/U4N9B575"],"itemData":{"id":604,"type":"article-journal","title":"Treatment for epilepsy in pregnancy: neurodevelopmental outcomes in the child","container-title":"The Cochrane Database of Systematic Reviews","page":"CD010236","issue":"10","source":"PubMed","abstract":"BACKGROUND: Accumulating evidence suggests an association between prenatal exposure to antiepileptic drugs (AEDs) and increased risk of both physical anomalies and neurodevelopmental impairment. Neurodevelopmental impairment is characterised by either a specific deficit or a constellation of deficits across cognitive, motor and social skills and can be transient or continuous into adulthood. It is of paramount importance that these potential risks are identified, minimised and communicated clearly to women with epilepsy.\nOBJECTIVES: To assess the effects of prenatal exposure to commonly prescribed AEDs on neurodevelopmental outcomes in the child and to assess the methodological quality of the evidence.\nSEARCH METHODS: We searched the Cochrane Epilepsy Group Specialized Register (May 2014), Cochrane Central Register of Controlled Trials (CENTRAL) in The Cochrane Library (2014, Issue 4), MEDLINE (via Ovid) (1946 to May 2014), EMBASE (May 2014), Pharmline (May 2014) and Reprotox (May 2014). No language restrictions were imposed. Conference abstracts from the last five years were reviewed along with reference lists from the included studies.\nSELECTION CRITERIA: Prospective cohort controlled studies, cohort studies set within pregnancy registers and randomised controlled trials were selected for inclusion. Participants were women with epilepsy taking AED treatment; the two control groups were women without epilepsy and women with epilepsy who were not taking AEDs during pregnancy.\nDATA COLLECTION AND ANALYSIS: Three authors (RB, JW and JG) independently selected studies for inclusion. Data extraction and risk of bias assessments were completed by five authors (RB, JW, AS, NA, AJM). The primary outcome was global cognitive functioning. Secondary outcomes included deficits in specific cognitive domains or prevalence of neurodevelopmental disorders. Due to substantial variation in study design and outcome reporting only limited data synthesis was possible.\nMAIN RESULTS: Twenty-two prospective cohort studies were included and six registry based studies. Study quality varied. More recent studies tended to be larger and to report individual AED outcomes from blinded assessments, which indicate improved methodological quality.The developmental quotient (DQ) was lower in children exposed to carbamazepine (CBZ) (n = 50) than in children born to women without epilepsy (n = 79); mean difference (MD) of -5.58 (95% confidence interval (CI) -10.83 to -0.34, P = 0.04). The DQ of children exposed to CBZ (n = 163) was also lower compared to children of women with untreated epilepsy (n = 58) (MD -7.22, 95% CI -12.76 to - 1.67, P = 0.01). Further analysis using a random-effects model indicated that these results were due to variability within the studies and that there was no significant association with CBZ. The intelligence quotient (IQ) of older children exposed to CBZ (n = 150) was not lower than that of children born to women without epilepsy (n = 552) (MD -0.03, 95% CI -3.08 to 3.01, P = 0.98). Similarly, children exposed to CBZ (n = 163) were not poorer in terms of IQ in comparison to the children of women with untreated epilepsy (n = 87) (MD 1.84, 95% CI -2.13 to 5.80, P = 0.36). The DQ in children exposed to sodium valproate (VPA) (n = 123) was lower than the DQ in children of women with untreated epilepsy (n = 58) (MD -8.72, 95% -14.31 to -3.14, P = 0.002). The IQ of children exposed to VPA (n = 76) was lower than for children born to women without epilepsy (n = 552) (MD -8.94, 95% CI -11.96 to -5.92, P &lt; 0.00001). Children exposed to VPA (n = 89) also had lower IQ than children born to women with untreated epilepsy (n = 87) (MD -8.17, 95% CI -12.80 to -3.55, P = 0.0005).In terms of drug comparisons, in younger children there was no significant difference in the DQ of children exposed to CBZ (n = 210) versus VPA (n=160) (MD 4.16, 95% CI -0.21 to 8.54, P = 0.06). However, the IQ of children exposed to VPA (n = 112) was significantly lower than for those exposed to CBZ (n = 191) (MD 8.69, 95% CI 5.51 to 11.87, P &lt; 0.00001). The IQ of children exposed to CBZ (n = 78) versus lamotrigine (LTG) (n = 84) was not significantly different (MD -1.62, 95% CI -5.44 to 2.21, P = 0.41). There was no significant difference in the DQ of children exposed to CBZ (n = 172) versus phenytoin (PHT) (n = 87) (MD 3.02, 95% CI -2.41 to 8.46, P = 0.28). The IQ abilities of children exposed to CBZ (n = 75) were not different from the abilities of children exposed to PHT (n = 45) (MD -3.30, 95% CI -7.91 to 1.30, P = 0.16). IQ was significantly lower for children exposed to VPA (n = 74) versus LTG (n = 84) (MD -10.80, 95% CI -14.42 to -7.17, P &lt; 0.00001). DQ was higher in children exposed to PHT (n = 80) versus VPA (n = 108) (MD 7.04, 95% CI 0.44 to 13.65, P = 0.04). Similarly IQ was higher in children exposed to PHT (n = 45) versus VPA (n = 61) (MD 9.25, 95% CI 4.78 to 13.72, P &lt; 0.0001). A dose effect for VPA was reported in six studies, with higher doses (800 to 1000 mg daily or above) associated with a poorer cognitive outcome in the child. We identified no convincing evidence of a dose effect for CBZ, PHT or LTG. Studies not included in the meta-analysis were reported narratively, the majority of which supported the findings of the meta-analyses.\nAUTHORS' CONCLUSIONS: The most important finding is the reduction in IQ in the VPA exposed group, which are sufficient to affect education and occupational outcomes in later life. However, for some women VPA is the most effective drug at controlling seizures. Informed treatment decisions require detailed counselling about these risks at treatment initiation and at pre-conceptual counselling. We have insufficient data about newer AEDs, some of which are commonly prescribed, and further research is required. Most women with epilepsy should continue their medication during pregnancy as uncontrolled seizures also carries a maternal risk.","DOI":"10.1002/14651858.CD010236.pub2","ISSN":"1469-493X","note":"PMID: 25354543","title-short":"Treatment for epilepsy in pregnancy","journalAbbreviation":"Cochrane Database Syst Rev","language":"eng","author":[{"family":"Bromley","given":"Rebecca"},{"family":"Weston","given":"Jennifer"},{"family":"Adab","given":"Naghme"},{"family":"Greenhalgh","given":"Janette"},{"family":"Sanniti","given":"Anna"},{"family":"McKay","given":"Andrew J."},{"family":"Tudur Smith","given":"Catrin"},{"family":"Marson","given":"Anthony G."}],"issued":{"date-parts":[["2014",10,30]]}}}],"schema":"https://github.com/citation-style-language/schema/raw/master/csl-citation.json"}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7</w:t>
      </w:r>
      <w:r w:rsidRPr="0020759F">
        <w:rPr>
          <w:rFonts w:ascii="Times New Roman" w:hAnsi="Times New Roman"/>
          <w:sz w:val="24"/>
        </w:rPr>
        <w:fldChar w:fldCharType="end"/>
      </w:r>
      <w:r w:rsidRPr="0020759F">
        <w:rPr>
          <w:rFonts w:ascii="Times New Roman" w:hAnsi="Times New Roman"/>
          <w:sz w:val="24"/>
        </w:rPr>
        <w:t xml:space="preserve"> including delayed walking and talking or difficulty with language</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{"citationID":"2g3bv7q5j9","properties":{"formattedCitation":"\\super 3,8,9\\nosupersub{}","plainCitation":"3,8,9","noteIndex":0},"citationItems":[{"id":608,"uris":["http://zotero.org/users/2684309/items/4SI55A2N"],"uri":["http://zotero.org/users/2684309/items/4SI55A2N"],"itemData":{"id":608,"type":"article-journal","title":"Pregnancy outcomes in women with epilepsy: a systematic review and meta-analysis of published pregnancy registries and cohorts","container-title":"Epilepsy Research","page":"1-13","volume":"81","issue":"1","source":"PubMed","abstract":"PURPOSE: To conduct a systematic review and meta-analysis to quantify the incidence of congenital malformations (CMs) and other pregnancy outcomes as a function of in utero anti-epileptic drug (AED) exposure.\nMETHODS: We performed a systematic literature review to identify all published registries and cohort studies of births from pregnant women with epilepsy (WWE) that reported incidence of CMs. Overall incidences were calculated using a random effects model.\nRESULTS: The review included 59 studies that met inclusion/exclusion criteria, involving 65,533 pregnancies in WWE and 1,817,024 in healthy women. The calculated incidence of births with CM in WWE [7.08%; 95% CIs 5.62, 8.54] was higher than healthy women [2.28%; CIs 1.46, 3.10]. Incidence was highest for AED polytherapy [16.78%; CIs 0.51, 33.05]. The AED with the highest CM incidence was valproate, which was 10.73% [CIs 8.16, 13.29] for valproate monotherapy.\nCONCLUSIONS: Results of this systematic literature review suggest that the overall incidence of CMs in children born of WWE is approximately threefold that of healthy women. The risk is elevated for all AED monotherapy and further elevated for AED polytherapy compared to women without epilepsy. The risk was significantly higher for children exposed to valproate monotherapy and to polytherapy of 2 or more drugs when the polytherapy combination included phenobarital, phenytoin, or valproate. Further research is needed to delineate the specific risk for each individual AED and to determine underlying mechanisms including genetic risk factors.","DOI":"10.1016/j.eplepsyres.2008.04.022","ISSN":"0920-1211","note":"PMID: 18565732\nPMCID: PMC2660205","title-short":"Pregnancy outcomes in women with epilepsy","journalAbbreviation":"Epilepsy Res.","language":"eng","author":[{"family":"Meador","given":"Kimford"},{"family":"Reynolds","given":"Matthew W."},{"family":"Crean","given":"Sheila"},{"family":"Fahrbach","given":"Kyle"},{"family":"Probst","given":"Corey"}],"issued":{"date-parts":[["2008",9]]}},"label":"page"},{"id":603,"uris":["http://zotero.org/users/2684309/items/EW3ASK62"],"uri":["http://zotero.org/users/2684309/items/EW3ASK62"],"itemData":{"id":603,"type":"article-journal","title":"Antiepileptic drug use in women of childbearing age","container-title":"Epilepsy &amp; Behavior: E&amp;B","page":"339-343","volume":"15","issue":"3","source":"PubMed","abstract":"Research on antiepileptic drug (AED) teratogenesis has demonstrated an increased risk for valproate. The impact of these findings on current AED prescribing patterns for women of childbearing age with epilepsy is uncertain. The Neurodevelopmental Effects of Antiepileptic Drugs (NEAD) Study is an ongoing prospective multicenter observational investigation that enrolled pregnant women with epilepsy on the most common AED monotherapies from October 1999 to February 2004 (carbamazepine, lamotrigine, valproate, and phenytoin). A 2007 survey of AED use in women of childbearing age at eight NEAD centers found a total of 932 women of childbearing age with epilepsy (6% taking no AED, 53% monotherapy, 41% polytherapy). The most common monotherapies were lamotrigine or levetiracetam. Since 2004, prescriptions of carbamazepine, phenytoin, and valproate have decreased, whereas those for levetiracetam have increased. Except for the top two AED monotherapies, there were marked differences in other monotherapies and in polytherapies between U.S. and UK centers. Future investigations are needed to examine reasons for drug choice.","DOI":"10.1016/j.yebeh.2009.04.026","ISSN":"1525-5069","note":"PMID: 19410654\nPMCID: PMC2741411","journalAbbreviation":"Epilepsy Behav","language":"eng","author":[{"family":"Meador","given":"Kimford J."},{"family":"Penovich","given":"Patricia"},{"family":"Baker","given":"Gus A."},{"family":"Pennell","given":"Page B."},{"family":"Bromfield","given":"Edward"},{"family":"Pack","given":"Alison"},{"family":"Liporace","given":"Joyce D."},{"family":"Sam","given":"Maria"},{"family":"Kalayjian","given":"Laura A."},{"family":"Thurman","given":"David J."},{"family":"Moore","given":"Eugene"},{"family":"Loring","given":"David W."},{"literal":"NEAD Study Group"}],"issued":{"date-parts":[["2009",7]]}},"label":"page"},{"id":602,"uris":["http://zotero.org/users/2684309/items/CR5U5NBN"],"uri":["http://zotero.org/users/2684309/items/CR5U5NBN"],"itemData":{"id":602,"type":"article-journal","title":"Intellectual and language functions in children of mothers with epilepsy","container-title":"Epilepsia","page":"2234-2240","volume":"48","issue":"12","source":"PubMed","abstract":"PURPOSE: To compare the intellectual and language functions of children of mothers with epilepsy (CME) with that of controls matched for age and socioeconomic status.\nMETHODS: Cases were CME, aged six years or more (n = 71), drawn from a prospective cohort in the Kerala Registry of Epilepsy and Pregnancy. Controls were 201 children of parents without epilepsy, matched for age and socioeconomic status. The outcome measures included Indian adaptation of Wechsler Intelligence Scale for children and MLT-a locally developed proficiency test for regional language. All relevant data were abstracted from the registry records.\nRESULTS: The Full Scale IQ and MLT scores were significantly lower for the cases (87.7 +/- 22.6 and 73.4 +/- 17.3) compared to controls (93.0 +/- 14.4 and 83.2 +/- 11.8). Compared to controls, CME scored poor on all subtests of MLT but their impairment was confined to only some of the subtests of IQ. Maternal education and maternal IQ significantly correlated with low IQ and MLT scores for CME whereas type of epilepsy, seizures during pregnancy or low birth weight did not have any significant association with these outcome measures. Polytherapy and higher dosage of antiepileptic drugs (AEDs) were associated with significant impairment in outcome measures. Infants with low developmental quotient at one year of age continued to have low scores on outcome measures at six years.\nCONCLUSIONS: Low maternal IQ, maternal education, and antenatal AED exposure were associated with significant impairment of intellectual and language functions for CME at six years.","DOI":"10.1111/j.1528-1167.2007.01376.x","ISSN":"0013-9580","note":"PMID: 17941847","journalAbbreviation":"Epilepsia","language":"eng","author":[{"family":"Thomas","given":"Sanjeev V."},{"family":"Sukumaran","given":"Sajith"},{"family":"Lukose","given":"Neetha"},{"family":"George","given":"Annamma"},{"family":"Sarma","given":"P. S."}],"issued":{"date-parts":[["2007",12]]}},"label":"page"}],"schema":"https://github.com/citation-style-language/schema/raw/master/csl-citation.json"}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3,8,9</w:t>
      </w:r>
      <w:r w:rsidRPr="0020759F">
        <w:rPr>
          <w:rFonts w:ascii="Times New Roman" w:hAnsi="Times New Roman"/>
          <w:sz w:val="24"/>
        </w:rPr>
        <w:fldChar w:fldCharType="end"/>
      </w:r>
      <w:r w:rsidRPr="0020759F">
        <w:rPr>
          <w:rFonts w:ascii="Times New Roman" w:hAnsi="Times New Roman"/>
          <w:sz w:val="24"/>
        </w:rPr>
        <w:t xml:space="preserve">. </w:t>
      </w:r>
      <w:r w:rsidRPr="0020759F">
        <w:rPr>
          <w:rFonts w:ascii="Times New Roman" w:hAnsi="Times New Roman"/>
          <w:i/>
          <w:sz w:val="24"/>
        </w:rPr>
        <w:t>In-utero</w:t>
      </w:r>
      <w:r w:rsidRPr="0020759F">
        <w:rPr>
          <w:rFonts w:ascii="Times New Roman" w:hAnsi="Times New Roman"/>
          <w:sz w:val="24"/>
        </w:rPr>
        <w:t xml:space="preserve"> valproate exposure can also affect intelligence quotient (IQ)</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{"citationID":"28TmStVH","properties":{"formattedCitation":"\\super 10\\nosupersub{}","plainCitation":"10","noteIndex":0},"citationItems":[{"id":601,"uris":["http://zotero.org/users/2684309/items/CNPC8ZIF"],"uri":["http://zotero.org/users/2684309/items/CNPC8ZIF"],"itemData":{"id":601,"type":"article-journal","title":"Fetal antiepileptic drug exposure and cognitive outcomes at age 6 years (NEAD study): a prospective observational study","container-title":"The Lancet. Neurology","page":"244-252","volume":"12","issue":"3","source":"PubMed","abstract":"BACKGROUND: Many women of childbearing potential take antiepileptic drugs, but the cognitive effects of fetal exposure are uncertain. We aimed to assess effects of commonly used antiepileptic drugs on cognitive outcomes in children up to 6 years of age.\nMETHODS: In this prospective, observational, assessor-masked, multicentre study, we enrolled pregnant women with epilepsy on antiepileptic drug monotherapy (carbamazepine, lamotrigine, phenytoin, or valproate) between October, 1999, and February, 2004, at 25 epilepsy centres in the UK and the USA. Our primary outcome was intelligence quotient (IQ) at 6 years of age (age-6 IQ) in all children, assessed with linear regression adjusted for maternal IQ, antiepileptic drug type, standardised dose, gestational birth age, and use of periconceptional folate. We also assessed multiple cognitive domains and compared findings with outcomes at younger ages. This study is registered with ClinicalTrials.gov, number NCT00021866.\nFINDINGS: We included 305 mothers and 311 children (six twin pairs) in the primary analysis. 224 children completed 6 years of follow-up (6-year-completer sample). Multivariate analysis of all children showed that age-6 IQ was lower after exposure to valproate (mean 97, 95% CI 94-101) than to carbamazepine (105, 102-108; p=0·0015), lamotrigine (108, 105-110; p=0·0003), or phenytoin (108, 104-112; p=0·0006). Children exposed to valproate did poorly on measures of verbal and memory abilities compared with those exposed to the other antiepileptic drugs and on non-verbal and executive functions compared with lamotrigine (but not carbamazepine or phenytoin). High doses of valproate were negatively associated with IQ (r=-0·56, p&lt;0·0001), verbal ability (r=-0·40, p=0·0045), non-verbal ability (r=-0·42, p=0·0028), memory (r=-0·30, p=0·0434), and executive function (r=-0·42, p=0·0004), but other antiepileptic drugs were not. Age-6 IQ correlated with IQs at younger ages, and IQ improved with age for infants exposed to any antiepileptic drug. Compared with a normative sample (173 [93%] of 187 children), right-handedness was less frequent in children in our study overall (185 [86%] of 215; p=0·0404) and in the lamotrigine (59 [83%] of 71; p=0·0287) and valproate (38 [79%] of 40; p=0·0089) groups. Verbal abilities were worse than non-verbal abilities in children in our study overall and in the lamotrigine and valproate groups. Mean IQs were higher in children exposed to periconceptional folate (108, 95% CI 106-111) than they were in unexposed children (101, 98-104; p=0·0009).\nINTERPRETATION: Fetal valproate exposure has dose-dependent associations with reduced cognitive abilities across a range of domains at 6 years of age. Reduced right-handedness and verbal (vs non-verbal) abilities might be attributable to changes in cerebral lateralisation induced by exposure to antiepileptic drugs. The positive association of periconceptional folate with IQ is consistent with other recent studies.","DOI":"10.1016/S1474-4422(12)70323-X","ISSN":"1474-4465","note":"PMID: 23352199\nPMCID: PMC3684942","title-short":"Fetal antiepileptic drug exposure and cognitive outcomes at age 6 years (NEAD study)","journalAbbreviation":"Lancet Neurol","language":"eng","author":[{"family":"Meador","given":"Kimford J."},{"family":"Baker","given":"Gus A."},{"family":"Browning","given":"Nancy"},{"family":"Cohen","given":"Morris J."},{"family":"Bromley","given":"Rebecca L."},{"family":"Clayton-Smith","given":"Jill"},{"family":"Kalayjian","given":"Laura A."},{"family":"Kanner","given":"Andres"},{"family":"Liporace","given":"Joyce D."},{"family":"Pennell","given":"Page B."},{"family":"Privitera","given":"Michael"},{"family":"Loring","given":"David W."},{"literal":"NEAD Study Group"}],"issued":{"date-parts":[["2013",3]]}}}],"schema":"https://github.com/citation-style-language/schema/raw/master/csl-citation.json"}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10</w:t>
      </w:r>
      <w:r w:rsidRPr="0020759F">
        <w:rPr>
          <w:rFonts w:ascii="Times New Roman" w:hAnsi="Times New Roman"/>
          <w:sz w:val="24"/>
        </w:rPr>
        <w:fldChar w:fldCharType="end"/>
      </w:r>
      <w:r w:rsidRPr="0020759F">
        <w:rPr>
          <w:rFonts w:ascii="Times New Roman" w:hAnsi="Times New Roman"/>
          <w:sz w:val="24"/>
        </w:rPr>
        <w:t>, can increase the risk of autistic spectrum disorder</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{"citationID":"1olj9dpq7b","properties":{"formattedCitation":"\\super 11,12\\nosupersub{}","plainCitation":"11,12","noteIndex":0},"citationItems":[{"id":600,"uris":["http://zotero.org/users/2684309/items/MH6IPRK8"],"uri":["http://zotero.org/users/2684309/items/MH6IPRK8"],"itemData":{"id":600,"type":"article-journal","title":"Prenatal valproate exposure and risk of autism spectrum disorders and childhood autism","container-title":"JAMA","page":"1696-1703","volume":"309","issue":"16","source":"PubMed","abstract":"IMPORTANCE: Valproate is used for the treatment of epilepsy and other neuropsychological disorders and may be the only treatment option for women of childbearing potential. However, prenatal exposure to valproate may increase the risk of autism.\nOBJECTIVE: To determine whether prenatal exposure to valproate is associated with an increased risk of autism in offspring.\nDESIGN, SETTING, AND PARTICIPANTS: Population-based study of all children born alive in Denmark from 1996 to 2006. National registers were used to identify children exposed to valproate during pregnancy and diagnosed with autism spectrum disorders (childhood autism [autistic disorder], Asperger syndrome, atypical autism, and other or unspecified pervasive developmental disorders). We analyzed the risks associated with all autism spectrum disorders as well as childhood autism. Data were analyzed by Cox regression adjusting for potential confounders (maternal age at conception, paternal age at conception, parental psychiatric history, gestational age, birth weight, sex, congenital malformations, and parity). Children were followed up from birth until the day of autism spectrum disorder diagnosis, death, emigration, or December 31, 2010, whichever came first.\nMAIN OUTCOMES AND MEASURES: Absolute risk (cumulative incidence) and the hazard ratio (HR) of autism spectrum disorder and childhood autism in children after exposure to valproate in pregnancy.\nRESULTS: Of 655,615 children born from 1996 through 2006, 5437 were identified with autism spectrum disorder, including 2067 with childhood autism. The mean age of the children at end of follow-up was 8.84 years (range, 4-14; median, 8.85). The estimated absolute risk after 14 years of follow-up was 1.53% (95% CI, 1.47%-1.58%) for autism spectrum disorder and 0.48% (95% CI, 0.46%-0.51%) for childhood autism. Overall, the 508 children exposed to valproate had an absolute risk of 4.42% (95% CI, 2.59%-7.46%) for autism spectrum disorder (adjusted HR, 2.9 [95% CI, 1.7-4.9]) and an absolute risk of 2.50% (95% CI, 1.30%-4.81%) for childhood autism (adjusted HR, 5.2 [95% CI, 2.7-10.0]). When restricting the cohort to the 6584 children born to women with epilepsy, the absolute risk of autism spectrum disorder among 432 children exposed to valproate was 4.15% (95% CI, 2.20%-7.81%) (adjusted HR, 1.7 [95% CI, 0.9-3.2]), and the absolute risk of childhood autism was 2.95% (95% CI, 1.42%-6.11%) (adjusted HR, 2.9 [95% CI, 1.4-6.0]) vs 2.44% (95% CI, 1.88%-3.16%) for autism spectrum disorder and 1.02% (95% CI, 0.70%-1.49%) for childhood autism among 6152 children not exposed to valproate.\nCONCLUSIONS AND RELEVANCE: Maternal use of valproate during pregnancy was associated with a significantly increased risk of autism spectrum disorder and childhood autism in the offspring, even after adjusting for maternal epilepsy. For women of childbearing potential who use antiepileptic medications, these findings must be balanced against the treatment benefits for women who require valproate for epilepsy control.","DOI":"10.1001/jama.2013.2270","ISSN":"1538-3598","note":"PMID: 23613074\nPMCID: PMC4511955","journalAbbreviation":"JAMA","language":"eng","author":[{"family":"Christensen","given":"Jakob"},{"family":"Grønborg","given":"Therese Koops"},{"family":"Sørensen","given":"Merete Juul"},{"family":"Schendel","given":"Diana"},{"family":"Parner","given":"Erik Thorlund"},{"family":"Pedersen","given":"Lars Henning"},{"family":"Vestergaard","given":"Mogens"}],"issued":{"date-parts":[["2013",4,24]]}},"label":"page"},{"id":599,"uris":["http://zotero.org/users/2684309/items/4IXN53U9"],"uri":["http://zotero.org/users/2684309/items/4IXN53U9"],"itemData":{"id":599,"type":"article-journal","title":"Characteristics of fetal anticonvulsant syndrome associated autistic disorder","container-title":"Developmental Medicine and Child Neurology","page":"551-555","volume":"47","issue":"8","source":"PubMed","abstract":"The aim of this study was to evaluate the clinical features and frequency of autistic disorder or Asperger syndrome (AS; according to Diagnostic and Statistical Manual of Mental Disorders, 4th edition [DSM-IV] criteria) in children exposed to anticonvulsant medication in utero. During a 20-year study period, 626 children were born in Aberdeen to mothers taking antiepileptic drugs (AEDs). The study examined long-term effects of prenatal exposure to AEDs in 260 children (122 males, 138 females). Of these, 26 (16 males) were reported by parents to have social or behavioural difficulties. Eleven children (6 males, 5 females) fulfilled the DSM-IV criteria for autistic disorder and one (female) fulfilled the DSM-IV criteria for AS. These children comprised 4.6% of the exposed children studied, and 1.9% of all exposed children born during the study period. Mean age of these children at diagnosis was 5 years 4 months (SD 2y 11mo) and 9 years 10 months (SD 3y 10mo) at the time of this study. Other children from the group of 26 had difficulties in areas of speech and language development and social communication but did not meet the criteria for an autism spectrum disorder (ASD). Sodium valproate was the drug most commonly associated with autistic disorder, five of 56 (8.9%) of the study children exposed to sodium valproate alone had either autistic disorder or AS. It was concluded that prenatal exposure to anticonvulsant medication is a risk factor for the development of an ASD. Fetal anticonvulsant syndrome associated autistic disorder is characterized by an even sex ratio, absence of regression or skill loss, and language delay in the absence of global delay.","ISSN":"0012-1622","note":"PMID: 16108456","journalAbbreviation":"Dev Med Child Neurol","language":"eng","author":[{"family":"Rasalam","given":"A. D."},{"family":"Hailey","given":"H."},{"family":"Williams","given":"J. H. G."},{"family":"Moore","given":"S. J."},{"family":"Turnpenny","given":"P. D."},{"family":"Lloyd","given":"D. J."},{"family":"Dean","given":"J. C. S."}],"issued":{"date-parts":[["2005",8]]}},"label":"page"}],"schema":"https://github.com/citation-style-language/schema/raw/master/csl-citation.json"}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11,12</w:t>
      </w:r>
      <w:r w:rsidRPr="0020759F">
        <w:rPr>
          <w:rFonts w:ascii="Times New Roman" w:hAnsi="Times New Roman"/>
          <w:sz w:val="24"/>
        </w:rPr>
        <w:fldChar w:fldCharType="end"/>
      </w:r>
      <w:r w:rsidRPr="0020759F">
        <w:rPr>
          <w:rFonts w:ascii="Times New Roman" w:hAnsi="Times New Roman"/>
          <w:sz w:val="24"/>
        </w:rPr>
        <w:t xml:space="preserve"> and possibly the risk of attention deficit hyperactivity disorder (ADHD)</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{"citationID":"EdtCTUCO","properties":{"formattedCitation":"\\super 13\\nosupersub{}","plainCitation":"13","noteIndex":0},"citationItems":[{"id":598,"uris":["http://zotero.org/users/2684309/items/RPBI9QK2"],"uri":["http://zotero.org/users/2684309/items/RPBI9QK2"],"itemData":{"id":598,"type":"article-journal","title":"Fetal antiepileptic drug exposure: Adaptive and emotional/behavioral functioning at age 6years","container-title":"Epilepsy &amp; Behavior: E&amp;B","page":"308-315","volume":"29","issue":"2","source":"PubMed","abstract":"The Neurodevelopmental Effects of Antiepileptic Drugs (NEAD) study is a prospective observational multicenter study in the USA and UK, which enrolled pregnant women with epilepsy on antiepileptic drug (AED) monotherapy from 1999 to 2004. The study aimed to determine if differential long-term neurodevelopmental effects exist across four commonly used AEDs (carbamazepine, lamotrigine, phenytoin, and valproate). In this report, we examine fetal AED exposure effects on adaptive and emotional/behavioral functioning at 6years of age in 195 children (including three sets of twins) whose parent (in most cases, the mother) completed at least one of the rating scales. Adjusted mean scores for the four AED groups were in the low average to average range for parent ratings of adaptive functioning on the Adaptive Behavior Assessment System-Second Edition (ABAS-II) and for parent and teacher ratings of emotional/behavioral functioning on the Behavior Assessment System for Children (BASC). However, children whose mothers took valproate during pregnancy had significantly lower General Adaptive Composite scores than the lamotrigine and phenytoin groups. Further, a significant dose-related performance decline in parental ratings of adaptive functioning was seen for both valproate and phenytoin. Children whose mothers took valproate were also rated by their parents as exhibiting significantly more atypical behaviors and inattention than those in the lamotrigine and phenytoin groups. Based upon BASC parent and teacher ratings of attention span and hyperactivity, children of mothers who took valproate during their pregnancy were at a significantly greater risk for a diagnosis of ADHD. The increased likelihood of difficulty with adaptive functioning and ADHD with fetal valproate exposure should be communicated to women with epilepsy who require antiepileptic medication. Finally, additional research is needed to confirm these findings in larger prospective study samples, examine potential risks associated with other AEDs, better define the risks to the neonate that are associated with AEDs for treatment of seizures, and understand the underlying mechanisms of adverse AED effects on the immature brain.","DOI":"10.1016/j.yebeh.2013.08.001","ISSN":"1525-5069","note":"PMID: 24012508\nPMCID: PMC3902100","title-short":"Fetal antiepileptic drug exposure","journalAbbreviation":"Epilepsy Behav","language":"eng","author":[{"family":"Cohen","given":"Morris J."},{"family":"Meador","given":"Kimford J."},{"family":"Browning","given":"Nancy"},{"family":"May","given":"Ryan"},{"family":"Baker","given":"Gus A."},{"family":"Clayton-Smith","given":"Jill"},{"family":"Kalayjian","given":"Laura A."},{"family":"Kanner","given":"Andres"},{"family":"Liporace","given":"Joyce D."},{"family":"Pennell","given":"Page B."},{"family":"Privitera","given":"Michael"},{"family":"Loring","given":"David W."},{"literal":"NEAD study group"}],"issued":{"date-parts":[["2013",11]]}}}],"schema":"https://github.com/citation-style-language/schema/raw/master/csl-citation.json"}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13</w:t>
      </w:r>
      <w:r w:rsidRPr="0020759F">
        <w:rPr>
          <w:rFonts w:ascii="Times New Roman" w:hAnsi="Times New Roman"/>
          <w:sz w:val="24"/>
        </w:rPr>
        <w:fldChar w:fldCharType="end"/>
      </w:r>
      <w:r w:rsidRPr="0020759F">
        <w:rPr>
          <w:rFonts w:ascii="Times New Roman" w:hAnsi="Times New Roman"/>
          <w:sz w:val="24"/>
        </w:rPr>
        <w:t xml:space="preserve">, although these data are more limited. </w:t>
      </w:r>
    </w:p>
    <w:p w14:paraId="742E6A56" w14:textId="77777777" w:rsidR="00445DDF" w:rsidRPr="0020759F" w:rsidRDefault="00445DDF" w:rsidP="006A38BD">
      <w:pPr>
        <w:spacing w:line="480" w:lineRule="auto"/>
        <w:jc w:val="both"/>
        <w:rPr>
          <w:rFonts w:ascii="Times New Roman" w:hAnsi="Times New Roman"/>
          <w:sz w:val="24"/>
        </w:rPr>
      </w:pPr>
    </w:p>
    <w:p w14:paraId="33B24A9F"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rPr>
        <w:t xml:space="preserve">In October 2014, following the </w:t>
      </w:r>
      <w:r w:rsidR="0031211C" w:rsidRPr="0020759F">
        <w:rPr>
          <w:rFonts w:ascii="Times New Roman" w:hAnsi="Times New Roman"/>
          <w:sz w:val="24"/>
        </w:rPr>
        <w:t>warnings</w:t>
      </w:r>
      <w:r w:rsidRPr="0020759F">
        <w:rPr>
          <w:rFonts w:ascii="Times New Roman" w:hAnsi="Times New Roman"/>
          <w:sz w:val="24"/>
        </w:rPr>
        <w:t xml:space="preserve"> </w:t>
      </w:r>
      <w:r w:rsidR="0031211C" w:rsidRPr="0020759F">
        <w:rPr>
          <w:rFonts w:ascii="Times New Roman" w:hAnsi="Times New Roman"/>
          <w:sz w:val="24"/>
        </w:rPr>
        <w:t>from</w:t>
      </w:r>
      <w:r w:rsidRPr="0020759F">
        <w:rPr>
          <w:rFonts w:ascii="Times New Roman" w:hAnsi="Times New Roman"/>
          <w:sz w:val="24"/>
        </w:rPr>
        <w:t xml:space="preserve"> the European Medicines and Healthcare products Regulatory Agency (MHRA) about the risks associated with the use of valproate in girls </w:t>
      </w:r>
      <w:r w:rsidR="0031211C" w:rsidRPr="0020759F">
        <w:rPr>
          <w:rFonts w:ascii="Times New Roman" w:hAnsi="Times New Roman"/>
          <w:sz w:val="24"/>
        </w:rPr>
        <w:t xml:space="preserve">capable of becoming pregnant </w:t>
      </w:r>
      <w:r w:rsidRPr="0020759F">
        <w:rPr>
          <w:rFonts w:ascii="Times New Roman" w:hAnsi="Times New Roman"/>
          <w:sz w:val="24"/>
        </w:rPr>
        <w:t>and women of childbearing potential, the European Medicines Agency (EMA) Pharmacovigilance Risk Assessment Committee (PRAC) issued recommendations for valproate prescribing</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{"citationID":"9kIuthLk","properties":{"formattedCitation":"\\super 14\\nosupersub{}","plainCitation":"14","noteIndex":0},"citationItems":[{"id":611,"uris":["http://zotero.org/users/2684309/items/6HXTGHUI"],"uri":["http://zotero.org/users/2684309/items/6HXTGHUI"],"itemData":{"id":611,"type":"article","title":"PRAC recommends strengthening the restrictions on the use of valproate in women and girls - WC500175208.pdf","URL":"http://www.ema.europa.eu/docs/en_GB/document_library/Press_release/2014/10/WC500175208.pdf","accessed":{"date-parts":[["2018",7,16]]}}}],"schema":"https://github.com/citation-style-language/schema/raw/master/csl-citation.json"}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14</w:t>
      </w:r>
      <w:r w:rsidRPr="0020759F">
        <w:rPr>
          <w:rFonts w:ascii="Times New Roman" w:hAnsi="Times New Roman"/>
          <w:sz w:val="24"/>
        </w:rPr>
        <w:fldChar w:fldCharType="end"/>
      </w:r>
      <w:r w:rsidRPr="0020759F">
        <w:rPr>
          <w:rFonts w:ascii="Times New Roman" w:hAnsi="Times New Roman"/>
          <w:sz w:val="24"/>
        </w:rPr>
        <w:t xml:space="preserve">. The recommendations included that valproate and related substances (valproic acid, valproate and valpromide) should not be used in girls, women of childbearing potential and pregnant women unless alternative treatments are </w:t>
      </w:r>
      <w:r w:rsidRPr="0020759F">
        <w:rPr>
          <w:rFonts w:ascii="Times New Roman" w:hAnsi="Times New Roman"/>
          <w:sz w:val="24"/>
        </w:rPr>
        <w:lastRenderedPageBreak/>
        <w:t xml:space="preserve">ineffective or not tolerated; valproate and related substances should be contraindicated in prophylaxis of migraine attacks in pregnancy and women of childbearing potential who are not using effective methods of contraception. </w:t>
      </w:r>
    </w:p>
    <w:p w14:paraId="59E58675"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rPr>
        <w:t>These guidelines were relayed by the EMA and by Health Authorities in European countries such as in the UK where a guide was published for healthcare professionals in January 2015</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{"citationID":"yGyCgajB","properties":{"formattedCitation":"\\super 15\\nosupersub{}","plainCitation":"15","noteIndex":0},"citationItems":[{"id":597,"uris":["http://zotero.org/users/2684309/items/2J7BAEB2"],"uri":["http://zotero.org/users/2684309/items/2J7BAEB2"],"itemData":{"id":597,"type":"webpage","title":"Medicines related to valproate: risk of abnormal pregnancy outcomes","container-title":"GOV.UK","abstract":"Children exposed in utero to valproate are at a high risk of serious developmental disorders (in up to 30-40% of cases) and/or congenital malformations (in approximately 10% of cases).","URL":"https://www.gov.uk/drug-safety-update/medicines-related-to-valproate-risk-of-abnormal-pregnancy-outcomes","title-short":"Medicines related to valproate","language":"en","accessed":{"date-parts":[["2018",7,17]]}}}],"schema":"https://github.com/citation-style-language/schema/raw/master/csl-citation.json"}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15</w:t>
      </w:r>
      <w:r w:rsidRPr="0020759F">
        <w:rPr>
          <w:rFonts w:ascii="Times New Roman" w:hAnsi="Times New Roman"/>
          <w:sz w:val="24"/>
        </w:rPr>
        <w:fldChar w:fldCharType="end"/>
      </w:r>
      <w:r w:rsidRPr="0020759F">
        <w:rPr>
          <w:rFonts w:ascii="Times New Roman" w:hAnsi="Times New Roman"/>
          <w:sz w:val="24"/>
        </w:rPr>
        <w:t xml:space="preserve"> and in France where several letters have been sent to healthcare professionals since December 2014</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{"citationID":"8Kr2SEQq","properties":{"formattedCitation":"\\super 16,17\\nosupersub{}","plainCitation":"16,17","noteIndex":0},"citationItems":[{"id":596,"uris":["http://zotero.org/users/2684309/items/5KFQ43DZ"],"uri":["http://zotero.org/users/2684309/items/5KFQ43DZ"],"itemData":{"id":596,"type":"webpage","title":"Valproate et dérivés (Dépakine®, Dépakote®, Dépamide®, Micropakine® et génériques) : risque d’issues anormales de grossesse - Lettre aux professionnels de santé - ANSM : Agence nationale de sécurité du médicament et des produits de santé","URL":"http://ansm.sante.fr/S-informer/Informations-de-securite-Lettres-aux-professionnels-de-sante/Valproate-et-derives-Depakine-R-Depakote-R-Depamide-R-Micropakine-R-et-generiques-risque-d-issues-anormales-de-grossesse-Lettre-aux-professionnels-de-sante","accessed":{"date-parts":[["2018",7,17]]}},"label":"page"},{"id":1537,"uris":["http://zotero.org/users/2684309/items/C2VUNJ5N"],"uri":["http://zotero.org/users/2684309/items/C2VUNJ5N"],"itemData":{"id":1537,"type":"webpage","title":"Valproate et dérivés : contre-indication pendant la grossesse (sauf situations exceptionnelles) et programme de prévention des grossesses - Lettre aux professionnels de santé - ANSM : Agence nationale de sécurité du médicament et des produits de santé","URL":"https://ansm.sante.fr/S-informer/Informations-de-securite-Lettres-aux-professionnels-de-sante/Valproate-et-derives-contre-indication-pendant-la-grossesse-sauf-situations-exceptionnelles-et-programme-de-prevention-des-grossesses-Lettre-aux-professionnels-de-sante","accessed":{"date-parts":[["2018",10,9]]}},"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16,17</w:t>
      </w:r>
      <w:r w:rsidRPr="0020759F">
        <w:rPr>
          <w:rFonts w:ascii="Times New Roman" w:hAnsi="Times New Roman"/>
          <w:sz w:val="24"/>
        </w:rPr>
        <w:fldChar w:fldCharType="end"/>
      </w:r>
      <w:r w:rsidRPr="0020759F">
        <w:rPr>
          <w:rFonts w:ascii="Times New Roman" w:hAnsi="Times New Roman"/>
          <w:sz w:val="24"/>
        </w:rPr>
        <w:t xml:space="preserve">, and in Italy by the Italian National  Medicines Agency (AIFA). Simultaneously, recommendations and </w:t>
      </w:r>
      <w:proofErr w:type="spellStart"/>
      <w:r w:rsidRPr="0020759F">
        <w:rPr>
          <w:rFonts w:ascii="Times New Roman" w:hAnsi="Times New Roman"/>
          <w:sz w:val="24"/>
        </w:rPr>
        <w:t>blackbox</w:t>
      </w:r>
      <w:proofErr w:type="spellEnd"/>
      <w:r w:rsidRPr="0020759F">
        <w:rPr>
          <w:rFonts w:ascii="Times New Roman" w:hAnsi="Times New Roman"/>
          <w:sz w:val="24"/>
        </w:rPr>
        <w:t xml:space="preserve"> warnings for valproate prescribing during pregnancy were disseminated by the Food and Drug Administration (FDA) in the United States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{"citationID":"XFCnBh1f","properties":{"formattedCitation":"\\super 18\\uc0\\u8211{}20\\nosupersub{}","plainCitation":"18–20","noteIndex":0},"citationItems":[{"id":1592,"uris":["http://zotero.org/users/2684309/items/XN9U64U8"],"uri":["http://zotero.org/users/2684309/items/XN9U64U8"],"itemData":{"id":1592,"type":"article","title":"Prescribing information on valproic acid - Black box (FDA)","URL":"https://www.accessdata.fda.gov/drugsatfda_docs/label/2019/018081s069,018082s052lbl.pdf","accessed":{"date-parts":[["2019",7,10]]}},"label":"page"},{"id":1590,"uris":["http://zotero.org/users/2684309/items/CQWXHWNE"],"uri":["http://zotero.org/users/2684309/items/CQWXHWNE"],"itemData":{"id":1590,"type":"article-journal","title":"FDA Drug Safety Communication: Valproate Anti-seizure Products Contraindicated for Migraine Prevention in Pregnant Women due to Decreased IQ Scores in Exposed Children","container-title":"FDA","source":"www.fda.gov","abstract":"The U.S. Food and Drug Administration (FDA) is advising health care professionals and women that the anti-seizure medication valproate sodium and related products, valproic acid and divalproex sodium, are contraindicated and should not be taken by pregnant women for the prevention of migraine headaches.","URL":"http://www.fda.gov/drugs/drug-safety-and-availability/fda-drug-safety-communication-valproate-anti-seizure-products-contraindicated-migraine-prevention","title-short":"FDA Drug Safety Communication","language":"en","author":[{"family":"Research","given":"Center for Drug Evaluation","dropping-particle":"and"}],"issued":{"date-parts":[["2019",6,21]]},"accessed":{"date-parts":[["2019",7,10]]}},"label":"page"},{"id":1588,"uris":["http://zotero.org/users/2684309/items/ADVPBTV9"],"uri":["http://zotero.org/users/2684309/items/ADVPBTV9"],"itemData":{"id":1588,"type":"article-journal","title":"FDA Drug Safety Communication : Valproate Information","container-title":"FDA","source":"www.fda.gov","abstract":"Valproate Information","URL":"http://www.fda.gov/drugs/postmarket-drug-safety-information-patients-and-providers/valproate-information","language":"en","author":[{"family":"Research","given":"Center for Drug Evaluation","dropping-particle":"and"}],"issued":{"date-parts":[["2019",7,6]]},"accessed":{"date-parts":[["2019",7,10]]}},"label":"page"}],"schema":"https://github.com/citation-style-language/schema/raw/master/csl-citation.json"}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18–20</w:t>
      </w:r>
      <w:r w:rsidRPr="0020759F">
        <w:rPr>
          <w:rFonts w:ascii="Times New Roman" w:hAnsi="Times New Roman"/>
          <w:sz w:val="24"/>
        </w:rPr>
        <w:fldChar w:fldCharType="end"/>
      </w:r>
      <w:r w:rsidRPr="0020759F">
        <w:rPr>
          <w:rFonts w:ascii="Times New Roman" w:hAnsi="Times New Roman"/>
          <w:sz w:val="24"/>
        </w:rPr>
        <w:t>.</w:t>
      </w:r>
    </w:p>
    <w:p w14:paraId="55642865" w14:textId="77777777" w:rsidR="00445DDF" w:rsidRPr="0020759F" w:rsidRDefault="00445DDF" w:rsidP="006A38BD">
      <w:pPr>
        <w:spacing w:line="480" w:lineRule="auto"/>
        <w:jc w:val="both"/>
        <w:rPr>
          <w:rFonts w:ascii="Times New Roman" w:hAnsi="Times New Roman"/>
          <w:sz w:val="24"/>
        </w:rPr>
      </w:pPr>
    </w:p>
    <w:p w14:paraId="7E6E8820"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rPr>
        <w:t xml:space="preserve">The present descriptive drug utilisation study, capturing data from three European countries (UK, Italy and France), aims to study patterns of AED prescribing, particularly valproate, during pregnancy over a 10 year-period.  </w:t>
      </w:r>
      <w:r w:rsidRPr="0020759F">
        <w:rPr>
          <w:rFonts w:ascii="Times New Roman" w:hAnsi="Times New Roman"/>
          <w:sz w:val="24"/>
          <w:lang w:val="en-US"/>
        </w:rPr>
        <w:t>The objective co</w:t>
      </w:r>
      <w:r w:rsidR="00131BFE" w:rsidRPr="0020759F">
        <w:rPr>
          <w:rFonts w:ascii="Times New Roman" w:hAnsi="Times New Roman"/>
          <w:sz w:val="24"/>
          <w:lang w:val="en-US"/>
        </w:rPr>
        <w:t>nsisted in providing prevalence</w:t>
      </w:r>
      <w:r w:rsidRPr="0020759F">
        <w:rPr>
          <w:rFonts w:ascii="Times New Roman" w:hAnsi="Times New Roman"/>
          <w:sz w:val="24"/>
          <w:lang w:val="en-US"/>
        </w:rPr>
        <w:t xml:space="preserve"> of AED prescribing during pregnancy by country, by specific AEDs and by indications and also to describe evolution over time.</w:t>
      </w:r>
    </w:p>
    <w:p w14:paraId="716920DE" w14:textId="77777777" w:rsidR="00445DDF" w:rsidRPr="0020759F" w:rsidRDefault="00445DDF" w:rsidP="006A38BD">
      <w:pPr>
        <w:spacing w:line="480" w:lineRule="auto"/>
        <w:jc w:val="both"/>
        <w:rPr>
          <w:rFonts w:ascii="Times New Roman" w:hAnsi="Times New Roman"/>
          <w:sz w:val="24"/>
        </w:rPr>
      </w:pPr>
    </w:p>
    <w:p w14:paraId="691EDE8E" w14:textId="77777777" w:rsidR="00445DDF" w:rsidRPr="0020759F" w:rsidRDefault="00445DDF" w:rsidP="00F14219">
      <w:pPr>
        <w:spacing w:after="200" w:line="480" w:lineRule="auto"/>
        <w:rPr>
          <w:rFonts w:ascii="Times New Roman" w:hAnsi="Times New Roman"/>
          <w:sz w:val="24"/>
        </w:rPr>
      </w:pPr>
      <w:r w:rsidRPr="0020759F">
        <w:rPr>
          <w:rFonts w:ascii="Times New Roman" w:hAnsi="Times New Roman"/>
          <w:b/>
          <w:bCs/>
          <w:sz w:val="24"/>
        </w:rPr>
        <w:br w:type="page"/>
      </w:r>
    </w:p>
    <w:p w14:paraId="604CDBCE" w14:textId="77777777" w:rsidR="00445DDF" w:rsidRPr="0020759F" w:rsidRDefault="00445DDF">
      <w:pPr>
        <w:pStyle w:val="Heading1"/>
        <w:spacing w:line="480" w:lineRule="auto"/>
        <w:rPr>
          <w:color w:val="auto"/>
        </w:rPr>
      </w:pPr>
      <w:r w:rsidRPr="0020759F">
        <w:rPr>
          <w:color w:val="auto"/>
        </w:rPr>
        <w:lastRenderedPageBreak/>
        <w:t>Methods</w:t>
      </w:r>
    </w:p>
    <w:p w14:paraId="377C1CB8" w14:textId="5313671B" w:rsidR="00445DDF" w:rsidRPr="00E36849" w:rsidRDefault="00445DDF" w:rsidP="00E36849">
      <w:pPr>
        <w:pStyle w:val="Heading2"/>
        <w:spacing w:line="480" w:lineRule="auto"/>
        <w:rPr>
          <w:i/>
          <w:color w:val="auto"/>
          <w:sz w:val="24"/>
          <w:szCs w:val="24"/>
        </w:rPr>
      </w:pPr>
      <w:r w:rsidRPr="0020759F">
        <w:rPr>
          <w:i/>
          <w:color w:val="auto"/>
          <w:sz w:val="24"/>
          <w:szCs w:val="24"/>
        </w:rPr>
        <w:t>Study design</w:t>
      </w:r>
    </w:p>
    <w:p w14:paraId="2F667FF5"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The study is a descriptive drug utilisation study, from 1 January, 2007 to 31 December, 2016. </w:t>
      </w:r>
    </w:p>
    <w:p w14:paraId="0A47ADED" w14:textId="77777777" w:rsidR="00445DDF" w:rsidRPr="0020759F" w:rsidRDefault="00445DDF">
      <w:pPr>
        <w:pStyle w:val="Heading2"/>
        <w:spacing w:line="480" w:lineRule="auto"/>
        <w:rPr>
          <w:i/>
          <w:color w:val="auto"/>
          <w:sz w:val="24"/>
          <w:szCs w:val="24"/>
        </w:rPr>
      </w:pPr>
      <w:r w:rsidRPr="0020759F">
        <w:rPr>
          <w:i/>
          <w:color w:val="auto"/>
          <w:sz w:val="24"/>
          <w:szCs w:val="24"/>
        </w:rPr>
        <w:t>Data source</w:t>
      </w:r>
    </w:p>
    <w:p w14:paraId="7AE8215B" w14:textId="5DFF8930" w:rsidR="00445DDF" w:rsidRPr="0020759F" w:rsidRDefault="00445DDF">
      <w:pPr>
        <w:spacing w:line="480" w:lineRule="auto"/>
        <w:jc w:val="both"/>
        <w:rPr>
          <w:rFonts w:ascii="Times New Roman" w:hAnsi="Times New Roman"/>
          <w:sz w:val="24"/>
        </w:rPr>
      </w:pPr>
      <w:r w:rsidRPr="0020759F">
        <w:rPr>
          <w:rFonts w:ascii="Times New Roman" w:hAnsi="Times New Roman"/>
          <w:sz w:val="24"/>
        </w:rPr>
        <w:t>Anonymous</w:t>
      </w:r>
      <w:r w:rsidR="002539B6" w:rsidRPr="0020759F">
        <w:rPr>
          <w:rFonts w:ascii="Times New Roman" w:hAnsi="Times New Roman"/>
          <w:sz w:val="24"/>
        </w:rPr>
        <w:t xml:space="preserve"> data from</w:t>
      </w:r>
      <w:r w:rsidRPr="0020759F">
        <w:rPr>
          <w:rFonts w:ascii="Times New Roman" w:hAnsi="Times New Roman"/>
          <w:sz w:val="24"/>
        </w:rPr>
        <w:t xml:space="preserve"> linked electronic healthcare databases from four regions/countries contributed to the study: the UK (Clinical Practice Research Datalink (CPRD), capturing a sample of approximately 8% of the UK population), France (</w:t>
      </w:r>
      <w:proofErr w:type="spellStart"/>
      <w:r w:rsidRPr="0020759F">
        <w:rPr>
          <w:rFonts w:ascii="Times New Roman" w:hAnsi="Times New Roman"/>
          <w:sz w:val="24"/>
        </w:rPr>
        <w:t>Echantillon</w:t>
      </w:r>
      <w:proofErr w:type="spellEnd"/>
      <w:r w:rsidRPr="0020759F">
        <w:rPr>
          <w:rFonts w:ascii="Times New Roman" w:hAnsi="Times New Roman"/>
          <w:sz w:val="24"/>
        </w:rPr>
        <w:t xml:space="preserve"> </w:t>
      </w:r>
      <w:proofErr w:type="spellStart"/>
      <w:r w:rsidRPr="0020759F">
        <w:rPr>
          <w:rFonts w:ascii="Times New Roman" w:hAnsi="Times New Roman"/>
          <w:sz w:val="24"/>
        </w:rPr>
        <w:t>Generaliste</w:t>
      </w:r>
      <w:proofErr w:type="spellEnd"/>
      <w:r w:rsidRPr="0020759F">
        <w:rPr>
          <w:rFonts w:ascii="Times New Roman" w:hAnsi="Times New Roman"/>
          <w:sz w:val="24"/>
        </w:rPr>
        <w:t xml:space="preserve"> des </w:t>
      </w:r>
      <w:proofErr w:type="spellStart"/>
      <w:r w:rsidRPr="0020759F">
        <w:rPr>
          <w:rFonts w:ascii="Times New Roman" w:hAnsi="Times New Roman"/>
          <w:sz w:val="24"/>
        </w:rPr>
        <w:t>Beneficiaires</w:t>
      </w:r>
      <w:proofErr w:type="spellEnd"/>
      <w:r w:rsidRPr="0020759F">
        <w:rPr>
          <w:rFonts w:ascii="Times New Roman" w:hAnsi="Times New Roman"/>
          <w:sz w:val="24"/>
        </w:rPr>
        <w:t xml:space="preserve"> (EGB): French Health Insurance System and Hospital Medical Information Systems (PMSI), concerning a representative  1/97 sample of the French Population), Emilia Romagna in Italy (Certificate of Delivery Assistance (</w:t>
      </w:r>
      <w:proofErr w:type="spellStart"/>
      <w:r w:rsidRPr="0020759F">
        <w:rPr>
          <w:rFonts w:ascii="Times New Roman" w:hAnsi="Times New Roman"/>
          <w:sz w:val="24"/>
        </w:rPr>
        <w:t>CeDAP</w:t>
      </w:r>
      <w:proofErr w:type="spellEnd"/>
      <w:r w:rsidRPr="0020759F">
        <w:rPr>
          <w:rFonts w:ascii="Times New Roman" w:hAnsi="Times New Roman"/>
          <w:sz w:val="24"/>
        </w:rPr>
        <w:t>) and Emilia-Romagna Prescription Database (ERPD)) and Tuscany in Italy (</w:t>
      </w:r>
      <w:proofErr w:type="spellStart"/>
      <w:r w:rsidRPr="0020759F">
        <w:rPr>
          <w:rFonts w:ascii="Times New Roman" w:hAnsi="Times New Roman"/>
          <w:sz w:val="24"/>
        </w:rPr>
        <w:t>CeDAP</w:t>
      </w:r>
      <w:proofErr w:type="spellEnd"/>
      <w:r w:rsidRPr="0020759F">
        <w:rPr>
          <w:rFonts w:ascii="Times New Roman" w:hAnsi="Times New Roman"/>
          <w:sz w:val="24"/>
        </w:rPr>
        <w:t>, Hospital Discharges Registry and Tuscany Prescription Database (TPD)). An overview of the databases has been reported in previous articles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{"citationID":"mMsY4pyR","properties":{"formattedCitation":"\\super 1,21\\nosupersub{}","plainCitation":"1,21","noteIndex":0},"citationItems":[{"id":593,"uris":["http://zotero.org/users/2684309/items/Q5UJB2VD"],"uri":["http://zotero.org/users/2684309/items/Q5UJB2VD"],"itemData":{"id":593,"type":"article-journal","title":"Prescriptions of antiepileptic medications in women in three European countries between 2007 and 2016 : effect of a warning concerning valproate","author":[{"family":"Charlton","given":"Rachel"},{"family":"Damase-Michel","given":"Damase-Michel"},{"family":"Hurault-Delarue","given":"Caroline"},{"family":"Gini","given":"Rosa"},{"family":"Loane","given":"Maria"},{"family":"Pierini","given":"Anna"},{"family":"Puccini","given":"Aurora"},{"family":"Neville","given":"Amanda"},{"family":"Snowball","given":"Julia"},{"family":"Morris","given":"Joan"}],"issued":{"date-parts":[["2018",7]]}},"label":"page"},{"id":594,"uris":["http://zotero.org/users/2684309/items/JPDQZSFC"],"uri":["http://zotero.org/users/2684309/items/JPDQZSFC"],"itemData":{"id":594,"type":"article-journal","title":"Healthcare databases in Europe for studying medicine use and safety during pregnancy","container-title":"Pharmacoepidemiology and Drug Safety","page":"586-594","volume":"23","issue":"6","source":"PubMed","abstract":"PURPOSE: The aim of this study was to describe a number of electronic healthcare databases in Europe in terms of the population covered, the source of the data captured and the availability of data on key variables required for evaluating medicine use and medicine safety during pregnancy.\nMETHODS: A sample of electronic healthcare databases that captured pregnancies and prescription data was selected on the basis of contacts within the EUROCAT network. For each participating database, a database inventory was completed.\nRESULTS: Eight databases were included, and the total population covered was 25 million. All databases recorded live births, seven captured stillbirths and five had full data available on spontaneous pregnancy losses and induced terminations. In six databases, data were usually available to determine the date of the woman's last menstrual period, whereas in the remainder, algorithms were needed to establish a best estimate for at least some pregnancies. In seven databases, it was possible to use data recorded in the databases to identify pregnancies where the offspring had a congenital anomaly. Information on confounding variables was more commonly available in databases capturing data recorded by primary-care practitioners. All databases captured maternal co-prescribing and a measure of socioeconomic status.\nCONCLUSION: This study suggests that within Europe, electronic healthcare databases may be valuable sources of data for evaluating medicine use and safety during pregnancy. The suitability of a particular database, however, will depend on the research question, the type of medicine to be evaluated, the prevalence of its use and any adverse outcomes of interest. © 2014 The Authors. Pharmacoepidemiology and Drug Safety published by John Wiley &amp; Sons, Ltd.","DOI":"10.1002/pds.3613","ISSN":"1099-1557","note":"PMID: 24664855","journalAbbreviation":"Pharmacoepidemiol Drug Saf","language":"eng","author":[{"family":"Charlton","given":"Rachel A."},{"family":"Neville","given":"Amanda J."},{"family":"Jordan","given":"Sue"},{"family":"Pierini","given":"Anna"},{"family":"Damase-Michel","given":"Christine"},{"family":"Klungsøyr","given":"Kari"},{"family":"Andersen","given":"Anne-Marie Nybo"},{"family":"Hansen","given":"Anne Vinkel"},{"family":"Gini","given":"Rosa"},{"family":"Bos","given":"Jens H. J."},{"family":"Puccini","given":"Aurora"},{"family":"Hurault-Delarue","given":"Caroline"},{"family":"Brooks","given":"Caroline J."},{"family":"Jong-van den Berg","given":"Lolkje T. W.","non-dropping-particle":"de"},{"family":"Vries","given":"Corinne S.","non-dropping-particle":"de"}],"issued":{"date-parts":[["2014",6]]}},"label":"page"}],"schema":"https://github.com/citation-style-language/schema/raw/master/csl-citation.json"}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1,21</w:t>
      </w:r>
      <w:r w:rsidRPr="0020759F">
        <w:rPr>
          <w:rFonts w:ascii="Times New Roman" w:hAnsi="Times New Roman"/>
          <w:sz w:val="24"/>
        </w:rPr>
        <w:fldChar w:fldCharType="end"/>
      </w:r>
      <w:r w:rsidRPr="0020759F">
        <w:rPr>
          <w:rFonts w:ascii="Times New Roman" w:hAnsi="Times New Roman"/>
          <w:sz w:val="24"/>
        </w:rPr>
        <w:t xml:space="preserve">. Ethical and data access approvals were obtained for each database from the relevant governance infrastructures. </w:t>
      </w:r>
    </w:p>
    <w:p w14:paraId="36548C1B" w14:textId="77777777" w:rsidR="00445DDF" w:rsidRPr="0020759F" w:rsidRDefault="00445DDF">
      <w:pPr>
        <w:pStyle w:val="Heading2"/>
        <w:spacing w:line="480" w:lineRule="auto"/>
        <w:rPr>
          <w:i/>
          <w:color w:val="auto"/>
          <w:sz w:val="24"/>
          <w:szCs w:val="24"/>
        </w:rPr>
      </w:pPr>
      <w:r w:rsidRPr="0020759F">
        <w:rPr>
          <w:i/>
          <w:color w:val="auto"/>
          <w:sz w:val="24"/>
          <w:szCs w:val="24"/>
        </w:rPr>
        <w:t>Pregnancy</w:t>
      </w:r>
    </w:p>
    <w:p w14:paraId="648FBEF3"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All pregnancies with a known pregnancy outcome were included. The start and end dates of each pregnancy in women aged between 10 and 50 years were identified within each of the databases during the study period using database specific algorithms. In the UK CPRD the algorithm incorporated all pregnancy related codes in the mother’s electronic medical record. In the Italian databases, the start of pregnancy was determined based on gestational age data and in the French database, the start of pregnancy was determined from information on gestational age or an algorithm incorporating other available pregnancy related data. In the UK, French and Tuscany databases, pregnancies that ended in a live birth, stillbirth, spontaneous abortion and induced termination (including those induced for non-medical </w:t>
      </w:r>
      <w:r w:rsidRPr="0020759F">
        <w:rPr>
          <w:rFonts w:ascii="Times New Roman" w:hAnsi="Times New Roman"/>
          <w:sz w:val="24"/>
        </w:rPr>
        <w:lastRenderedPageBreak/>
        <w:t>reasons) were identifiable. In Emilia Romagna, pregnancy data were limited to those pregnancies ending in a live or stillbirth.</w:t>
      </w:r>
    </w:p>
    <w:p w14:paraId="799D53A1" w14:textId="77777777" w:rsidR="00445DDF" w:rsidRPr="0020759F" w:rsidRDefault="00445DDF">
      <w:pPr>
        <w:spacing w:line="480" w:lineRule="auto"/>
        <w:jc w:val="both"/>
        <w:rPr>
          <w:rFonts w:ascii="Times New Roman" w:hAnsi="Times New Roman"/>
          <w:sz w:val="24"/>
        </w:rPr>
      </w:pPr>
    </w:p>
    <w:p w14:paraId="7BB22C39" w14:textId="4261E76B" w:rsidR="00E36849" w:rsidRDefault="00445DDF">
      <w:pPr>
        <w:spacing w:line="480" w:lineRule="auto"/>
        <w:jc w:val="both"/>
        <w:rPr>
          <w:rFonts w:ascii="Times New Roman" w:hAnsi="Times New Roman"/>
          <w:sz w:val="24"/>
        </w:rPr>
      </w:pPr>
      <w:r w:rsidRPr="0020759F">
        <w:rPr>
          <w:rFonts w:ascii="Times New Roman" w:hAnsi="Times New Roman"/>
          <w:sz w:val="24"/>
        </w:rPr>
        <w:t xml:space="preserve">Multiple pregnancies were also included. Pregnancies were eligible for inclusion if the woman had been present in the study cohort for the 6 months before pregnancy and throughout the pregnancy. </w:t>
      </w:r>
    </w:p>
    <w:p w14:paraId="40F7D1FB" w14:textId="77777777" w:rsidR="00E36849" w:rsidRDefault="00E36849">
      <w:pPr>
        <w:spacing w:line="480" w:lineRule="auto"/>
        <w:jc w:val="both"/>
        <w:rPr>
          <w:rFonts w:ascii="Times New Roman" w:hAnsi="Times New Roman"/>
          <w:sz w:val="24"/>
        </w:rPr>
      </w:pPr>
    </w:p>
    <w:p w14:paraId="1F6CC696" w14:textId="224C8593" w:rsidR="00E36849" w:rsidRPr="00E36849" w:rsidRDefault="00445DDF" w:rsidP="00E36849">
      <w:pPr>
        <w:pStyle w:val="Heading2"/>
        <w:spacing w:line="480" w:lineRule="auto"/>
        <w:rPr>
          <w:i/>
          <w:color w:val="auto"/>
          <w:sz w:val="24"/>
          <w:szCs w:val="24"/>
        </w:rPr>
      </w:pPr>
      <w:bookmarkStart w:id="1" w:name="_Toc515976398"/>
      <w:r w:rsidRPr="0020759F">
        <w:rPr>
          <w:i/>
          <w:color w:val="auto"/>
          <w:sz w:val="24"/>
          <w:szCs w:val="24"/>
        </w:rPr>
        <w:t>Exposure to antiepileptic drugs (AEDs)</w:t>
      </w:r>
      <w:bookmarkEnd w:id="1"/>
    </w:p>
    <w:p w14:paraId="62D31C19"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AEDs with an ATC classification code starting with N03A and also clobazam (N05BA09) were used. These drugs can be licensed, depending on the countries, for epilepsy but also for bipolar disorder, anxiety, migraine prophylaxis and neuropathic pain. </w:t>
      </w:r>
    </w:p>
    <w:p w14:paraId="57E9D029" w14:textId="23F5C60C" w:rsidR="00074605"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AED exposure was based on the issue (UK) or the dispensing (France and Italy) of a prescription. Prescription duration and dose were not taken into account. Women were considered to be exposed to AEDs if they had received at least one prescription during the pregnancy. Considering the period of exposure during pregnancy, women were considered to be exposed during trimester 1 if they had received at least one prescription during the first 3 months of pregnancy, </w:t>
      </w:r>
      <w:r w:rsidR="002539B6" w:rsidRPr="0020759F">
        <w:rPr>
          <w:rFonts w:ascii="Times New Roman" w:hAnsi="Times New Roman"/>
          <w:sz w:val="24"/>
        </w:rPr>
        <w:t xml:space="preserve">in trimester 2 if they </w:t>
      </w:r>
      <w:r w:rsidR="003B3074" w:rsidRPr="0020759F">
        <w:rPr>
          <w:rFonts w:ascii="Times New Roman" w:hAnsi="Times New Roman"/>
          <w:sz w:val="24"/>
        </w:rPr>
        <w:t xml:space="preserve">had </w:t>
      </w:r>
      <w:r w:rsidR="002539B6" w:rsidRPr="0020759F">
        <w:rPr>
          <w:rFonts w:ascii="Times New Roman" w:hAnsi="Times New Roman"/>
          <w:sz w:val="24"/>
        </w:rPr>
        <w:t xml:space="preserve">received a prescription during months 4-6 and in trimester 3 if they </w:t>
      </w:r>
      <w:r w:rsidR="003B3074" w:rsidRPr="0020759F">
        <w:rPr>
          <w:rFonts w:ascii="Times New Roman" w:hAnsi="Times New Roman"/>
          <w:sz w:val="24"/>
        </w:rPr>
        <w:t xml:space="preserve">had </w:t>
      </w:r>
      <w:r w:rsidR="002539B6" w:rsidRPr="0020759F">
        <w:rPr>
          <w:rFonts w:ascii="Times New Roman" w:hAnsi="Times New Roman"/>
          <w:sz w:val="24"/>
        </w:rPr>
        <w:t xml:space="preserve">received a prescription from month 6 to the end of pregnancy. </w:t>
      </w:r>
    </w:p>
    <w:p w14:paraId="3FE39002"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Valproate, including prescriptions for valproic acid and valpromide, was of particular interest.</w:t>
      </w:r>
    </w:p>
    <w:p w14:paraId="181871C6" w14:textId="77777777" w:rsidR="00445DDF" w:rsidRPr="0020759F" w:rsidRDefault="00445DDF">
      <w:pPr>
        <w:spacing w:line="480" w:lineRule="auto"/>
        <w:jc w:val="both"/>
        <w:rPr>
          <w:rFonts w:ascii="Times New Roman" w:hAnsi="Times New Roman"/>
          <w:sz w:val="24"/>
        </w:rPr>
      </w:pPr>
    </w:p>
    <w:p w14:paraId="7CD1729F" w14:textId="77777777" w:rsidR="00445DDF" w:rsidRPr="0020759F" w:rsidRDefault="00445DDF">
      <w:pPr>
        <w:pStyle w:val="Heading2"/>
        <w:spacing w:line="480" w:lineRule="auto"/>
        <w:rPr>
          <w:i/>
          <w:color w:val="auto"/>
          <w:sz w:val="24"/>
          <w:szCs w:val="24"/>
        </w:rPr>
      </w:pPr>
      <w:r w:rsidRPr="0020759F">
        <w:rPr>
          <w:i/>
          <w:color w:val="auto"/>
          <w:sz w:val="24"/>
          <w:szCs w:val="24"/>
        </w:rPr>
        <w:t>Indications of AED prescriptions</w:t>
      </w:r>
    </w:p>
    <w:p w14:paraId="1DB7C788"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Indications for prescriptions were not available, or only partially available, in the four databases used for this study. Consequently, each country/region developed a specific algorithm to determine indications for AED prescriptions, using medical information </w:t>
      </w:r>
      <w:r w:rsidRPr="0020759F">
        <w:rPr>
          <w:rFonts w:ascii="Times New Roman" w:hAnsi="Times New Roman"/>
          <w:sz w:val="24"/>
        </w:rPr>
        <w:lastRenderedPageBreak/>
        <w:t xml:space="preserve">available such as medical diagnoses, hospital discharge data, special reimbursement status or exemption codes, information on the type of prescriber, the specific name of the medicine and co-prescribing of other medicines. However, in Emilia Romagna and in Tuscany 31% and 49% of the indications could not be identified; consequently, only French and UK indication data were analysed. </w:t>
      </w:r>
    </w:p>
    <w:p w14:paraId="2E6E7A55" w14:textId="77777777" w:rsidR="00445DDF" w:rsidRPr="0020759F" w:rsidRDefault="00445DDF">
      <w:pPr>
        <w:spacing w:line="480" w:lineRule="auto"/>
      </w:pPr>
    </w:p>
    <w:p w14:paraId="5F57E51F" w14:textId="77777777" w:rsidR="00445DDF" w:rsidRPr="0020759F" w:rsidRDefault="00445DDF">
      <w:pPr>
        <w:pStyle w:val="Heading2"/>
        <w:spacing w:line="480" w:lineRule="auto"/>
        <w:rPr>
          <w:color w:val="auto"/>
          <w:lang w:val="en-US"/>
        </w:rPr>
      </w:pPr>
      <w:r w:rsidRPr="0020759F">
        <w:rPr>
          <w:color w:val="auto"/>
          <w:lang w:val="en-US"/>
        </w:rPr>
        <w:t>Statistical Methods</w:t>
      </w:r>
    </w:p>
    <w:p w14:paraId="49FDB2B9" w14:textId="77777777" w:rsidR="00445DDF" w:rsidRPr="0020759F" w:rsidRDefault="00445DDF">
      <w:pPr>
        <w:spacing w:line="480" w:lineRule="auto"/>
        <w:jc w:val="both"/>
        <w:rPr>
          <w:rFonts w:ascii="Times New Roman" w:hAnsi="Times New Roman"/>
          <w:sz w:val="24"/>
          <w:lang w:val="en-US"/>
        </w:rPr>
      </w:pPr>
      <w:r w:rsidRPr="0020759F">
        <w:rPr>
          <w:rFonts w:ascii="Times New Roman" w:hAnsi="Times New Roman"/>
          <w:sz w:val="24"/>
          <w:lang w:val="en-US"/>
        </w:rPr>
        <w:t xml:space="preserve">Prevalence of AED prescribing were computed overall and for specific AEDs, stratified by country/region and calendar year at pregnancy start. The number of pregnancies in 2016 was </w:t>
      </w:r>
      <w:r w:rsidR="00026A05" w:rsidRPr="0020759F">
        <w:rPr>
          <w:rFonts w:ascii="Times New Roman" w:hAnsi="Times New Roman"/>
          <w:sz w:val="24"/>
          <w:lang w:val="en-US"/>
        </w:rPr>
        <w:t>low</w:t>
      </w:r>
      <w:r w:rsidRPr="0020759F">
        <w:rPr>
          <w:rFonts w:ascii="Times New Roman" w:hAnsi="Times New Roman"/>
          <w:sz w:val="24"/>
          <w:lang w:val="en-US"/>
        </w:rPr>
        <w:t xml:space="preserve"> as generally only pregnancies conceived before April had outcomes before the end of the year. Prevalence were calculated per 1,000 pregnancies (expressed with the symbol ‰), with 95% confidence intervals (CI95) calculated using the binomial distribution.</w:t>
      </w:r>
    </w:p>
    <w:p w14:paraId="24BE4298" w14:textId="5F4BE44D" w:rsidR="00445DDF" w:rsidRPr="0020759F" w:rsidRDefault="00026A05">
      <w:pPr>
        <w:spacing w:line="480" w:lineRule="auto"/>
        <w:jc w:val="both"/>
        <w:rPr>
          <w:rFonts w:ascii="Times New Roman" w:hAnsi="Times New Roman"/>
          <w:sz w:val="24"/>
          <w:lang w:val="en-US"/>
        </w:rPr>
      </w:pPr>
      <w:r w:rsidRPr="0020759F">
        <w:rPr>
          <w:rFonts w:ascii="Times New Roman" w:hAnsi="Times New Roman"/>
          <w:sz w:val="24"/>
          <w:lang w:val="en-US"/>
        </w:rPr>
        <w:t xml:space="preserve">Data were analyzed using </w:t>
      </w:r>
      <w:r w:rsidR="00445DDF" w:rsidRPr="0020759F">
        <w:rPr>
          <w:rFonts w:ascii="Times New Roman" w:hAnsi="Times New Roman"/>
          <w:sz w:val="24"/>
          <w:lang w:val="en-US"/>
        </w:rPr>
        <w:t xml:space="preserve">STATA 15 in </w:t>
      </w:r>
      <w:r w:rsidR="003B3074" w:rsidRPr="0020759F">
        <w:rPr>
          <w:rFonts w:ascii="Times New Roman" w:hAnsi="Times New Roman"/>
          <w:sz w:val="24"/>
          <w:lang w:val="en-US"/>
        </w:rPr>
        <w:t xml:space="preserve">the </w:t>
      </w:r>
      <w:r w:rsidR="00445DDF" w:rsidRPr="0020759F">
        <w:rPr>
          <w:rFonts w:ascii="Times New Roman" w:hAnsi="Times New Roman"/>
          <w:sz w:val="24"/>
          <w:lang w:val="en-US"/>
        </w:rPr>
        <w:t>UK and SAS (SAS Institute, North Carolina, USA) in France and Italy.</w:t>
      </w:r>
    </w:p>
    <w:p w14:paraId="320D7D76" w14:textId="77777777" w:rsidR="00445DDF" w:rsidRPr="0020759F" w:rsidRDefault="00445DDF" w:rsidP="00F14219">
      <w:pPr>
        <w:spacing w:after="200" w:line="480" w:lineRule="auto"/>
        <w:rPr>
          <w:rFonts w:ascii="Cambria" w:hAnsi="Cambria"/>
          <w:b/>
          <w:bCs/>
          <w:sz w:val="28"/>
          <w:szCs w:val="28"/>
        </w:rPr>
      </w:pPr>
      <w:r w:rsidRPr="0020759F">
        <w:br w:type="page"/>
      </w:r>
    </w:p>
    <w:p w14:paraId="4A92F334" w14:textId="77777777" w:rsidR="00445DDF" w:rsidRPr="0020759F" w:rsidRDefault="00445DDF">
      <w:pPr>
        <w:pStyle w:val="Heading1"/>
        <w:spacing w:line="480" w:lineRule="auto"/>
        <w:rPr>
          <w:color w:val="auto"/>
        </w:rPr>
      </w:pPr>
      <w:r w:rsidRPr="0020759F">
        <w:rPr>
          <w:color w:val="auto"/>
        </w:rPr>
        <w:lastRenderedPageBreak/>
        <w:t>RESULTS</w:t>
      </w:r>
    </w:p>
    <w:p w14:paraId="5C323ACD" w14:textId="7E3F696A" w:rsidR="00445DDF" w:rsidRDefault="00445DDF">
      <w:pPr>
        <w:spacing w:line="480" w:lineRule="auto"/>
        <w:jc w:val="both"/>
        <w:rPr>
          <w:rFonts w:ascii="Times New Roman" w:hAnsi="Times New Roman"/>
          <w:sz w:val="24"/>
        </w:rPr>
      </w:pPr>
      <w:r w:rsidRPr="0020759F">
        <w:rPr>
          <w:rFonts w:ascii="Times New Roman" w:hAnsi="Times New Roman"/>
          <w:sz w:val="24"/>
        </w:rPr>
        <w:t xml:space="preserve">During the study period, more than one million pregnancies were captured in the databases: 66,681 pregnancies in France, 294,151 in Tuscany (Italy), 355,767 in Emilia Romagna (Italy) and 380,499 in the UK. </w:t>
      </w:r>
    </w:p>
    <w:p w14:paraId="61BC028A" w14:textId="77777777" w:rsidR="00E36849" w:rsidRPr="0020759F" w:rsidRDefault="00E36849">
      <w:pPr>
        <w:spacing w:line="480" w:lineRule="auto"/>
        <w:jc w:val="both"/>
        <w:rPr>
          <w:rFonts w:ascii="Times New Roman" w:hAnsi="Times New Roman"/>
          <w:sz w:val="24"/>
        </w:rPr>
      </w:pPr>
    </w:p>
    <w:p w14:paraId="2F3C60DA" w14:textId="67A0E3B5" w:rsidR="00445DDF" w:rsidRPr="00E36849" w:rsidRDefault="00445DDF" w:rsidP="00E36849">
      <w:pPr>
        <w:pStyle w:val="Heading2"/>
        <w:spacing w:line="480" w:lineRule="auto"/>
        <w:rPr>
          <w:i/>
          <w:color w:val="auto"/>
          <w:sz w:val="24"/>
          <w:szCs w:val="24"/>
        </w:rPr>
      </w:pPr>
      <w:r w:rsidRPr="0020759F">
        <w:rPr>
          <w:i/>
          <w:color w:val="auto"/>
          <w:sz w:val="24"/>
          <w:szCs w:val="24"/>
        </w:rPr>
        <w:t>Prevalence of AED prescribing during pregnancy</w:t>
      </w:r>
    </w:p>
    <w:p w14:paraId="3A5C57FF"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The prevalence of AED prescribing during pregnancy varied between countries/regions from 3.0 (2.8-3.1) per 1,000 </w:t>
      </w:r>
      <w:r w:rsidR="00A5024F" w:rsidRPr="0020759F">
        <w:rPr>
          <w:rFonts w:ascii="Times New Roman" w:hAnsi="Times New Roman"/>
          <w:sz w:val="24"/>
        </w:rPr>
        <w:t xml:space="preserve">pregnancies </w:t>
      </w:r>
      <w:r w:rsidRPr="0020759F">
        <w:rPr>
          <w:rFonts w:ascii="Times New Roman" w:hAnsi="Times New Roman"/>
          <w:sz w:val="24"/>
        </w:rPr>
        <w:t>in Emilia Romagna to 7.8 (7.5-8.0) in the UK, with 5.9 (5.6-6.1) in Tuscany and 6.3 (5.7-6.9) in France.</w:t>
      </w:r>
    </w:p>
    <w:p w14:paraId="03A8B273"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As presented in the Table 1,</w:t>
      </w:r>
      <w:r w:rsidRPr="0020759F">
        <w:rPr>
          <w:rFonts w:ascii="Times New Roman" w:hAnsi="Times New Roman"/>
          <w:b/>
          <w:sz w:val="24"/>
        </w:rPr>
        <w:t xml:space="preserve"> </w:t>
      </w:r>
      <w:r w:rsidRPr="0020759F">
        <w:rPr>
          <w:rFonts w:ascii="Times New Roman" w:hAnsi="Times New Roman"/>
          <w:sz w:val="24"/>
        </w:rPr>
        <w:t>lamotrigine was one of the 4 most commonly prescribed AEDs in all regions and the highest-prescribed AED in France and the UK. In France, 29.1% of women exposed to an AED during pregnancy and 33.2% in the UK were exposed to lamotrigine.</w:t>
      </w:r>
    </w:p>
    <w:p w14:paraId="79D28CF6"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In Tuscany, valproate was the most frequently prescribed AED during pregnancy with 28.6% of pregnant women exposed to an AED being prescribed it, compared to 11.9% in the UK, 16.7% of women in Emilia Romagna, and 21.6% in France.</w:t>
      </w:r>
    </w:p>
    <w:p w14:paraId="1D76B97F"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Clonazepam, carbamazepine and levetiracetam were also commonly prescribed in Italy, France and the UK during pregnancy. For more than 10% of pregnant women exposed to an AED, clonazepam was prescribed in Italy (14.9% in Emilia Romagna and 13.7 in Tuscany) and France (18.2%). The same applied to levetiracetam in France (10.7%), Emilia Romagna (10.6%) and the UK (12.9). Carbamazepine was prescribed for more than 15% of pregnant women exposed to an AED in Emilia Romagna (22.2%), UK (16.4%) and Tuscany (15.1%).</w:t>
      </w:r>
    </w:p>
    <w:p w14:paraId="6EB707FD"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 France and the UK, pregabalin prescribing concerned respectively 12.6% and 13.4% of pregnant women exposed to an AED. </w:t>
      </w:r>
    </w:p>
    <w:p w14:paraId="7EBA605B" w14:textId="5A2A2F28" w:rsidR="00445DDF" w:rsidRPr="0020759F" w:rsidRDefault="00445DDF" w:rsidP="000B3505">
      <w:pPr>
        <w:spacing w:line="480" w:lineRule="auto"/>
        <w:jc w:val="both"/>
        <w:rPr>
          <w:rFonts w:ascii="Times New Roman" w:hAnsi="Times New Roman"/>
          <w:sz w:val="24"/>
        </w:rPr>
      </w:pPr>
      <w:r w:rsidRPr="0020759F">
        <w:rPr>
          <w:rFonts w:ascii="Times New Roman" w:hAnsi="Times New Roman"/>
          <w:sz w:val="24"/>
        </w:rPr>
        <w:lastRenderedPageBreak/>
        <w:t>The prevalence of AED prescribing during pregnancy increased with age in all countries</w:t>
      </w:r>
      <w:r w:rsidR="00A5024F" w:rsidRPr="0020759F">
        <w:rPr>
          <w:rFonts w:ascii="Times New Roman" w:hAnsi="Times New Roman"/>
          <w:sz w:val="24"/>
        </w:rPr>
        <w:t>, particularly in women over 40 years of age in</w:t>
      </w:r>
      <w:r w:rsidRPr="0020759F">
        <w:rPr>
          <w:rFonts w:ascii="Times New Roman" w:hAnsi="Times New Roman"/>
          <w:sz w:val="24"/>
        </w:rPr>
        <w:t xml:space="preserve"> France and the UK. For example</w:t>
      </w:r>
      <w:r w:rsidR="00A5024F" w:rsidRPr="0020759F">
        <w:rPr>
          <w:rFonts w:ascii="Times New Roman" w:hAnsi="Times New Roman"/>
          <w:sz w:val="24"/>
        </w:rPr>
        <w:t xml:space="preserve">, in </w:t>
      </w:r>
      <w:r w:rsidR="003B375C" w:rsidRPr="0020759F">
        <w:rPr>
          <w:rFonts w:ascii="Times New Roman" w:hAnsi="Times New Roman"/>
          <w:sz w:val="24"/>
        </w:rPr>
        <w:t xml:space="preserve">the </w:t>
      </w:r>
      <w:r w:rsidR="00A5024F" w:rsidRPr="0020759F">
        <w:rPr>
          <w:rFonts w:ascii="Times New Roman" w:hAnsi="Times New Roman"/>
          <w:sz w:val="24"/>
        </w:rPr>
        <w:t>UK</w:t>
      </w:r>
      <w:r w:rsidRPr="0020759F">
        <w:rPr>
          <w:rFonts w:ascii="Times New Roman" w:hAnsi="Times New Roman"/>
          <w:sz w:val="24"/>
        </w:rPr>
        <w:t>,</w:t>
      </w:r>
      <w:r w:rsidR="003B375C" w:rsidRPr="0020759F">
        <w:rPr>
          <w:rFonts w:ascii="Times New Roman" w:hAnsi="Times New Roman"/>
          <w:sz w:val="24"/>
        </w:rPr>
        <w:t xml:space="preserve"> </w:t>
      </w:r>
      <w:r w:rsidRPr="0020759F">
        <w:rPr>
          <w:rFonts w:ascii="Times New Roman" w:hAnsi="Times New Roman"/>
          <w:sz w:val="24"/>
        </w:rPr>
        <w:t xml:space="preserve">15.2 per 1,000 </w:t>
      </w:r>
      <w:r w:rsidR="003B375C" w:rsidRPr="0020759F">
        <w:rPr>
          <w:rFonts w:ascii="Times New Roman" w:hAnsi="Times New Roman"/>
          <w:sz w:val="24"/>
        </w:rPr>
        <w:t xml:space="preserve">pregnant women aged 45 years and older </w:t>
      </w:r>
      <w:r w:rsidRPr="0020759F">
        <w:rPr>
          <w:rFonts w:ascii="Times New Roman" w:hAnsi="Times New Roman"/>
          <w:sz w:val="24"/>
        </w:rPr>
        <w:t>received an AED during their pregnancy. Gabapentin and pregabalin were largely responsible for this increase.</w:t>
      </w:r>
    </w:p>
    <w:p w14:paraId="6D09A54E" w14:textId="77777777" w:rsidR="003B375C" w:rsidRPr="0020759F" w:rsidRDefault="003B375C" w:rsidP="000B3505">
      <w:pPr>
        <w:spacing w:line="480" w:lineRule="auto"/>
        <w:jc w:val="both"/>
        <w:rPr>
          <w:rFonts w:ascii="Times New Roman" w:hAnsi="Times New Roman"/>
          <w:sz w:val="24"/>
        </w:rPr>
      </w:pPr>
    </w:p>
    <w:p w14:paraId="1E2915C0" w14:textId="04BA4BDE" w:rsidR="00445DDF" w:rsidRPr="00E36849" w:rsidRDefault="00445DDF" w:rsidP="00E36849">
      <w:pPr>
        <w:pStyle w:val="Heading2"/>
        <w:spacing w:line="480" w:lineRule="auto"/>
        <w:rPr>
          <w:i/>
          <w:color w:val="auto"/>
          <w:sz w:val="24"/>
          <w:szCs w:val="24"/>
        </w:rPr>
      </w:pPr>
      <w:r w:rsidRPr="0020759F">
        <w:rPr>
          <w:i/>
          <w:color w:val="auto"/>
          <w:sz w:val="24"/>
          <w:szCs w:val="24"/>
        </w:rPr>
        <w:t>Prevalence of AED prescribing by trimesters of pregnancy</w:t>
      </w:r>
      <w:r w:rsidR="00946F4D" w:rsidRPr="0020759F">
        <w:rPr>
          <w:i/>
          <w:color w:val="auto"/>
          <w:sz w:val="24"/>
          <w:szCs w:val="24"/>
        </w:rPr>
        <w:t xml:space="preserve"> (expressed per 1,000 pregnancies</w:t>
      </w:r>
      <w:r w:rsidR="003B375C" w:rsidRPr="0020759F">
        <w:rPr>
          <w:i/>
          <w:color w:val="auto"/>
          <w:sz w:val="24"/>
          <w:szCs w:val="24"/>
        </w:rPr>
        <w:t xml:space="preserve"> as ‰</w:t>
      </w:r>
      <w:r w:rsidR="00946F4D" w:rsidRPr="0020759F">
        <w:rPr>
          <w:i/>
          <w:color w:val="auto"/>
          <w:sz w:val="24"/>
          <w:szCs w:val="24"/>
        </w:rPr>
        <w:t>)</w:t>
      </w:r>
    </w:p>
    <w:p w14:paraId="293418A7"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In all regions, there was evidence of a decline in the prevalence of women exposed to an AED during pregnancy when compared to the 6-month period before the start of pregnancy and also a decline during early pregnancy (trimester 1 and trimester 2) (Figure 1). The prevalence of prescribing before pregnancy was highest in the UK (8.4‰) and France (8.0‰) and lowest in Emilia Romagna (3.0‰). The prevalence of prescribing in Tuscany was close to France during pregnancy, but higher than that observed in Emilia Romagna. The UK had the highest prevalence of AED prescribing in all 3 trimesters.</w:t>
      </w:r>
    </w:p>
    <w:p w14:paraId="4EA29775" w14:textId="77777777" w:rsidR="00445DDF" w:rsidRPr="0020759F" w:rsidRDefault="00445DDF">
      <w:pPr>
        <w:spacing w:line="480" w:lineRule="auto"/>
        <w:jc w:val="both"/>
        <w:rPr>
          <w:sz w:val="24"/>
          <w:szCs w:val="24"/>
        </w:rPr>
      </w:pPr>
    </w:p>
    <w:p w14:paraId="693A7A79" w14:textId="79FD2E0E" w:rsidR="00445DDF" w:rsidRPr="00E36849" w:rsidRDefault="00445DDF" w:rsidP="00E36849">
      <w:pPr>
        <w:pStyle w:val="Heading2"/>
        <w:spacing w:line="480" w:lineRule="auto"/>
        <w:rPr>
          <w:i/>
          <w:color w:val="auto"/>
          <w:sz w:val="24"/>
          <w:szCs w:val="24"/>
        </w:rPr>
      </w:pPr>
      <w:r w:rsidRPr="0020759F">
        <w:rPr>
          <w:i/>
          <w:color w:val="auto"/>
          <w:sz w:val="24"/>
          <w:szCs w:val="24"/>
        </w:rPr>
        <w:t xml:space="preserve">Prevalence of AED prescribing in relation to pregnancy by calendar year </w:t>
      </w:r>
      <w:r w:rsidR="00946F4D" w:rsidRPr="0020759F">
        <w:rPr>
          <w:i/>
          <w:color w:val="auto"/>
          <w:sz w:val="24"/>
          <w:szCs w:val="24"/>
        </w:rPr>
        <w:t>(expressed per 1,000 pregnancies</w:t>
      </w:r>
      <w:r w:rsidR="003B375C" w:rsidRPr="0020759F">
        <w:rPr>
          <w:i/>
          <w:color w:val="auto"/>
          <w:sz w:val="24"/>
          <w:szCs w:val="24"/>
        </w:rPr>
        <w:t xml:space="preserve"> as ‰</w:t>
      </w:r>
      <w:r w:rsidR="00946F4D" w:rsidRPr="0020759F">
        <w:rPr>
          <w:i/>
          <w:color w:val="auto"/>
          <w:sz w:val="24"/>
          <w:szCs w:val="24"/>
        </w:rPr>
        <w:t>)</w:t>
      </w:r>
    </w:p>
    <w:p w14:paraId="0379634E"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 the UK, the prevalence of AED prescribing increased more than 2-fold over the study period, with a greater increase occurring from 2012 mainly due to increases in pregabalin and gabapentin prescribing (Figure 2 and 3). </w:t>
      </w:r>
      <w:r w:rsidRPr="0020759F">
        <w:rPr>
          <w:rFonts w:ascii="Times New Roman" w:hAnsi="Times New Roman"/>
          <w:sz w:val="24"/>
          <w:szCs w:val="24"/>
          <w:lang w:val="en-US"/>
        </w:rPr>
        <w:t xml:space="preserve">After exclusion of pregabalin/gabapentin the prevalence of AED prescribing in the UK was relatively stable during the study period. </w:t>
      </w:r>
      <w:r w:rsidRPr="0020759F">
        <w:rPr>
          <w:rFonts w:ascii="Times New Roman" w:hAnsi="Times New Roman"/>
          <w:sz w:val="24"/>
        </w:rPr>
        <w:t xml:space="preserve">In 2015, more than 2‰ of pregnant women received pregabalin or gabapentin prescriptions (2.3‰ and 2.7‰ respectively), compared with less than 1‰ in 2011 (0.8‰). This trend seems to be confirmed in 2016. To a lesser extent, an increase in lamotrigine prescribing was </w:t>
      </w:r>
      <w:r w:rsidRPr="0020759F">
        <w:rPr>
          <w:rFonts w:ascii="Times New Roman" w:hAnsi="Times New Roman"/>
          <w:sz w:val="24"/>
        </w:rPr>
        <w:lastRenderedPageBreak/>
        <w:t xml:space="preserve">identifiable, with </w:t>
      </w:r>
      <w:r w:rsidR="005C685F" w:rsidRPr="0020759F">
        <w:rPr>
          <w:rFonts w:ascii="Times New Roman" w:hAnsi="Times New Roman"/>
          <w:sz w:val="24"/>
        </w:rPr>
        <w:t xml:space="preserve">the </w:t>
      </w:r>
      <w:r w:rsidRPr="0020759F">
        <w:rPr>
          <w:rFonts w:ascii="Times New Roman" w:hAnsi="Times New Roman"/>
          <w:sz w:val="24"/>
        </w:rPr>
        <w:t xml:space="preserve">prevalence </w:t>
      </w:r>
      <w:r w:rsidR="005C685F" w:rsidRPr="0020759F">
        <w:rPr>
          <w:rFonts w:ascii="Times New Roman" w:hAnsi="Times New Roman"/>
          <w:sz w:val="24"/>
        </w:rPr>
        <w:t xml:space="preserve">increasing </w:t>
      </w:r>
      <w:r w:rsidRPr="0020759F">
        <w:rPr>
          <w:rFonts w:ascii="Times New Roman" w:hAnsi="Times New Roman"/>
          <w:sz w:val="24"/>
        </w:rPr>
        <w:t>from 1.8‰ in 2007 to 3.4‰ in 2015. In contrast, a decline in valproate prescribing was observed, from 1.4‰ in 2007 to 0.6‰ in 2015.</w:t>
      </w:r>
    </w:p>
    <w:p w14:paraId="62E357AA" w14:textId="77777777" w:rsidR="00445DDF" w:rsidRPr="0020759F" w:rsidRDefault="00445DDF">
      <w:pPr>
        <w:spacing w:line="480" w:lineRule="auto"/>
        <w:jc w:val="both"/>
        <w:rPr>
          <w:rFonts w:ascii="Times New Roman" w:hAnsi="Times New Roman"/>
          <w:sz w:val="24"/>
        </w:rPr>
      </w:pPr>
    </w:p>
    <w:p w14:paraId="46A6F4AA"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 France, there was a general decline in the prescribing of any AED during the study period with a prevalence of 7.4‰ in 2007 and 5.4‰ in 2015. The greatest reduction occurred between 2008 and 2012 and was likely to be related to the large reductions in clonazepam prescribing. </w:t>
      </w:r>
      <w:r w:rsidRPr="0020759F">
        <w:rPr>
          <w:rFonts w:ascii="Times New Roman" w:hAnsi="Times New Roman"/>
          <w:sz w:val="24"/>
          <w:szCs w:val="24"/>
          <w:lang w:val="en-US"/>
        </w:rPr>
        <w:t xml:space="preserve">After exclusion of clonazepam, the prevalence of AED prescribing was relatively stable during the study period. </w:t>
      </w:r>
      <w:r w:rsidRPr="0020759F">
        <w:rPr>
          <w:rFonts w:ascii="Times New Roman" w:hAnsi="Times New Roman"/>
          <w:sz w:val="24"/>
        </w:rPr>
        <w:t>For valproate, the prevalence of prescribing during pregnancy declined between 2009 and 2011 after which it has remained constant with a prevalence of 0.7‰ in 2015 and 2016. By contrast, prevalence of lamotrigine prescribing increased during the same period from 1.5‰ in 2007 to 2.6‰ in 2015.</w:t>
      </w:r>
    </w:p>
    <w:p w14:paraId="0E050AC8" w14:textId="77777777" w:rsidR="00445DDF" w:rsidRPr="0020759F" w:rsidRDefault="00445DDF">
      <w:pPr>
        <w:spacing w:line="480" w:lineRule="auto"/>
        <w:jc w:val="both"/>
        <w:rPr>
          <w:rFonts w:ascii="Times New Roman" w:hAnsi="Times New Roman"/>
          <w:sz w:val="24"/>
        </w:rPr>
      </w:pPr>
    </w:p>
    <w:p w14:paraId="727B5925"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 Italy, in both Emilia Romagna and Tuscany, Figure 2 shows AED prescribing was stable between 2007 and 2015.  However, a small decline from 0.6‰ in 2007 to 0.3‰ in 2015 in valproate prescribing was identified in Emilia Romagna while in Tuscany AED prescribing decreased from 2.0‰ in 2007 to 1.4‰ in 2015. </w:t>
      </w:r>
    </w:p>
    <w:p w14:paraId="0117CD04" w14:textId="77777777" w:rsidR="00445DDF" w:rsidRPr="0020759F" w:rsidRDefault="00445DDF">
      <w:pPr>
        <w:pStyle w:val="Heading2"/>
        <w:spacing w:line="480" w:lineRule="auto"/>
        <w:rPr>
          <w:i/>
          <w:color w:val="auto"/>
          <w:sz w:val="24"/>
          <w:szCs w:val="24"/>
        </w:rPr>
      </w:pPr>
    </w:p>
    <w:p w14:paraId="4A7B3FF1" w14:textId="00DCC7F3" w:rsidR="00445DDF" w:rsidRPr="00E36849" w:rsidRDefault="00445DDF" w:rsidP="00E36849">
      <w:pPr>
        <w:pStyle w:val="Heading2"/>
        <w:spacing w:line="480" w:lineRule="auto"/>
        <w:rPr>
          <w:i/>
          <w:color w:val="auto"/>
          <w:sz w:val="24"/>
          <w:szCs w:val="24"/>
        </w:rPr>
      </w:pPr>
      <w:r w:rsidRPr="0020759F">
        <w:rPr>
          <w:i/>
          <w:color w:val="auto"/>
          <w:sz w:val="24"/>
          <w:szCs w:val="24"/>
        </w:rPr>
        <w:t xml:space="preserve">Indications </w:t>
      </w:r>
    </w:p>
    <w:p w14:paraId="7550E716"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In the French and UK databases, 4.2‰ and 4.8‰ of pregnant women respectively received an AED for the treatment of epilepsy (278 out of a total of 66,681 pregnancies </w:t>
      </w:r>
      <w:r w:rsidR="009A030F" w:rsidRPr="0020759F">
        <w:rPr>
          <w:rFonts w:ascii="Times New Roman" w:hAnsi="Times New Roman"/>
          <w:sz w:val="24"/>
        </w:rPr>
        <w:t xml:space="preserve">in France </w:t>
      </w:r>
      <w:r w:rsidRPr="0020759F">
        <w:rPr>
          <w:rFonts w:ascii="Times New Roman" w:hAnsi="Times New Roman"/>
          <w:sz w:val="24"/>
        </w:rPr>
        <w:t>and 1,826 out of 380,499</w:t>
      </w:r>
      <w:r w:rsidR="009A030F" w:rsidRPr="0020759F">
        <w:rPr>
          <w:rFonts w:ascii="Times New Roman" w:hAnsi="Times New Roman"/>
          <w:sz w:val="24"/>
        </w:rPr>
        <w:t xml:space="preserve"> in the UK</w:t>
      </w:r>
      <w:r w:rsidRPr="0020759F">
        <w:rPr>
          <w:rFonts w:ascii="Times New Roman" w:hAnsi="Times New Roman"/>
          <w:sz w:val="24"/>
        </w:rPr>
        <w:t xml:space="preserve">) (Table 2). They represent 65.9% and 61.8% respectively of the women exposed to AEDs during pregnancy, while 16.4% received AEDs for bipolar disorder in France compared with 5.4% in the UK and 11.6% for pain in France compared with 15.4% in the UK (including 8.6% for neuropathic pain). Other indications were less frequent, with for example only 2.8% and 2.4% of women who received an AED due to an </w:t>
      </w:r>
      <w:r w:rsidRPr="0020759F">
        <w:rPr>
          <w:rFonts w:ascii="Times New Roman" w:hAnsi="Times New Roman"/>
          <w:sz w:val="24"/>
        </w:rPr>
        <w:lastRenderedPageBreak/>
        <w:t>anxiety disorder. About 9% and 12.8% of indications were not identifiable in France and the UK respectively.</w:t>
      </w:r>
    </w:p>
    <w:p w14:paraId="3BBE3A1E" w14:textId="77777777" w:rsidR="00445DDF" w:rsidRPr="0020759F" w:rsidRDefault="00445DDF">
      <w:pPr>
        <w:spacing w:line="480" w:lineRule="auto"/>
        <w:jc w:val="both"/>
        <w:rPr>
          <w:rFonts w:ascii="Times New Roman" w:hAnsi="Times New Roman"/>
          <w:sz w:val="24"/>
        </w:rPr>
        <w:sectPr w:rsidR="00445DDF" w:rsidRPr="0020759F" w:rsidSect="001D08B6">
          <w:footerReference w:type="default" r:id="rId9"/>
          <w:pgSz w:w="11906" w:h="16838"/>
          <w:pgMar w:top="1440" w:right="1440" w:bottom="1440" w:left="1440" w:header="709" w:footer="709" w:gutter="0"/>
          <w:cols w:space="708"/>
          <w:docGrid w:linePitch="360"/>
        </w:sectPr>
      </w:pPr>
      <w:r w:rsidRPr="0020759F">
        <w:rPr>
          <w:rFonts w:ascii="Times New Roman" w:hAnsi="Times New Roman"/>
          <w:sz w:val="24"/>
        </w:rPr>
        <w:t>Among women exposed to valproate during pregnancy in France, only prescriptions for bipolar disorder and epilepsy could be identified with 73.6% of them treated for epilepsy and 26.4% for bipolar disorder. In the UK, 77.1% of women exposed to valproate during pregnancy were treated for epilepsy, 15.9% for bipolar disorder, 4.8% with unknown indications and the remaining 2.2% for migraines and other psychiatric disorders.</w:t>
      </w:r>
    </w:p>
    <w:p w14:paraId="21FBAE9C" w14:textId="30EF684E" w:rsidR="00445DDF" w:rsidRPr="00E36849" w:rsidRDefault="00445DDF" w:rsidP="00E36849">
      <w:pPr>
        <w:pStyle w:val="Heading1"/>
        <w:spacing w:line="480" w:lineRule="auto"/>
        <w:rPr>
          <w:color w:val="auto"/>
          <w:lang w:val="en-US"/>
        </w:rPr>
      </w:pPr>
      <w:r w:rsidRPr="0020759F">
        <w:rPr>
          <w:color w:val="auto"/>
          <w:lang w:val="en-US"/>
        </w:rPr>
        <w:lastRenderedPageBreak/>
        <w:t>DISCUSSION</w:t>
      </w:r>
    </w:p>
    <w:p w14:paraId="4F666B44" w14:textId="77777777" w:rsidR="00445DDF" w:rsidRPr="0020759F" w:rsidRDefault="00445DDF">
      <w:pPr>
        <w:pStyle w:val="Heading2"/>
        <w:spacing w:line="480" w:lineRule="auto"/>
        <w:rPr>
          <w:i/>
          <w:color w:val="auto"/>
          <w:sz w:val="24"/>
          <w:szCs w:val="24"/>
        </w:rPr>
      </w:pPr>
      <w:r w:rsidRPr="0020759F">
        <w:rPr>
          <w:i/>
          <w:color w:val="auto"/>
          <w:sz w:val="24"/>
          <w:szCs w:val="24"/>
        </w:rPr>
        <w:t>Exposure to AEDs during pregnancy: differences between European countries</w:t>
      </w:r>
    </w:p>
    <w:p w14:paraId="272DEC51"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More than one million pregnancies were identified in the three European countries including over 6,000 pregnant women who received an AED (around 6 per 1,000). The prevalence of AED prescribing during pregnancy varies between regions and ranges from 3 per 1,000 in Emilia Romagna to almost 8 per 1,000 in the UK. In the UK, the prevalence was slightly higher and in Emilia Romagna slightly lower than that reported by a previous </w:t>
      </w:r>
      <w:proofErr w:type="spellStart"/>
      <w:r w:rsidRPr="0020759F">
        <w:rPr>
          <w:rFonts w:ascii="Times New Roman" w:hAnsi="Times New Roman"/>
          <w:sz w:val="24"/>
        </w:rPr>
        <w:t>EUROmediCAT</w:t>
      </w:r>
      <w:proofErr w:type="spellEnd"/>
      <w:r w:rsidRPr="0020759F">
        <w:rPr>
          <w:rFonts w:ascii="Times New Roman" w:hAnsi="Times New Roman"/>
          <w:sz w:val="24"/>
        </w:rPr>
        <w:t xml:space="preserve"> study, which used the same databases (excluding France) but covered an earlier time period from 2004 to 2010</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{"citationID":"ix9yXDoR","properties":{"formattedCitation":"\\super 22\\nosupersub{}","plainCitation":"22","noteIndex":0},"citationItems":[{"id":592,"uris":["http://zotero.org/users/2684309/items/WXH26W4D"],"uri":["http://zotero.org/users/2684309/items/WXH26W4D"],"itemData":{"id":592,"type":"article-journal","title":"Antiepileptic drug prescribing before, during and after pregnancy: a study in seven European regions","container-title":"Pharmacoepidemiology and Drug Safety","page":"1144-1154","volume":"24","issue":"11","source":"PubMed","abstract":"PURPOSE: The aim of this study was to explore antiepileptic drug (AED) prescribing before, during and after pregnancy as recorded in seven population-based electronic healthcare databases.\nMETHODS: Databases in Denmark, Norway, the Netherlands, Italy (Emilia Romagna/Tuscany), Wales and the Clinical Practice Research Datalink, representing the rest of the UK, were accessed for the study. Women with a pregnancy starting and ending between 2004 and 2010, which ended in a delivery, were identified. AED prescriptions issued (UK) or dispensed (non-UK) at any time during pregnancy and the 6 months before and after pregnancy were identified in each of the databases. AED prescribing patterns were analysed, and the choice of AEDs and co-prescribing of folic acid were evaluated.\nRESULTS: In total, 978 957 women with 1 248 713 deliveries were identified. In all regions, AED prescribing declined during pregnancy and was lowest during the third trimester, before returning to pre-pregnancy levels by 6 months following delivery. For all deliveries, the prevalence of AED prescribing during pregnancy was 51 per 10 000 pregnancies (CI95 49-52%) and was lowest in the Netherlands (43/10 000; CI95 33-54%) and highest in Wales (60/10 000; CI95 54-66%). In Denmark, Norway and the two UK databases lamotrigine was the most commonly prescribed AED; whereas in the Italian and Dutch databases, carbamazepine, valproate and phenobarbital were most frequently prescribed. Few women prescribed with AEDs in the 3 months before pregnancy were co-prescribed with high-dose folic acid: ranging from 1.0% (CI95 0.3-1.8%) in Emilia Romagna to 33.5% (CI95 28.7-38.4%) in Wales.\nCONCLUSION: The country's differences in prescribing patterns may suggest different use, knowledge or interpretation of the scientific evidence base. The low co-prescribing of folic acid indicates that more needs to be done to better inform clinicians and women of childbearing age taking AEDs about the need to offer and receive complete preconception care.","DOI":"10.1002/pds.3847","ISSN":"1099-1557","note":"PMID: 26272314","title-short":"Antiepileptic drug prescribing before, during and after pregnancy","journalAbbreviation":"Pharmacoepidemiol Drug Saf","language":"eng","author":[{"family":"Charlton","given":"Rachel"},{"family":"Garne","given":"Ester"},{"family":"Wang","given":"Hao"},{"family":"Klungsøyr","given":"Kari"},{"family":"Jordan","given":"Sue"},{"family":"Neville","given":"Amanda"},{"family":"Pierini","given":"Anna"},{"family":"Hansen","given":"Anne"},{"family":"Engeland","given":"Anders"},{"family":"Gini","given":"Rosa"},{"family":"Thayer","given":"Daniel"},{"family":"Bos","given":"Jens"},{"family":"Puccini","given":"Aurora"},{"family":"Nybo Andersen","given":"Anne-Marie"},{"family":"Dolk","given":"Helen"},{"family":"Jong-van den Berg","given":"Lolkje","non-dropping-particle":"de"}],"issued":{"date-parts":[["2015",11]]}}}],"schema":"https://github.com/citation-style-language/schema/raw/master/csl-citation.json"}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22</w:t>
      </w:r>
      <w:r w:rsidRPr="0020759F">
        <w:rPr>
          <w:rFonts w:ascii="Times New Roman" w:hAnsi="Times New Roman"/>
          <w:sz w:val="24"/>
        </w:rPr>
        <w:fldChar w:fldCharType="end"/>
      </w:r>
      <w:r w:rsidRPr="0020759F">
        <w:rPr>
          <w:rFonts w:ascii="Times New Roman" w:hAnsi="Times New Roman"/>
          <w:sz w:val="24"/>
        </w:rPr>
        <w:t>. The UK prevalence was also higher than that reported in another UK-based study between 1994 and 2009</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{"citationID":"oOjomtQ3","properties":{"formattedCitation":"\\super 23\\nosupersub{}","plainCitation":"23","noteIndex":0},"citationItems":[{"id":591,"uris":["http://zotero.org/users/2684309/items/RM446WJ8"],"uri":["http://zotero.org/users/2684309/items/RM446WJ8"],"itemData":{"id":591,"type":"article-journal","title":"Antiepileptic drugs during pregnancy in primary care: a UK population based study","container-title":"PloS One","page":"e52339","volume":"7","issue":"12","source":"PubMed","abstract":"OBJECTIVE: Antiepileptic drugs (AEDs) are commonly prescribed for epilepsy and bipolar disorder but little is known about their use in pregnancy. We examined secular trends in AED prescribing in pregnancy and pregnancy as a determinant for stopping AED prescribing.\nMETHODS: We identified 174,055 pregnancies from The Health Improvement Network UK primary care database. Secular trends in AED prescribing during pregnancy were examined between 1994 and 2009. We used Cox's regression analyses to compare time to discontinuation of AED prescriptions between pregnant and non-pregnant women and to identify predictors of discontinuation of AEDs in pregnancy.\nRESULTS: Prescribing of carbamazepine and sodium valproate have declined since 1994 despite being the most commonly prescribed AEDs in pregnancy up to 2004. Prescribing of lamotrigine in pregnancy has steadily increased and has been the most popular AED prescribed in pregnancy since 2004. Pregnant women with epilepsy were twice as likely to stop receiving AEDs (Hazard Ratio (HR) 2.00, 95% Confidence Interval (CI) 1.62-2.47) when compared to non-pregnant women and for women with bipolar disorder this was even higher (HR 3.07, 95% CI 2.04-4.62). For pregnant women with epilepsy, those receiving AEDs less regularly before pregnancy were more likely to stop receiving AEDs in pregnancy.\nCONCLUSIONS: Lamotrigine has been increasingly prescribed in pregnancy over older AEDs namely carbamazepine and sodium valproate. Pregnancy is a strong determinant for the discontinuation of AED prescribing particularly for women with bipolar disorder.","DOI":"10.1371/journal.pone.0052339","ISSN":"1932-6203","note":"PMID: 23272239\nPMCID: PMC3525559","title-short":"Antiepileptic drugs during pregnancy in primary care","journalAbbreviation":"PLoS ONE","language":"eng","author":[{"family":"Man","given":"Shuk-Li"},{"family":"Petersen","given":"Irene"},{"family":"Thompson","given":"Mary"},{"family":"Nazareth","given":"Irwin"}],"issued":{"date-parts":[["2012"]]}}}],"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23</w:t>
      </w:r>
      <w:r w:rsidRPr="0020759F">
        <w:rPr>
          <w:rFonts w:ascii="Times New Roman" w:hAnsi="Times New Roman"/>
          <w:sz w:val="24"/>
        </w:rPr>
        <w:fldChar w:fldCharType="end"/>
      </w:r>
      <w:r w:rsidRPr="0020759F">
        <w:rPr>
          <w:rFonts w:ascii="Times New Roman" w:hAnsi="Times New Roman"/>
          <w:sz w:val="24"/>
        </w:rPr>
        <w:t>. In France, the prevalence of AED and valproate prescribing were in line with figures reported by recent studies using the national health insurance database linked to hospitalization data</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{"citationID":"pCIugyK4","properties":{"formattedCitation":"\\super 24\\nosupersub{}","plainCitation":"24","noteIndex":0},"citationItems":[{"id":590,"uris":["http://zotero.org/users/2684309/items/BB4K4WD7"],"uri":["http://zotero.org/users/2684309/items/BB4K4WD7"],"itemData":{"id":590,"type":"article","title":"Exposition in utero à l’acide valproïque et aux autres traitements de l’épilepsie et des troubles bipolaires et risque de malformations congénitales majeures (MCM) en France - fb3faa8c4a5c5c5dedfc1423213c219d.pdf","URL":"http://ansm.sante.fr/var/ansm_site/storage/original/application/fb3faa8c4a5c5c5dedfc1423213c219d.pdf","accessed":{"date-parts":[["2018",7,20]]}}}],"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24</w:t>
      </w:r>
      <w:r w:rsidRPr="0020759F">
        <w:rPr>
          <w:rFonts w:ascii="Times New Roman" w:hAnsi="Times New Roman"/>
          <w:sz w:val="24"/>
        </w:rPr>
        <w:fldChar w:fldCharType="end"/>
      </w:r>
      <w:r w:rsidRPr="0020759F">
        <w:rPr>
          <w:rFonts w:ascii="Times New Roman" w:hAnsi="Times New Roman"/>
          <w:sz w:val="24"/>
        </w:rPr>
        <w:t>.</w:t>
      </w:r>
    </w:p>
    <w:p w14:paraId="27CFA662" w14:textId="77777777" w:rsidR="00445DDF" w:rsidRPr="0020759F" w:rsidRDefault="00445DDF">
      <w:pPr>
        <w:spacing w:line="480" w:lineRule="auto"/>
        <w:jc w:val="both"/>
        <w:rPr>
          <w:rFonts w:ascii="Times New Roman" w:hAnsi="Times New Roman"/>
          <w:sz w:val="24"/>
        </w:rPr>
      </w:pPr>
    </w:p>
    <w:p w14:paraId="642ED7F7" w14:textId="77777777" w:rsidR="00445DDF" w:rsidRPr="0020759F" w:rsidRDefault="00445DDF">
      <w:pPr>
        <w:pStyle w:val="Heading2"/>
        <w:spacing w:line="480" w:lineRule="auto"/>
        <w:rPr>
          <w:i/>
          <w:color w:val="auto"/>
          <w:sz w:val="24"/>
          <w:szCs w:val="24"/>
        </w:rPr>
      </w:pPr>
      <w:r w:rsidRPr="0020759F">
        <w:rPr>
          <w:i/>
          <w:color w:val="auto"/>
          <w:sz w:val="24"/>
          <w:szCs w:val="24"/>
        </w:rPr>
        <w:t>Fewer AED prescriptions in Europe than in the United States during pregnancy</w:t>
      </w:r>
    </w:p>
    <w:p w14:paraId="741FFAD1"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The prevalence of AED prescribing during pregnancy in all four regions was around 3 times less than that reported in a US-based study</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{"citationID":"sHGCZzXQ","properties":{"formattedCitation":"\\super 25\\nosupersub{}","plainCitation":"25","noteIndex":0},"citationItems":[{"id":655,"uris":["http://zotero.org/users/2684309/items/IQPTSA6C"],"uri":["http://zotero.org/users/2684309/items/IQPTSA6C"],"itemData":{"id":655,"type":"article-journal","title":"Trends in the use of antiepileptic drugs (AEDs) among pregnant women in the U.S., 2001-2007: a Medication Exposure in Pregnancy Risk Evaluation Program (MEPREP) study","container-title":"Paediatric and perinatal epidemiology","page":"578-588","volume":"26","issue":"6","source":"PubMed Central","abstract":"Background\nLittle is known about the extent of antiepileptic drug (AED) use in pregnancy, particularly for newer agents. Our objective was to assess whether AED use has increased among pregnant women in the U.S., 2001-2007.\n\nMethods\nWe analyzed data from the Medication Exposure in Pregnancy Risk Evaluation Program (MEPREP) database, 1 January 2001 to 31 December 2007. We identified live-born deliveries among women, aged 15-45 years on delivery date, who were members of MEPREP health plans (N = 585,615 deliveries). Pregnancy exposure to AEDs, determined through outpatient pharmacy dispensing files. Older AEDs were available for clinical use before 1993; other agents were considered newer AEDs. Information on sociodemographic and medical/reproductive factors was obtained from linked birth certificate files. Maternal diagnoses were identified based on ICD-9 codes.\n\nResults\nPrevalence of AED use during pregnancy increased between 2001 (15.7 per 1,000 deliveries) and 2007 (21.9 per 1,000 deliveries), driven primarily by a five-fold increase in the use of newer AEDs. Thirteen percent of AED-exposed deliveries involved a combination of two or more AEDs. Psychiatric disorders were the most prevalent diagnoses, followed by epileptic and pain disorders, among AED users regardless of AED type, year of conception or gestational period.\n\nConclusions\nAED use during pregnancy increased between 2001 and 2007, driven by a five-fold increase in the use of newer AEDs. Nearly one in eight AED-exposed deliveries involved the concomitant use of more than one AED. Additional investigations of the reproductive safety of newer AEDs may be needed.","DOI":"10.1111/ppe.12004","ISSN":"0269-5022","note":"PMID: 23061694\nPMCID: PMC3481178","title-short":"Trends in the use of antiepileptic drugs (AEDs) among pregnant women in the U.S., 2001-2007","journalAbbreviation":"Paediatr Perinat Epidemiol","author":[{"family":"Bobo","given":"William V."},{"family":"Davis","given":"Robert L."},{"family":"Toh","given":"Sengwee D."},{"family":"Li","given":"De-Kun"},{"family":"Andrade","given":"Susan E."},{"family":"Cheetham","given":"T. Craig"},{"family":"Pawloski","given":"Pamala"},{"family":"Dublin","given":"Sascha"},{"family":"Pinheiro","given":"Simone"},{"family":"Hammad","given":"Tarek"},{"family":"Scott","given":"Pamela E."},{"family":"Epstein","given":"Richard A."},{"family":"Arbogast","given":"Patrick G."},{"family":"Morrow","given":"James A."},{"family":"Dudley","given":"Judith A."},{"family":"Lawrence","given":"Jean M."},{"family":"Avalos","given":"Lyndsay A."},{"family":"Cooper","given":"William O."}],"issued":{"date-parts":[["2012",11]]}}}],"schema":"https://github.com/citation-style-language/schema/raw/master/csl-citation.json"}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25</w:t>
      </w:r>
      <w:r w:rsidRPr="0020759F">
        <w:rPr>
          <w:rFonts w:ascii="Times New Roman" w:hAnsi="Times New Roman"/>
          <w:sz w:val="24"/>
        </w:rPr>
        <w:fldChar w:fldCharType="end"/>
      </w:r>
      <w:r w:rsidRPr="0020759F">
        <w:rPr>
          <w:rFonts w:ascii="Times New Roman" w:hAnsi="Times New Roman"/>
          <w:sz w:val="24"/>
        </w:rPr>
        <w:t xml:space="preserve">where an increase in the prevalence of AED use was observed between 2001 and 2007, partly explained by an increase in the prescribing of lamotrigine and gabapentin. The </w:t>
      </w:r>
      <w:r w:rsidR="007D2477" w:rsidRPr="0020759F">
        <w:rPr>
          <w:rFonts w:ascii="Times New Roman" w:hAnsi="Times New Roman"/>
          <w:sz w:val="24"/>
        </w:rPr>
        <w:t xml:space="preserve">US </w:t>
      </w:r>
      <w:r w:rsidRPr="0020759F">
        <w:rPr>
          <w:rFonts w:ascii="Times New Roman" w:hAnsi="Times New Roman"/>
          <w:sz w:val="24"/>
        </w:rPr>
        <w:t>study used data from the Medication Exposure in Pregnancy Risk Evaluation Program (MEPREP), a collaborative program between the US Food &amp; Drug Administration (FDA) and researchers from different institutions concerning around 12 million individuals enrolled within nine states, covering geographically and demographically diverse populations.</w:t>
      </w:r>
    </w:p>
    <w:p w14:paraId="09E606D6" w14:textId="77777777" w:rsidR="00445DDF" w:rsidRPr="0020759F" w:rsidRDefault="00445DDF">
      <w:pPr>
        <w:pStyle w:val="Heading2"/>
        <w:spacing w:line="480" w:lineRule="auto"/>
        <w:rPr>
          <w:i/>
          <w:color w:val="auto"/>
          <w:sz w:val="24"/>
          <w:szCs w:val="24"/>
        </w:rPr>
      </w:pPr>
      <w:r w:rsidRPr="0020759F">
        <w:rPr>
          <w:i/>
          <w:color w:val="auto"/>
          <w:sz w:val="24"/>
          <w:szCs w:val="24"/>
        </w:rPr>
        <w:lastRenderedPageBreak/>
        <w:t>Heterogeneous evolution between European countries</w:t>
      </w:r>
    </w:p>
    <w:p w14:paraId="58A0EA3A" w14:textId="77777777" w:rsidR="00445DDF" w:rsidRPr="0020759F" w:rsidRDefault="00445DDF" w:rsidP="00F14219">
      <w:pPr>
        <w:spacing w:line="480" w:lineRule="auto"/>
        <w:jc w:val="both"/>
        <w:rPr>
          <w:rFonts w:ascii="Times New Roman" w:hAnsi="Times New Roman"/>
          <w:sz w:val="24"/>
        </w:rPr>
      </w:pPr>
      <w:r w:rsidRPr="0020759F">
        <w:rPr>
          <w:rFonts w:ascii="Times New Roman" w:hAnsi="Times New Roman"/>
          <w:sz w:val="24"/>
        </w:rPr>
        <w:t>There was an increase over time in the prevalence of AED use during pregnancy in the UK due to a sharp increase in prescribing of gabapentin and pregabalin. This situation was also observed, to a lesser extent, for pregabalin in France, showing a new trend of AED prescribing. Concerning gabapentin, data in human pregnancy are insufficient to conclude whether or not there is a potential risk to the fetus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{"citationID":"lDmlZRJg","properties":{"formattedCitation":"\\super 26\\nosupersub{}","plainCitation":"26","noteIndex":0},"citationItems":[{"id":572,"uris":["http://zotero.org/users/2684309/items/TJGTEQZG"],"uri":["http://zotero.org/users/2684309/items/TJGTEQZG"],"itemData":{"id":572,"type":"article-journal","title":"The Risk of Specific Congenital Anomalies in Relation to Newer Antiepileptic Drugs: A Literature Review","container-title":"Drugs - Real World Outcomes","page":"131-143","volume":"3","issue":"2","source":"PubMed","abstract":"BACKGROUND: More information is needed about possible associations between the newer anti-epileptic drugs (AEDs) in the first trimester of pregnancy and specific congenital anomalies of the fetus.\nOBJECTIVES: We performed a literature review to find signals for potential associations between newer AEDs (lamotrigine, topiramate, levetiracetam, gabapentin, oxcarbazepine, eslicarbazepine, felbamate, lacosamide, pregabalin, retigabine, rufinamide, stiripentol, tiagabine, vigabatrin, and zonisamide) and specific congenital anomalies.\nMETHODS: We searched PubMed and EMBASE to find observational studies with pregnancies exposed to newer AEDs and detailed information on congenital anomalies. The congenital anomalies in the studies were classified according to the congenital anomaly subgroups of European Surveillance of Congenital Anomalies (EUROCAT). We compared the prevalence of specific congenital anomalies in fetuses exposed to individual AEDs in the combined studies with that of the general population in a reference database. A significantly higher prevalence based on three or more fetuses with anomalies was considered a signal.\nRESULTS: Topiramate showed a higher rate of congenital anomalies than the other newer AEDs. Four signals were found. The signals for associations between topiramate and cleft lip with/without cleft palate and hypospadias were considered strong. Associations between lamotrigine and anencephaly and transposition of great vessels were found within one study and were not supported by other studies. No signals were found for the other newer AEDs, or the information was too limited to provide such a signal.\nCONCLUSION: In terms of associations between monotherapy with a newer AED in the first trimester of pregnancy and a specific congenital anomaly, the signals for topiramate and cleft lip with/without cleft palate and hypospadias should be investigated further.","DOI":"10.1007/s40801-016-0078-1","ISSN":"2199-1154","note":"PMID: 27398292\nPMCID: PMC4914544","title-short":"The Risk of Specific Congenital Anomalies in Relation to Newer Antiepileptic Drugs","journalAbbreviation":"Drugs Real World Outcomes","language":"eng","author":[{"family":"Jong","given":"Josta","non-dropping-particle":"de"},{"family":"Garne","given":"Ester"},{"family":"Jong-van den Berg","given":"Lolkje T. W.","non-dropping-particle":"de"},{"family":"Wang","given":"Hao"}],"issued":{"date-parts":[["2016",6]]}}}],"schema":"https://github.com/citation-style-language/schema/raw/master/csl-citation.json"}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26</w:t>
      </w:r>
      <w:r w:rsidRPr="0020759F">
        <w:rPr>
          <w:rFonts w:ascii="Times New Roman" w:hAnsi="Times New Roman"/>
          <w:sz w:val="24"/>
        </w:rPr>
        <w:fldChar w:fldCharType="end"/>
      </w:r>
      <w:r w:rsidRPr="0020759F">
        <w:rPr>
          <w:rFonts w:ascii="Times New Roman" w:hAnsi="Times New Roman"/>
          <w:sz w:val="24"/>
        </w:rPr>
        <w:t>. Concerning pregabalin, studies in rats have shown adverse effects on embryo-</w:t>
      </w:r>
      <w:proofErr w:type="spellStart"/>
      <w:r w:rsidRPr="0020759F">
        <w:rPr>
          <w:rFonts w:ascii="Times New Roman" w:hAnsi="Times New Roman"/>
          <w:sz w:val="24"/>
        </w:rPr>
        <w:t>fetal</w:t>
      </w:r>
      <w:proofErr w:type="spellEnd"/>
      <w:r w:rsidRPr="0020759F">
        <w:rPr>
          <w:rFonts w:ascii="Times New Roman" w:hAnsi="Times New Roman"/>
          <w:sz w:val="24"/>
        </w:rPr>
        <w:t xml:space="preserve"> development and a signal for increased risk of major birth defects was reported</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{"citationID":"EVg5kkdw","properties":{"formattedCitation":"\\super 27\\nosupersub{}","plainCitation":"27","noteIndex":0},"citationItems":[{"id":576,"uris":["http://zotero.org/users/2684309/items/CPJ5TN4S"],"uri":["http://zotero.org/users/2684309/items/CPJ5TN4S"],"itemData":{"id":576,"type":"article-journal","title":"Pregnancy outcome following maternal exposure to pregabalin may call for concern","container-title":"Neurology","page":"2251-2257","volume":"86","issue":"24","source":"PubMed","abstract":"OBJECTIVE: To investigate pregnancy outcomes following maternal use of pregabalin.\nMETHODS: This multicenter, observational prospective cohort study compared pregnancy outcomes in women exposed to pregabalin with those of matched controls (not exposed to any medications known to be teratogenic or to any antiepileptic drugs). Teratology Information Services systematically collected data between 2004 and 2013.\nRESULTS: Data were collected from 164 exposed pregnancies and 656 controls. A significantly higher major birth defect rate in the pregabalin group was observed after exclusion of chromosomal aberration syndromes, and when cases with exposure during first trimester of pregnancy were analyzed separately (7/116 [6.0%] vs 12/580 [2.1%]; odds ratio 3.0, 95% confidence interval 1.2-7.9, p = 0.03). The rate of live births was lower in the pregabalin group (71.9% vs 85.2%, p &lt; 0.001), primarily due to a higher rate of both elective (9.8% vs 5.0%, p = 0.02) and medically indicated (5.5% vs 1.8%, p = 0.008) pregnancy terminations. In the Cox proportional cause specific hazards model, pregabalin exposure was not associated with a significantly higher risk of spontaneous abortion.\nCONCLUSIONS: This study demonstrated a signal for increased risk of major birth defects after first trimester exposure to pregabalin. However, several limitations such as the small sample size, differences across groups in maternal conditions, and concomitant medication exposure exclude definitive conclusions, so these results call for confirmation through independent studies.","DOI":"10.1212/WNL.0000000000002767","ISSN":"1526-632X","note":"PMID: 27194385","journalAbbreviation":"Neurology","language":"eng","author":[{"family":"Winterfeld","given":"Ursula"},{"family":"Merlob","given":"Paul"},{"family":"Baud","given":"David"},{"family":"Rousson","given":"Valentin"},{"family":"Panchaud","given":"Alice"},{"family":"Rothuizen","given":"Laura E."},{"family":"Bernard","given":"Nathalie"},{"family":"Vial","given":"Thierry"},{"family":"Yates","given":"Laura M."},{"family":"Pistelli","given":"Alessandra"},{"family":"Ellfolk","given":"Maria"},{"family":"Eleftheriou","given":"Georgios"},{"family":"Vries","given":"Loes C.","non-dropping-particle":"de"},{"family":"Jonville-Bera","given":"Annie-Pierre"},{"family":"Kadioglu","given":"Mine"},{"family":"Biollaz","given":"Jerome"},{"family":"Buclin","given":"Thierry"}],"issued":{"date-parts":[["2016",6,14]]}}}],"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27</w:t>
      </w:r>
      <w:r w:rsidRPr="0020759F">
        <w:rPr>
          <w:rFonts w:ascii="Times New Roman" w:hAnsi="Times New Roman"/>
          <w:sz w:val="24"/>
        </w:rPr>
        <w:fldChar w:fldCharType="end"/>
      </w:r>
      <w:r w:rsidRPr="0020759F">
        <w:rPr>
          <w:rFonts w:ascii="Times New Roman" w:hAnsi="Times New Roman"/>
          <w:sz w:val="24"/>
        </w:rPr>
        <w:t xml:space="preserve"> but not confirmed thereafter</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{"citationID":"l3fmWMZW","properties":{"formattedCitation":"\\super 28\\nosupersub{}","plainCitation":"28","noteIndex":0},"citationItems":[{"id":573,"uris":["http://zotero.org/users/2684309/items/77AF7KGU"],"uri":["http://zotero.org/users/2684309/items/77AF7KGU"],"itemData":{"id":573,"type":"article-journal","title":"Pregabalin use early in pregnancy and the risk of major congenital malformations","container-title":"Neurology","page":"2020-2025","volume":"88","issue":"21","source":"PubMed","abstract":"OBJECTIVE: To assess whether first-trimester exposure to pregabalin is associated with an increased risk of major congenital malformations, as recently suggested in a pregnancy registry study.\nMETHODS: We performed a cohort study nested in the US Medicaid Analytic eXtract (MAX). The study population included 1,323,432 pregnancies resulting in a live-born infant between 2000 and 2010. We examined the risk of major congenital malformations among infants born to women exposed to pregabalin during the first trimester compared with women unexposed to anticonvulsants. We used propensity score fine stratification to control for &gt;50 potential confounders, and we estimated relative risks (RRs) and 95% confidence intervals (CIs) in generalized linear models. The analyses were replicated in the Truven Health MarketScan Commercial Database (MarketScan). Pooled estimates based on the adjusted RR produced in MAX, MarketScan, and the previous registry study were calculated.\nRESULTS: Of 477 infants exposed to pregabalin during the first trimester in MAX, 28 (5.9%) had malformations compared to 3.3% in nonexposed infants. The crude RR of major congenital malformations for pregabalin was 1.80 (95% CI 1.26-2.58). After propensity score adjustment, the RR moved to 1.16 (95% CI 0.81-1.67). Restriction to pregabalin monotherapy and sensitivity analyses produced similar results. The adjusted RR for major congenital malformations for the 174 infants exposed in MarketScan was 1.03 (95% CI 0.56-1.90). The pooled RR was 1.33 (95% CI 0.83-2.15) for pregabalin any use and 1.02 (95% CI 0.69-1.51) for pregabalin monotherapy.\nCONCLUSIONS: Findings did not confirm the suggested teratogenic effects of pregabalin, although they cannot rule out the possibility of a small effect.","DOI":"10.1212/WNL.0000000000003959","ISSN":"1526-632X","note":"PMID: 28446648\nPMCID: PMC5440246","journalAbbreviation":"Neurology","language":"eng","author":[{"family":"Patorno","given":"Elisabetta"},{"family":"Bateman","given":"Brian T."},{"family":"Huybrechts","given":"Krista F."},{"family":"MacDonald","given":"Sarah C."},{"family":"Cohen","given":"Jacqueline M."},{"family":"Desai","given":"Rishi J."},{"family":"Panchaud","given":"Alice"},{"family":"Mogun","given":"Helen"},{"family":"Pennell","given":"Page B."},{"family":"Hernandez-Diaz","given":"Sonia"}],"issued":{"date-parts":[["2017",5,23]]}}}],"schema":"https://github.com/citation-style-language/schema/raw/master/csl-citation.json"}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28</w:t>
      </w:r>
      <w:r w:rsidRPr="0020759F">
        <w:rPr>
          <w:rFonts w:ascii="Times New Roman" w:hAnsi="Times New Roman"/>
          <w:sz w:val="24"/>
        </w:rPr>
        <w:fldChar w:fldCharType="end"/>
      </w:r>
      <w:r w:rsidRPr="0020759F">
        <w:rPr>
          <w:rFonts w:ascii="Times New Roman" w:hAnsi="Times New Roman"/>
          <w:sz w:val="24"/>
        </w:rPr>
        <w:t>. Moreover, pregabalin and gabapentin present a potential for abuse and dependence</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{"citationID":"IWouqDND","properties":{"formattedCitation":"\\super 29\\nosupersub{}","plainCitation":"29","noteIndex":0},"citationItems":[{"id":587,"uris":["http://zotero.org/users/2684309/items/UPXKEJKU"],"uri":["http://zotero.org/users/2684309/items/UPXKEJKU"],"itemData":{"id":587,"type":"article-journal","title":"Earlier discovery of pregabalin's dependence potential might have been possible","container-title":"European Journal of Clinical Pharmacology","page":"319-320","volume":"67","issue":"3","source":"PubMed","DOI":"10.1007/s00228-010-0920-4","ISSN":"1432-1041","note":"PMID: 20972557","journalAbbreviation":"Eur. J. Clin. Pharmacol.","language":"eng","author":[{"family":"Caster","given":"Ola"},{"family":"Edwards","given":"I. Ralph"},{"family":"Norén","given":"G. Niklas"},{"family":"Lindquist","given":"Marie"}],"issued":{"date-parts":[["2011",3]]}}}],"schema":"https://github.com/citation-style-language/schema/raw/master/csl-citation.json"}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29</w:t>
      </w:r>
      <w:r w:rsidRPr="0020759F">
        <w:rPr>
          <w:rFonts w:ascii="Times New Roman" w:hAnsi="Times New Roman"/>
          <w:sz w:val="24"/>
        </w:rPr>
        <w:fldChar w:fldCharType="end"/>
      </w:r>
      <w:r w:rsidRPr="0020759F">
        <w:rPr>
          <w:rFonts w:ascii="Times New Roman" w:hAnsi="Times New Roman"/>
          <w:sz w:val="24"/>
        </w:rPr>
        <w:t xml:space="preserve"> as mentioned in advice for prescribers disseminated in the UK, from late 2014</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{"citationID":"adSgrTO0","properties":{"formattedCitation":"\\super 30\\nosupersub{}","plainCitation":"30","noteIndex":0},"citationItems":[{"id":585,"uris":["http://zotero.org/users/2684309/items/GV2SVIK2"],"uri":["http://zotero.org/users/2684309/items/GV2SVIK2"],"itemData":{"id":585,"type":"webpage","title":"Pregabalin and gabapentin: advice for prescribers on the risk of misuse","container-title":"GOV.UK","abstract":"Advice for prescribers on the risk of misuse of pregabalin and gabapentin, and suggestions for a balanced and rational use of these medicines.","URL":"https://www.gov.uk/government/publications/pregabalin-and-gabapentin-advice-for-prescribers-on-the-risk-of-misuse","title-short":"Pregabalin and gabapentin","language":"en","accessed":{"date-parts":[["2018",7,20]]}}}],"schema":"https://github.com/citation-style-language/schema/raw/master/csl-citation.json"}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30</w:t>
      </w:r>
      <w:r w:rsidRPr="0020759F">
        <w:rPr>
          <w:rFonts w:ascii="Times New Roman" w:hAnsi="Times New Roman"/>
          <w:sz w:val="24"/>
        </w:rPr>
        <w:fldChar w:fldCharType="end"/>
      </w:r>
      <w:r w:rsidRPr="0020759F">
        <w:rPr>
          <w:rFonts w:ascii="Times New Roman" w:hAnsi="Times New Roman"/>
          <w:sz w:val="24"/>
        </w:rPr>
        <w:t>. Therefore, further investigations into their use and safety in pregnancy should be performed.</w:t>
      </w:r>
    </w:p>
    <w:p w14:paraId="30468C89"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In Italy, the prevalence of AED use during pregnancy remained stable, while in France, the decline in AED prescriptions over time was mainly due to the decline in clonazepam prescriptions linked to changes in the rules on prescribing in 2011-2012 to prevent abuse and misuse</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{"citationID":"ySVG6ffE","properties":{"formattedCitation":"\\super 31\\nosupersub{}","plainCitation":"31","noteIndex":0},"citationItems":[{"id":574,"uris":["http://zotero.org/users/2684309/items/DHSQ4SKA"],"uri":["http://zotero.org/users/2684309/items/DHSQ4SKA"],"itemData":{"id":574,"type":"webpage","title":"Rivotril (clonazépam) : Modification des conditions de prescription et de délivrance - Lettre aux professionnels de santé - Actualisé le 04/01/2012 - ANSM : Agence nationale de sécurité du médicament et des produits de santé","URL":"http://ansm.sante.fr/S-informer/Informations-de-securite-Lettres-aux-professionnels-de-sante/Rivotril-clonazepam-Modification-des-conditions-de-prescription-et-de-delivrance-Lettre-aux-professionnels-de-sante-Actualise-le-04-01-2012","accessed":{"date-parts":[["2018",7,24]]}}}],"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31</w:t>
      </w:r>
      <w:r w:rsidRPr="0020759F">
        <w:rPr>
          <w:rFonts w:ascii="Times New Roman" w:hAnsi="Times New Roman"/>
          <w:sz w:val="24"/>
        </w:rPr>
        <w:fldChar w:fldCharType="end"/>
      </w:r>
      <w:r w:rsidRPr="0020759F">
        <w:rPr>
          <w:rFonts w:ascii="Times New Roman" w:hAnsi="Times New Roman"/>
          <w:sz w:val="24"/>
        </w:rPr>
        <w:t>. These trends were also observed in the recent study concerning women of childbearing potential using the same databases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{"citationID":"msZQz8hK","properties":{"formattedCitation":"\\super 1\\nosupersub{}","plainCitation":"1","noteIndex":0},"citationItems":[{"id":593,"uris":["http://zotero.org/users/2684309/items/Q5UJB2VD"],"uri":["http://zotero.org/users/2684309/items/Q5UJB2VD"],"itemData":{"id":593,"type":"article-journal","title":"Prescriptions of antiepileptic medications in women in three European countries between 2007 and 2016 : effect of a warning concerning valproate","author":[{"family":"Charlton","given":"Rachel"},{"family":"Damase-Michel","given":"Damase-Michel"},{"family":"Hurault-Delarue","given":"Caroline"},{"family":"Gini","given":"Rosa"},{"family":"Loane","given":"Maria"},{"family":"Pierini","given":"Anna"},{"family":"Puccini","given":"Aurora"},{"family":"Neville","given":"Amanda"},{"family":"Snowball","given":"Julia"},{"family":"Morris","given":"Joan"}],"issued":{"date-parts":[["2018",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w:t>
      </w:r>
      <w:r w:rsidRPr="0020759F">
        <w:rPr>
          <w:rFonts w:ascii="Times New Roman" w:hAnsi="Times New Roman"/>
          <w:sz w:val="24"/>
        </w:rPr>
        <w:fldChar w:fldCharType="end"/>
      </w:r>
      <w:r w:rsidRPr="0020759F">
        <w:rPr>
          <w:rFonts w:ascii="Times New Roman" w:hAnsi="Times New Roman"/>
          <w:sz w:val="24"/>
        </w:rPr>
        <w:t>.</w:t>
      </w:r>
    </w:p>
    <w:p w14:paraId="1D8A38F7" w14:textId="77777777" w:rsidR="00445DDF" w:rsidRPr="0020759F" w:rsidRDefault="00445DDF">
      <w:pPr>
        <w:spacing w:line="480" w:lineRule="auto"/>
        <w:jc w:val="both"/>
        <w:rPr>
          <w:rFonts w:ascii="Times New Roman" w:hAnsi="Times New Roman"/>
          <w:sz w:val="24"/>
        </w:rPr>
      </w:pPr>
    </w:p>
    <w:p w14:paraId="5AB8235C" w14:textId="77777777" w:rsidR="00445DDF" w:rsidRPr="0020759F" w:rsidRDefault="00445DDF">
      <w:pPr>
        <w:pStyle w:val="Heading2"/>
        <w:spacing w:line="480" w:lineRule="auto"/>
        <w:rPr>
          <w:i/>
          <w:color w:val="auto"/>
          <w:sz w:val="24"/>
          <w:szCs w:val="24"/>
        </w:rPr>
      </w:pPr>
      <w:r w:rsidRPr="0020759F">
        <w:rPr>
          <w:i/>
          <w:color w:val="auto"/>
          <w:sz w:val="24"/>
          <w:szCs w:val="24"/>
        </w:rPr>
        <w:t xml:space="preserve">Prescription of AED mainly for the treatment of epilepsy during pregnancy </w:t>
      </w:r>
    </w:p>
    <w:p w14:paraId="65317323"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Indications were not available in the electronic healthcare databases and algorithms to identify indications could only be developed successfully for France and the UK. In France 4 per 1,000 French pregnant women were treated by AEDs for epilepsy. This is consistent with a previous study, carried out in another European country, which showed that around 3 in 1,000 pregnant women suffer from epilepsy</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{"citationID":"Cm6ILQVl","properties":{"formattedCitation":"\\super 32\\nosupersub{}","plainCitation":"32","noteIndex":0},"citationItems":[{"id":"DvQurqrT/9KavDY0C","uris":["http://zotero.org/users/2684309/items/GFTCPN2Z"],"uri":["http://zotero.org/users/2684309/items/GFTCPN2Z"],"itemData":{"id":1475,"type":"article-journal","title":"Pregnancies of Women with Epilepsy: A Population</w:instrText>
      </w:r>
      <w:r w:rsidRPr="0020759F">
        <w:rPr>
          <w:rFonts w:ascii="Cambria Math" w:hAnsi="Cambria Math" w:cs="Cambria Math"/>
          <w:sz w:val="24"/>
        </w:rPr>
        <w:instrText>‐</w:instrText>
      </w:r>
      <w:r w:rsidRPr="0020759F">
        <w:rPr>
          <w:rFonts w:ascii="Times New Roman" w:hAnsi="Times New Roman"/>
          <w:sz w:val="24"/>
        </w:rPr>
        <w:instrText xml:space="preserve">Based Study in Iceland","container-title":"Epilepsia","page":"887-892","volume":"39","issue":"8","source":"onlinelibrary.wiley.com","DOI":"10.1111/j.1528-1157.1998.tb01186.x","ISSN":"1528-1167","shortTitle":"Pregnancies of Women with Epilepsy","language":"en","author":[{"family":"Olafsson","given":"Elias"},{"family":"Hallgrimsson","given":"Jon Thorgeir"},{"family":"Hauser","given":"W. Allen"},{"family":"Ludvigsson","given":"Peter"},{"family":"Gudmundsson","given":"Gunnar"}],"issued":{"date-parts":[["1998",8,1]]},"accessed":{"date-parts":[["2018",8,30]]}}}],"schema":"https://github.com/citation-style-language/schema/raw/master/csl-citation.json"}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32</w:t>
      </w:r>
      <w:r w:rsidRPr="0020759F">
        <w:rPr>
          <w:rFonts w:ascii="Times New Roman" w:hAnsi="Times New Roman"/>
          <w:sz w:val="24"/>
        </w:rPr>
        <w:fldChar w:fldCharType="end"/>
      </w:r>
      <w:r w:rsidRPr="0020759F">
        <w:rPr>
          <w:rFonts w:ascii="Times New Roman" w:hAnsi="Times New Roman"/>
          <w:sz w:val="24"/>
        </w:rPr>
        <w:t>. The figures were similar for pregnant women in the UK.</w:t>
      </w:r>
    </w:p>
    <w:p w14:paraId="351AE314" w14:textId="77777777" w:rsidR="00445DDF" w:rsidRPr="0020759F" w:rsidRDefault="00445DDF" w:rsidP="00F14219">
      <w:pPr>
        <w:spacing w:line="480" w:lineRule="auto"/>
        <w:jc w:val="both"/>
        <w:rPr>
          <w:rFonts w:ascii="Times New Roman" w:hAnsi="Times New Roman"/>
          <w:sz w:val="24"/>
        </w:rPr>
      </w:pPr>
      <w:r w:rsidRPr="0020759F">
        <w:rPr>
          <w:rFonts w:ascii="Times New Roman" w:hAnsi="Times New Roman"/>
          <w:sz w:val="24"/>
        </w:rPr>
        <w:t xml:space="preserve">Over 60% of French and UK pregnant women exposed to AEDs were treated for the indication “epilepsy”, compared with 31% of the general population of women of childbearing potential </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{"citationID":"ZOA6KTKx","properties":{"formattedCitation":"\\super 1\\nosupersub{}","plainCitation":"1","noteIndex":0},"citationItems":[{"id":593,"uris":["http://zotero.org/users/2684309/items/Q5UJB2VD"],"uri":["http://zotero.org/users/2684309/items/Q5UJB2VD"],"itemData":{"id":593,"type":"article-journal","title":"Prescriptions of antiepileptic medications in women in three European countries between 2007 and 2016 : effect of a warning concerning valproate","author":[{"family":"Charlton","given":"Rachel"},{"family":"Damase-Michel","given":"Damase-Michel"},{"family":"Hurault-Delarue","given":"Caroline"},{"family":"Gini","given":"Rosa"},{"family":"Loane","given":"Maria"},{"family":"Pierini","given":"Anna"},{"family":"Puccini","given":"Aurora"},{"family":"Neville","given":"Amanda"},{"family":"Snowball","given":"Julia"},{"family":"Morris","given":"Joan"}],"issued":{"date-parts":[["2018",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w:t>
      </w:r>
      <w:r w:rsidRPr="0020759F">
        <w:rPr>
          <w:rFonts w:ascii="Times New Roman" w:hAnsi="Times New Roman"/>
          <w:sz w:val="24"/>
        </w:rPr>
        <w:fldChar w:fldCharType="end"/>
      </w:r>
      <w:r w:rsidRPr="0020759F">
        <w:rPr>
          <w:rFonts w:ascii="Times New Roman" w:hAnsi="Times New Roman"/>
          <w:sz w:val="24"/>
        </w:rPr>
        <w:t xml:space="preserve">. </w:t>
      </w:r>
      <w:r w:rsidRPr="0020759F">
        <w:rPr>
          <w:rFonts w:ascii="Times New Roman" w:hAnsi="Times New Roman"/>
          <w:sz w:val="24"/>
        </w:rPr>
        <w:lastRenderedPageBreak/>
        <w:t xml:space="preserve">This can be explained by the fact that, in Europe, it is recommended that the use of these medications during pregnancy must be limited to the cases where no other treatment is effective, a situation which occurs especially for women with epilepsy. </w:t>
      </w:r>
    </w:p>
    <w:p w14:paraId="6386362D" w14:textId="77777777" w:rsidR="00445DDF" w:rsidRPr="0020759F" w:rsidRDefault="00445DDF" w:rsidP="00F14219">
      <w:pPr>
        <w:spacing w:line="480" w:lineRule="auto"/>
        <w:jc w:val="both"/>
        <w:rPr>
          <w:rFonts w:ascii="Times New Roman" w:hAnsi="Times New Roman"/>
          <w:sz w:val="24"/>
        </w:rPr>
      </w:pPr>
      <w:r w:rsidRPr="0020759F">
        <w:rPr>
          <w:rFonts w:ascii="Times New Roman" w:hAnsi="Times New Roman"/>
          <w:sz w:val="24"/>
        </w:rPr>
        <w:t>In contrast, in the US, psychiatric disorders were the most prevalent diagnoses in pregnant women exposed to AED, followed by epilepsy and pain</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{"citationID":"BBRyv1DF","properties":{"formattedCitation":"\\super 25\\nosupersub{}","plainCitation":"25","noteIndex":0},"citationItems":[{"id":655,"uris":["http://zotero.org/users/2684309/items/IQPTSA6C"],"uri":["http://zotero.org/users/2684309/items/IQPTSA6C"],"itemData":{"id":655,"type":"article-journal","title":"Trends in the use of antiepileptic drugs (AEDs) among pregnant women in the U.S., 2001-2007: a Medication Exposure in Pregnancy Risk Evaluation Program (MEPREP) study","container-title":"Paediatric and perinatal epidemiology","page":"578-588","volume":"26","issue":"6","source":"PubMed Central","abstract":"Background\nLittle is known about the extent of antiepileptic drug (AED) use in pregnancy, particularly for newer agents. Our objective was to assess whether AED use has increased among pregnant women in the U.S., 2001-2007.\n\nMethods\nWe analyzed data from the Medication Exposure in Pregnancy Risk Evaluation Program (MEPREP) database, 1 January 2001 to 31 December 2007. We identified live-born deliveries among women, aged 15-45 years on delivery date, who were members of MEPREP health plans (N = 585,615 deliveries). Pregnancy exposure to AEDs, determined through outpatient pharmacy dispensing files. Older AEDs were available for clinical use before 1993; other agents were considered newer AEDs. Information on sociodemographic and medical/reproductive factors was obtained from linked birth certificate files. Maternal diagnoses were identified based on ICD-9 codes.\n\nResults\nPrevalence of AED use during pregnancy increased between 2001 (15.7 per 1,000 deliveries) and 2007 (21.9 per 1,000 deliveries), driven primarily by a five-fold increase in the use of newer AEDs. Thirteen percent of AED-exposed deliveries involved a combination of two or more AEDs. Psychiatric disorders were the most prevalent diagnoses, followed by epileptic and pain disorders, among AED users regardless of AED type, year of conception or gestational period.\n\nConclusions\nAED use during pregnancy increased between 2001 and 2007, driven by a five-fold increase in the use of newer AEDs. Nearly one in eight AED-exposed deliveries involved the concomitant use of more than one AED. Additional investigations of the reproductive safety of newer AEDs may be needed.","DOI":"10.1111/ppe.12004","ISSN":"0269-5022","note":"PMID: 23061694\nPMCID: PMC3481178","title-short":"Trends in the use of antiepileptic drugs (AEDs) among pregnant women in the U.S., 2001-2007","journalAbbreviation":"Paediatr Perinat Epidemiol","author":[{"family":"Bobo","given":"William V."},{"family":"Davis","given":"Robert L."},{"family":"Toh","given":"Sengwee D."},{"family":"Li","given":"De-Kun"},{"family":"Andrade","given":"Susan E."},{"family":"Cheetham","given":"T. Craig"},{"family":"Pawloski","given":"Pamala"},{"family":"Dublin","given":"Sascha"},{"family":"Pinheiro","given":"Simone"},{"family":"Hammad","given":"Tarek"},{"family":"Scott","given":"Pamela E."},{"family":"Epstein","given":"Richard A."},{"family":"Arbogast","given":"Patrick G."},{"family":"Morrow","given":"James A."},{"family":"Dudley","given":"Judith A."},{"family":"Lawrence","given":"Jean M."},{"family":"Avalos","given":"Lyndsay A."},{"family":"Cooper","given":"William O."}],"issued":{"date-parts":[["2012",11]]}}}],"schema":"https://github.com/citation-style-language/schema/raw/master/csl-citation.json"}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25</w:t>
      </w:r>
      <w:r w:rsidRPr="0020759F">
        <w:rPr>
          <w:rFonts w:ascii="Times New Roman" w:hAnsi="Times New Roman"/>
          <w:sz w:val="24"/>
        </w:rPr>
        <w:fldChar w:fldCharType="end"/>
      </w:r>
      <w:r w:rsidRPr="0020759F">
        <w:rPr>
          <w:rFonts w:ascii="Times New Roman" w:hAnsi="Times New Roman"/>
          <w:sz w:val="24"/>
        </w:rPr>
        <w:t xml:space="preserve">. </w:t>
      </w:r>
    </w:p>
    <w:p w14:paraId="2ED95A3B" w14:textId="77777777" w:rsidR="00445DDF" w:rsidRPr="0020759F" w:rsidRDefault="00445DDF">
      <w:pPr>
        <w:spacing w:line="480" w:lineRule="auto"/>
        <w:jc w:val="both"/>
        <w:rPr>
          <w:rFonts w:ascii="Times New Roman" w:hAnsi="Times New Roman"/>
          <w:sz w:val="24"/>
        </w:rPr>
      </w:pPr>
    </w:p>
    <w:p w14:paraId="636742E7" w14:textId="77777777" w:rsidR="00445DDF" w:rsidRPr="0020759F" w:rsidRDefault="00445DDF">
      <w:pPr>
        <w:pStyle w:val="Heading2"/>
        <w:spacing w:line="480" w:lineRule="auto"/>
        <w:rPr>
          <w:i/>
          <w:color w:val="auto"/>
          <w:sz w:val="24"/>
          <w:szCs w:val="24"/>
        </w:rPr>
      </w:pPr>
      <w:r w:rsidRPr="0020759F">
        <w:rPr>
          <w:i/>
          <w:color w:val="auto"/>
          <w:sz w:val="24"/>
          <w:szCs w:val="24"/>
        </w:rPr>
        <w:t xml:space="preserve">Drug choice differs according to countries   </w:t>
      </w:r>
    </w:p>
    <w:p w14:paraId="0B7E7DF9" w14:textId="6B81468F" w:rsidR="00445DDF" w:rsidRDefault="00445DDF" w:rsidP="00BE78A7">
      <w:pPr>
        <w:spacing w:line="480" w:lineRule="auto"/>
        <w:jc w:val="both"/>
        <w:rPr>
          <w:rFonts w:ascii="Times New Roman" w:hAnsi="Times New Roman"/>
          <w:sz w:val="24"/>
        </w:rPr>
      </w:pPr>
      <w:r w:rsidRPr="0020759F">
        <w:rPr>
          <w:rFonts w:ascii="Times New Roman" w:hAnsi="Times New Roman"/>
          <w:sz w:val="24"/>
        </w:rPr>
        <w:t>In all regions, valproate prescriptions were issued to at least 10% of women exposed to an AED during pregnancy and almost 30% in Tuscany, where valproate was the most frequently prescribed AED throughout the entire study period. From 2007 to 2016 all regions, with the exception of Tuscany, observed a slight decreasing prevalence of valproate prescribing during pregnancy as reported in previous general population studies in Ireland and the UK</w:t>
      </w:r>
      <w:r w:rsidRPr="0020759F">
        <w:rPr>
          <w:rFonts w:ascii="Times New Roman" w:hAnsi="Times New Roman"/>
          <w:sz w:val="24"/>
          <w:szCs w:val="24"/>
          <w:vertAlign w:val="superscript"/>
        </w:rPr>
        <w:fldChar w:fldCharType="begin"/>
      </w:r>
      <w:r w:rsidRPr="0020759F">
        <w:rPr>
          <w:rFonts w:ascii="Times New Roman" w:hAnsi="Times New Roman"/>
          <w:sz w:val="24"/>
          <w:szCs w:val="24"/>
          <w:vertAlign w:val="superscript"/>
        </w:rPr>
        <w:instrText xml:space="preserve"> ADDIN ZOTERO_ITEM CSL_CITATION {"citationID":"1235ulqdbj","properties":{"formattedCitation":"\\super 33,34\\nosupersub{}","plainCitation":"33,34","noteIndex":0},"citationItems":[{"id":570,"uris":["http://zotero.org/users/2684309/items/B7HA99KN"],"uri":["http://zotero.org/users/2684309/items/B7HA99KN"],"itemData":{"id":570,"type":"article-journal","title":"Prescribing trends for sodium valproate in Ireland","container-title":"Seizure","page":"44-48","volume":"36","source":"PubMed","abstract":"PURPOSE: This study was undertaken to describe prescribing practice for the anti-convulsant drug (AED) Sodium Valproate (VPA) in an Irish population of woman of childbearing age during the period of the emergence of new data showing a high rate of developmental abnormalities in offspring of women who took VPA during pregnancy.\nMETHODS: All prescriptions dispensed from community pharmacies in Ireland between 2008 and 2013 inclusive were examined for women aged 16-44 years from all three drug reimbursement schemes in Ireland. Numbers of prescriptions and women on AEDs were identified, as was the rural/urban distribution of the drug along with co-prescribing of folic acid and the oral contraceptive pill. All data analysis was conducted using SAS v9.3.\nRESULTS: The rate of prescribing of VPA in Ireland declined slightly from 3.5/1000 per eligible population in 2008 to 3.14/1000 in 2013. While rates of prescribing fell for epilepsy, there appeared to be a rise in prescription for other indications of VPA. In 2013, co-prescription of folic acid or oral contraceptives was relatively low across all community schemes. Finally, an address distant from academic specialist centers predicted a higher exposure to VPA.\nCONCLUSION: Recently the European Medicine's Agency suggested that alternatives to VPA be considered before prescribing to women of childbearing age. Despite this, the rate of VPA prescribing in Ireland appears to be increasing for indications other than epilepsy. It may be necessary to improve the dissemination of information about the potential negative effects of VPA in this population.","DOI":"10.1016/j.seizure.2016.01.019","ISSN":"1532-2688","note":"PMID: 26896815","journalAbbreviation":"Seizure","language":"eng","author":[{"family":"Murphy","given":"Sinéad"},{"family":"Bennett","given":"Kathleen"},{"family":"Doherty","given":"Colin P."}],"issued":{"date-parts":[["2016",3]]}},"label":"page"},{"id":569,"uris":["http://zotero.org/users/2684309/items/GPPQUC3A"],"uri":["http://zotero.org/users/2684309/items/GPPQUC3A"],"itemData":{"id":569,"type":"article-journal","title":"Changing trends in antiepileptic drug prescribing in girls of child-bearing potential","container-title":"Archives of Disease in Childhood","page":"443-447","volume":"94","issue":"6","source":"PubMed","abstract":"OBJECTIVE: To characterize trends in prescribing carbamazepine (CBZ), sodium valproate (VPA) and lamotrigine (LTG) in adolescent females in the UK and to examine possible reasons for changing trends.\nDESIGN: Population-based observational study.\nSETTING: UK General Practice Research Database between 1 January 1993 and 31 December 2006.\nPATIENTS: 12-18-year-old subjects who were issued &gt;or=1 CBZ, VPA or LTG prescription.\nMAIN OUTCOME MEASURES: Prescribing prevalences stratified by age, gender and antiepileptic drug.\nRESULTS: 5417 patients (47.6% females) were prescribed 147 111 prescriptions for CBZ (34.5%), VPA (38.6%) or LTG (26.9%). The prevalence of LTG prescribing in females increased from 0.08 (95% CI 0.04 to 0.12) to 0.80 (95% CI 0.70 to 0.89) per 1000 female population. Conversely, the prevalence in females of CBZ and VPA prescribing significantly decreased from 1.00 (95% CI 0.85 to 1.15) to 0.51 (95% CI 0.44 to 0.58) and from 0.94 (95% CI 0.80 to 1.09) to 0.63 (95% CI 0.55 to 0.72), respectively. This 10-fold rise in LTG prescribing in females is much higher than the fivefold rise in males from 0.09 (95% CI 0.05 to 0.14) to 0.47 (95% CI 0.40 to 0.54) per 1000 male population.\nCONCLUSION: The practice of prescribing antiepileptic drugs in adolescents has changed gradually over the last decade. More females aged 12-18 years are prescribed LTG than CBZ or VPA and the increase is much greater than for males. The increase in LTG prescribing mirrors a corresponding decrease in both VPA and CBZ. Concerns about potential problems to offspring appear to be affecting prescription trends in adolescent females of child-bearing potential.","DOI":"10.1136/adc.2008.144386","ISSN":"1468-2044","note":"PMID: 19307197","journalAbbreviation":"Arch. Dis. Child.","language":"eng","author":[{"family":"Ackers","given":"R."},{"family":"Besag","given":"F. M. C."},{"family":"Wade","given":"A."},{"family":"Murray","given":"M. L."},{"family":"Wong","given":"I. C. K."}],"issued":{"date-parts":[["2009",6]]}},"label":"page"}],"schema":"https://github.com/citation-style-language/schema/raw/master/csl-citation.json"} </w:instrText>
      </w:r>
      <w:r w:rsidRPr="0020759F">
        <w:rPr>
          <w:rFonts w:ascii="Times New Roman" w:hAnsi="Times New Roman"/>
          <w:sz w:val="24"/>
          <w:szCs w:val="24"/>
          <w:vertAlign w:val="superscript"/>
        </w:rPr>
        <w:fldChar w:fldCharType="separate"/>
      </w:r>
      <w:r w:rsidRPr="0020759F">
        <w:rPr>
          <w:rFonts w:ascii="Times New Roman" w:hAnsi="Times New Roman"/>
          <w:sz w:val="24"/>
          <w:szCs w:val="24"/>
          <w:vertAlign w:val="superscript"/>
        </w:rPr>
        <w:t>33,34</w:t>
      </w:r>
      <w:r w:rsidRPr="0020759F">
        <w:rPr>
          <w:rFonts w:ascii="Times New Roman" w:hAnsi="Times New Roman"/>
          <w:sz w:val="24"/>
          <w:szCs w:val="24"/>
          <w:vertAlign w:val="superscript"/>
        </w:rPr>
        <w:fldChar w:fldCharType="end"/>
      </w:r>
      <w:r w:rsidRPr="0020759F">
        <w:rPr>
          <w:rFonts w:ascii="Times New Roman" w:hAnsi="Times New Roman"/>
          <w:sz w:val="24"/>
        </w:rPr>
        <w:t>. However, since 2013 for Italy and 2014 for France and th</w:t>
      </w:r>
      <w:r w:rsidR="007D2477" w:rsidRPr="0020759F">
        <w:rPr>
          <w:rFonts w:ascii="Times New Roman" w:hAnsi="Times New Roman"/>
          <w:sz w:val="24"/>
        </w:rPr>
        <w:t xml:space="preserve">e UK </w:t>
      </w:r>
      <w:r w:rsidRPr="0020759F">
        <w:rPr>
          <w:rFonts w:ascii="Times New Roman" w:hAnsi="Times New Roman"/>
          <w:sz w:val="24"/>
        </w:rPr>
        <w:t xml:space="preserve">several warnings around valproate </w:t>
      </w:r>
      <w:r w:rsidR="007D2477" w:rsidRPr="0020759F">
        <w:rPr>
          <w:rFonts w:ascii="Times New Roman" w:hAnsi="Times New Roman"/>
          <w:sz w:val="24"/>
        </w:rPr>
        <w:t>have been</w:t>
      </w:r>
      <w:r w:rsidRPr="0020759F">
        <w:rPr>
          <w:rFonts w:ascii="Times New Roman" w:hAnsi="Times New Roman"/>
          <w:sz w:val="24"/>
        </w:rPr>
        <w:t xml:space="preserve"> published </w:t>
      </w:r>
      <w:r w:rsidR="007D2477" w:rsidRPr="0020759F">
        <w:rPr>
          <w:rFonts w:ascii="Times New Roman" w:hAnsi="Times New Roman"/>
          <w:sz w:val="24"/>
        </w:rPr>
        <w:t xml:space="preserve">each year </w:t>
      </w:r>
      <w:r w:rsidRPr="0020759F">
        <w:rPr>
          <w:rFonts w:ascii="Times New Roman" w:hAnsi="Times New Roman"/>
          <w:sz w:val="24"/>
        </w:rPr>
        <w:t xml:space="preserve">by National Medicines Agencies [on the AIFA (Italian Medicines Agency) website in Italy, on the ANSM (French Medicines Agency) website in France and on the MHRA (Medicines and Healthcare products Regulatory Agency) website for the UK] and risks associated with valproate exposure during pregnancy </w:t>
      </w:r>
      <w:r w:rsidR="007D2477" w:rsidRPr="0020759F">
        <w:rPr>
          <w:rFonts w:ascii="Times New Roman" w:hAnsi="Times New Roman"/>
          <w:sz w:val="24"/>
        </w:rPr>
        <w:t>have been</w:t>
      </w:r>
      <w:r w:rsidRPr="0020759F">
        <w:rPr>
          <w:rFonts w:ascii="Times New Roman" w:hAnsi="Times New Roman"/>
          <w:sz w:val="24"/>
        </w:rPr>
        <w:t xml:space="preserve"> described in the scientific literature since the 1980s.</w:t>
      </w:r>
    </w:p>
    <w:p w14:paraId="597CD991" w14:textId="77777777" w:rsidR="00E36849" w:rsidRPr="0020759F" w:rsidRDefault="00E36849" w:rsidP="00BE78A7">
      <w:pPr>
        <w:spacing w:line="480" w:lineRule="auto"/>
        <w:jc w:val="both"/>
        <w:rPr>
          <w:rFonts w:ascii="Times New Roman" w:hAnsi="Times New Roman"/>
          <w:sz w:val="24"/>
        </w:rPr>
      </w:pPr>
    </w:p>
    <w:p w14:paraId="0EB37C12"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A significant number of </w:t>
      </w:r>
      <w:proofErr w:type="spellStart"/>
      <w:r w:rsidRPr="0020759F">
        <w:rPr>
          <w:rFonts w:ascii="Times New Roman" w:hAnsi="Times New Roman"/>
          <w:sz w:val="24"/>
        </w:rPr>
        <w:t>newborns</w:t>
      </w:r>
      <w:proofErr w:type="spellEnd"/>
      <w:r w:rsidRPr="0020759F">
        <w:rPr>
          <w:rFonts w:ascii="Times New Roman" w:hAnsi="Times New Roman"/>
          <w:sz w:val="24"/>
        </w:rPr>
        <w:t xml:space="preserve"> are still exposed in utero to valproate despite the recommendations. It may be that the “minimal essential level” of valproate exposure in pregnant women has been reached (less than 1 per 1,000 pregnant women in 2015-2016 in the UK, France and Emilia Romagna) and that all exposures are to women where no other treatment is effective. However, it remains important to inform health professionals to try to further reduce exposure to valproate to women of childbearing age.   </w:t>
      </w:r>
    </w:p>
    <w:p w14:paraId="16AB8460" w14:textId="77777777" w:rsidR="00445DDF" w:rsidRPr="0020759F" w:rsidRDefault="00445DDF">
      <w:pPr>
        <w:spacing w:line="480" w:lineRule="auto"/>
        <w:jc w:val="both"/>
        <w:rPr>
          <w:rFonts w:ascii="Times New Roman" w:hAnsi="Times New Roman"/>
          <w:sz w:val="24"/>
        </w:rPr>
      </w:pPr>
    </w:p>
    <w:p w14:paraId="4D021571"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Lamotrigine is the most frequently-prescribed AED in France and the UK, with respectively one-quarter and one-third of AED exposed women exposed to this AED which is in the top 4 of the most prescribed AEDs during pregnancy in all regions. Moreover, this drug appears to be increasingly used over time as observed previously in Denmark, Norway and Wales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{"citationID":"wtUqdqer","properties":{"formattedCitation":"\\super 22\\nosupersub{}","plainCitation":"22","noteIndex":0},"citationItems":[{"id":592,"uris":["http://zotero.org/users/2684309/items/WXH26W4D"],"uri":["http://zotero.org/users/2684309/items/WXH26W4D"],"itemData":{"id":592,"type":"article-journal","title":"Antiepileptic drug prescribing before, during and after pregnancy: a study in seven European regions","container-title":"Pharmacoepidemiology and Drug Safety","page":"1144-1154","volume":"24","issue":"11","source":"PubMed","abstract":"PURPOSE: The aim of this study was to explore antiepileptic drug (AED) prescribing before, during and after pregnancy as recorded in seven population-based electronic healthcare databases.\nMETHODS: Databases in Denmark, Norway, the Netherlands, Italy (Emilia Romagna/Tuscany), Wales and the Clinical Practice Research Datalink, representing the rest of the UK, were accessed for the study. Women with a pregnancy starting and ending between 2004 and 2010, which ended in a delivery, were identified. AED prescriptions issued (UK) or dispensed (non-UK) at any time during pregnancy and the 6 months before and after pregnancy were identified in each of the databases. AED prescribing patterns were analysed, and the choice of AEDs and co-prescribing of folic acid were evaluated.\nRESULTS: In total, 978 957 women with 1 248 713 deliveries were identified. In all regions, AED prescribing declined during pregnancy and was lowest during the third trimester, before returning to pre-pregnancy levels by 6 months following delivery. For all deliveries, the prevalence of AED prescribing during pregnancy was 51 per 10 000 pregnancies (CI95 49-52%) and was lowest in the Netherlands (43/10 000; CI95 33-54%) and highest in Wales (60/10 000; CI95 54-66%). In Denmark, Norway and the two UK databases lamotrigine was the most commonly prescribed AED; whereas in the Italian and Dutch databases, carbamazepine, valproate and phenobarbital were most frequently prescribed. Few women prescribed with AEDs in the 3 months before pregnancy were co-prescribed with high-dose folic acid: ranging from 1.0% (CI95 0.3-1.8%) in Emilia Romagna to 33.5% (CI95 28.7-38.4%) in Wales.\nCONCLUSION: The country's differences in prescribing patterns may suggest different use, knowledge or interpretation of the scientific evidence base. The low co-prescribing of folic acid indicates that more needs to be done to better inform clinicians and women of childbearing age taking AEDs about the need to offer and receive complete preconception care.","DOI":"10.1002/pds.3847","ISSN":"1099-1557","note":"PMID: 26272314","title-short":"Antiepileptic drug prescribing before, during and after pregnancy","journalAbbreviation":"Pharmacoepidemiol Drug Saf","language":"eng","author":[{"family":"Charlton","given":"Rachel"},{"family":"Garne","given":"Ester"},{"family":"Wang","given":"Hao"},{"family":"Klungsøyr","given":"Kari"},{"family":"Jordan","given":"Sue"},{"family":"Neville","given":"Amanda"},{"family":"Pierini","given":"Anna"},{"family":"Hansen","given":"Anne"},{"family":"Engeland","given":"Anders"},{"family":"Gini","given":"Rosa"},{"family":"Thayer","given":"Daniel"},{"family":"Bos","given":"Jens"},{"family":"Puccini","given":"Aurora"},{"family":"Nybo Andersen","given":"Anne-Marie"},{"family":"Dolk","given":"Helen"},{"family":"Jong-van den Berg","given":"Lolkje","non-dropping-particle":"de"}],"issued":{"date-parts":[["2015",11]]}}}],"schema":"https://github.com/citation-style-language/schema/raw/master/csl-citation.json"}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22</w:t>
      </w:r>
      <w:r w:rsidRPr="0020759F">
        <w:rPr>
          <w:rFonts w:ascii="Times New Roman" w:hAnsi="Times New Roman"/>
          <w:sz w:val="24"/>
        </w:rPr>
        <w:fldChar w:fldCharType="end"/>
      </w:r>
      <w:r w:rsidRPr="0020759F">
        <w:rPr>
          <w:rFonts w:ascii="Times New Roman" w:hAnsi="Times New Roman"/>
          <w:sz w:val="24"/>
        </w:rPr>
        <w:t xml:space="preserve"> and Australia</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{"citationID":"Hs1EeDng","properties":{"formattedCitation":"\\super 35\\nosupersub{}","plainCitation":"35","noteIndex":0},"citationItems":[{"id":1542,"uris":["http://zotero.org/users/2684309/items/Z49R7XL8"],"uri":["http://zotero.org/users/2684309/items/Z49R7XL8"],"itemData":{"id":1542,"type":"article-journal","title":"Changing patterns of antiepileptic drug use in pregnant Australian women","container-title":"Acta Neurologica Scandinavica","page":"89-93","volume":"121","issue":"2","source":"PubMed","abstract":"OBJECTIVE: To trace the pattern of antiepileptic drug (AED) use in pregnant Australian women annually from 1999 to 2007, and correlate it with the pattern of AED use in the wider community.\nMETHODS: Analysis of data from the Australian Register of AEDs in Pregnancy, related to Australian population data for AED prescriptions.\nRESULTS: Over the study period, prescribing of carbamazepine, phenytoin and valproate for pregnant women decreased, and prescribing of lamotrigine, topiramate and levetiracetam increased. These changes tended to parallel prescribing trends in the wider community, except for valproate, whose prescribing in the overall community increased as its prescribing, and its dosage prescribed, decreased in pregnancy. Concomitant with this, there was a trend towards fewer births of foetuses with abnormalities.\nCONCLUSIONS: While otherwise following national AED prescribing trends, Australian prescribers are reducing the use and dose of valproate in pregnant women, likely in recognition of the teratogenic hazards of this drug.","DOI":"10.1111/j.1600-0404.2009.01260.x","ISSN":"1600-0404","note":"PMID: 20015108","journalAbbreviation":"Acta Neurol. Scand.","language":"eng","author":[{"family":"Vajda","given":"F. J. E."},{"family":"Hollingworth","given":"S."},{"family":"Graham","given":"J."},{"family":"Hitchcock","given":"A. A."},{"family":"O'Brien","given":"T. J."},{"family":"Lander","given":"C. M."},{"family":"Eadie","given":"M. J."}],"issued":{"date-parts":[["2010",2]]}}}],"schema":"https://github.com/citation-style-language/schema/raw/master/csl-citation.json"}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35</w:t>
      </w:r>
      <w:r w:rsidRPr="0020759F">
        <w:rPr>
          <w:rFonts w:ascii="Times New Roman" w:hAnsi="Times New Roman"/>
          <w:sz w:val="24"/>
        </w:rPr>
        <w:fldChar w:fldCharType="end"/>
      </w:r>
      <w:r w:rsidRPr="0020759F">
        <w:rPr>
          <w:rFonts w:ascii="Times New Roman" w:hAnsi="Times New Roman"/>
          <w:sz w:val="24"/>
        </w:rPr>
        <w:t>. This situation is rather reassuring because several reviews have concluded that lamotrigine may be associated with a lower risk of teratogenicity</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{"citationID":"2bfhh4nvv7","properties":{"formattedCitation":"\\super 36,37\\nosupersub{}","plainCitation":"36,37","noteIndex":0},"citationItems":[{"id":584,"uris":["http://zotero.org/users/2684309/items/R84GX6GS"],"uri":["http://zotero.org/users/2684309/items/R84GX6GS"],"itemData":{"id":584,"type":"article-journal","title":"New antiepileptic drugs","container-title":"The New England Journal of Medicine","page":"1583-1590","volume":"334","issue":"24","source":"PubMed","DOI":"10.1056/NEJM199606133342407","ISSN":"0028-4793","note":"PMID: 8628341","journalAbbreviation":"N. Engl. J. Med.","language":"eng","author":[{"family":"Dichter","given":"M. A."},{"family":"Brodie","given":"M. J."}],"issued":{"date-parts":[["1996",6,13]]}},"label":"page"},{"id":583,"uris":["http://zotero.org/users/2684309/items/4ZKICAQ2"],"uri":["http://zotero.org/users/2684309/items/4ZKICAQ2"],"itemData":{"id":583,"type":"article-journal","title":"The new antiepileptic drugs and women: efficacy, reproductive health, pregnancy, and fetal outcome","container-title":"Epilepsia","page":"S34-44","volume":"37 Suppl 6","source":"PubMed","abstract":"As new antiepileptic drugs (AEDs) become available, physicians will define their appropriate use in particular patient populations. For women, the issues include gender-specific efficacy and tolerability, including the impact of the AED on reproductive health. Women with epilepsy who are treated with established AEDs appear to be at risk for compromised bone health, for disturbances in fertility, menstrual cyclicity, ovulatory function, and sexuality and, with some AEDs, for failure of hormonal contraception. Finally, pregnancy outcome may be adversely affected by the established AEDs, all of which are human teratogens. Felbamate (FBM), gabapentin (GBP), lamotrigine (LTG), oxcarbazepine (OCBZ), tiagabine (TGB), topiramate (TPM), and vigabatrin (VGB) were reviewed. The preclinical development process had not addressed all the issues of concern to women. Although gender-specific efficacy is routinely evaluated, impact on reproductive health is not. FBM, GBP, LTG, TGB, TPM, and VGB have similar efficacy in women and men. It is not known whether the new AEDs will affect bone health, fertility, the menstrual cycle, and sexuality. FBM, GBP, LTG, TGB, and probably VGB do not interfere with hormonal contraception. Whether these new AEDs are good choices for the pregnant woman with epilepsy awaits further experience in human pregnancy. However, animal reproductive toxicology studies appear promising. The limited number of human pregnancy exposures do not, thus far, signal a significant number or particular type of adverse outcomes. However, only with improved postmarketing surveillance can essential information about teratogenic effects by acquired in an acceptably short time.","ISSN":"0013-9580","note":"PMID: 8941040","title-short":"The new antiepileptic drugs and women","journalAbbreviation":"Epilepsia","language":"eng","author":[{"family":"Morrell","given":"M. J."}],"issued":{"date-parts":[["1996"]]}},"label":"page"}],"schema":"https://github.com/citation-style-language/schema/raw/master/csl-citation.json"}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36,37</w:t>
      </w:r>
      <w:r w:rsidRPr="0020759F">
        <w:rPr>
          <w:rFonts w:ascii="Times New Roman" w:hAnsi="Times New Roman"/>
          <w:sz w:val="24"/>
        </w:rPr>
        <w:fldChar w:fldCharType="end"/>
      </w:r>
      <w:r w:rsidRPr="0020759F">
        <w:rPr>
          <w:rFonts w:ascii="Times New Roman" w:hAnsi="Times New Roman"/>
          <w:sz w:val="24"/>
        </w:rPr>
        <w:t>.  In 2009, an increased risk of cleft palate and lip was reported after an exposure during the first trimester of pregnancy</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{"citationID":"Mg7Sfy30","properties":{"formattedCitation":"\\super 38\\nosupersub{}","plainCitation":"38","noteIndex":0},"citationItems":[{"id":582,"uris":["http://zotero.org/users/2684309/items/86H7I6E5"],"uri":["http://zotero.org/users/2684309/items/86H7I6E5"],"itemData":{"id":582,"type":"article-journal","title":"Increased frequency of isolated cleft palate in infants exposed to lamotrigine during pregnancy","container-title":"Neurology","page":"2152-2158","volume":"70","issue":"22 Pt 2","source":"PubMed","abstract":"BACKGROUND: Pregnancy registries for women taking anticonvulsant drugs have been developed to determine more efficiently the fetal risks of each drug. A total of 722 drug-exposed pregnancies are needed to identify a sevenfold increase in the rate of occurrence of a specific abnormality, such as spina bifida, with a frequency of 1 in 1,000.\nMETHODS: The infants with major malformations born to the 791 women who had taken lamotrigine as monotherapy and had enrolled in the North American AED Pregnancy Registry were identified. Medical records were obtained from the affected infants' doctors. A total of 107 of the 791 infants or pregnancies were excluded.\nRESULTS: A total of 16 (2.3%) of 684 infants exposed to lamotrigine had major malformations that were identified at birth. Five infants (7.3/1,000) had oral clefts: isolated cleft palate (3), isolated cleft lip (1), and cleft lip and palate (1). The rate among the lamotrigine-exposed infants showed a 10.4-fold increase (95% CI: 4.3-24.9) in comparison to 206,224 unexposed infants surveyed at birth at Brigham and Women's Hospital in Boston, where the prevalence of isolated oral clefts was 0.7/1,000. A comparison was made also to 1,623 infants exposed to lamotrigine, as monotherapy, who had enrolled in five other registries. There were four infants with oral clefts: prevalence 2.5/1,000 (RR: 3.8, 95% CI: 1.4-10.0).\nCONCLUSIONS: The infant exposed in the first trimester of pregnancy to the anticonvulsant drug lamotrigine has an increased risk to have an isolated cleft palate or cleft lip deformity.","DOI":"10.1212/01.wnl.0000304343.45104.d6","ISSN":"1526-632X","note":"PMID: 18448870","journalAbbreviation":"Neurology","language":"eng","author":[{"family":"Holmes","given":"L. B."},{"family":"Baldwin","given":"E. J."},{"family":"Smith","given":"C. R."},{"family":"Habecker","given":"E."},{"family":"Glassman","given":"L."},{"family":"Wong","given":"S. L."},{"family":"Wyszynski","given":"D. F."}],"issued":{"date-parts":[["2008",5,27]]}}}],"schema":"https://github.com/citation-style-language/schema/raw/master/csl-citation.json"}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38</w:t>
      </w:r>
      <w:r w:rsidRPr="0020759F">
        <w:rPr>
          <w:rFonts w:ascii="Times New Roman" w:hAnsi="Times New Roman"/>
          <w:sz w:val="24"/>
        </w:rPr>
        <w:fldChar w:fldCharType="end"/>
      </w:r>
      <w:r w:rsidRPr="0020759F">
        <w:rPr>
          <w:rFonts w:ascii="Times New Roman" w:hAnsi="Times New Roman"/>
          <w:sz w:val="24"/>
        </w:rPr>
        <w:t>. However, this risk was not confirmed by other studies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{"citationID":"OQj5lmOQ","properties":{"formattedCitation":"\\super 39\\nosupersub{}","plainCitation":"39","noteIndex":0},"citationItems":[{"id":1548,"uris":["http://zotero.org/users/2684309/items/Y7RI9RD6"],"uri":["http://zotero.org/users/2684309/items/Y7RI9RD6"],"itemData":{"id":1548,"type":"article-journal","title":"Pregnancy Outcomes Following In Utero Exposure to Lamotrigine: A Systematic Review and Meta-Analysis","container-title":"CNS drugs","page":"439-450","volume":"31","issue":"6","source":"PubMed","abstract":"INTRODUCTION: Lamotrigine is used in pregnancy to control epilepsy and mood disorders. The reproductive safety of this widely used drug remains undefined and may represent a significant public health concern.\nOBJECTIVE: We aimed to perform a systematic review and meta-analysis of existing knowledge related to malformation rates and maternal-neonatal outcomes after in utero exposure to monotherapy with lamotrigine.\nMETHODS: Relevant studies were identified through systematic searches conducted in MEDLINE (Ovid), Embase (Ovid), CENTRAL (Ovid), and Web of Science (Thomson Reuters) from database inception to July 2016; no language or date restrictions were applied. All publications of clinically relevant outcomes of pregnancies following in utero exposure to lamotrigine were included in this systematic review and meta-analysis.\nRESULTS: A total of 21 studies describing immediate pregnancy outcomes and rates of congenital malformations fulfilled the inclusion criteria. Compared with disease-matched controls (n = 1412, total number of patients) and healthy controls (n = 774,571, total number of patients), in utero exposure to lamotrigine monotherapy was found to be associated with significantly decreased rates of inborn defects (odds ratio [OR] 1.15; 95% confidence interval [CI] 0.62-2.16 and OR 1.25; 95% CI 0.89-1.74, respectively). Rates of miscarriages, stillbirths, preterm deliveries, and small for gestational age (SGA) neonates were not found to have been increased after in-utero exposure to LTG compared to the general population. Similarly, in utero exposure to lamotrigine monotherapy was not found to be associated with increased rates of inborn defects compared with in utero exposure to carbamazepine, and lamotrigine was found to be statistically significantly less teratogenic than valproic acid (n = 12,958 and 10,748; OR 0.84; 95% CI 0.68-1.03 and OR 0.32; 95% CI 0.26-0.39, respectively).\nCONCLUSION: No association was found between prenatal lamotrigine monotherapy and increased rates of birth defects and other explored variables related to adverse pregnancy outcomes.","DOI":"10.1007/s40263-017-0433-0","ISSN":"1179-1934","note":"PMID: 28434134","title-short":"Pregnancy Outcomes Following In Utero Exposure to Lamotrigine","journalAbbreviation":"CNS Drugs","language":"eng","author":[{"family":"Pariente","given":"Gali"},{"family":"Leibson","given":"Tom"},{"family":"Shulman","given":"Talya"},{"family":"Adams-Webber","given":"Thomasin"},{"family":"Barzilay","given":"Eran"},{"family":"Nulman","given":"Irena"}],"issued":{"date-parts":[["2017",6]]}}}],"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39</w:t>
      </w:r>
      <w:r w:rsidRPr="0020759F">
        <w:rPr>
          <w:rFonts w:ascii="Times New Roman" w:hAnsi="Times New Roman"/>
          <w:sz w:val="24"/>
        </w:rPr>
        <w:fldChar w:fldCharType="end"/>
      </w:r>
      <w:r w:rsidRPr="0020759F">
        <w:rPr>
          <w:rFonts w:ascii="Times New Roman" w:hAnsi="Times New Roman"/>
          <w:sz w:val="24"/>
        </w:rPr>
        <w:t>.</w:t>
      </w:r>
    </w:p>
    <w:p w14:paraId="63FD5D3A" w14:textId="77777777" w:rsidR="00445DDF" w:rsidRPr="0020759F" w:rsidRDefault="00445DDF">
      <w:pPr>
        <w:pStyle w:val="Heading2"/>
        <w:spacing w:line="480" w:lineRule="auto"/>
        <w:rPr>
          <w:i/>
          <w:color w:val="auto"/>
          <w:sz w:val="24"/>
          <w:szCs w:val="24"/>
        </w:rPr>
      </w:pPr>
    </w:p>
    <w:p w14:paraId="09EE575C"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During the first years of the study period,</w:t>
      </w:r>
      <w:r w:rsidRPr="0020759F">
        <w:rPr>
          <w:b/>
          <w:bCs/>
        </w:rPr>
        <w:t xml:space="preserve"> c</w:t>
      </w:r>
      <w:r w:rsidRPr="0020759F">
        <w:rPr>
          <w:rFonts w:ascii="Times New Roman" w:hAnsi="Times New Roman"/>
          <w:sz w:val="24"/>
        </w:rPr>
        <w:t>arbamazepine was the most frequently prescribed-AED in Emilia Romagna, with more than 20% of pregnant women exposed to AEDs receiving carbamazepine. Carbamazepine use in pregnancy is associated with an increased risk of malformations (RR=2.2)</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{"citationID":"DpBSUs5g","properties":{"formattedCitation":"\\super 40\\nosupersub{}","plainCitation":"40","noteIndex":0},"citationItems":[{"id":577,"uris":["http://zotero.org/users/2684309/items/5EUT79CK"],"uri":["http://zotero.org/users/2684309/items/5EUT79CK"],"itemData":{"id":577,"type":"article-journal","title":"Is carbamazepine teratogenic? A prospective controlled study of 210 pregnancies","container-title":"Neurology","page":"321-324","volume":"57","issue":"2","source":"PubMed","abstract":"The Israeli Teratogen Information Service prospectively followed up 210 pregnancies with first trimester carbamazepine exposure. Pregnancy outcome was compared with that of two overlapping controls, matched and general (n = 629), exposed to nonteratogenic agents. Our study suggests a twofold increase in the rate of major congenital anomalies (12/160 [carbamazepine] versus 18/560 [general control]; relative risk 2.24; 95% CI 1.1-4.56) and a birth weight reduction of approximately 250 g after in utero exposure to carbamazepine.","ISSN":"0028-3878","note":"PMID: 11468320","title-short":"Is carbamazepine teratogenic?","journalAbbreviation":"Neurology","language":"eng","author":[{"family":"Diav-Citrin","given":"O."},{"family":"Shechtman","given":"S."},{"family":"Arnon","given":"J."},{"family":"Ornoy","given":"A."}],"issued":{"date-parts":[["2001",7,24]]}}}],"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40</w:t>
      </w:r>
      <w:r w:rsidRPr="0020759F">
        <w:rPr>
          <w:rFonts w:ascii="Times New Roman" w:hAnsi="Times New Roman"/>
          <w:sz w:val="24"/>
        </w:rPr>
        <w:fldChar w:fldCharType="end"/>
      </w:r>
      <w:r w:rsidRPr="0020759F">
        <w:rPr>
          <w:rFonts w:ascii="Times New Roman" w:hAnsi="Times New Roman"/>
          <w:sz w:val="24"/>
        </w:rPr>
        <w:t>, including neural tube defects, cardiovascular and urinary tract defects, and cleft palate</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{"citationID":"ispdr8p2c","properties":{"formattedCitation":"\\super 41,42\\nosupersub{}","plainCitation":"41,42","noteIndex":0},"citationItems":[{"id":578,"uris":["http://zotero.org/users/2684309/items/2B93BRFH"],"uri":["http://zotero.org/users/2684309/items/2B93BRFH"],"itemData":{"id":578,"type":"article-journal","title":"Spina bifida in infants of women treated with carbamazepine during pregnancy","container-title":"The New England Journal of Medicine","page":"674-677","volume":"324","issue":"10","source":"PubMed","DOI":"10.1056/NEJM199103073241006","ISSN":"0028-4793","note":"PMID: 1994251","journalAbbreviation":"N. Engl. J. Med.","language":"eng","author":[{"family":"Rosa","given":"F. W."}],"issued":{"date-parts":[["1991",3,7]]}},"label":"page"},{"id":580,"uris":["http://zotero.org/users/2684309/items/3W9EN5TI"],"uri":["http://zotero.org/users/2684309/items/3W9EN5TI"],"itemData":{"id":580,"type":"article-journal","title":"Pattern of malformations in the children of women treated with carbamazepine during pregnancy","container-title":"The New England Journal of Medicine","page":"1661-1666","volume":"320","issue":"25","source":"PubMed","abstract":"In an attempt to determine whether and to what extent carbamazepine is teratogenic, we evaluated eight children whom we identified retrospectively as having had prenatal exposure to carbamazepine alone or in combination with a variety of anticonvulsants other than phenytoin. In addition, in a prospective study, we documented the outcome of the pregnancies of 72 women who contacted us early in pregnancy because they were concerned about the potential teratogenicity of carbamazepine. A pattern of malformation, the principal features of which are minor craniofacial defects and fingernail hypoplasia, and of developmental delay was identified in the eight children retrospectively ascertained to have been exposed to carbamazepine in utero; this pattern was subsequently confirmed through the evaluation of 48 children born alive to the women in the prospective study. That carbamazepine itself is teratogenic is indicated by the incidence of craniofacial defects (11 percent), fingernail hypoplasia (26 percent), and developmental delay (20 percent) in the 35 live-born children of the women in the prospective study who were exposed prenatally to carbamazepine alone. The similarity between the children exposed prenatally to carbamazepine and those with the fetal hydantoin syndrome is probably related to the fact that both drugs are metabolized through the arene oxide pathway and raises the possibility that it is the epoxide intermediate rather than the specific drug itself that is the teratogenic agent.","DOI":"10.1056/NEJM198906223202505","ISSN":"0028-4793","note":"PMID: 2725616","journalAbbreviation":"N. Engl. J. Med.","language":"eng","author":[{"family":"Jones","given":"K. L."},{"family":"Lacro","given":"R. V."},{"family":"Johnson","given":"K. A."},{"family":"Adams","given":"J."}],"issued":{"date-parts":[["1989",6,22]]}},"label":"page"}],"schema":"https://github.com/citation-style-language/schema/raw/master/csl-citation.json"}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41,42</w:t>
      </w:r>
      <w:r w:rsidRPr="0020759F">
        <w:rPr>
          <w:rFonts w:ascii="Times New Roman" w:hAnsi="Times New Roman"/>
          <w:sz w:val="24"/>
        </w:rPr>
        <w:fldChar w:fldCharType="end"/>
      </w:r>
      <w:r w:rsidRPr="0020759F">
        <w:rPr>
          <w:rFonts w:ascii="Times New Roman" w:hAnsi="Times New Roman"/>
          <w:sz w:val="24"/>
        </w:rPr>
        <w:t xml:space="preserve">. </w:t>
      </w:r>
    </w:p>
    <w:p w14:paraId="179A1D5F" w14:textId="77777777" w:rsidR="00445DDF" w:rsidRPr="0020759F" w:rsidRDefault="00445DDF">
      <w:pPr>
        <w:spacing w:line="480" w:lineRule="auto"/>
        <w:jc w:val="both"/>
        <w:rPr>
          <w:rFonts w:ascii="Times New Roman" w:hAnsi="Times New Roman"/>
          <w:sz w:val="24"/>
        </w:rPr>
      </w:pPr>
    </w:p>
    <w:p w14:paraId="0E657ACA" w14:textId="77777777" w:rsidR="00445DDF" w:rsidRPr="0020759F" w:rsidRDefault="00445DDF">
      <w:pPr>
        <w:pStyle w:val="Heading2"/>
        <w:spacing w:line="480" w:lineRule="auto"/>
        <w:rPr>
          <w:i/>
          <w:color w:val="auto"/>
          <w:sz w:val="24"/>
          <w:szCs w:val="24"/>
        </w:rPr>
      </w:pPr>
      <w:r w:rsidRPr="0020759F">
        <w:rPr>
          <w:i/>
          <w:color w:val="auto"/>
          <w:sz w:val="24"/>
          <w:szCs w:val="24"/>
        </w:rPr>
        <w:t xml:space="preserve">Fewer AED prescriptions in pregnant women than in the general population of women </w:t>
      </w:r>
    </w:p>
    <w:p w14:paraId="6624507A" w14:textId="3051778C" w:rsidR="00445DDF" w:rsidRPr="0020759F" w:rsidRDefault="00445DDF" w:rsidP="00F14219">
      <w:pPr>
        <w:pStyle w:val="CommentText"/>
        <w:spacing w:line="480" w:lineRule="auto"/>
        <w:jc w:val="both"/>
        <w:rPr>
          <w:rFonts w:ascii="Times New Roman" w:hAnsi="Times New Roman"/>
          <w:sz w:val="24"/>
          <w:szCs w:val="22"/>
        </w:rPr>
      </w:pPr>
      <w:r w:rsidRPr="0020759F">
        <w:rPr>
          <w:rFonts w:ascii="Times New Roman" w:hAnsi="Times New Roman"/>
          <w:sz w:val="24"/>
          <w:szCs w:val="22"/>
        </w:rPr>
        <w:t xml:space="preserve"> The </w:t>
      </w:r>
      <w:proofErr w:type="gramStart"/>
      <w:r w:rsidRPr="0020759F">
        <w:rPr>
          <w:rFonts w:ascii="Times New Roman" w:hAnsi="Times New Roman"/>
          <w:sz w:val="24"/>
          <w:szCs w:val="22"/>
        </w:rPr>
        <w:t xml:space="preserve">2 </w:t>
      </w:r>
      <w:r w:rsidR="00646410" w:rsidRPr="0020759F">
        <w:rPr>
          <w:rFonts w:ascii="Times New Roman" w:hAnsi="Times New Roman"/>
          <w:sz w:val="24"/>
          <w:szCs w:val="22"/>
        </w:rPr>
        <w:t>fold</w:t>
      </w:r>
      <w:proofErr w:type="gramEnd"/>
      <w:r w:rsidRPr="0020759F">
        <w:rPr>
          <w:rFonts w:ascii="Times New Roman" w:hAnsi="Times New Roman"/>
          <w:sz w:val="24"/>
          <w:szCs w:val="22"/>
        </w:rPr>
        <w:t xml:space="preserve"> lower use of AEDs during the 6 months preceding the start of pregnancy may indicate that these pregnancies are planned. However, some women who have an AED prescription in early pregnancy (the most risky period for congenital anomalies) have no more prescriptions during the 2nd and the 3rd trimesters, suggesting that the AED treatment can be stopped or replaced. This emphasises the need of systematic counselling of epileptic women of childbearing age.</w:t>
      </w:r>
    </w:p>
    <w:p w14:paraId="1A3041E6" w14:textId="77777777" w:rsidR="00445DDF" w:rsidRPr="0020759F" w:rsidRDefault="00445DDF">
      <w:pPr>
        <w:spacing w:line="480" w:lineRule="auto"/>
        <w:jc w:val="both"/>
        <w:rPr>
          <w:rFonts w:ascii="Times New Roman" w:hAnsi="Times New Roman"/>
          <w:sz w:val="24"/>
        </w:rPr>
      </w:pPr>
    </w:p>
    <w:p w14:paraId="485CC568" w14:textId="77777777" w:rsidR="00445DDF" w:rsidRPr="0020759F" w:rsidRDefault="00445DDF">
      <w:pPr>
        <w:pStyle w:val="Heading2"/>
        <w:spacing w:line="480" w:lineRule="auto"/>
        <w:rPr>
          <w:i/>
          <w:color w:val="auto"/>
          <w:sz w:val="24"/>
          <w:szCs w:val="24"/>
        </w:rPr>
      </w:pPr>
      <w:r w:rsidRPr="0020759F">
        <w:rPr>
          <w:i/>
          <w:color w:val="auto"/>
          <w:sz w:val="24"/>
          <w:szCs w:val="24"/>
        </w:rPr>
        <w:t>Study with some weaknesses but representative of European population</w:t>
      </w:r>
    </w:p>
    <w:p w14:paraId="2A0E111B" w14:textId="49268089" w:rsidR="00445DDF" w:rsidRPr="0020759F" w:rsidRDefault="00445DDF" w:rsidP="00A478C3">
      <w:pPr>
        <w:spacing w:line="480" w:lineRule="auto"/>
        <w:jc w:val="both"/>
        <w:rPr>
          <w:rFonts w:ascii="Times New Roman" w:hAnsi="Times New Roman"/>
          <w:sz w:val="24"/>
          <w:lang w:val="en-US"/>
        </w:rPr>
      </w:pPr>
      <w:r w:rsidRPr="0020759F">
        <w:rPr>
          <w:rFonts w:ascii="Times New Roman" w:hAnsi="Times New Roman"/>
          <w:sz w:val="24"/>
          <w:lang w:val="en-US"/>
        </w:rPr>
        <w:t>Healthcare administrative databases allow comparison studies between countries to be conducted. However, some weaknesses are linked to the use of these databases</w:t>
      </w:r>
      <w:r w:rsidRPr="0020759F">
        <w:rPr>
          <w:rFonts w:ascii="Times New Roman" w:hAnsi="Times New Roman"/>
          <w:sz w:val="24"/>
          <w:vertAlign w:val="superscript"/>
          <w:lang w:val="en-US"/>
        </w:rPr>
        <w:fldChar w:fldCharType="begin"/>
      </w:r>
      <w:r w:rsidRPr="0020759F">
        <w:rPr>
          <w:rFonts w:ascii="Times New Roman" w:hAnsi="Times New Roman"/>
          <w:sz w:val="24"/>
          <w:vertAlign w:val="superscript"/>
          <w:lang w:val="en-US"/>
        </w:rPr>
        <w:instrText xml:space="preserve"> ADDIN ZOTERO_ITEM CSL_CITATION {"citationID":"XordlioR","properties":{"formattedCitation":"\\super 1\\nosupersub{}","plainCitation":"1","noteIndex":0},"citationItems":[{"id":593,"uris":["http://zotero.org/users/2684309/items/Q5UJB2VD"],"uri":["http://zotero.org/users/2684309/items/Q5UJB2VD"],"itemData":{"id":593,"type":"article-journal","title":"Prescriptions of antiepileptic medications in women in three European countries between 2007 and 2016 : effect of a warning concerning valproate","author":[{"family":"Charlton","given":"Rachel"},{"family":"Damase-Michel","given":"Damase-Michel"},{"family":"Hurault-Delarue","given":"Caroline"},{"family":"Gini","given":"Rosa"},{"family":"Loane","given":"Maria"},{"family":"Pierini","given":"Anna"},{"family":"Puccini","given":"Aurora"},{"family":"Neville","given":"Amanda"},{"family":"Snowball","given":"Julia"},{"family":"Morris","given":"Joan"}],"issued":{"date-parts":[["2018",7]]}}}],"schema":"https://github.com/citation-style-language/schema/raw/master/csl-citation.json"} </w:instrText>
      </w:r>
      <w:r w:rsidRPr="0020759F">
        <w:rPr>
          <w:rFonts w:ascii="Times New Roman" w:hAnsi="Times New Roman"/>
          <w:sz w:val="24"/>
          <w:vertAlign w:val="superscript"/>
          <w:lang w:val="en-US"/>
        </w:rPr>
        <w:fldChar w:fldCharType="separate"/>
      </w:r>
      <w:r w:rsidRPr="0020759F">
        <w:rPr>
          <w:rFonts w:ascii="Times New Roman" w:hAnsi="Times New Roman"/>
          <w:sz w:val="24"/>
          <w:vertAlign w:val="superscript"/>
          <w:lang w:val="en-US"/>
        </w:rPr>
        <w:t>1</w:t>
      </w:r>
      <w:r w:rsidRPr="0020759F">
        <w:rPr>
          <w:rFonts w:ascii="Times New Roman" w:hAnsi="Times New Roman"/>
          <w:sz w:val="24"/>
          <w:vertAlign w:val="superscript"/>
          <w:lang w:val="en-US"/>
        </w:rPr>
        <w:fldChar w:fldCharType="end"/>
      </w:r>
      <w:r w:rsidRPr="0020759F">
        <w:rPr>
          <w:rFonts w:ascii="Times New Roman" w:hAnsi="Times New Roman"/>
          <w:sz w:val="24"/>
          <w:lang w:val="en-US"/>
        </w:rPr>
        <w:t xml:space="preserve">, in particular the absence of data on compliance with treatment and </w:t>
      </w:r>
      <w:r w:rsidRPr="0020759F">
        <w:rPr>
          <w:rFonts w:ascii="Times New Roman" w:hAnsi="Times New Roman"/>
          <w:sz w:val="24"/>
        </w:rPr>
        <w:t>on prescriptions during hospital stays</w:t>
      </w:r>
      <w:r w:rsidRPr="0020759F">
        <w:rPr>
          <w:rFonts w:ascii="Times New Roman" w:hAnsi="Times New Roman"/>
          <w:sz w:val="24"/>
          <w:lang w:val="en-US"/>
        </w:rPr>
        <w:t xml:space="preserve">. </w:t>
      </w:r>
      <w:bookmarkStart w:id="2" w:name="_Hlk16066709"/>
      <w:bookmarkStart w:id="3" w:name="_Hlk16066781"/>
      <w:r w:rsidRPr="0020759F">
        <w:rPr>
          <w:rFonts w:ascii="Times New Roman" w:hAnsi="Times New Roman"/>
          <w:sz w:val="24"/>
          <w:lang w:val="en-US"/>
        </w:rPr>
        <w:t xml:space="preserve">Prescription duration and dose were not </w:t>
      </w:r>
      <w:r w:rsidR="00BB17A7" w:rsidRPr="0020759F">
        <w:rPr>
          <w:rFonts w:ascii="Times New Roman" w:hAnsi="Times New Roman"/>
          <w:sz w:val="24"/>
          <w:lang w:val="en-US"/>
        </w:rPr>
        <w:t xml:space="preserve">available and </w:t>
      </w:r>
      <w:r w:rsidRPr="0020759F">
        <w:rPr>
          <w:rFonts w:ascii="Times New Roman" w:hAnsi="Times New Roman"/>
          <w:sz w:val="24"/>
          <w:lang w:val="en-US"/>
        </w:rPr>
        <w:t xml:space="preserve">AED exposure was based </w:t>
      </w:r>
      <w:r w:rsidR="003B3074" w:rsidRPr="0020759F">
        <w:rPr>
          <w:rFonts w:ascii="Times New Roman" w:hAnsi="Times New Roman"/>
          <w:sz w:val="24"/>
          <w:lang w:val="en-US"/>
        </w:rPr>
        <w:t xml:space="preserve">solely </w:t>
      </w:r>
      <w:r w:rsidRPr="0020759F">
        <w:rPr>
          <w:rFonts w:ascii="Times New Roman" w:hAnsi="Times New Roman"/>
          <w:sz w:val="24"/>
          <w:lang w:val="en-US"/>
        </w:rPr>
        <w:t>on the issue or the dispensing of a</w:t>
      </w:r>
      <w:r w:rsidR="00BB17A7" w:rsidRPr="0020759F">
        <w:rPr>
          <w:rFonts w:ascii="Times New Roman" w:hAnsi="Times New Roman"/>
          <w:sz w:val="24"/>
          <w:lang w:val="en-US"/>
        </w:rPr>
        <w:t xml:space="preserve">t least </w:t>
      </w:r>
      <w:proofErr w:type="gramStart"/>
      <w:r w:rsidR="00BB17A7" w:rsidRPr="0020759F">
        <w:rPr>
          <w:rFonts w:ascii="Times New Roman" w:hAnsi="Times New Roman"/>
          <w:sz w:val="24"/>
          <w:lang w:val="en-US"/>
        </w:rPr>
        <w:t xml:space="preserve">one </w:t>
      </w:r>
      <w:r w:rsidRPr="0020759F">
        <w:rPr>
          <w:rFonts w:ascii="Times New Roman" w:hAnsi="Times New Roman"/>
          <w:sz w:val="24"/>
          <w:lang w:val="en-US"/>
        </w:rPr>
        <w:t xml:space="preserve"> prescription</w:t>
      </w:r>
      <w:proofErr w:type="gramEnd"/>
      <w:r w:rsidR="00BB17A7" w:rsidRPr="0020759F">
        <w:rPr>
          <w:rFonts w:ascii="Times New Roman" w:hAnsi="Times New Roman"/>
          <w:sz w:val="24"/>
          <w:lang w:val="en-US"/>
        </w:rPr>
        <w:t xml:space="preserve"> during individually specified 3 month periods relating to the pregnancies</w:t>
      </w:r>
      <w:r w:rsidRPr="0020759F">
        <w:rPr>
          <w:rFonts w:ascii="Times New Roman" w:hAnsi="Times New Roman"/>
          <w:sz w:val="24"/>
          <w:lang w:val="en-US"/>
        </w:rPr>
        <w:t xml:space="preserve">. </w:t>
      </w:r>
      <w:r w:rsidR="00BB17A7" w:rsidRPr="0020759F">
        <w:rPr>
          <w:rFonts w:ascii="Times New Roman" w:hAnsi="Times New Roman"/>
          <w:sz w:val="24"/>
          <w:lang w:val="en-US"/>
        </w:rPr>
        <w:t>I</w:t>
      </w:r>
      <w:r w:rsidRPr="0020759F">
        <w:rPr>
          <w:rFonts w:ascii="Times New Roman" w:hAnsi="Times New Roman"/>
          <w:sz w:val="24"/>
          <w:lang w:val="en-US"/>
        </w:rPr>
        <w:t>n France, AED medications are dispensed</w:t>
      </w:r>
      <w:r w:rsidR="007D2477" w:rsidRPr="0020759F">
        <w:rPr>
          <w:rFonts w:ascii="Times New Roman" w:hAnsi="Times New Roman"/>
          <w:sz w:val="24"/>
          <w:lang w:val="en-US"/>
        </w:rPr>
        <w:t xml:space="preserve"> each</w:t>
      </w:r>
      <w:r w:rsidRPr="0020759F">
        <w:rPr>
          <w:rFonts w:ascii="Times New Roman" w:hAnsi="Times New Roman"/>
          <w:sz w:val="24"/>
          <w:lang w:val="en-US"/>
        </w:rPr>
        <w:t xml:space="preserve"> month by the pharmacist, </w:t>
      </w:r>
      <w:r w:rsidR="007D2477" w:rsidRPr="0020759F">
        <w:rPr>
          <w:rFonts w:ascii="Times New Roman" w:hAnsi="Times New Roman"/>
          <w:sz w:val="24"/>
          <w:lang w:val="en-US"/>
        </w:rPr>
        <w:t>irrespective of</w:t>
      </w:r>
      <w:r w:rsidRPr="0020759F">
        <w:rPr>
          <w:rFonts w:ascii="Times New Roman" w:hAnsi="Times New Roman"/>
          <w:sz w:val="24"/>
          <w:lang w:val="en-US"/>
        </w:rPr>
        <w:t xml:space="preserve"> the duration of the prescription. The patient </w:t>
      </w:r>
      <w:r w:rsidR="007D2477" w:rsidRPr="0020759F">
        <w:rPr>
          <w:rFonts w:ascii="Times New Roman" w:hAnsi="Times New Roman"/>
          <w:sz w:val="24"/>
          <w:lang w:val="en-US"/>
        </w:rPr>
        <w:t>returns</w:t>
      </w:r>
      <w:r w:rsidRPr="0020759F">
        <w:rPr>
          <w:rFonts w:ascii="Times New Roman" w:hAnsi="Times New Roman"/>
          <w:sz w:val="24"/>
          <w:lang w:val="en-US"/>
        </w:rPr>
        <w:t xml:space="preserve"> to the pharmacy each month to get </w:t>
      </w:r>
      <w:r w:rsidR="007D2477" w:rsidRPr="0020759F">
        <w:rPr>
          <w:rFonts w:ascii="Times New Roman" w:hAnsi="Times New Roman"/>
          <w:sz w:val="24"/>
          <w:lang w:val="en-US"/>
        </w:rPr>
        <w:t>that month’s AED medication</w:t>
      </w:r>
      <w:r w:rsidR="00BB17A7" w:rsidRPr="0020759F">
        <w:rPr>
          <w:rFonts w:ascii="Times New Roman" w:hAnsi="Times New Roman"/>
          <w:sz w:val="24"/>
          <w:lang w:val="en-US"/>
        </w:rPr>
        <w:t xml:space="preserve"> and therefore exposure during the three months will be reported.</w:t>
      </w:r>
      <w:r w:rsidRPr="0020759F">
        <w:rPr>
          <w:rFonts w:ascii="Times New Roman" w:hAnsi="Times New Roman"/>
          <w:sz w:val="24"/>
          <w:lang w:val="en-US"/>
        </w:rPr>
        <w:t xml:space="preserve"> In Emilia Romagna (Italy), </w:t>
      </w:r>
      <w:r w:rsidR="00334BB2" w:rsidRPr="0020759F">
        <w:rPr>
          <w:rFonts w:ascii="Times New Roman" w:eastAsia="Times New Roman" w:hAnsi="Times New Roman"/>
          <w:color w:val="000000" w:themeColor="text1"/>
          <w:sz w:val="24"/>
          <w:szCs w:val="24"/>
          <w:lang w:val="en-US" w:eastAsia="fr-FR"/>
        </w:rPr>
        <w:t>pharmacists can dispense a two-month supply of any medication</w:t>
      </w:r>
      <w:r w:rsidR="00BB17A7" w:rsidRPr="0020759F">
        <w:rPr>
          <w:rFonts w:ascii="Times New Roman" w:eastAsia="Times New Roman" w:hAnsi="Times New Roman"/>
          <w:color w:val="000000" w:themeColor="text1"/>
          <w:sz w:val="24"/>
          <w:szCs w:val="24"/>
          <w:lang w:val="en-US" w:eastAsia="fr-FR"/>
        </w:rPr>
        <w:t xml:space="preserve"> and in the UK medications can also be dispensed for different durations, but are extremely unlikely to be for more than 3 months at a time. Therefore, exposure during any specified </w:t>
      </w:r>
      <w:proofErr w:type="gramStart"/>
      <w:r w:rsidR="00BB17A7" w:rsidRPr="0020759F">
        <w:rPr>
          <w:rFonts w:ascii="Times New Roman" w:eastAsia="Times New Roman" w:hAnsi="Times New Roman"/>
          <w:color w:val="000000" w:themeColor="text1"/>
          <w:sz w:val="24"/>
          <w:szCs w:val="24"/>
          <w:lang w:val="en-US" w:eastAsia="fr-FR"/>
        </w:rPr>
        <w:t>three month</w:t>
      </w:r>
      <w:proofErr w:type="gramEnd"/>
      <w:r w:rsidR="00BB17A7" w:rsidRPr="0020759F">
        <w:rPr>
          <w:rFonts w:ascii="Times New Roman" w:eastAsia="Times New Roman" w:hAnsi="Times New Roman"/>
          <w:color w:val="000000" w:themeColor="text1"/>
          <w:sz w:val="24"/>
          <w:szCs w:val="24"/>
          <w:lang w:val="en-US" w:eastAsia="fr-FR"/>
        </w:rPr>
        <w:t xml:space="preserve"> period is also likely to be captured in these databases</w:t>
      </w:r>
      <w:r w:rsidR="00334BB2" w:rsidRPr="0020759F">
        <w:rPr>
          <w:rFonts w:ascii="Times New Roman" w:eastAsia="Times New Roman" w:hAnsi="Times New Roman"/>
          <w:color w:val="000000" w:themeColor="text1"/>
          <w:sz w:val="24"/>
          <w:szCs w:val="24"/>
          <w:lang w:val="en-US" w:eastAsia="fr-FR"/>
        </w:rPr>
        <w:t>.</w:t>
      </w:r>
      <w:bookmarkEnd w:id="2"/>
      <w:r w:rsidR="00BB17A7" w:rsidRPr="0020759F">
        <w:rPr>
          <w:rFonts w:ascii="Times New Roman" w:eastAsia="Times New Roman" w:hAnsi="Times New Roman"/>
          <w:color w:val="000000" w:themeColor="text1"/>
          <w:sz w:val="24"/>
          <w:szCs w:val="24"/>
          <w:lang w:val="en-US" w:eastAsia="fr-FR"/>
        </w:rPr>
        <w:t xml:space="preserve"> </w:t>
      </w:r>
    </w:p>
    <w:bookmarkEnd w:id="3"/>
    <w:p w14:paraId="78B308FB" w14:textId="77777777" w:rsidR="00445DDF" w:rsidRPr="0020759F" w:rsidRDefault="00445DDF">
      <w:pPr>
        <w:spacing w:line="480" w:lineRule="auto"/>
        <w:jc w:val="both"/>
        <w:rPr>
          <w:rFonts w:ascii="Times New Roman" w:hAnsi="Times New Roman"/>
          <w:sz w:val="24"/>
        </w:rPr>
      </w:pPr>
      <w:r w:rsidRPr="0020759F">
        <w:rPr>
          <w:rFonts w:ascii="Times New Roman" w:hAnsi="Times New Roman"/>
          <w:sz w:val="24"/>
        </w:rPr>
        <w:t xml:space="preserve">The underlying disease </w:t>
      </w:r>
      <w:r w:rsidR="005C685F" w:rsidRPr="0020759F">
        <w:rPr>
          <w:rFonts w:ascii="Times New Roman" w:hAnsi="Times New Roman"/>
          <w:sz w:val="24"/>
        </w:rPr>
        <w:t xml:space="preserve">for which the prescription was issued </w:t>
      </w:r>
      <w:r w:rsidRPr="0020759F">
        <w:rPr>
          <w:rFonts w:ascii="Times New Roman" w:hAnsi="Times New Roman"/>
          <w:sz w:val="24"/>
        </w:rPr>
        <w:t xml:space="preserve">was </w:t>
      </w:r>
      <w:r w:rsidR="005C685F" w:rsidRPr="0020759F">
        <w:rPr>
          <w:rFonts w:ascii="Times New Roman" w:hAnsi="Times New Roman"/>
          <w:sz w:val="24"/>
        </w:rPr>
        <w:t xml:space="preserve">often </w:t>
      </w:r>
      <w:r w:rsidRPr="0020759F">
        <w:rPr>
          <w:rFonts w:ascii="Times New Roman" w:hAnsi="Times New Roman"/>
          <w:sz w:val="24"/>
        </w:rPr>
        <w:t xml:space="preserve">not available in </w:t>
      </w:r>
      <w:r w:rsidR="005C685F" w:rsidRPr="0020759F">
        <w:rPr>
          <w:rFonts w:ascii="Times New Roman" w:hAnsi="Times New Roman"/>
          <w:sz w:val="24"/>
        </w:rPr>
        <w:t xml:space="preserve">the </w:t>
      </w:r>
      <w:r w:rsidRPr="0020759F">
        <w:rPr>
          <w:rFonts w:ascii="Times New Roman" w:hAnsi="Times New Roman"/>
          <w:sz w:val="24"/>
        </w:rPr>
        <w:t xml:space="preserve">databases, raising the need to develop and validate algorithms </w:t>
      </w:r>
      <w:r w:rsidR="005C685F" w:rsidRPr="0020759F">
        <w:rPr>
          <w:rFonts w:ascii="Times New Roman" w:hAnsi="Times New Roman"/>
          <w:sz w:val="24"/>
        </w:rPr>
        <w:t>to determine</w:t>
      </w:r>
      <w:r w:rsidRPr="0020759F">
        <w:rPr>
          <w:rFonts w:ascii="Times New Roman" w:hAnsi="Times New Roman"/>
          <w:sz w:val="24"/>
        </w:rPr>
        <w:t xml:space="preserve"> indications for prescribing. For drugs with several indications, like AEDs, where the benefit/risk balance for adverse pregnancy outcomes could be different according to the maternal disease, lack of indication can represent a limitation for the interpretation of pregnancy medication safety studies.</w:t>
      </w:r>
      <w:r w:rsidRPr="0020759F">
        <w:rPr>
          <w:rFonts w:ascii="TheSansOffice" w:hAnsi="TheSansOffice"/>
          <w:lang w:val="en-US"/>
        </w:rPr>
        <w:t xml:space="preserve"> </w:t>
      </w:r>
      <w:r w:rsidRPr="0020759F">
        <w:rPr>
          <w:rFonts w:ascii="Times New Roman" w:hAnsi="Times New Roman"/>
          <w:sz w:val="24"/>
        </w:rPr>
        <w:t>Moreover, prevalence of AED prescribing in Emilia Romagna must be considered with caution because pregnancy data were limited to those pregnancies ending in livebirth or stillbirth. In other countries, spontaneous abortions, induced terminations and unknown losses represent between 20 and 30% of pregnancies included in the study. Likewise, prevalence</w:t>
      </w:r>
      <w:r w:rsidR="00334BB2" w:rsidRPr="0020759F">
        <w:rPr>
          <w:rFonts w:ascii="Times New Roman" w:hAnsi="Times New Roman"/>
          <w:sz w:val="24"/>
        </w:rPr>
        <w:t xml:space="preserve"> rate</w:t>
      </w:r>
      <w:r w:rsidRPr="0020759F">
        <w:rPr>
          <w:rFonts w:ascii="Times New Roman" w:hAnsi="Times New Roman"/>
          <w:sz w:val="24"/>
        </w:rPr>
        <w:t xml:space="preserve">s in 2016 must be treated with caution since they concern only a few pregnancies (only those </w:t>
      </w:r>
      <w:r w:rsidRPr="0020759F">
        <w:rPr>
          <w:rFonts w:ascii="Times New Roman" w:hAnsi="Times New Roman"/>
          <w:sz w:val="24"/>
        </w:rPr>
        <w:lastRenderedPageBreak/>
        <w:t xml:space="preserve">pregnancies which start in 2016 and finish in 2016). Although they represent a rich source of information, administrative healthcare databases, such as those used here, were not designed to perform research studies. Algorithms had to be used to calculate start and end dates of the pregnancy; consequently, estimations of exposure periods may not be always accurate. </w:t>
      </w:r>
    </w:p>
    <w:p w14:paraId="076C6CAA" w14:textId="77777777" w:rsidR="00445DDF" w:rsidRPr="0020759F" w:rsidRDefault="00445DDF">
      <w:pPr>
        <w:spacing w:line="480" w:lineRule="auto"/>
        <w:jc w:val="both"/>
        <w:rPr>
          <w:rFonts w:ascii="Times New Roman" w:hAnsi="Times New Roman"/>
          <w:sz w:val="24"/>
          <w:lang w:val="en-US"/>
        </w:rPr>
      </w:pPr>
    </w:p>
    <w:p w14:paraId="497710E3" w14:textId="63A71DAC" w:rsidR="003B375C" w:rsidRPr="0020759F" w:rsidRDefault="003B375C" w:rsidP="006A38BD">
      <w:pPr>
        <w:spacing w:line="480" w:lineRule="auto"/>
        <w:jc w:val="both"/>
        <w:rPr>
          <w:rFonts w:ascii="Times New Roman" w:hAnsi="Times New Roman"/>
          <w:sz w:val="24"/>
          <w:lang w:val="en-US"/>
        </w:rPr>
      </w:pPr>
      <w:bookmarkStart w:id="4" w:name="_Hlk16068654"/>
      <w:r w:rsidRPr="0020759F">
        <w:rPr>
          <w:rFonts w:ascii="Times New Roman" w:hAnsi="Times New Roman"/>
          <w:sz w:val="24"/>
          <w:lang w:val="en-US"/>
        </w:rPr>
        <w:t xml:space="preserve">The </w:t>
      </w:r>
      <w:r w:rsidR="00445DDF" w:rsidRPr="0020759F">
        <w:rPr>
          <w:rFonts w:ascii="Times New Roman" w:hAnsi="Times New Roman"/>
          <w:sz w:val="24"/>
          <w:lang w:val="en-US"/>
        </w:rPr>
        <w:t>UK and Fr</w:t>
      </w:r>
      <w:r w:rsidRPr="0020759F">
        <w:rPr>
          <w:rFonts w:ascii="Times New Roman" w:hAnsi="Times New Roman"/>
          <w:sz w:val="24"/>
          <w:lang w:val="en-US"/>
        </w:rPr>
        <w:t>ench</w:t>
      </w:r>
      <w:r w:rsidR="00445DDF" w:rsidRPr="0020759F">
        <w:rPr>
          <w:rFonts w:ascii="Times New Roman" w:hAnsi="Times New Roman"/>
          <w:sz w:val="24"/>
          <w:lang w:val="en-US"/>
        </w:rPr>
        <w:t xml:space="preserve"> databases used in this study are </w:t>
      </w:r>
      <w:r w:rsidR="0042138B" w:rsidRPr="0020759F">
        <w:rPr>
          <w:rFonts w:ascii="Times New Roman" w:hAnsi="Times New Roman"/>
          <w:sz w:val="24"/>
          <w:lang w:val="en-US"/>
        </w:rPr>
        <w:t xml:space="preserve">broadly </w:t>
      </w:r>
      <w:r w:rsidR="00445DDF" w:rsidRPr="0020759F">
        <w:rPr>
          <w:rFonts w:ascii="Times New Roman" w:hAnsi="Times New Roman"/>
          <w:sz w:val="24"/>
          <w:lang w:val="en-US"/>
        </w:rPr>
        <w:t xml:space="preserve">representative samples of the general population of these countries (around 8% of the UK population and around 1% of </w:t>
      </w:r>
      <w:r w:rsidRPr="0020759F">
        <w:rPr>
          <w:rFonts w:ascii="Times New Roman" w:hAnsi="Times New Roman"/>
          <w:sz w:val="24"/>
          <w:lang w:val="en-US"/>
        </w:rPr>
        <w:t xml:space="preserve">the </w:t>
      </w:r>
      <w:r w:rsidR="00445DDF" w:rsidRPr="0020759F">
        <w:rPr>
          <w:rFonts w:ascii="Times New Roman" w:hAnsi="Times New Roman"/>
          <w:sz w:val="24"/>
          <w:lang w:val="en-US"/>
        </w:rPr>
        <w:t xml:space="preserve">French population). </w:t>
      </w:r>
      <w:bookmarkEnd w:id="4"/>
      <w:r w:rsidRPr="0020759F">
        <w:rPr>
          <w:rFonts w:ascii="Times New Roman" w:hAnsi="Times New Roman"/>
          <w:sz w:val="24"/>
          <w:lang w:val="en-US"/>
        </w:rPr>
        <w:t xml:space="preserve">However, in Italy, dispensed prescriptions of 2 different regions only were captured and women included may not be representative of the general Italian population. </w:t>
      </w:r>
    </w:p>
    <w:p w14:paraId="65916363" w14:textId="79BBD611" w:rsidR="00445DDF" w:rsidRPr="0020759F" w:rsidRDefault="00445DDF" w:rsidP="006A38BD">
      <w:pPr>
        <w:spacing w:line="480" w:lineRule="auto"/>
        <w:jc w:val="both"/>
        <w:rPr>
          <w:rFonts w:ascii="Times New Roman" w:hAnsi="Times New Roman"/>
          <w:sz w:val="24"/>
          <w:lang w:val="en-US"/>
        </w:rPr>
      </w:pPr>
      <w:r w:rsidRPr="0020759F">
        <w:rPr>
          <w:rFonts w:ascii="Times New Roman" w:hAnsi="Times New Roman"/>
          <w:sz w:val="24"/>
          <w:lang w:val="en-US"/>
        </w:rPr>
        <w:t xml:space="preserve"> </w:t>
      </w:r>
    </w:p>
    <w:p w14:paraId="159EBE8F" w14:textId="77777777" w:rsidR="00445DDF" w:rsidRPr="0020759F" w:rsidRDefault="00445DDF" w:rsidP="006A38BD">
      <w:pPr>
        <w:spacing w:line="480" w:lineRule="auto"/>
        <w:jc w:val="both"/>
        <w:rPr>
          <w:rFonts w:ascii="Times New Roman" w:hAnsi="Times New Roman"/>
          <w:sz w:val="24"/>
        </w:rPr>
      </w:pPr>
      <w:r w:rsidRPr="0020759F">
        <w:rPr>
          <w:rFonts w:ascii="Times New Roman" w:hAnsi="Times New Roman"/>
          <w:sz w:val="24"/>
          <w:lang w:val="en-US"/>
        </w:rPr>
        <w:t xml:space="preserve">Nevertheless, the major strength of this study is that it concerned </w:t>
      </w:r>
      <w:r w:rsidRPr="0020759F">
        <w:rPr>
          <w:rFonts w:ascii="Times New Roman" w:hAnsi="Times New Roman"/>
          <w:sz w:val="24"/>
        </w:rPr>
        <w:t>more than one million pregnancies</w:t>
      </w:r>
      <w:r w:rsidRPr="0020759F">
        <w:rPr>
          <w:rFonts w:ascii="Times New Roman" w:hAnsi="Times New Roman"/>
          <w:sz w:val="24"/>
          <w:lang w:val="en-US"/>
        </w:rPr>
        <w:t xml:space="preserve"> from 4 European regions allowing patterns of AED prescription during pregnancy to be compared in countries with different </w:t>
      </w:r>
      <w:r w:rsidRPr="0020759F">
        <w:rPr>
          <w:rFonts w:ascii="Times New Roman" w:hAnsi="Times New Roman"/>
          <w:sz w:val="24"/>
        </w:rPr>
        <w:t>guidance on prescribing, recommendations</w:t>
      </w:r>
      <w:r w:rsidRPr="0020759F">
        <w:rPr>
          <w:rFonts w:ascii="Times New Roman" w:hAnsi="Times New Roman"/>
          <w:sz w:val="24"/>
        </w:rPr>
        <w:fldChar w:fldCharType="begin"/>
      </w:r>
      <w:r w:rsidRPr="0020759F">
        <w:rPr>
          <w:rFonts w:ascii="Times New Roman" w:hAnsi="Times New Roman"/>
          <w:sz w:val="24"/>
        </w:rPr>
        <w:instrText xml:space="preserve"> ADDIN ZOTERO_ITEM CSL_CITATION {"citationID":"I8LR0pgK","properties":{"formattedCitation":"\\super 15,17\\nosupersub{}","plainCitation":"15,17","noteIndex":0},"citationItems":[{"id":597,"uris":["http://zotero.org/users/2684309/items/2J7BAEB2"],"uri":["http://zotero.org/users/2684309/items/2J7BAEB2"],"itemData":{"id":597,"type":"webpage","title":"Medicines related to valproate: risk of abnormal pregnancy outcomes","container-title":"GOV.UK","abstract":"Children exposed in utero to valproate are at a high risk of serious developmental disorders (in up to 30-40% of cases) and/or congenital malformations (in approximately 10% of cases).","URL":"https://www.gov.uk/drug-safety-update/medicines-related-to-valproate-risk-of-abnormal-pregnancy-outcomes","title-short":"Medicines related to valproate","language":"en","accessed":{"date-parts":[["2018",7,17]]}},"label":"page"},{"id":1537,"uris":["http://zotero.org/users/2684309/items/C2VUNJ5N"],"uri":["http://zotero.org/users/2684309/items/C2VUNJ5N"],"itemData":{"id":1537,"type":"webpage","title":"Valproate et dérivés : contre-indication pendant la grossesse (sauf situations exceptionnelles) et programme de prévention des grossesses - Lettre aux professionnels de santé - ANSM : Agence nationale de sécurité du médicament et des produits de santé","URL":"https://ansm.sante.fr/S-informer/Informations-de-securite-Lettres-aux-professionnels-de-sante/Valproate-et-derives-contre-indication-pendant-la-grossesse-sauf-situations-exceptionnelles-et-programme-de-prevention-des-grossesses-Lettre-aux-professionnels-de-sante","accessed":{"date-parts":[["2018",10,9]]}},"label":"page"}],"schema":"https://github.com/citation-style-language/schema/raw/master/csl-citation.json"} </w:instrText>
      </w:r>
      <w:r w:rsidRPr="0020759F">
        <w:rPr>
          <w:rFonts w:ascii="Times New Roman" w:hAnsi="Times New Roman"/>
          <w:sz w:val="24"/>
        </w:rPr>
        <w:fldChar w:fldCharType="separate"/>
      </w:r>
      <w:r w:rsidRPr="0020759F">
        <w:rPr>
          <w:rFonts w:ascii="Times New Roman" w:hAnsi="Times New Roman"/>
          <w:sz w:val="24"/>
          <w:szCs w:val="24"/>
          <w:vertAlign w:val="superscript"/>
        </w:rPr>
        <w:t>15,17</w:t>
      </w:r>
      <w:r w:rsidRPr="0020759F">
        <w:rPr>
          <w:rFonts w:ascii="Times New Roman" w:hAnsi="Times New Roman"/>
          <w:sz w:val="24"/>
        </w:rPr>
        <w:fldChar w:fldCharType="end"/>
      </w:r>
      <w:r w:rsidRPr="0020759F">
        <w:rPr>
          <w:rFonts w:ascii="Times New Roman" w:hAnsi="Times New Roman"/>
          <w:sz w:val="24"/>
        </w:rPr>
        <w:t xml:space="preserve"> and lifestyles.  </w:t>
      </w:r>
    </w:p>
    <w:p w14:paraId="06013584" w14:textId="77777777" w:rsidR="00445DDF" w:rsidRPr="0020759F" w:rsidRDefault="00445DDF">
      <w:pPr>
        <w:spacing w:line="480" w:lineRule="auto"/>
        <w:jc w:val="both"/>
        <w:rPr>
          <w:rFonts w:ascii="Times New Roman" w:hAnsi="Times New Roman"/>
          <w:sz w:val="24"/>
        </w:rPr>
      </w:pPr>
    </w:p>
    <w:p w14:paraId="6DE0BDE6" w14:textId="25B36A6A" w:rsidR="00445DDF" w:rsidRPr="00E36849" w:rsidRDefault="00445DDF" w:rsidP="00E36849">
      <w:pPr>
        <w:pStyle w:val="Heading2"/>
        <w:spacing w:line="480" w:lineRule="auto"/>
        <w:rPr>
          <w:color w:val="auto"/>
          <w:lang w:val="en-US"/>
        </w:rPr>
      </w:pPr>
      <w:r w:rsidRPr="0020759F">
        <w:rPr>
          <w:color w:val="auto"/>
          <w:lang w:val="en-US"/>
        </w:rPr>
        <w:t>Future Recommendations</w:t>
      </w:r>
    </w:p>
    <w:p w14:paraId="61E20EEC" w14:textId="77777777" w:rsidR="00445DDF" w:rsidRPr="0020759F" w:rsidRDefault="00445DDF">
      <w:pPr>
        <w:spacing w:line="480" w:lineRule="auto"/>
        <w:jc w:val="both"/>
        <w:rPr>
          <w:rFonts w:ascii="Times New Roman" w:hAnsi="Times New Roman"/>
          <w:sz w:val="24"/>
          <w:lang w:val="en-US"/>
        </w:rPr>
      </w:pPr>
      <w:r w:rsidRPr="0020759F">
        <w:rPr>
          <w:rFonts w:ascii="Times New Roman" w:hAnsi="Times New Roman"/>
          <w:sz w:val="24"/>
          <w:lang w:val="en-US"/>
        </w:rPr>
        <w:t xml:space="preserve">During the </w:t>
      </w:r>
      <w:proofErr w:type="gramStart"/>
      <w:r w:rsidRPr="0020759F">
        <w:rPr>
          <w:rFonts w:ascii="Times New Roman" w:hAnsi="Times New Roman"/>
          <w:sz w:val="24"/>
          <w:lang w:val="en-US"/>
        </w:rPr>
        <w:t>10 year</w:t>
      </w:r>
      <w:proofErr w:type="gramEnd"/>
      <w:r w:rsidRPr="0020759F">
        <w:rPr>
          <w:rFonts w:ascii="Times New Roman" w:hAnsi="Times New Roman"/>
          <w:sz w:val="24"/>
          <w:lang w:val="en-US"/>
        </w:rPr>
        <w:t xml:space="preserve"> period physicians were increasingly drawing on new drugs like pregabalin or gabapentin.  However, risks associated with the use of these drugs during pregnancy are not well-known due to the lack of relevant studies. Further evaluation on their effects during pregnancy is needed.  Until then, healthcare practitioners should limit their prescriptions of pregabalin and gabapentin during pregnancy.</w:t>
      </w:r>
    </w:p>
    <w:p w14:paraId="38636301" w14:textId="77777777" w:rsidR="00445DDF" w:rsidRPr="0020759F" w:rsidRDefault="00445DDF" w:rsidP="00A33547">
      <w:pPr>
        <w:spacing w:line="480" w:lineRule="auto"/>
        <w:jc w:val="both"/>
        <w:rPr>
          <w:rFonts w:ascii="Times New Roman" w:hAnsi="Times New Roman"/>
          <w:sz w:val="24"/>
          <w:lang w:val="en-US"/>
        </w:rPr>
      </w:pPr>
      <w:r w:rsidRPr="0020759F">
        <w:rPr>
          <w:rFonts w:ascii="Times New Roman" w:hAnsi="Times New Roman"/>
          <w:sz w:val="24"/>
          <w:lang w:val="en-US"/>
        </w:rPr>
        <w:t xml:space="preserve">Observed differences in the prevalence of AED exposure, particularly valproate, during pregnancy indicate that information on the risks associated with these exposures </w:t>
      </w:r>
      <w:r w:rsidR="00334BB2" w:rsidRPr="0020759F">
        <w:rPr>
          <w:rFonts w:ascii="Times New Roman" w:hAnsi="Times New Roman"/>
          <w:sz w:val="24"/>
          <w:lang w:val="en-US"/>
        </w:rPr>
        <w:t>should continue</w:t>
      </w:r>
      <w:r w:rsidRPr="0020759F">
        <w:rPr>
          <w:rFonts w:ascii="Times New Roman" w:hAnsi="Times New Roman"/>
          <w:sz w:val="24"/>
          <w:lang w:val="en-US"/>
        </w:rPr>
        <w:t xml:space="preserve"> to be further disseminated to </w:t>
      </w:r>
      <w:r w:rsidR="0039084A" w:rsidRPr="0020759F">
        <w:rPr>
          <w:rFonts w:ascii="Times New Roman" w:hAnsi="Times New Roman"/>
          <w:sz w:val="24"/>
          <w:lang w:val="en-US"/>
        </w:rPr>
        <w:t>reduce</w:t>
      </w:r>
      <w:r w:rsidRPr="0020759F">
        <w:rPr>
          <w:rFonts w:ascii="Times New Roman" w:hAnsi="Times New Roman"/>
          <w:sz w:val="24"/>
          <w:lang w:val="en-US"/>
        </w:rPr>
        <w:t xml:space="preserve"> the exposure levels. </w:t>
      </w:r>
      <w:r w:rsidR="00334BB2" w:rsidRPr="0020759F">
        <w:rPr>
          <w:rFonts w:ascii="Times New Roman" w:hAnsi="Times New Roman"/>
          <w:sz w:val="24"/>
          <w:lang w:val="en-US"/>
        </w:rPr>
        <w:t>Safety information should also highlight that v</w:t>
      </w:r>
      <w:r w:rsidRPr="0020759F">
        <w:rPr>
          <w:rFonts w:ascii="Times New Roman" w:hAnsi="Times New Roman"/>
          <w:sz w:val="24"/>
          <w:lang w:val="en-US"/>
        </w:rPr>
        <w:t xml:space="preserve">alproate is contraindicated for prophylaxis of migraine headaches in </w:t>
      </w:r>
      <w:r w:rsidRPr="0020759F">
        <w:rPr>
          <w:rFonts w:ascii="Times New Roman" w:hAnsi="Times New Roman"/>
          <w:sz w:val="24"/>
          <w:lang w:val="en-US"/>
        </w:rPr>
        <w:lastRenderedPageBreak/>
        <w:t xml:space="preserve">pregnant women and in women of childbearing potential who are not using effective contraception. Valproate should not be used to treat women with epilepsy or bipolar disorder who are pregnant or who plan to become pregnant unless other medications have failed to provide adequate symptom control </w:t>
      </w:r>
      <w:r w:rsidR="00334BB2" w:rsidRPr="0020759F">
        <w:rPr>
          <w:rFonts w:ascii="Times New Roman" w:hAnsi="Times New Roman"/>
          <w:sz w:val="24"/>
          <w:lang w:val="en-US"/>
        </w:rPr>
        <w:t>and a pregnancy prevention plan is in place</w:t>
      </w:r>
      <w:r w:rsidRPr="0020759F">
        <w:rPr>
          <w:rFonts w:ascii="Times New Roman" w:hAnsi="Times New Roman"/>
          <w:sz w:val="24"/>
          <w:lang w:val="en-US"/>
        </w:rPr>
        <w:t>.</w:t>
      </w:r>
    </w:p>
    <w:p w14:paraId="57D9ED16" w14:textId="77777777" w:rsidR="00445DDF" w:rsidRPr="0020759F" w:rsidRDefault="00445DDF">
      <w:pPr>
        <w:spacing w:line="480" w:lineRule="auto"/>
        <w:jc w:val="both"/>
        <w:rPr>
          <w:rFonts w:ascii="Times New Roman" w:hAnsi="Times New Roman"/>
          <w:sz w:val="24"/>
          <w:lang w:val="en-US"/>
        </w:rPr>
      </w:pPr>
    </w:p>
    <w:p w14:paraId="5E694905" w14:textId="77777777" w:rsidR="00445DDF" w:rsidRPr="0020759F" w:rsidRDefault="00445DDF" w:rsidP="001B5602">
      <w:pPr>
        <w:pStyle w:val="Heading2"/>
        <w:spacing w:line="480" w:lineRule="auto"/>
        <w:rPr>
          <w:lang w:val="en-US"/>
        </w:rPr>
      </w:pPr>
      <w:r w:rsidRPr="0020759F">
        <w:rPr>
          <w:color w:val="auto"/>
          <w:lang w:val="en-US"/>
        </w:rPr>
        <w:t xml:space="preserve"> Conclusion</w:t>
      </w:r>
    </w:p>
    <w:p w14:paraId="08233177" w14:textId="34E2B938" w:rsidR="00445DDF" w:rsidRPr="0020759F" w:rsidRDefault="00445DDF" w:rsidP="00B86DE2">
      <w:pPr>
        <w:spacing w:line="480" w:lineRule="auto"/>
        <w:jc w:val="both"/>
        <w:rPr>
          <w:rFonts w:ascii="Times New Roman" w:hAnsi="Times New Roman"/>
          <w:sz w:val="24"/>
          <w:lang w:val="en-US"/>
        </w:rPr>
      </w:pPr>
      <w:r w:rsidRPr="0020759F">
        <w:rPr>
          <w:rFonts w:ascii="Times New Roman" w:hAnsi="Times New Roman"/>
          <w:sz w:val="24"/>
          <w:lang w:val="en-US"/>
        </w:rPr>
        <w:t xml:space="preserve">Although the prevalence of AED prescribing during pregnancy varied between European countries, during the 10 year period, prescriptions </w:t>
      </w:r>
      <w:r w:rsidR="0039084A" w:rsidRPr="0020759F">
        <w:rPr>
          <w:rFonts w:ascii="Times New Roman" w:hAnsi="Times New Roman"/>
          <w:sz w:val="24"/>
          <w:lang w:val="en-US"/>
        </w:rPr>
        <w:t>for</w:t>
      </w:r>
      <w:r w:rsidRPr="0020759F">
        <w:rPr>
          <w:rFonts w:ascii="Times New Roman" w:hAnsi="Times New Roman"/>
          <w:sz w:val="24"/>
          <w:lang w:val="en-US"/>
        </w:rPr>
        <w:t xml:space="preserve"> valproate during pregnancy decreased. However, </w:t>
      </w:r>
      <w:r w:rsidR="00334BB2" w:rsidRPr="0020759F">
        <w:rPr>
          <w:rFonts w:ascii="Times New Roman" w:hAnsi="Times New Roman"/>
          <w:sz w:val="24"/>
          <w:lang w:val="en-US"/>
        </w:rPr>
        <w:t xml:space="preserve">at least </w:t>
      </w:r>
      <w:r w:rsidRPr="0020759F">
        <w:rPr>
          <w:rFonts w:ascii="Times New Roman" w:hAnsi="Times New Roman"/>
          <w:sz w:val="24"/>
          <w:lang w:val="en-US"/>
        </w:rPr>
        <w:t xml:space="preserve">10% of pregnant women </w:t>
      </w:r>
      <w:r w:rsidR="0039084A" w:rsidRPr="0020759F">
        <w:rPr>
          <w:rFonts w:ascii="Times New Roman" w:hAnsi="Times New Roman"/>
          <w:sz w:val="24"/>
          <w:lang w:val="en-US"/>
        </w:rPr>
        <w:t xml:space="preserve">receiving an AED prescription </w:t>
      </w:r>
      <w:r w:rsidR="00334BB2" w:rsidRPr="0020759F">
        <w:rPr>
          <w:rFonts w:ascii="Times New Roman" w:hAnsi="Times New Roman"/>
          <w:sz w:val="24"/>
          <w:lang w:val="en-US"/>
        </w:rPr>
        <w:t xml:space="preserve">in the study were </w:t>
      </w:r>
      <w:r w:rsidR="0039084A" w:rsidRPr="0020759F">
        <w:rPr>
          <w:rFonts w:ascii="Times New Roman" w:hAnsi="Times New Roman"/>
          <w:sz w:val="24"/>
          <w:lang w:val="en-US"/>
        </w:rPr>
        <w:t>prescribed</w:t>
      </w:r>
      <w:r w:rsidR="00334BB2" w:rsidRPr="0020759F">
        <w:rPr>
          <w:rFonts w:ascii="Times New Roman" w:hAnsi="Times New Roman"/>
          <w:sz w:val="24"/>
          <w:lang w:val="en-US"/>
        </w:rPr>
        <w:t xml:space="preserve"> valproate, hence </w:t>
      </w:r>
      <w:r w:rsidRPr="0020759F">
        <w:rPr>
          <w:rFonts w:ascii="Times New Roman" w:hAnsi="Times New Roman"/>
          <w:sz w:val="24"/>
          <w:lang w:val="en-US"/>
        </w:rPr>
        <w:t xml:space="preserve">there is further potential for reduction. At the same time, </w:t>
      </w:r>
      <w:r w:rsidR="00334BB2" w:rsidRPr="0020759F">
        <w:rPr>
          <w:rFonts w:ascii="Times New Roman" w:hAnsi="Times New Roman"/>
          <w:sz w:val="24"/>
          <w:lang w:val="en-US"/>
        </w:rPr>
        <w:t>AED</w:t>
      </w:r>
      <w:r w:rsidRPr="0020759F">
        <w:rPr>
          <w:rFonts w:ascii="Times New Roman" w:hAnsi="Times New Roman"/>
          <w:sz w:val="24"/>
          <w:lang w:val="en-US"/>
        </w:rPr>
        <w:t xml:space="preserve"> prescriptions </w:t>
      </w:r>
      <w:r w:rsidR="00334BB2" w:rsidRPr="0020759F">
        <w:rPr>
          <w:rFonts w:ascii="Times New Roman" w:hAnsi="Times New Roman"/>
          <w:sz w:val="24"/>
          <w:lang w:val="en-US"/>
        </w:rPr>
        <w:t xml:space="preserve">for pregabalin and gabapentin, </w:t>
      </w:r>
      <w:r w:rsidRPr="0020759F">
        <w:rPr>
          <w:rFonts w:ascii="Times New Roman" w:hAnsi="Times New Roman"/>
          <w:sz w:val="24"/>
          <w:lang w:val="en-US"/>
        </w:rPr>
        <w:t xml:space="preserve">for which risks for the embryo </w:t>
      </w:r>
      <w:r w:rsidR="00334BB2" w:rsidRPr="0020759F">
        <w:rPr>
          <w:rFonts w:ascii="Times New Roman" w:hAnsi="Times New Roman"/>
          <w:sz w:val="24"/>
          <w:lang w:val="en-US"/>
        </w:rPr>
        <w:t>or the fetus are not well-known</w:t>
      </w:r>
      <w:r w:rsidR="008409FD" w:rsidRPr="0020759F">
        <w:rPr>
          <w:rFonts w:ascii="Times New Roman" w:hAnsi="Times New Roman"/>
          <w:sz w:val="24"/>
          <w:lang w:val="en-US"/>
        </w:rPr>
        <w:t>,</w:t>
      </w:r>
      <w:r w:rsidR="00334BB2" w:rsidRPr="0020759F">
        <w:rPr>
          <w:rFonts w:ascii="Times New Roman" w:hAnsi="Times New Roman"/>
          <w:sz w:val="24"/>
          <w:lang w:val="en-US"/>
        </w:rPr>
        <w:t xml:space="preserve"> </w:t>
      </w:r>
      <w:r w:rsidRPr="0020759F">
        <w:rPr>
          <w:rFonts w:ascii="Times New Roman" w:hAnsi="Times New Roman"/>
          <w:sz w:val="24"/>
          <w:lang w:val="en-US"/>
        </w:rPr>
        <w:t xml:space="preserve">increased. Information on risks associated with exposure to valproate during pregnancy should continue to be widely </w:t>
      </w:r>
      <w:r w:rsidR="00334BB2" w:rsidRPr="0020759F">
        <w:rPr>
          <w:rFonts w:ascii="Times New Roman" w:hAnsi="Times New Roman"/>
          <w:sz w:val="24"/>
          <w:lang w:val="en-US"/>
        </w:rPr>
        <w:t xml:space="preserve">circulated to health care providers, </w:t>
      </w:r>
      <w:r w:rsidRPr="0020759F">
        <w:rPr>
          <w:rFonts w:ascii="Times New Roman" w:hAnsi="Times New Roman"/>
          <w:sz w:val="24"/>
          <w:lang w:val="en-US"/>
        </w:rPr>
        <w:t>and studies on potential alternative medications should be promptly conducted.</w:t>
      </w:r>
    </w:p>
    <w:p w14:paraId="492D643E" w14:textId="77777777" w:rsidR="00445DDF" w:rsidRPr="0020759F" w:rsidRDefault="00445DDF">
      <w:pPr>
        <w:spacing w:line="480" w:lineRule="auto"/>
        <w:jc w:val="both"/>
        <w:rPr>
          <w:rFonts w:ascii="Times New Roman" w:hAnsi="Times New Roman"/>
          <w:sz w:val="24"/>
          <w:lang w:val="en-US"/>
        </w:rPr>
      </w:pPr>
    </w:p>
    <w:p w14:paraId="6D6B7956" w14:textId="77777777" w:rsidR="00445DDF" w:rsidRPr="0020759F" w:rsidRDefault="00445DDF">
      <w:pPr>
        <w:spacing w:before="100" w:beforeAutospacing="1" w:after="100" w:afterAutospacing="1" w:line="480" w:lineRule="auto"/>
        <w:rPr>
          <w:rFonts w:ascii="Times New Roman" w:hAnsi="Times New Roman"/>
          <w:sz w:val="24"/>
          <w:szCs w:val="24"/>
          <w:lang w:val="en-US" w:eastAsia="fr-FR"/>
        </w:rPr>
      </w:pPr>
      <w:r w:rsidRPr="0020759F">
        <w:rPr>
          <w:rFonts w:ascii="Times New Roman" w:hAnsi="Times New Roman"/>
          <w:sz w:val="24"/>
          <w:szCs w:val="24"/>
          <w:lang w:val="en-US" w:eastAsia="fr-FR"/>
        </w:rPr>
        <w:t> </w:t>
      </w:r>
    </w:p>
    <w:p w14:paraId="0C7D2DB1" w14:textId="77777777" w:rsidR="00E36849" w:rsidRDefault="00445DDF" w:rsidP="00E36849">
      <w:pPr>
        <w:spacing w:before="100" w:beforeAutospacing="1" w:after="100" w:afterAutospacing="1" w:line="480" w:lineRule="auto"/>
        <w:rPr>
          <w:rFonts w:ascii="Times New Roman" w:hAnsi="Times New Roman"/>
          <w:sz w:val="24"/>
          <w:szCs w:val="24"/>
          <w:lang w:val="en-US" w:eastAsia="fr-FR"/>
        </w:rPr>
      </w:pPr>
      <w:r w:rsidRPr="0020759F">
        <w:rPr>
          <w:rFonts w:ascii="Times New Roman" w:hAnsi="Times New Roman"/>
          <w:b/>
          <w:bCs/>
          <w:sz w:val="24"/>
          <w:szCs w:val="24"/>
          <w:lang w:val="en-US" w:eastAsia="fr-FR"/>
        </w:rPr>
        <w:t>ACKNOWLEDGEMENTS</w:t>
      </w:r>
    </w:p>
    <w:p w14:paraId="4F09178C" w14:textId="5D61D033" w:rsidR="00445DDF" w:rsidRPr="0020759F" w:rsidRDefault="00445DDF" w:rsidP="00E36849">
      <w:pPr>
        <w:spacing w:before="100" w:beforeAutospacing="1" w:after="100" w:afterAutospacing="1" w:line="480" w:lineRule="auto"/>
        <w:rPr>
          <w:rFonts w:ascii="Times New Roman" w:hAnsi="Times New Roman"/>
          <w:sz w:val="24"/>
          <w:szCs w:val="24"/>
          <w:lang w:val="en-US" w:eastAsia="fr-FR"/>
        </w:rPr>
      </w:pPr>
      <w:r w:rsidRPr="0020759F">
        <w:rPr>
          <w:rFonts w:ascii="Times New Roman" w:hAnsi="Times New Roman"/>
          <w:sz w:val="24"/>
          <w:szCs w:val="24"/>
          <w:lang w:val="en-US" w:eastAsia="fr-FR"/>
        </w:rPr>
        <w:t xml:space="preserve">The authors are very grateful for the input in the study design and analysis from the other members of the </w:t>
      </w:r>
      <w:proofErr w:type="spellStart"/>
      <w:r w:rsidRPr="0020759F">
        <w:rPr>
          <w:rFonts w:ascii="Times New Roman" w:hAnsi="Times New Roman"/>
          <w:sz w:val="24"/>
          <w:szCs w:val="24"/>
          <w:lang w:val="en-US" w:eastAsia="fr-FR"/>
        </w:rPr>
        <w:t>EUROmediSAFE</w:t>
      </w:r>
      <w:proofErr w:type="spellEnd"/>
      <w:r w:rsidRPr="0020759F">
        <w:rPr>
          <w:rFonts w:ascii="Times New Roman" w:hAnsi="Times New Roman"/>
          <w:sz w:val="24"/>
          <w:szCs w:val="24"/>
          <w:lang w:val="en-US" w:eastAsia="fr-FR"/>
        </w:rPr>
        <w:t xml:space="preserve"> consortium: Dr Vera </w:t>
      </w:r>
      <w:proofErr w:type="spellStart"/>
      <w:r w:rsidRPr="0020759F">
        <w:rPr>
          <w:rFonts w:ascii="Times New Roman" w:hAnsi="Times New Roman"/>
          <w:sz w:val="24"/>
          <w:szCs w:val="24"/>
          <w:lang w:val="en-US" w:eastAsia="fr-FR"/>
        </w:rPr>
        <w:t>Nelen</w:t>
      </w:r>
      <w:proofErr w:type="spellEnd"/>
      <w:r w:rsidRPr="0020759F">
        <w:rPr>
          <w:rFonts w:ascii="Times New Roman" w:hAnsi="Times New Roman"/>
          <w:sz w:val="24"/>
          <w:szCs w:val="24"/>
          <w:lang w:val="en-US" w:eastAsia="fr-FR"/>
        </w:rPr>
        <w:t xml:space="preserve">, Dr Els Van de </w:t>
      </w:r>
      <w:proofErr w:type="spellStart"/>
      <w:r w:rsidRPr="0020759F">
        <w:rPr>
          <w:rFonts w:ascii="Times New Roman" w:hAnsi="Times New Roman"/>
          <w:sz w:val="24"/>
          <w:szCs w:val="24"/>
          <w:lang w:val="en-US" w:eastAsia="fr-FR"/>
        </w:rPr>
        <w:t>Mieroop</w:t>
      </w:r>
      <w:proofErr w:type="spellEnd"/>
      <w:r w:rsidRPr="0020759F">
        <w:rPr>
          <w:rFonts w:ascii="Times New Roman" w:hAnsi="Times New Roman"/>
          <w:sz w:val="24"/>
          <w:szCs w:val="24"/>
          <w:lang w:val="en-US" w:eastAsia="fr-FR"/>
        </w:rPr>
        <w:t xml:space="preserve">, Dr Babak </w:t>
      </w:r>
      <w:proofErr w:type="spellStart"/>
      <w:r w:rsidRPr="0020759F">
        <w:rPr>
          <w:rFonts w:ascii="Times New Roman" w:hAnsi="Times New Roman"/>
          <w:sz w:val="24"/>
          <w:szCs w:val="24"/>
          <w:lang w:val="en-US" w:eastAsia="fr-FR"/>
        </w:rPr>
        <w:t>Khoshnood</w:t>
      </w:r>
      <w:proofErr w:type="spellEnd"/>
      <w:r w:rsidRPr="0020759F">
        <w:rPr>
          <w:rFonts w:ascii="Times New Roman" w:hAnsi="Times New Roman"/>
          <w:sz w:val="24"/>
          <w:szCs w:val="24"/>
          <w:lang w:val="en-US" w:eastAsia="fr-FR"/>
        </w:rPr>
        <w:t xml:space="preserve">, Dr Pascale </w:t>
      </w:r>
      <w:proofErr w:type="spellStart"/>
      <w:r w:rsidRPr="0020759F">
        <w:rPr>
          <w:rFonts w:ascii="Times New Roman" w:hAnsi="Times New Roman"/>
          <w:sz w:val="24"/>
          <w:szCs w:val="24"/>
          <w:lang w:val="en-US" w:eastAsia="fr-FR"/>
        </w:rPr>
        <w:t>Tubert</w:t>
      </w:r>
      <w:proofErr w:type="spellEnd"/>
      <w:r w:rsidRPr="0020759F">
        <w:rPr>
          <w:rFonts w:ascii="Times New Roman" w:hAnsi="Times New Roman"/>
          <w:sz w:val="24"/>
          <w:szCs w:val="24"/>
          <w:lang w:val="en-US" w:eastAsia="fr-FR"/>
        </w:rPr>
        <w:t xml:space="preserve">-Bitter, Dr Nathalie </w:t>
      </w:r>
      <w:proofErr w:type="spellStart"/>
      <w:r w:rsidRPr="0020759F">
        <w:rPr>
          <w:rFonts w:ascii="Times New Roman" w:hAnsi="Times New Roman"/>
          <w:sz w:val="24"/>
          <w:szCs w:val="24"/>
          <w:lang w:val="en-US" w:eastAsia="fr-FR"/>
        </w:rPr>
        <w:t>Lelong</w:t>
      </w:r>
      <w:proofErr w:type="spellEnd"/>
      <w:r w:rsidRPr="0020759F">
        <w:rPr>
          <w:rFonts w:ascii="Times New Roman" w:hAnsi="Times New Roman"/>
          <w:sz w:val="24"/>
          <w:szCs w:val="24"/>
          <w:lang w:val="en-US" w:eastAsia="fr-FR"/>
        </w:rPr>
        <w:t xml:space="preserve">, Dr </w:t>
      </w:r>
      <w:proofErr w:type="spellStart"/>
      <w:r w:rsidRPr="0020759F">
        <w:rPr>
          <w:rFonts w:ascii="Times New Roman" w:hAnsi="Times New Roman"/>
          <w:sz w:val="24"/>
          <w:szCs w:val="24"/>
          <w:lang w:val="en-US" w:eastAsia="fr-FR"/>
        </w:rPr>
        <w:t>Anke</w:t>
      </w:r>
      <w:proofErr w:type="spellEnd"/>
      <w:r w:rsidRPr="0020759F">
        <w:rPr>
          <w:rFonts w:ascii="Times New Roman" w:hAnsi="Times New Roman"/>
          <w:sz w:val="24"/>
          <w:szCs w:val="24"/>
          <w:lang w:val="en-US" w:eastAsia="fr-FR"/>
        </w:rPr>
        <w:t xml:space="preserve"> </w:t>
      </w:r>
      <w:proofErr w:type="spellStart"/>
      <w:r w:rsidRPr="0020759F">
        <w:rPr>
          <w:rFonts w:ascii="Times New Roman" w:hAnsi="Times New Roman"/>
          <w:sz w:val="24"/>
          <w:szCs w:val="24"/>
          <w:lang w:val="en-US" w:eastAsia="fr-FR"/>
        </w:rPr>
        <w:t>Rissmann</w:t>
      </w:r>
      <w:proofErr w:type="spellEnd"/>
      <w:r w:rsidRPr="0020759F">
        <w:rPr>
          <w:rFonts w:ascii="Times New Roman" w:hAnsi="Times New Roman"/>
          <w:sz w:val="24"/>
          <w:szCs w:val="24"/>
          <w:lang w:val="en-US" w:eastAsia="fr-FR"/>
        </w:rPr>
        <w:t xml:space="preserve">, Dr </w:t>
      </w:r>
      <w:proofErr w:type="spellStart"/>
      <w:r w:rsidRPr="0020759F">
        <w:rPr>
          <w:rFonts w:ascii="Times New Roman" w:hAnsi="Times New Roman"/>
          <w:sz w:val="24"/>
          <w:szCs w:val="24"/>
          <w:lang w:val="en-US" w:eastAsia="fr-FR"/>
        </w:rPr>
        <w:t>Jorieke</w:t>
      </w:r>
      <w:proofErr w:type="spellEnd"/>
      <w:r w:rsidRPr="0020759F">
        <w:rPr>
          <w:rFonts w:ascii="Times New Roman" w:hAnsi="Times New Roman"/>
          <w:sz w:val="24"/>
          <w:szCs w:val="24"/>
          <w:lang w:val="en-US" w:eastAsia="fr-FR"/>
        </w:rPr>
        <w:t xml:space="preserve"> van </w:t>
      </w:r>
      <w:proofErr w:type="spellStart"/>
      <w:r w:rsidRPr="0020759F">
        <w:rPr>
          <w:rFonts w:ascii="Times New Roman" w:hAnsi="Times New Roman"/>
          <w:sz w:val="24"/>
          <w:szCs w:val="24"/>
          <w:lang w:val="en-US" w:eastAsia="fr-FR"/>
        </w:rPr>
        <w:t>Kammen</w:t>
      </w:r>
      <w:proofErr w:type="spellEnd"/>
      <w:r w:rsidRPr="0020759F">
        <w:rPr>
          <w:rFonts w:ascii="Times New Roman" w:hAnsi="Times New Roman"/>
          <w:sz w:val="24"/>
          <w:szCs w:val="24"/>
          <w:lang w:val="en-US" w:eastAsia="fr-FR"/>
        </w:rPr>
        <w:t xml:space="preserve">-Bergman, Dr Jen Bos, Prof Sue Jordan, Prof Helen </w:t>
      </w:r>
      <w:proofErr w:type="spellStart"/>
      <w:r w:rsidRPr="0020759F">
        <w:rPr>
          <w:rFonts w:ascii="Times New Roman" w:hAnsi="Times New Roman"/>
          <w:sz w:val="24"/>
          <w:szCs w:val="24"/>
          <w:lang w:val="en-US" w:eastAsia="fr-FR"/>
        </w:rPr>
        <w:t>Dolk</w:t>
      </w:r>
      <w:proofErr w:type="spellEnd"/>
      <w:r w:rsidRPr="0020759F">
        <w:rPr>
          <w:rFonts w:ascii="Times New Roman" w:hAnsi="Times New Roman"/>
          <w:sz w:val="24"/>
          <w:szCs w:val="24"/>
          <w:lang w:val="en-US" w:eastAsia="fr-FR"/>
        </w:rPr>
        <w:t xml:space="preserve"> and Prof Marlene Sinclair and from Dr Anita </w:t>
      </w:r>
      <w:proofErr w:type="spellStart"/>
      <w:r w:rsidRPr="0020759F">
        <w:rPr>
          <w:rFonts w:ascii="Times New Roman" w:hAnsi="Times New Roman"/>
          <w:sz w:val="24"/>
          <w:szCs w:val="24"/>
          <w:lang w:val="en-US" w:eastAsia="fr-FR"/>
        </w:rPr>
        <w:t>McGrogan</w:t>
      </w:r>
      <w:proofErr w:type="spellEnd"/>
      <w:r w:rsidRPr="0020759F">
        <w:rPr>
          <w:rFonts w:ascii="Times New Roman" w:hAnsi="Times New Roman"/>
          <w:sz w:val="24"/>
          <w:szCs w:val="24"/>
          <w:lang w:val="en-US" w:eastAsia="fr-FR"/>
        </w:rPr>
        <w:t>.</w:t>
      </w:r>
    </w:p>
    <w:p w14:paraId="2AD92FED" w14:textId="566D8FFD" w:rsidR="00445DDF" w:rsidRPr="0020759F" w:rsidRDefault="00445DDF" w:rsidP="00E36849">
      <w:pPr>
        <w:spacing w:before="100" w:beforeAutospacing="1" w:after="100" w:afterAutospacing="1" w:line="480" w:lineRule="auto"/>
        <w:rPr>
          <w:rFonts w:ascii="Times New Roman" w:hAnsi="Times New Roman"/>
          <w:sz w:val="24"/>
          <w:szCs w:val="24"/>
          <w:lang w:val="en-US" w:eastAsia="fr-FR"/>
        </w:rPr>
      </w:pPr>
      <w:r w:rsidRPr="0020759F">
        <w:rPr>
          <w:rFonts w:ascii="Times New Roman" w:hAnsi="Times New Roman"/>
          <w:b/>
          <w:bCs/>
          <w:sz w:val="24"/>
          <w:szCs w:val="24"/>
          <w:lang w:val="en-US" w:eastAsia="fr-FR"/>
        </w:rPr>
        <w:t> </w:t>
      </w:r>
      <w:r w:rsidR="00E36849">
        <w:rPr>
          <w:rFonts w:ascii="Times New Roman" w:hAnsi="Times New Roman"/>
          <w:b/>
          <w:bCs/>
          <w:sz w:val="24"/>
          <w:szCs w:val="24"/>
          <w:lang w:val="en-US" w:eastAsia="fr-FR"/>
        </w:rPr>
        <w:br w:type="page"/>
      </w:r>
      <w:r w:rsidRPr="0020759F">
        <w:rPr>
          <w:rFonts w:ascii="Times New Roman" w:hAnsi="Times New Roman"/>
          <w:b/>
          <w:bCs/>
          <w:sz w:val="24"/>
          <w:szCs w:val="24"/>
          <w:lang w:val="en-US" w:eastAsia="fr-FR"/>
        </w:rPr>
        <w:lastRenderedPageBreak/>
        <w:t>CONFLICTS OF INTEREST</w:t>
      </w:r>
    </w:p>
    <w:p w14:paraId="6910574F" w14:textId="77777777" w:rsidR="00445DDF" w:rsidRPr="0020759F" w:rsidRDefault="00445DDF">
      <w:pPr>
        <w:spacing w:before="100" w:beforeAutospacing="1" w:after="100" w:afterAutospacing="1" w:line="480" w:lineRule="auto"/>
        <w:jc w:val="both"/>
        <w:rPr>
          <w:rFonts w:ascii="Times New Roman" w:hAnsi="Times New Roman"/>
          <w:sz w:val="24"/>
          <w:szCs w:val="24"/>
          <w:lang w:val="en-US" w:eastAsia="fr-FR"/>
        </w:rPr>
      </w:pPr>
      <w:r w:rsidRPr="0020759F">
        <w:rPr>
          <w:rFonts w:ascii="Times New Roman" w:hAnsi="Times New Roman"/>
          <w:sz w:val="24"/>
          <w:szCs w:val="24"/>
          <w:lang w:val="en-US" w:eastAsia="fr-FR"/>
        </w:rPr>
        <w:t>This document expresses the opinion of the authors of the paper, and may not be understood or quoted as being made on behalf or of reflecting the position of the European Medicines Agency or one of its committees or working parties.</w:t>
      </w:r>
    </w:p>
    <w:p w14:paraId="32F26517" w14:textId="77777777" w:rsidR="00445DDF" w:rsidRPr="0020759F" w:rsidRDefault="00445DDF">
      <w:pPr>
        <w:spacing w:after="160" w:line="480" w:lineRule="auto"/>
      </w:pPr>
      <w:r w:rsidRPr="0020759F">
        <w:rPr>
          <w:rFonts w:ascii="Times New Roman" w:hAnsi="Times New Roman"/>
          <w:b/>
          <w:bCs/>
          <w:sz w:val="24"/>
          <w:szCs w:val="24"/>
          <w:lang w:val="en-US" w:eastAsia="fr-FR"/>
        </w:rPr>
        <w:t>FUNDING</w:t>
      </w:r>
    </w:p>
    <w:p w14:paraId="181CF2B5" w14:textId="77777777" w:rsidR="00445DDF" w:rsidRPr="0020759F" w:rsidRDefault="00445DDF">
      <w:pPr>
        <w:spacing w:before="100" w:beforeAutospacing="1" w:after="100" w:afterAutospacing="1" w:line="480" w:lineRule="auto"/>
        <w:jc w:val="both"/>
        <w:rPr>
          <w:rFonts w:ascii="Times New Roman" w:hAnsi="Times New Roman"/>
          <w:sz w:val="24"/>
          <w:szCs w:val="24"/>
          <w:lang w:val="en-US" w:eastAsia="fr-FR"/>
        </w:rPr>
      </w:pPr>
      <w:r w:rsidRPr="0020759F">
        <w:rPr>
          <w:rFonts w:ascii="Times New Roman" w:hAnsi="Times New Roman"/>
          <w:sz w:val="24"/>
          <w:szCs w:val="24"/>
          <w:lang w:val="en-US" w:eastAsia="fr-FR"/>
        </w:rPr>
        <w:t>This work was supported by the European Medicines Agency (EMA) grant number EMA/2015/25/PH.</w:t>
      </w:r>
    </w:p>
    <w:p w14:paraId="2997CAF1" w14:textId="77777777" w:rsidR="00445DDF" w:rsidRPr="0020759F" w:rsidRDefault="00445DDF">
      <w:pPr>
        <w:spacing w:before="100" w:beforeAutospacing="1" w:after="100" w:afterAutospacing="1" w:line="480" w:lineRule="auto"/>
        <w:rPr>
          <w:rFonts w:ascii="Times New Roman" w:hAnsi="Times New Roman"/>
          <w:sz w:val="24"/>
          <w:szCs w:val="24"/>
          <w:lang w:val="en-US" w:eastAsia="fr-FR"/>
        </w:rPr>
      </w:pPr>
      <w:r w:rsidRPr="0020759F">
        <w:rPr>
          <w:rFonts w:ascii="Times New Roman" w:hAnsi="Times New Roman"/>
          <w:b/>
          <w:bCs/>
          <w:sz w:val="24"/>
          <w:szCs w:val="24"/>
          <w:lang w:val="en-US" w:eastAsia="fr-FR"/>
        </w:rPr>
        <w:t>AUTHOR CONTRIBUTION</w:t>
      </w:r>
    </w:p>
    <w:p w14:paraId="3F515A70" w14:textId="77777777" w:rsidR="00445DDF" w:rsidRPr="0020759F" w:rsidRDefault="00445DDF">
      <w:pPr>
        <w:spacing w:before="100" w:beforeAutospacing="1" w:after="100" w:afterAutospacing="1" w:line="480" w:lineRule="auto"/>
        <w:jc w:val="both"/>
        <w:rPr>
          <w:rFonts w:ascii="Times New Roman" w:hAnsi="Times New Roman"/>
          <w:sz w:val="24"/>
          <w:szCs w:val="24"/>
          <w:lang w:val="en-US" w:eastAsia="fr-FR"/>
        </w:rPr>
      </w:pPr>
      <w:r w:rsidRPr="0020759F">
        <w:rPr>
          <w:rFonts w:ascii="Times New Roman" w:hAnsi="Times New Roman"/>
          <w:sz w:val="24"/>
          <w:szCs w:val="24"/>
          <w:lang w:val="en-US" w:eastAsia="fr-FR"/>
        </w:rPr>
        <w:t xml:space="preserve">Rachel Charlton and Julia Snowball performed the analysis in the UK, Caroline Hurault-Delarue in France, Rosa Gini in Tuscany (Italy) and Aurora Puccini in Emilia Romagna (Italy). Rachel Charlton and Joan K Morris coordinated the project, wrote the protocol, collected and interpreted the results; they wrote the study report. Caroline Hurault-Delarue and Joan K Morris wrote the manuscript with support from Christine </w:t>
      </w:r>
      <w:proofErr w:type="spellStart"/>
      <w:r w:rsidRPr="0020759F">
        <w:rPr>
          <w:rFonts w:ascii="Times New Roman" w:hAnsi="Times New Roman"/>
          <w:sz w:val="24"/>
          <w:szCs w:val="24"/>
          <w:lang w:val="en-US" w:eastAsia="fr-FR"/>
        </w:rPr>
        <w:t>Damase</w:t>
      </w:r>
      <w:proofErr w:type="spellEnd"/>
      <w:r w:rsidRPr="0020759F">
        <w:rPr>
          <w:rFonts w:ascii="Times New Roman" w:hAnsi="Times New Roman"/>
          <w:sz w:val="24"/>
          <w:szCs w:val="24"/>
          <w:lang w:val="en-US" w:eastAsia="fr-FR"/>
        </w:rPr>
        <w:t>-Michel. All authors discussed the protocol and the results and commented on the final manuscript.</w:t>
      </w:r>
    </w:p>
    <w:p w14:paraId="2F076131" w14:textId="77777777" w:rsidR="00445DDF" w:rsidRPr="0020759F" w:rsidRDefault="00445DDF">
      <w:pPr>
        <w:spacing w:before="100" w:beforeAutospacing="1" w:after="100" w:afterAutospacing="1" w:line="480" w:lineRule="auto"/>
        <w:jc w:val="both"/>
        <w:rPr>
          <w:rFonts w:ascii="Times New Roman" w:hAnsi="Times New Roman"/>
          <w:sz w:val="24"/>
          <w:szCs w:val="24"/>
          <w:lang w:val="en-US" w:eastAsia="fr-FR"/>
        </w:rPr>
      </w:pPr>
    </w:p>
    <w:p w14:paraId="49285ADC" w14:textId="77777777" w:rsidR="00445DDF" w:rsidRPr="0020759F" w:rsidRDefault="00445DDF" w:rsidP="00F14219">
      <w:pPr>
        <w:spacing w:line="480" w:lineRule="auto"/>
        <w:rPr>
          <w:rFonts w:ascii="Times New Roman" w:hAnsi="Times New Roman"/>
          <w:b/>
          <w:sz w:val="24"/>
          <w:szCs w:val="24"/>
        </w:rPr>
      </w:pPr>
      <w:r w:rsidRPr="0020759F">
        <w:rPr>
          <w:rFonts w:ascii="Times New Roman" w:hAnsi="Times New Roman"/>
          <w:b/>
          <w:sz w:val="24"/>
          <w:szCs w:val="24"/>
        </w:rPr>
        <w:t>AVAILABILITY OF DATA AND MATERIAL</w:t>
      </w:r>
    </w:p>
    <w:p w14:paraId="2C327D65" w14:textId="77777777" w:rsidR="00445DDF" w:rsidRPr="0020759F" w:rsidRDefault="00445DDF" w:rsidP="00F14219">
      <w:pPr>
        <w:spacing w:line="480" w:lineRule="auto"/>
        <w:rPr>
          <w:rFonts w:ascii="Times New Roman" w:hAnsi="Times New Roman"/>
          <w:sz w:val="24"/>
          <w:szCs w:val="24"/>
        </w:rPr>
      </w:pPr>
      <w:r w:rsidRPr="0020759F">
        <w:rPr>
          <w:rFonts w:ascii="Times New Roman" w:hAnsi="Times New Roman"/>
          <w:sz w:val="24"/>
          <w:szCs w:val="24"/>
        </w:rPr>
        <w:t>The authors are willing to consider reasonable requests for access to the aggregate data used in the analysis in this paper.</w:t>
      </w:r>
    </w:p>
    <w:p w14:paraId="54E0CF46" w14:textId="77777777" w:rsidR="00445DDF" w:rsidRPr="0020759F" w:rsidRDefault="00445DDF" w:rsidP="00F14219">
      <w:pPr>
        <w:spacing w:line="480" w:lineRule="auto"/>
        <w:rPr>
          <w:b/>
          <w:lang w:val="en-US"/>
        </w:rPr>
      </w:pPr>
    </w:p>
    <w:p w14:paraId="4F7C852C" w14:textId="77777777" w:rsidR="00445DDF" w:rsidRPr="0020759F" w:rsidRDefault="00445DDF" w:rsidP="00F14219">
      <w:pPr>
        <w:spacing w:line="480" w:lineRule="auto"/>
        <w:rPr>
          <w:b/>
          <w:lang w:val="en-US"/>
        </w:rPr>
      </w:pPr>
    </w:p>
    <w:p w14:paraId="770DD388" w14:textId="77777777" w:rsidR="00445DDF" w:rsidRPr="0020759F" w:rsidRDefault="00445DDF" w:rsidP="00F14219">
      <w:pPr>
        <w:spacing w:line="480" w:lineRule="auto"/>
        <w:rPr>
          <w:b/>
          <w:lang w:val="en-US"/>
        </w:rPr>
      </w:pPr>
    </w:p>
    <w:p w14:paraId="6878ED7B" w14:textId="77777777" w:rsidR="00445DDF" w:rsidRPr="0020759F" w:rsidRDefault="00445DDF">
      <w:pPr>
        <w:spacing w:after="200" w:line="276" w:lineRule="auto"/>
        <w:rPr>
          <w:rFonts w:ascii="Cambria" w:hAnsi="Cambria"/>
          <w:b/>
          <w:bCs/>
          <w:sz w:val="28"/>
          <w:szCs w:val="28"/>
          <w:lang w:val="en-US"/>
        </w:rPr>
      </w:pPr>
      <w:r w:rsidRPr="0020759F">
        <w:rPr>
          <w:lang w:val="en-US"/>
        </w:rPr>
        <w:br w:type="page"/>
      </w:r>
    </w:p>
    <w:p w14:paraId="023B893D" w14:textId="77777777" w:rsidR="00445DDF" w:rsidRPr="0020759F" w:rsidRDefault="00445DDF" w:rsidP="00F14219">
      <w:pPr>
        <w:pStyle w:val="Heading1"/>
        <w:spacing w:line="480" w:lineRule="auto"/>
        <w:rPr>
          <w:color w:val="auto"/>
          <w:lang w:val="fr-FR"/>
        </w:rPr>
      </w:pPr>
      <w:r w:rsidRPr="0020759F">
        <w:rPr>
          <w:color w:val="auto"/>
          <w:lang w:val="fr-FR"/>
        </w:rPr>
        <w:lastRenderedPageBreak/>
        <w:t>REFERENCES</w:t>
      </w:r>
    </w:p>
    <w:p w14:paraId="410C9ECF" w14:textId="77777777" w:rsidR="00445DDF" w:rsidRPr="0020759F" w:rsidRDefault="00445DDF" w:rsidP="00F14219">
      <w:pPr>
        <w:spacing w:line="480" w:lineRule="auto"/>
        <w:rPr>
          <w:lang w:val="fr-FR"/>
        </w:rPr>
      </w:pPr>
    </w:p>
    <w:p w14:paraId="1C354724" w14:textId="77777777" w:rsidR="00445DDF" w:rsidRPr="0020759F" w:rsidRDefault="00445DDF" w:rsidP="001B5602">
      <w:pPr>
        <w:pStyle w:val="Bibliography"/>
        <w:rPr>
          <w:sz w:val="24"/>
        </w:rPr>
      </w:pPr>
      <w:r w:rsidRPr="0020759F">
        <w:fldChar w:fldCharType="begin"/>
      </w:r>
      <w:r w:rsidRPr="0020759F">
        <w:rPr>
          <w:lang w:val="fr-FR"/>
        </w:rPr>
        <w:instrText xml:space="preserve"> ADDIN ZOTERO_BIBL {"uncited":[],"omitted":[],"custom":[]} CSL_BIBLIOGRAPHY </w:instrText>
      </w:r>
      <w:r w:rsidRPr="0020759F">
        <w:fldChar w:fldCharType="separate"/>
      </w:r>
      <w:r w:rsidRPr="0020759F">
        <w:rPr>
          <w:sz w:val="24"/>
          <w:lang w:val="fr-FR"/>
        </w:rPr>
        <w:t xml:space="preserve">1. </w:t>
      </w:r>
      <w:r w:rsidRPr="0020759F">
        <w:rPr>
          <w:sz w:val="24"/>
          <w:lang w:val="fr-FR"/>
        </w:rPr>
        <w:tab/>
        <w:t xml:space="preserve">Charlton R, Damase-Michel D-M, Hurault-Delarue C, et al. </w:t>
      </w:r>
      <w:r w:rsidRPr="0020759F">
        <w:rPr>
          <w:sz w:val="24"/>
        </w:rPr>
        <w:t xml:space="preserve">Prescriptions of antiepileptic medications in women in three European countries between 2007 and 2016 : effect of a warning concerning valproate. 2018; . </w:t>
      </w:r>
    </w:p>
    <w:p w14:paraId="42F6F5B0" w14:textId="77777777" w:rsidR="00445DDF" w:rsidRPr="0020759F" w:rsidRDefault="00445DDF" w:rsidP="001B5602">
      <w:pPr>
        <w:pStyle w:val="Bibliography"/>
        <w:rPr>
          <w:sz w:val="24"/>
        </w:rPr>
      </w:pPr>
      <w:r w:rsidRPr="0020759F">
        <w:rPr>
          <w:sz w:val="24"/>
        </w:rPr>
        <w:t xml:space="preserve">2. </w:t>
      </w:r>
      <w:r w:rsidRPr="0020759F">
        <w:rPr>
          <w:sz w:val="24"/>
        </w:rPr>
        <w:tab/>
        <w:t>Morrow J, Russell A, Guthrie E, et al. Malformation risks of antiepileptic drugs in pregnancy: a prospective study from the UK Epilepsy and Pregnancy Register. J Neurol Neurosurg Psychiatry. 2006; 77(2):193</w:t>
      </w:r>
      <w:r w:rsidRPr="0020759F">
        <w:rPr>
          <w:rFonts w:ascii="MS Gothic" w:eastAsia="Times New Roman" w:hAnsi="MS Gothic" w:cs="MS Gothic" w:hint="eastAsia"/>
          <w:sz w:val="24"/>
        </w:rPr>
        <w:t>‑</w:t>
      </w:r>
      <w:r w:rsidRPr="0020759F">
        <w:rPr>
          <w:sz w:val="24"/>
        </w:rPr>
        <w:t xml:space="preserve">8. </w:t>
      </w:r>
    </w:p>
    <w:p w14:paraId="173C30F7" w14:textId="77777777" w:rsidR="00445DDF" w:rsidRPr="0020759F" w:rsidRDefault="00445DDF" w:rsidP="001B5602">
      <w:pPr>
        <w:pStyle w:val="Bibliography"/>
        <w:rPr>
          <w:sz w:val="24"/>
        </w:rPr>
      </w:pPr>
      <w:r w:rsidRPr="0020759F">
        <w:rPr>
          <w:sz w:val="24"/>
        </w:rPr>
        <w:t xml:space="preserve">3. </w:t>
      </w:r>
      <w:r w:rsidRPr="0020759F">
        <w:rPr>
          <w:sz w:val="24"/>
        </w:rPr>
        <w:tab/>
        <w:t>Meador K, Reynolds MW, Crean S, et al. Pregnancy outcomes in women with epilepsy: a systematic review and meta-analysis of published pregnancy registries and cohorts. Epilepsy Res. 2008; 81(1):1</w:t>
      </w:r>
      <w:r w:rsidRPr="0020759F">
        <w:rPr>
          <w:rFonts w:ascii="MS Gothic" w:eastAsia="Times New Roman" w:hAnsi="MS Gothic" w:cs="MS Gothic" w:hint="eastAsia"/>
          <w:sz w:val="24"/>
        </w:rPr>
        <w:t>‑</w:t>
      </w:r>
      <w:r w:rsidRPr="0020759F">
        <w:rPr>
          <w:sz w:val="24"/>
        </w:rPr>
        <w:t xml:space="preserve">13. </w:t>
      </w:r>
    </w:p>
    <w:p w14:paraId="7B2F26E7" w14:textId="77777777" w:rsidR="00445DDF" w:rsidRPr="0020759F" w:rsidRDefault="00445DDF" w:rsidP="001B5602">
      <w:pPr>
        <w:pStyle w:val="Bibliography"/>
        <w:rPr>
          <w:sz w:val="24"/>
        </w:rPr>
      </w:pPr>
      <w:r w:rsidRPr="0020759F">
        <w:rPr>
          <w:sz w:val="24"/>
        </w:rPr>
        <w:t xml:space="preserve">4. </w:t>
      </w:r>
      <w:r w:rsidRPr="0020759F">
        <w:rPr>
          <w:sz w:val="24"/>
        </w:rPr>
        <w:tab/>
        <w:t>Thomas SV, Jose M, Divakaran S, et al. Malformation risk of antiepileptic drug exposure during pregnancy in women with epilepsy: Results from a pregnancy registry in South India. Epilepsia. 2017; 58(2):274</w:t>
      </w:r>
      <w:r w:rsidRPr="0020759F">
        <w:rPr>
          <w:rFonts w:ascii="MS Gothic" w:eastAsia="Times New Roman" w:hAnsi="MS Gothic" w:cs="MS Gothic" w:hint="eastAsia"/>
          <w:sz w:val="24"/>
        </w:rPr>
        <w:t>‑</w:t>
      </w:r>
      <w:r w:rsidRPr="0020759F">
        <w:rPr>
          <w:sz w:val="24"/>
        </w:rPr>
        <w:t xml:space="preserve">81. </w:t>
      </w:r>
    </w:p>
    <w:p w14:paraId="5AF46E71" w14:textId="77777777" w:rsidR="00445DDF" w:rsidRPr="0020759F" w:rsidRDefault="00445DDF" w:rsidP="001B5602">
      <w:pPr>
        <w:pStyle w:val="Bibliography"/>
        <w:rPr>
          <w:sz w:val="24"/>
        </w:rPr>
      </w:pPr>
      <w:r w:rsidRPr="0020759F">
        <w:rPr>
          <w:sz w:val="24"/>
        </w:rPr>
        <w:t xml:space="preserve">5. </w:t>
      </w:r>
      <w:r w:rsidRPr="0020759F">
        <w:rPr>
          <w:sz w:val="24"/>
        </w:rPr>
        <w:tab/>
        <w:t xml:space="preserve">Weston J, Bromley R, Jackson CF, et al. Monotherapy treatment of epilepsy in pregnancy: congenital malformation outcomes in the child. Cochrane Database Syst Rev. 2016; 11:CD010224. </w:t>
      </w:r>
    </w:p>
    <w:p w14:paraId="6E3DCF12" w14:textId="77777777" w:rsidR="00445DDF" w:rsidRPr="0020759F" w:rsidRDefault="00445DDF" w:rsidP="001B5602">
      <w:pPr>
        <w:pStyle w:val="Bibliography"/>
        <w:rPr>
          <w:sz w:val="24"/>
        </w:rPr>
      </w:pPr>
      <w:r w:rsidRPr="0020759F">
        <w:rPr>
          <w:sz w:val="24"/>
        </w:rPr>
        <w:t xml:space="preserve">6. </w:t>
      </w:r>
      <w:r w:rsidRPr="0020759F">
        <w:rPr>
          <w:sz w:val="24"/>
        </w:rPr>
        <w:tab/>
        <w:t>Bromley RL, Weston J, Marson AG. Maternal Use of Antiepileptic Agents During Pregnancy and Major Congenital Malformations in Children. JAMA. 2017; 318(17):1700</w:t>
      </w:r>
      <w:r w:rsidRPr="0020759F">
        <w:rPr>
          <w:rFonts w:ascii="MS Gothic" w:eastAsia="Times New Roman" w:hAnsi="MS Gothic" w:cs="MS Gothic" w:hint="eastAsia"/>
          <w:sz w:val="24"/>
        </w:rPr>
        <w:t>‑</w:t>
      </w:r>
      <w:r w:rsidRPr="0020759F">
        <w:rPr>
          <w:sz w:val="24"/>
        </w:rPr>
        <w:t xml:space="preserve">1. </w:t>
      </w:r>
    </w:p>
    <w:p w14:paraId="543DE691" w14:textId="77777777" w:rsidR="00445DDF" w:rsidRPr="0020759F" w:rsidRDefault="00445DDF" w:rsidP="001B5602">
      <w:pPr>
        <w:pStyle w:val="Bibliography"/>
        <w:rPr>
          <w:sz w:val="24"/>
        </w:rPr>
      </w:pPr>
      <w:r w:rsidRPr="0020759F">
        <w:rPr>
          <w:sz w:val="24"/>
        </w:rPr>
        <w:t xml:space="preserve">7. </w:t>
      </w:r>
      <w:r w:rsidRPr="0020759F">
        <w:rPr>
          <w:sz w:val="24"/>
        </w:rPr>
        <w:tab/>
        <w:t xml:space="preserve">Bromley R, Weston J, Adab N, et al. Treatment for epilepsy in pregnancy: neurodevelopmental outcomes in the child. Cochrane Database Syst Rev. 2014; (10):CD010236. </w:t>
      </w:r>
    </w:p>
    <w:p w14:paraId="65C31A6C" w14:textId="77777777" w:rsidR="00445DDF" w:rsidRPr="0020759F" w:rsidRDefault="00445DDF" w:rsidP="001B5602">
      <w:pPr>
        <w:pStyle w:val="Bibliography"/>
        <w:rPr>
          <w:sz w:val="24"/>
        </w:rPr>
      </w:pPr>
      <w:r w:rsidRPr="0020759F">
        <w:rPr>
          <w:sz w:val="24"/>
        </w:rPr>
        <w:t xml:space="preserve">8. </w:t>
      </w:r>
      <w:r w:rsidRPr="0020759F">
        <w:rPr>
          <w:sz w:val="24"/>
        </w:rPr>
        <w:tab/>
        <w:t>Meador KJ, Penovich P, Baker GA, et al. Antiepileptic drug use in women of childbearing age. Epilepsy Behav EB. 2009; 15(3):339</w:t>
      </w:r>
      <w:r w:rsidRPr="0020759F">
        <w:rPr>
          <w:rFonts w:ascii="MS Gothic" w:eastAsia="Times New Roman" w:hAnsi="MS Gothic" w:cs="MS Gothic" w:hint="eastAsia"/>
          <w:sz w:val="24"/>
        </w:rPr>
        <w:t>‑</w:t>
      </w:r>
      <w:r w:rsidRPr="0020759F">
        <w:rPr>
          <w:sz w:val="24"/>
        </w:rPr>
        <w:t xml:space="preserve">43. </w:t>
      </w:r>
    </w:p>
    <w:p w14:paraId="08D98199" w14:textId="77777777" w:rsidR="00445DDF" w:rsidRPr="0020759F" w:rsidRDefault="00445DDF" w:rsidP="001B5602">
      <w:pPr>
        <w:pStyle w:val="Bibliography"/>
        <w:rPr>
          <w:sz w:val="24"/>
        </w:rPr>
      </w:pPr>
      <w:r w:rsidRPr="0020759F">
        <w:rPr>
          <w:sz w:val="24"/>
        </w:rPr>
        <w:t xml:space="preserve">9. </w:t>
      </w:r>
      <w:r w:rsidRPr="0020759F">
        <w:rPr>
          <w:sz w:val="24"/>
        </w:rPr>
        <w:tab/>
        <w:t>Thomas SV, Sukumaran S, Lukose N, et al. Intellectual and language functions in children of mothers with epilepsy. Epilepsia. 2007; 48(12):2234</w:t>
      </w:r>
      <w:r w:rsidRPr="0020759F">
        <w:rPr>
          <w:rFonts w:ascii="MS Gothic" w:eastAsia="Times New Roman" w:hAnsi="MS Gothic" w:cs="MS Gothic" w:hint="eastAsia"/>
          <w:sz w:val="24"/>
        </w:rPr>
        <w:t>‑</w:t>
      </w:r>
      <w:r w:rsidRPr="0020759F">
        <w:rPr>
          <w:sz w:val="24"/>
        </w:rPr>
        <w:t xml:space="preserve">40. </w:t>
      </w:r>
    </w:p>
    <w:p w14:paraId="1B4D6E53" w14:textId="77777777" w:rsidR="00445DDF" w:rsidRPr="0020759F" w:rsidRDefault="00445DDF" w:rsidP="001B5602">
      <w:pPr>
        <w:pStyle w:val="Bibliography"/>
        <w:rPr>
          <w:sz w:val="24"/>
          <w:lang w:val="fr-FR"/>
        </w:rPr>
      </w:pPr>
      <w:r w:rsidRPr="0020759F">
        <w:rPr>
          <w:sz w:val="24"/>
        </w:rPr>
        <w:t xml:space="preserve">10. </w:t>
      </w:r>
      <w:r w:rsidRPr="0020759F">
        <w:rPr>
          <w:sz w:val="24"/>
        </w:rPr>
        <w:tab/>
        <w:t xml:space="preserve">Meador KJ, Baker GA, Browning N, et al. Fetal antiepileptic drug exposure and cognitive outcomes at age 6 years (NEAD study): a prospective observational study. </w:t>
      </w:r>
      <w:r w:rsidRPr="0020759F">
        <w:rPr>
          <w:sz w:val="24"/>
          <w:lang w:val="fr-FR"/>
        </w:rPr>
        <w:t>Lancet Neurol. 2013; 12(3):244</w:t>
      </w:r>
      <w:r w:rsidRPr="0020759F">
        <w:rPr>
          <w:rFonts w:ascii="MS Gothic" w:eastAsia="Times New Roman" w:hAnsi="MS Gothic" w:cs="MS Gothic"/>
          <w:sz w:val="24"/>
          <w:lang w:val="fr-FR"/>
        </w:rPr>
        <w:t>‑</w:t>
      </w:r>
      <w:r w:rsidRPr="0020759F">
        <w:rPr>
          <w:sz w:val="24"/>
          <w:lang w:val="fr-FR"/>
        </w:rPr>
        <w:t xml:space="preserve">52. </w:t>
      </w:r>
    </w:p>
    <w:p w14:paraId="048E3249" w14:textId="77777777" w:rsidR="00445DDF" w:rsidRPr="0020759F" w:rsidRDefault="00445DDF" w:rsidP="001B5602">
      <w:pPr>
        <w:pStyle w:val="Bibliography"/>
        <w:rPr>
          <w:sz w:val="24"/>
        </w:rPr>
      </w:pPr>
      <w:r w:rsidRPr="0020759F">
        <w:rPr>
          <w:sz w:val="24"/>
          <w:lang w:val="fr-FR"/>
        </w:rPr>
        <w:t xml:space="preserve">11. </w:t>
      </w:r>
      <w:r w:rsidRPr="0020759F">
        <w:rPr>
          <w:sz w:val="24"/>
          <w:lang w:val="fr-FR"/>
        </w:rPr>
        <w:tab/>
        <w:t xml:space="preserve">Christensen J, Grønborg TK, Sørensen MJ, et al. </w:t>
      </w:r>
      <w:r w:rsidRPr="0020759F">
        <w:rPr>
          <w:sz w:val="24"/>
        </w:rPr>
        <w:t>Prenatal valproate exposure and risk of autism spectrum disorders and childhood autism. JAMA. 2013; 309(16):1696</w:t>
      </w:r>
      <w:r w:rsidRPr="0020759F">
        <w:rPr>
          <w:rFonts w:ascii="MS Gothic" w:eastAsia="Times New Roman" w:hAnsi="MS Gothic" w:cs="MS Gothic" w:hint="eastAsia"/>
          <w:sz w:val="24"/>
        </w:rPr>
        <w:t>‑</w:t>
      </w:r>
      <w:r w:rsidRPr="0020759F">
        <w:rPr>
          <w:sz w:val="24"/>
        </w:rPr>
        <w:t xml:space="preserve">703. </w:t>
      </w:r>
    </w:p>
    <w:p w14:paraId="5E2BBC9C" w14:textId="77777777" w:rsidR="00445DDF" w:rsidRPr="0020759F" w:rsidRDefault="00445DDF" w:rsidP="001B5602">
      <w:pPr>
        <w:pStyle w:val="Bibliography"/>
        <w:rPr>
          <w:sz w:val="24"/>
        </w:rPr>
      </w:pPr>
      <w:r w:rsidRPr="0020759F">
        <w:rPr>
          <w:sz w:val="24"/>
        </w:rPr>
        <w:t xml:space="preserve">12. </w:t>
      </w:r>
      <w:r w:rsidRPr="0020759F">
        <w:rPr>
          <w:sz w:val="24"/>
        </w:rPr>
        <w:tab/>
        <w:t>Rasalam AD, Hailey H, Williams JHG, et al. Characteristics of fetal anticonvulsant syndrome associated autistic disorder. Dev Med Child Neurol. 2005; 47(8):551</w:t>
      </w:r>
      <w:r w:rsidRPr="0020759F">
        <w:rPr>
          <w:rFonts w:ascii="MS Gothic" w:eastAsia="Times New Roman" w:hAnsi="MS Gothic" w:cs="MS Gothic" w:hint="eastAsia"/>
          <w:sz w:val="24"/>
        </w:rPr>
        <w:t>‑</w:t>
      </w:r>
      <w:r w:rsidRPr="0020759F">
        <w:rPr>
          <w:sz w:val="24"/>
        </w:rPr>
        <w:t xml:space="preserve">5. </w:t>
      </w:r>
    </w:p>
    <w:p w14:paraId="4EEF9F50" w14:textId="77777777" w:rsidR="00445DDF" w:rsidRPr="0020759F" w:rsidRDefault="00445DDF" w:rsidP="001B5602">
      <w:pPr>
        <w:pStyle w:val="Bibliography"/>
        <w:rPr>
          <w:sz w:val="24"/>
        </w:rPr>
      </w:pPr>
      <w:r w:rsidRPr="0020759F">
        <w:rPr>
          <w:sz w:val="24"/>
        </w:rPr>
        <w:lastRenderedPageBreak/>
        <w:t xml:space="preserve">13. </w:t>
      </w:r>
      <w:r w:rsidRPr="0020759F">
        <w:rPr>
          <w:sz w:val="24"/>
        </w:rPr>
        <w:tab/>
        <w:t>Cohen MJ, Meador KJ, Browning N, et al. Fetal antiepileptic drug exposure: Adaptive and emotional/behavioral functioning at age 6years. Epilepsy Behav EB. 2013; 29(2):308</w:t>
      </w:r>
      <w:r w:rsidRPr="0020759F">
        <w:rPr>
          <w:rFonts w:ascii="MS Gothic" w:eastAsia="Times New Roman" w:hAnsi="MS Gothic" w:cs="MS Gothic" w:hint="eastAsia"/>
          <w:sz w:val="24"/>
        </w:rPr>
        <w:t>‑</w:t>
      </w:r>
      <w:r w:rsidRPr="0020759F">
        <w:rPr>
          <w:sz w:val="24"/>
        </w:rPr>
        <w:t xml:space="preserve">15. </w:t>
      </w:r>
    </w:p>
    <w:p w14:paraId="59BF9674" w14:textId="77777777" w:rsidR="00445DDF" w:rsidRPr="0020759F" w:rsidRDefault="00445DDF" w:rsidP="001B5602">
      <w:pPr>
        <w:pStyle w:val="Bibliography"/>
        <w:rPr>
          <w:sz w:val="24"/>
          <w:lang w:val="fr-FR"/>
        </w:rPr>
      </w:pPr>
      <w:r w:rsidRPr="0020759F">
        <w:rPr>
          <w:sz w:val="24"/>
        </w:rPr>
        <w:t xml:space="preserve">14. </w:t>
      </w:r>
      <w:r w:rsidRPr="0020759F">
        <w:rPr>
          <w:sz w:val="24"/>
        </w:rPr>
        <w:tab/>
        <w:t xml:space="preserve">PRAC recommends strengthening the restrictions on the use of valproate in women and girls - WC500175208.pdf [Internet]. </w:t>
      </w:r>
      <w:r w:rsidRPr="0020759F">
        <w:rPr>
          <w:sz w:val="24"/>
          <w:lang w:val="fr-FR"/>
        </w:rPr>
        <w:t>[cité 2018]. Disponible sur: http://www.ema.europa.eu/docs/en_GB/document_library/Press_release/2014/10/WC500175208.pdf</w:t>
      </w:r>
    </w:p>
    <w:p w14:paraId="25FBCA8A" w14:textId="77777777" w:rsidR="00445DDF" w:rsidRPr="0020759F" w:rsidRDefault="00445DDF" w:rsidP="001B5602">
      <w:pPr>
        <w:pStyle w:val="Bibliography"/>
        <w:rPr>
          <w:sz w:val="24"/>
          <w:lang w:val="fr-FR"/>
        </w:rPr>
      </w:pPr>
      <w:r w:rsidRPr="0020759F">
        <w:rPr>
          <w:sz w:val="24"/>
        </w:rPr>
        <w:t xml:space="preserve">15. </w:t>
      </w:r>
      <w:r w:rsidRPr="0020759F">
        <w:rPr>
          <w:sz w:val="24"/>
        </w:rPr>
        <w:tab/>
        <w:t xml:space="preserve">Medicines related to valproate: risk of abnormal pregnancy outcomes [Internet]. </w:t>
      </w:r>
      <w:r w:rsidRPr="0020759F">
        <w:rPr>
          <w:sz w:val="24"/>
          <w:lang w:val="fr-FR"/>
        </w:rPr>
        <w:t>GOV.UK. [cité 2018]. Disponible sur: https://www.gov.uk/drug-safety-update/medicines-related-to-valproate-risk-of-abnormal-pregnancy-outcomes</w:t>
      </w:r>
    </w:p>
    <w:p w14:paraId="4795E746" w14:textId="77777777" w:rsidR="00445DDF" w:rsidRPr="0020759F" w:rsidRDefault="00445DDF" w:rsidP="001B5602">
      <w:pPr>
        <w:pStyle w:val="Bibliography"/>
        <w:rPr>
          <w:sz w:val="24"/>
          <w:lang w:val="fr-FR"/>
        </w:rPr>
      </w:pPr>
      <w:r w:rsidRPr="0020759F">
        <w:rPr>
          <w:sz w:val="24"/>
          <w:lang w:val="fr-FR"/>
        </w:rPr>
        <w:t xml:space="preserve">16. </w:t>
      </w:r>
      <w:r w:rsidRPr="0020759F">
        <w:rPr>
          <w:sz w:val="24"/>
          <w:lang w:val="fr-FR"/>
        </w:rPr>
        <w:tab/>
        <w:t>Valproate et dérivés (Dépakine®, Dépakote®, Dépamide®, Micropakine® et génériques) : risque d’issues anormales de grossesse - Lettre aux professionnels de santé - ANSM : Agence nationale de sécurité du médicament et des produits de santé [Internet]. [cité 2018]. Disponible sur: http://ansm.sante.fr/S-informer/Informations-de-securite-Lettres-aux-professionnels-de-sante/Valproate-et-derives-Depakine-R-Depakote-R-Depamide-R-Micropakine-R-et-generiques-risque-d-issues-anormales-de-grossesse-Lettre-aux-professionnels-de-sante</w:t>
      </w:r>
    </w:p>
    <w:p w14:paraId="5CD64BC8" w14:textId="77777777" w:rsidR="00445DDF" w:rsidRPr="0020759F" w:rsidRDefault="00445DDF" w:rsidP="001B5602">
      <w:pPr>
        <w:pStyle w:val="Bibliography"/>
        <w:rPr>
          <w:sz w:val="24"/>
          <w:lang w:val="fr-FR"/>
        </w:rPr>
      </w:pPr>
      <w:r w:rsidRPr="0020759F">
        <w:rPr>
          <w:sz w:val="24"/>
          <w:lang w:val="fr-FR"/>
        </w:rPr>
        <w:t xml:space="preserve">17. </w:t>
      </w:r>
      <w:r w:rsidRPr="0020759F">
        <w:rPr>
          <w:sz w:val="24"/>
          <w:lang w:val="fr-FR"/>
        </w:rPr>
        <w:tab/>
        <w:t>Valproate et dérivés : contre-indication pendant la grossesse (sauf situations exceptionnelles) et programme de prévention des grossesses - Lettre aux professionnels de santé - ANSM : Agence nationale de sécurité du médicament et des produits de santé [Internet]. [cité 2018]. Disponible sur: https://ansm.sante.fr/S-informer/Informations-de-securite-Lettres-aux-professionnels-de-sante/Valproate-et-derives-contre-indication-pendant-la-grossesse-sauf-situations-exceptionnelles-et-programme-de-prevention-des-grossesses-Lettre-aux-professionnels-de-sante</w:t>
      </w:r>
    </w:p>
    <w:p w14:paraId="24263251" w14:textId="77777777" w:rsidR="00445DDF" w:rsidRPr="0020759F" w:rsidRDefault="00445DDF" w:rsidP="001B5602">
      <w:pPr>
        <w:pStyle w:val="Bibliography"/>
        <w:rPr>
          <w:sz w:val="24"/>
          <w:lang w:val="fr-FR"/>
        </w:rPr>
      </w:pPr>
      <w:r w:rsidRPr="0020759F">
        <w:rPr>
          <w:sz w:val="24"/>
        </w:rPr>
        <w:t xml:space="preserve">18. </w:t>
      </w:r>
      <w:r w:rsidRPr="0020759F">
        <w:rPr>
          <w:sz w:val="24"/>
        </w:rPr>
        <w:tab/>
        <w:t xml:space="preserve">Prescribing information on valproic acid - Black box (FDA) [Internet]. </w:t>
      </w:r>
      <w:r w:rsidRPr="0020759F">
        <w:rPr>
          <w:sz w:val="24"/>
          <w:lang w:val="fr-FR"/>
        </w:rPr>
        <w:t>[cité 2019]. Disponible sur: https://www.accessdata.fda.gov/drugsatfda_docs/label/2019/018081s069,018082s052lbl.pdf</w:t>
      </w:r>
    </w:p>
    <w:p w14:paraId="68650E29" w14:textId="77777777" w:rsidR="00445DDF" w:rsidRPr="0020759F" w:rsidRDefault="00445DDF" w:rsidP="001B5602">
      <w:pPr>
        <w:pStyle w:val="Bibliography"/>
        <w:rPr>
          <w:sz w:val="24"/>
          <w:lang w:val="fr-FR"/>
        </w:rPr>
      </w:pPr>
      <w:r w:rsidRPr="0020759F">
        <w:rPr>
          <w:sz w:val="24"/>
        </w:rPr>
        <w:t xml:space="preserve">19. </w:t>
      </w:r>
      <w:r w:rsidRPr="0020759F">
        <w:rPr>
          <w:sz w:val="24"/>
        </w:rPr>
        <w:tab/>
        <w:t xml:space="preserve">FDA Drug Safety Communication: Valproate Anti-seizure Products Contraindicated for Migraine Prevention in Pregnant Women due to Decreased IQ Scores in Exposed Children. </w:t>
      </w:r>
      <w:r w:rsidRPr="0020759F">
        <w:rPr>
          <w:sz w:val="24"/>
          <w:lang w:val="fr-FR"/>
        </w:rPr>
        <w:t>FDA [Internet]; Available on: http://www.fda.gov/drugs/drug-safety-and-availability/fda-drug-safety-communication-valproate-anti-seizure-products-contraindicated-migraine-prevention</w:t>
      </w:r>
    </w:p>
    <w:p w14:paraId="07DD38B4" w14:textId="77777777" w:rsidR="00445DDF" w:rsidRPr="0020759F" w:rsidRDefault="00445DDF" w:rsidP="001B5602">
      <w:pPr>
        <w:pStyle w:val="Bibliography"/>
        <w:rPr>
          <w:sz w:val="24"/>
          <w:lang w:val="fr-FR"/>
        </w:rPr>
      </w:pPr>
      <w:r w:rsidRPr="0020759F">
        <w:rPr>
          <w:sz w:val="24"/>
          <w:lang w:val="fr-FR"/>
        </w:rPr>
        <w:t xml:space="preserve">20. </w:t>
      </w:r>
      <w:r w:rsidRPr="0020759F">
        <w:rPr>
          <w:sz w:val="24"/>
          <w:lang w:val="fr-FR"/>
        </w:rPr>
        <w:tab/>
        <w:t>FDA Drug Safety Communication: Valproate Information. FDA [Internet]; Available on: http://www.fda.gov/drugs/postmarket-drug-safety-information-patients-and-providers/valproate-information</w:t>
      </w:r>
    </w:p>
    <w:p w14:paraId="4CD503E4" w14:textId="77777777" w:rsidR="00445DDF" w:rsidRPr="0020759F" w:rsidRDefault="00445DDF" w:rsidP="001B5602">
      <w:pPr>
        <w:pStyle w:val="Bibliography"/>
        <w:rPr>
          <w:sz w:val="24"/>
        </w:rPr>
      </w:pPr>
      <w:r w:rsidRPr="0020759F">
        <w:rPr>
          <w:sz w:val="24"/>
          <w:lang w:val="da-DK"/>
        </w:rPr>
        <w:t xml:space="preserve">21. </w:t>
      </w:r>
      <w:r w:rsidRPr="0020759F">
        <w:rPr>
          <w:sz w:val="24"/>
          <w:lang w:val="da-DK"/>
        </w:rPr>
        <w:tab/>
        <w:t xml:space="preserve">Charlton RA, Neville AJ, Jordan S, et al. </w:t>
      </w:r>
      <w:r w:rsidRPr="0020759F">
        <w:rPr>
          <w:sz w:val="24"/>
        </w:rPr>
        <w:t>Healthcare databases in Europe for studying medicine use and safety during pregnancy. Pharmacoepidemiol Drug Saf. 2014; 23(6):586</w:t>
      </w:r>
      <w:r w:rsidRPr="0020759F">
        <w:rPr>
          <w:rFonts w:ascii="MS Gothic" w:eastAsia="Times New Roman" w:hAnsi="MS Gothic" w:cs="MS Gothic" w:hint="eastAsia"/>
          <w:sz w:val="24"/>
        </w:rPr>
        <w:t>‑</w:t>
      </w:r>
      <w:r w:rsidRPr="0020759F">
        <w:rPr>
          <w:sz w:val="24"/>
        </w:rPr>
        <w:t xml:space="preserve">94. </w:t>
      </w:r>
    </w:p>
    <w:p w14:paraId="23032C01" w14:textId="77777777" w:rsidR="00445DDF" w:rsidRPr="0020759F" w:rsidRDefault="00445DDF" w:rsidP="001B5602">
      <w:pPr>
        <w:pStyle w:val="Bibliography"/>
        <w:rPr>
          <w:sz w:val="24"/>
        </w:rPr>
      </w:pPr>
      <w:r w:rsidRPr="0020759F">
        <w:rPr>
          <w:sz w:val="24"/>
        </w:rPr>
        <w:lastRenderedPageBreak/>
        <w:t xml:space="preserve">22. </w:t>
      </w:r>
      <w:r w:rsidRPr="0020759F">
        <w:rPr>
          <w:sz w:val="24"/>
        </w:rPr>
        <w:tab/>
      </w:r>
      <w:r w:rsidRPr="0020759F">
        <w:rPr>
          <w:sz w:val="24"/>
          <w:lang w:val="en-US"/>
        </w:rPr>
        <w:t xml:space="preserve">Charlton R, Garne E, Wang H, et al. </w:t>
      </w:r>
      <w:r w:rsidRPr="0020759F">
        <w:rPr>
          <w:sz w:val="24"/>
        </w:rPr>
        <w:t>Antiepileptic drug prescribing before, during and after pregnancy: a study in seven European regions. Pharmacoepidemiol Drug Saf. 2015; 24(11):1144</w:t>
      </w:r>
      <w:r w:rsidRPr="0020759F">
        <w:rPr>
          <w:rFonts w:ascii="MS Gothic" w:eastAsia="Times New Roman" w:hAnsi="MS Gothic" w:cs="MS Gothic" w:hint="eastAsia"/>
          <w:sz w:val="24"/>
        </w:rPr>
        <w:t>‑</w:t>
      </w:r>
      <w:r w:rsidRPr="0020759F">
        <w:rPr>
          <w:sz w:val="24"/>
        </w:rPr>
        <w:t xml:space="preserve">54. </w:t>
      </w:r>
    </w:p>
    <w:p w14:paraId="4BBBE499" w14:textId="77777777" w:rsidR="00445DDF" w:rsidRPr="0020759F" w:rsidRDefault="00445DDF" w:rsidP="001B5602">
      <w:pPr>
        <w:pStyle w:val="Bibliography"/>
        <w:rPr>
          <w:sz w:val="24"/>
          <w:lang w:val="fr-FR"/>
        </w:rPr>
      </w:pPr>
      <w:r w:rsidRPr="0020759F">
        <w:rPr>
          <w:sz w:val="24"/>
        </w:rPr>
        <w:t xml:space="preserve">23. </w:t>
      </w:r>
      <w:r w:rsidRPr="0020759F">
        <w:rPr>
          <w:sz w:val="24"/>
        </w:rPr>
        <w:tab/>
        <w:t xml:space="preserve">Man S-L, Petersen I, Thompson M, et al. Antiepileptic drugs during pregnancy in primary care: a UK population based study. </w:t>
      </w:r>
      <w:r w:rsidRPr="0020759F">
        <w:rPr>
          <w:sz w:val="24"/>
          <w:lang w:val="fr-FR"/>
        </w:rPr>
        <w:t xml:space="preserve">PloS One. 2012; 7(12):e52339. </w:t>
      </w:r>
    </w:p>
    <w:p w14:paraId="023DB14E" w14:textId="77777777" w:rsidR="00445DDF" w:rsidRPr="0020759F" w:rsidRDefault="00445DDF" w:rsidP="001B5602">
      <w:pPr>
        <w:pStyle w:val="Bibliography"/>
        <w:rPr>
          <w:sz w:val="24"/>
          <w:lang w:val="fr-FR"/>
        </w:rPr>
      </w:pPr>
      <w:r w:rsidRPr="0020759F">
        <w:rPr>
          <w:sz w:val="24"/>
          <w:lang w:val="fr-FR"/>
        </w:rPr>
        <w:t xml:space="preserve">24. </w:t>
      </w:r>
      <w:r w:rsidRPr="0020759F">
        <w:rPr>
          <w:sz w:val="24"/>
          <w:lang w:val="fr-FR"/>
        </w:rPr>
        <w:tab/>
        <w:t>Exposition in utero à l’acide valproïque et aux autres traitements de l’épilepsie et des troubles bipolaires et risque de malformations congénitales majeures (MCM) en France - fb3faa8c4a5c5c5dedfc1423213c219d.pdf [Internet]. [cité 2018]. Disponible sur: http://ansm.sante.fr/var/ansm_site/storage/original/application/fb3faa8c4a5c5c5dedfc1423213c219d.pdf</w:t>
      </w:r>
    </w:p>
    <w:p w14:paraId="13C7AA25" w14:textId="77777777" w:rsidR="00445DDF" w:rsidRPr="0020759F" w:rsidRDefault="00445DDF" w:rsidP="001B5602">
      <w:pPr>
        <w:pStyle w:val="Bibliography"/>
        <w:rPr>
          <w:sz w:val="24"/>
          <w:lang w:val="nl-NL"/>
        </w:rPr>
      </w:pPr>
      <w:r w:rsidRPr="0020759F">
        <w:rPr>
          <w:sz w:val="24"/>
          <w:lang w:val="da-DK"/>
        </w:rPr>
        <w:t xml:space="preserve">25. </w:t>
      </w:r>
      <w:r w:rsidRPr="0020759F">
        <w:rPr>
          <w:sz w:val="24"/>
          <w:lang w:val="da-DK"/>
        </w:rPr>
        <w:tab/>
        <w:t xml:space="preserve">Bobo WV, Davis RL, Toh SD, et al. </w:t>
      </w:r>
      <w:r w:rsidRPr="0020759F">
        <w:rPr>
          <w:sz w:val="24"/>
        </w:rPr>
        <w:t xml:space="preserve">Trends in the use of antiepileptic drugs (AEDs) among pregnant women in the U.S., 2001-2007: a Medication Exposure in Pregnancy Risk Evaluation Program (MEPREP) study. </w:t>
      </w:r>
      <w:r w:rsidRPr="0020759F">
        <w:rPr>
          <w:sz w:val="24"/>
          <w:lang w:val="nl-NL"/>
        </w:rPr>
        <w:t>Paediatr Perinat Epidemiol. 2012; 26(6):578</w:t>
      </w:r>
      <w:r w:rsidRPr="0020759F">
        <w:rPr>
          <w:rFonts w:ascii="MS Gothic" w:eastAsia="Times New Roman" w:hAnsi="MS Gothic" w:cs="MS Gothic"/>
          <w:sz w:val="24"/>
          <w:lang w:val="nl-NL"/>
        </w:rPr>
        <w:t>‑</w:t>
      </w:r>
      <w:r w:rsidRPr="0020759F">
        <w:rPr>
          <w:sz w:val="24"/>
          <w:lang w:val="nl-NL"/>
        </w:rPr>
        <w:t xml:space="preserve">88. </w:t>
      </w:r>
    </w:p>
    <w:p w14:paraId="6DD718BF" w14:textId="77777777" w:rsidR="00445DDF" w:rsidRPr="0020759F" w:rsidRDefault="00445DDF" w:rsidP="001B5602">
      <w:pPr>
        <w:pStyle w:val="Bibliography"/>
        <w:rPr>
          <w:sz w:val="24"/>
        </w:rPr>
      </w:pPr>
      <w:r w:rsidRPr="0020759F">
        <w:rPr>
          <w:sz w:val="24"/>
          <w:lang w:val="nl-NL"/>
        </w:rPr>
        <w:t xml:space="preserve">26. </w:t>
      </w:r>
      <w:r w:rsidRPr="0020759F">
        <w:rPr>
          <w:sz w:val="24"/>
          <w:lang w:val="nl-NL"/>
        </w:rPr>
        <w:tab/>
        <w:t xml:space="preserve">de Jong J, Garne E, de Jong-van den Berg LTW, et al. </w:t>
      </w:r>
      <w:r w:rsidRPr="0020759F">
        <w:rPr>
          <w:sz w:val="24"/>
        </w:rPr>
        <w:t>The Risk of Specific Congenital Anomalies in Relation to Newer Antiepileptic Drugs: A Literature Review. Drugs - Real World Outcomes. 2016; 3(2):131</w:t>
      </w:r>
      <w:r w:rsidRPr="0020759F">
        <w:rPr>
          <w:rFonts w:ascii="MS Gothic" w:eastAsia="Times New Roman" w:hAnsi="MS Gothic" w:cs="MS Gothic" w:hint="eastAsia"/>
          <w:sz w:val="24"/>
        </w:rPr>
        <w:t>‑</w:t>
      </w:r>
      <w:r w:rsidRPr="0020759F">
        <w:rPr>
          <w:sz w:val="24"/>
        </w:rPr>
        <w:t xml:space="preserve">43. </w:t>
      </w:r>
    </w:p>
    <w:p w14:paraId="6FDD36EB" w14:textId="77777777" w:rsidR="00445DDF" w:rsidRPr="0020759F" w:rsidRDefault="00445DDF" w:rsidP="001B5602">
      <w:pPr>
        <w:pStyle w:val="Bibliography"/>
        <w:rPr>
          <w:sz w:val="24"/>
        </w:rPr>
      </w:pPr>
      <w:r w:rsidRPr="0020759F">
        <w:rPr>
          <w:sz w:val="24"/>
        </w:rPr>
        <w:t xml:space="preserve">27. </w:t>
      </w:r>
      <w:r w:rsidRPr="0020759F">
        <w:rPr>
          <w:sz w:val="24"/>
        </w:rPr>
        <w:tab/>
        <w:t>Winterfeld U, Merlob P, Baud D, et al. Pregnancy outcome following maternal exposure to pregabalin may call for concern. Neurology. 2016; 86(24):2251</w:t>
      </w:r>
      <w:r w:rsidRPr="0020759F">
        <w:rPr>
          <w:rFonts w:ascii="MS Gothic" w:eastAsia="Times New Roman" w:hAnsi="MS Gothic" w:cs="MS Gothic" w:hint="eastAsia"/>
          <w:sz w:val="24"/>
        </w:rPr>
        <w:t>‑</w:t>
      </w:r>
      <w:r w:rsidRPr="0020759F">
        <w:rPr>
          <w:sz w:val="24"/>
        </w:rPr>
        <w:t xml:space="preserve">7. </w:t>
      </w:r>
    </w:p>
    <w:p w14:paraId="1490C5FE" w14:textId="77777777" w:rsidR="00445DDF" w:rsidRPr="0020759F" w:rsidRDefault="00445DDF" w:rsidP="001B5602">
      <w:pPr>
        <w:pStyle w:val="Bibliography"/>
        <w:rPr>
          <w:sz w:val="24"/>
        </w:rPr>
      </w:pPr>
      <w:r w:rsidRPr="0020759F">
        <w:rPr>
          <w:sz w:val="24"/>
        </w:rPr>
        <w:t xml:space="preserve">28. </w:t>
      </w:r>
      <w:r w:rsidRPr="0020759F">
        <w:rPr>
          <w:sz w:val="24"/>
        </w:rPr>
        <w:tab/>
        <w:t>Patorno E, Bateman BT, Huybrechts KF, et al. Pregabalin use early in pregnancy and the risk of major congenital malformations. Neurology. 2017; 88(21):2020</w:t>
      </w:r>
      <w:r w:rsidRPr="0020759F">
        <w:rPr>
          <w:rFonts w:ascii="MS Gothic" w:eastAsia="Times New Roman" w:hAnsi="MS Gothic" w:cs="MS Gothic" w:hint="eastAsia"/>
          <w:sz w:val="24"/>
        </w:rPr>
        <w:t>‑</w:t>
      </w:r>
      <w:r w:rsidRPr="0020759F">
        <w:rPr>
          <w:sz w:val="24"/>
        </w:rPr>
        <w:t xml:space="preserve">5. </w:t>
      </w:r>
    </w:p>
    <w:p w14:paraId="1108550D" w14:textId="77777777" w:rsidR="00445DDF" w:rsidRPr="0020759F" w:rsidRDefault="00445DDF" w:rsidP="001B5602">
      <w:pPr>
        <w:pStyle w:val="Bibliography"/>
        <w:rPr>
          <w:sz w:val="24"/>
        </w:rPr>
      </w:pPr>
      <w:r w:rsidRPr="0020759F">
        <w:rPr>
          <w:sz w:val="24"/>
        </w:rPr>
        <w:t xml:space="preserve">29. </w:t>
      </w:r>
      <w:r w:rsidRPr="0020759F">
        <w:rPr>
          <w:sz w:val="24"/>
        </w:rPr>
        <w:tab/>
        <w:t>Caster O, Edwards IR, Norén GN, et al. Earlier discovery of pregabalin’s dependence potential might have been possible. Eur J Clin Pharmacol. 2011; 67(3):319</w:t>
      </w:r>
      <w:r w:rsidRPr="0020759F">
        <w:rPr>
          <w:rFonts w:ascii="MS Gothic" w:eastAsia="Times New Roman" w:hAnsi="MS Gothic" w:cs="MS Gothic" w:hint="eastAsia"/>
          <w:sz w:val="24"/>
        </w:rPr>
        <w:t>‑</w:t>
      </w:r>
      <w:r w:rsidRPr="0020759F">
        <w:rPr>
          <w:sz w:val="24"/>
        </w:rPr>
        <w:t xml:space="preserve">20. </w:t>
      </w:r>
    </w:p>
    <w:p w14:paraId="07B39AE9" w14:textId="77777777" w:rsidR="00445DDF" w:rsidRPr="0020759F" w:rsidRDefault="00445DDF" w:rsidP="001B5602">
      <w:pPr>
        <w:pStyle w:val="Bibliography"/>
        <w:rPr>
          <w:sz w:val="24"/>
          <w:lang w:val="fr-FR"/>
        </w:rPr>
      </w:pPr>
      <w:r w:rsidRPr="0020759F">
        <w:rPr>
          <w:sz w:val="24"/>
        </w:rPr>
        <w:t xml:space="preserve">30. </w:t>
      </w:r>
      <w:r w:rsidRPr="0020759F">
        <w:rPr>
          <w:sz w:val="24"/>
        </w:rPr>
        <w:tab/>
        <w:t xml:space="preserve">Pregabalin and gabapentin: advice for prescribers on the risk of misuse [Internet]. </w:t>
      </w:r>
      <w:r w:rsidRPr="0020759F">
        <w:rPr>
          <w:sz w:val="24"/>
          <w:lang w:val="fr-FR"/>
        </w:rPr>
        <w:t>GOV.UK. [cité 2018]. Disponible sur: https://www.gov.uk/government/publications/pregabalin-and-gabapentin-advice-for-prescribers-on-the-risk-of-misuse</w:t>
      </w:r>
    </w:p>
    <w:p w14:paraId="104A7F31" w14:textId="77777777" w:rsidR="00445DDF" w:rsidRPr="0020759F" w:rsidRDefault="00445DDF" w:rsidP="001B5602">
      <w:pPr>
        <w:pStyle w:val="Bibliography"/>
        <w:rPr>
          <w:sz w:val="24"/>
          <w:lang w:val="fr-FR"/>
        </w:rPr>
      </w:pPr>
      <w:r w:rsidRPr="0020759F">
        <w:rPr>
          <w:sz w:val="24"/>
          <w:lang w:val="fr-FR"/>
        </w:rPr>
        <w:t xml:space="preserve">31. </w:t>
      </w:r>
      <w:r w:rsidRPr="0020759F">
        <w:rPr>
          <w:sz w:val="24"/>
          <w:lang w:val="fr-FR"/>
        </w:rPr>
        <w:tab/>
        <w:t>Rivotril (clonazépam) : Modification des conditions de prescription et de délivrance - Lettre aux professionnels de santé - Actualisé le 04/01/2012 - ANSM : Agence nationale de sécurité du médicament et des produits de santé [Internet]. [cité 2018]. Disponible sur: http://ansm.sante.fr/S-informer/Informations-de-securite-Lettres-aux-professionnels-de-sante/Rivotril-clonazepam-Modification-des-conditions-de-prescription-et-de-delivrance-Lettre-aux-professionnels-de-sante-Actualise-le-04-01-2012</w:t>
      </w:r>
    </w:p>
    <w:p w14:paraId="14FE242A" w14:textId="77777777" w:rsidR="00445DDF" w:rsidRPr="0020759F" w:rsidRDefault="00445DDF" w:rsidP="001B5602">
      <w:pPr>
        <w:pStyle w:val="Bibliography"/>
        <w:rPr>
          <w:sz w:val="24"/>
        </w:rPr>
      </w:pPr>
      <w:r w:rsidRPr="0020759F">
        <w:rPr>
          <w:sz w:val="24"/>
          <w:lang w:val="da-DK"/>
        </w:rPr>
        <w:t xml:space="preserve">32. </w:t>
      </w:r>
      <w:r w:rsidRPr="0020759F">
        <w:rPr>
          <w:sz w:val="24"/>
          <w:lang w:val="da-DK"/>
        </w:rPr>
        <w:tab/>
        <w:t xml:space="preserve">Olafsson E, Hallgrimsson JT, Hauser WA, et al. </w:t>
      </w:r>
      <w:r w:rsidRPr="0020759F">
        <w:rPr>
          <w:sz w:val="24"/>
        </w:rPr>
        <w:t>Pregnancies of Women with Epilepsy: A Population‐Based Study in Iceland. Epilepsia. 1998; 39(8):887</w:t>
      </w:r>
      <w:r w:rsidRPr="0020759F">
        <w:rPr>
          <w:rFonts w:ascii="MS Gothic" w:eastAsia="Times New Roman" w:hAnsi="MS Gothic" w:cs="MS Gothic" w:hint="eastAsia"/>
          <w:sz w:val="24"/>
        </w:rPr>
        <w:t>‑</w:t>
      </w:r>
      <w:r w:rsidRPr="0020759F">
        <w:rPr>
          <w:sz w:val="24"/>
        </w:rPr>
        <w:t xml:space="preserve">92. </w:t>
      </w:r>
    </w:p>
    <w:p w14:paraId="74BE1CEC" w14:textId="77777777" w:rsidR="00445DDF" w:rsidRPr="0020759F" w:rsidRDefault="00445DDF" w:rsidP="001B5602">
      <w:pPr>
        <w:pStyle w:val="Bibliography"/>
        <w:rPr>
          <w:sz w:val="24"/>
        </w:rPr>
      </w:pPr>
      <w:r w:rsidRPr="0020759F">
        <w:rPr>
          <w:sz w:val="24"/>
        </w:rPr>
        <w:t xml:space="preserve">33. </w:t>
      </w:r>
      <w:r w:rsidRPr="0020759F">
        <w:rPr>
          <w:sz w:val="24"/>
        </w:rPr>
        <w:tab/>
        <w:t>Murphy S, Bennett K, Doherty CP. Prescribing trends for sodium valproate in Ireland. Seizure. 2016; 36:44</w:t>
      </w:r>
      <w:r w:rsidRPr="0020759F">
        <w:rPr>
          <w:rFonts w:ascii="MS Gothic" w:eastAsia="Times New Roman" w:hAnsi="MS Gothic" w:cs="MS Gothic" w:hint="eastAsia"/>
          <w:sz w:val="24"/>
        </w:rPr>
        <w:t>‑</w:t>
      </w:r>
      <w:r w:rsidRPr="0020759F">
        <w:rPr>
          <w:sz w:val="24"/>
        </w:rPr>
        <w:t xml:space="preserve">8. </w:t>
      </w:r>
    </w:p>
    <w:p w14:paraId="3C687662" w14:textId="77777777" w:rsidR="00445DDF" w:rsidRPr="0020759F" w:rsidRDefault="00445DDF" w:rsidP="001B5602">
      <w:pPr>
        <w:pStyle w:val="Bibliography"/>
        <w:rPr>
          <w:sz w:val="24"/>
        </w:rPr>
      </w:pPr>
      <w:r w:rsidRPr="0020759F">
        <w:rPr>
          <w:sz w:val="24"/>
        </w:rPr>
        <w:lastRenderedPageBreak/>
        <w:t xml:space="preserve">34. </w:t>
      </w:r>
      <w:r w:rsidRPr="0020759F">
        <w:rPr>
          <w:sz w:val="24"/>
        </w:rPr>
        <w:tab/>
        <w:t>Ackers R, Besag FMC, Wade A, et al. Changing trends in antiepileptic drug prescribing in girls of child-bearing potential. Arch Dis Child. 2009; 94(6):443</w:t>
      </w:r>
      <w:r w:rsidRPr="0020759F">
        <w:rPr>
          <w:rFonts w:ascii="MS Gothic" w:eastAsia="Times New Roman" w:hAnsi="MS Gothic" w:cs="MS Gothic" w:hint="eastAsia"/>
          <w:sz w:val="24"/>
        </w:rPr>
        <w:t>‑</w:t>
      </w:r>
      <w:r w:rsidRPr="0020759F">
        <w:rPr>
          <w:sz w:val="24"/>
        </w:rPr>
        <w:t xml:space="preserve">7. </w:t>
      </w:r>
    </w:p>
    <w:p w14:paraId="0E924FC4" w14:textId="77777777" w:rsidR="00445DDF" w:rsidRPr="0020759F" w:rsidRDefault="00445DDF" w:rsidP="001B5602">
      <w:pPr>
        <w:pStyle w:val="Bibliography"/>
        <w:rPr>
          <w:sz w:val="24"/>
        </w:rPr>
      </w:pPr>
      <w:r w:rsidRPr="0020759F">
        <w:rPr>
          <w:sz w:val="24"/>
        </w:rPr>
        <w:t xml:space="preserve">35. </w:t>
      </w:r>
      <w:r w:rsidRPr="0020759F">
        <w:rPr>
          <w:sz w:val="24"/>
        </w:rPr>
        <w:tab/>
        <w:t>Vajda FJE, Hollingworth S, Graham J, et al. Changing patterns of antiepileptic drug use in pregnant Australian women. Acta Neurol Scand. 2010; 121(2):89</w:t>
      </w:r>
      <w:r w:rsidRPr="0020759F">
        <w:rPr>
          <w:rFonts w:ascii="MS Gothic" w:eastAsia="Times New Roman" w:hAnsi="MS Gothic" w:cs="MS Gothic" w:hint="eastAsia"/>
          <w:sz w:val="24"/>
        </w:rPr>
        <w:t>‑</w:t>
      </w:r>
      <w:r w:rsidRPr="0020759F">
        <w:rPr>
          <w:sz w:val="24"/>
        </w:rPr>
        <w:t xml:space="preserve">93. </w:t>
      </w:r>
    </w:p>
    <w:p w14:paraId="1E0AD498" w14:textId="77777777" w:rsidR="00445DDF" w:rsidRPr="0020759F" w:rsidRDefault="00445DDF" w:rsidP="001B5602">
      <w:pPr>
        <w:pStyle w:val="Bibliography"/>
        <w:rPr>
          <w:sz w:val="24"/>
        </w:rPr>
      </w:pPr>
      <w:r w:rsidRPr="0020759F">
        <w:rPr>
          <w:sz w:val="24"/>
        </w:rPr>
        <w:t xml:space="preserve">36. </w:t>
      </w:r>
      <w:r w:rsidRPr="0020759F">
        <w:rPr>
          <w:sz w:val="24"/>
        </w:rPr>
        <w:tab/>
        <w:t>Dichter MA, Brodie MJ. New antiepileptic drugs. N Engl J Med. 1996; 334(24):1583</w:t>
      </w:r>
      <w:r w:rsidRPr="0020759F">
        <w:rPr>
          <w:rFonts w:ascii="MS Gothic" w:eastAsia="Times New Roman" w:hAnsi="MS Gothic" w:cs="MS Gothic" w:hint="eastAsia"/>
          <w:sz w:val="24"/>
        </w:rPr>
        <w:t>‑</w:t>
      </w:r>
      <w:r w:rsidRPr="0020759F">
        <w:rPr>
          <w:sz w:val="24"/>
        </w:rPr>
        <w:t xml:space="preserve">90. </w:t>
      </w:r>
    </w:p>
    <w:p w14:paraId="208A7C26" w14:textId="77777777" w:rsidR="00445DDF" w:rsidRPr="0020759F" w:rsidRDefault="00445DDF" w:rsidP="001B5602">
      <w:pPr>
        <w:pStyle w:val="Bibliography"/>
        <w:rPr>
          <w:sz w:val="24"/>
        </w:rPr>
      </w:pPr>
      <w:r w:rsidRPr="0020759F">
        <w:rPr>
          <w:sz w:val="24"/>
        </w:rPr>
        <w:t xml:space="preserve">37. </w:t>
      </w:r>
      <w:r w:rsidRPr="0020759F">
        <w:rPr>
          <w:sz w:val="24"/>
        </w:rPr>
        <w:tab/>
        <w:t xml:space="preserve">Morrell MJ. The new antiepileptic drugs and women: efficacy, reproductive health, pregnancy, and fetal outcome. Epilepsia. 1996; 37 Suppl 6:S34-44. </w:t>
      </w:r>
    </w:p>
    <w:p w14:paraId="7BC988BB" w14:textId="77777777" w:rsidR="00445DDF" w:rsidRPr="0020759F" w:rsidRDefault="00445DDF" w:rsidP="001B5602">
      <w:pPr>
        <w:pStyle w:val="Bibliography"/>
        <w:rPr>
          <w:sz w:val="24"/>
          <w:lang w:val="fr-FR"/>
        </w:rPr>
      </w:pPr>
      <w:r w:rsidRPr="0020759F">
        <w:rPr>
          <w:sz w:val="24"/>
        </w:rPr>
        <w:t xml:space="preserve">38. </w:t>
      </w:r>
      <w:r w:rsidRPr="0020759F">
        <w:rPr>
          <w:sz w:val="24"/>
        </w:rPr>
        <w:tab/>
        <w:t xml:space="preserve">Holmes LB, Baldwin EJ, Smith CR, et al. Increased frequency of isolated cleft palate in infants exposed to lamotrigine during pregnancy. </w:t>
      </w:r>
      <w:r w:rsidRPr="0020759F">
        <w:rPr>
          <w:sz w:val="24"/>
          <w:lang w:val="fr-FR"/>
        </w:rPr>
        <w:t>Neurology. 2008; 70(22 Pt 2):2152</w:t>
      </w:r>
      <w:r w:rsidRPr="0020759F">
        <w:rPr>
          <w:rFonts w:ascii="MS Gothic" w:eastAsia="Times New Roman" w:hAnsi="MS Gothic" w:cs="MS Gothic"/>
          <w:sz w:val="24"/>
          <w:lang w:val="fr-FR"/>
        </w:rPr>
        <w:t>‑</w:t>
      </w:r>
      <w:r w:rsidRPr="0020759F">
        <w:rPr>
          <w:sz w:val="24"/>
          <w:lang w:val="fr-FR"/>
        </w:rPr>
        <w:t xml:space="preserve">8. </w:t>
      </w:r>
    </w:p>
    <w:p w14:paraId="7D8F6058" w14:textId="77777777" w:rsidR="00445DDF" w:rsidRPr="0020759F" w:rsidRDefault="00445DDF" w:rsidP="001B5602">
      <w:pPr>
        <w:pStyle w:val="Bibliography"/>
        <w:rPr>
          <w:sz w:val="24"/>
        </w:rPr>
      </w:pPr>
      <w:r w:rsidRPr="0020759F">
        <w:rPr>
          <w:sz w:val="24"/>
          <w:lang w:val="fr-FR"/>
        </w:rPr>
        <w:t xml:space="preserve">39. </w:t>
      </w:r>
      <w:r w:rsidRPr="0020759F">
        <w:rPr>
          <w:sz w:val="24"/>
          <w:lang w:val="fr-FR"/>
        </w:rPr>
        <w:tab/>
        <w:t xml:space="preserve">Pariente G, Leibson T, Shulman T, et al. </w:t>
      </w:r>
      <w:r w:rsidRPr="0020759F">
        <w:rPr>
          <w:sz w:val="24"/>
        </w:rPr>
        <w:t>Pregnancy Outcomes Following In Utero Exposure to Lamotrigine: A Systematic Review and Meta-Analysis. CNS Drugs. 2017; 31(6):439</w:t>
      </w:r>
      <w:r w:rsidRPr="0020759F">
        <w:rPr>
          <w:rFonts w:ascii="MS Gothic" w:eastAsia="Times New Roman" w:hAnsi="MS Gothic" w:cs="MS Gothic" w:hint="eastAsia"/>
          <w:sz w:val="24"/>
        </w:rPr>
        <w:t>‑</w:t>
      </w:r>
      <w:r w:rsidRPr="0020759F">
        <w:rPr>
          <w:sz w:val="24"/>
        </w:rPr>
        <w:t xml:space="preserve">50. </w:t>
      </w:r>
    </w:p>
    <w:p w14:paraId="00701E43" w14:textId="77777777" w:rsidR="00445DDF" w:rsidRPr="0020759F" w:rsidRDefault="00445DDF" w:rsidP="001B5602">
      <w:pPr>
        <w:pStyle w:val="Bibliography"/>
        <w:rPr>
          <w:sz w:val="24"/>
        </w:rPr>
      </w:pPr>
      <w:r w:rsidRPr="0020759F">
        <w:rPr>
          <w:sz w:val="24"/>
        </w:rPr>
        <w:t xml:space="preserve">40. </w:t>
      </w:r>
      <w:r w:rsidRPr="0020759F">
        <w:rPr>
          <w:sz w:val="24"/>
        </w:rPr>
        <w:tab/>
        <w:t>Diav-Citrin O, Shechtman S, Arnon J, et al. Is carbamazepine teratogenic? A prospective controlled study of 210 pregnancies. Neurology. 2001; 57(2):321</w:t>
      </w:r>
      <w:r w:rsidRPr="0020759F">
        <w:rPr>
          <w:rFonts w:ascii="MS Gothic" w:eastAsia="Times New Roman" w:hAnsi="MS Gothic" w:cs="MS Gothic" w:hint="eastAsia"/>
          <w:sz w:val="24"/>
        </w:rPr>
        <w:t>‑</w:t>
      </w:r>
      <w:r w:rsidRPr="0020759F">
        <w:rPr>
          <w:sz w:val="24"/>
        </w:rPr>
        <w:t xml:space="preserve">4. </w:t>
      </w:r>
    </w:p>
    <w:p w14:paraId="6845A16A" w14:textId="77777777" w:rsidR="00445DDF" w:rsidRPr="0020759F" w:rsidRDefault="00445DDF" w:rsidP="001B5602">
      <w:pPr>
        <w:pStyle w:val="Bibliography"/>
        <w:rPr>
          <w:sz w:val="24"/>
          <w:lang w:val="da-DK"/>
        </w:rPr>
      </w:pPr>
      <w:r w:rsidRPr="0020759F">
        <w:rPr>
          <w:sz w:val="24"/>
        </w:rPr>
        <w:t xml:space="preserve">41. </w:t>
      </w:r>
      <w:r w:rsidRPr="0020759F">
        <w:rPr>
          <w:sz w:val="24"/>
        </w:rPr>
        <w:tab/>
        <w:t xml:space="preserve">Rosa FW. Spina bifida in infants of women treated with carbamazepine during pregnancy. </w:t>
      </w:r>
      <w:r w:rsidRPr="0020759F">
        <w:rPr>
          <w:sz w:val="24"/>
          <w:lang w:val="da-DK"/>
        </w:rPr>
        <w:t>N Engl J Med. 1991; 324(10):674</w:t>
      </w:r>
      <w:r w:rsidRPr="0020759F">
        <w:rPr>
          <w:rFonts w:ascii="MS Gothic" w:eastAsia="Times New Roman" w:hAnsi="MS Gothic" w:cs="MS Gothic"/>
          <w:sz w:val="24"/>
          <w:lang w:val="da-DK"/>
        </w:rPr>
        <w:t>‑</w:t>
      </w:r>
      <w:r w:rsidRPr="0020759F">
        <w:rPr>
          <w:sz w:val="24"/>
          <w:lang w:val="da-DK"/>
        </w:rPr>
        <w:t xml:space="preserve">7. </w:t>
      </w:r>
    </w:p>
    <w:p w14:paraId="524E5EBD" w14:textId="77777777" w:rsidR="00445DDF" w:rsidRPr="0020759F" w:rsidRDefault="00445DDF" w:rsidP="001B5602">
      <w:pPr>
        <w:pStyle w:val="Bibliography"/>
        <w:rPr>
          <w:sz w:val="24"/>
        </w:rPr>
      </w:pPr>
      <w:r w:rsidRPr="0020759F">
        <w:rPr>
          <w:sz w:val="24"/>
          <w:lang w:val="da-DK"/>
        </w:rPr>
        <w:t xml:space="preserve">42. </w:t>
      </w:r>
      <w:r w:rsidRPr="0020759F">
        <w:rPr>
          <w:sz w:val="24"/>
          <w:lang w:val="da-DK"/>
        </w:rPr>
        <w:tab/>
        <w:t xml:space="preserve">Jones KL, Lacro RV, Johnson KA, et al. </w:t>
      </w:r>
      <w:r w:rsidRPr="0020759F">
        <w:rPr>
          <w:sz w:val="24"/>
        </w:rPr>
        <w:t>Pattern of malformations in the children of women treated with carbamazepine during pregnancy. N Engl J Med. 1989; 320(25):1661</w:t>
      </w:r>
      <w:r w:rsidRPr="0020759F">
        <w:rPr>
          <w:rFonts w:ascii="MS Mincho" w:eastAsia="Times New Roman" w:hAnsi="MS Mincho" w:cs="MS Mincho" w:hint="eastAsia"/>
          <w:sz w:val="24"/>
        </w:rPr>
        <w:t>‑</w:t>
      </w:r>
      <w:r w:rsidRPr="0020759F">
        <w:rPr>
          <w:sz w:val="24"/>
        </w:rPr>
        <w:t xml:space="preserve">6. </w:t>
      </w:r>
    </w:p>
    <w:p w14:paraId="239547F0" w14:textId="77777777" w:rsidR="00445DDF" w:rsidRPr="0020759F" w:rsidRDefault="00445DDF" w:rsidP="00F14219">
      <w:pPr>
        <w:spacing w:line="480" w:lineRule="auto"/>
        <w:rPr>
          <w:b/>
          <w:lang w:val="en-US"/>
        </w:rPr>
      </w:pPr>
      <w:r w:rsidRPr="0020759F">
        <w:fldChar w:fldCharType="end"/>
      </w:r>
    </w:p>
    <w:p w14:paraId="30F57C68" w14:textId="77777777" w:rsidR="00445DDF" w:rsidRPr="0020759F" w:rsidRDefault="00445DDF" w:rsidP="002C5CEB">
      <w:pPr>
        <w:spacing w:line="240" w:lineRule="auto"/>
        <w:rPr>
          <w:b/>
          <w:lang w:val="en-US"/>
        </w:rPr>
      </w:pPr>
    </w:p>
    <w:p w14:paraId="54B280CA" w14:textId="77777777" w:rsidR="00445DDF" w:rsidRPr="0020759F" w:rsidRDefault="00445DDF" w:rsidP="002C5CEB">
      <w:pPr>
        <w:spacing w:line="240" w:lineRule="auto"/>
        <w:rPr>
          <w:b/>
          <w:lang w:val="en-US"/>
        </w:rPr>
      </w:pPr>
    </w:p>
    <w:p w14:paraId="5F03AB82" w14:textId="77777777" w:rsidR="00445DDF" w:rsidRPr="0020759F" w:rsidRDefault="00445DDF" w:rsidP="002C5CEB">
      <w:pPr>
        <w:spacing w:line="240" w:lineRule="auto"/>
        <w:rPr>
          <w:b/>
          <w:lang w:val="en-US"/>
        </w:rPr>
      </w:pPr>
    </w:p>
    <w:p w14:paraId="2AD78A2C" w14:textId="77777777" w:rsidR="00445DDF" w:rsidRPr="0020759F" w:rsidRDefault="00445DDF" w:rsidP="002C5CEB">
      <w:pPr>
        <w:spacing w:line="240" w:lineRule="auto"/>
        <w:rPr>
          <w:b/>
          <w:lang w:val="en-US"/>
        </w:rPr>
      </w:pPr>
    </w:p>
    <w:p w14:paraId="29DC7BB3" w14:textId="77777777" w:rsidR="00445DDF" w:rsidRPr="0020759F" w:rsidRDefault="00445DDF" w:rsidP="002C5CEB">
      <w:pPr>
        <w:spacing w:line="240" w:lineRule="auto"/>
        <w:rPr>
          <w:b/>
          <w:lang w:val="en-US"/>
        </w:rPr>
      </w:pPr>
    </w:p>
    <w:p w14:paraId="0A8240F8" w14:textId="77777777" w:rsidR="00445DDF" w:rsidRPr="0020759F" w:rsidRDefault="00445DDF" w:rsidP="002C5CEB">
      <w:pPr>
        <w:spacing w:line="240" w:lineRule="auto"/>
        <w:rPr>
          <w:b/>
          <w:lang w:val="en-US"/>
        </w:rPr>
      </w:pPr>
    </w:p>
    <w:p w14:paraId="420333C0" w14:textId="77777777" w:rsidR="00445DDF" w:rsidRPr="0020759F" w:rsidRDefault="00445DDF" w:rsidP="002C5CEB">
      <w:pPr>
        <w:spacing w:line="240" w:lineRule="auto"/>
        <w:rPr>
          <w:b/>
          <w:lang w:val="en-US"/>
        </w:rPr>
      </w:pPr>
    </w:p>
    <w:p w14:paraId="0FE5156F" w14:textId="77777777" w:rsidR="00445DDF" w:rsidRPr="0020759F" w:rsidRDefault="00445DDF" w:rsidP="002C5CEB">
      <w:pPr>
        <w:spacing w:line="240" w:lineRule="auto"/>
        <w:rPr>
          <w:b/>
          <w:lang w:val="en-US"/>
        </w:rPr>
      </w:pPr>
    </w:p>
    <w:p w14:paraId="6273FE24" w14:textId="77777777" w:rsidR="00445DDF" w:rsidRPr="0020759F" w:rsidRDefault="00445DDF" w:rsidP="002C5CEB">
      <w:pPr>
        <w:spacing w:line="240" w:lineRule="auto"/>
        <w:rPr>
          <w:b/>
          <w:lang w:val="en-US"/>
        </w:rPr>
      </w:pPr>
    </w:p>
    <w:p w14:paraId="16E99B79" w14:textId="77777777" w:rsidR="00445DDF" w:rsidRPr="0020759F" w:rsidRDefault="00445DDF" w:rsidP="002C5CEB">
      <w:pPr>
        <w:spacing w:line="240" w:lineRule="auto"/>
        <w:rPr>
          <w:b/>
          <w:lang w:val="en-US"/>
        </w:rPr>
      </w:pPr>
    </w:p>
    <w:p w14:paraId="1AFE361E" w14:textId="77777777" w:rsidR="00445DDF" w:rsidRPr="0020759F" w:rsidRDefault="00445DDF" w:rsidP="002C5CEB">
      <w:pPr>
        <w:spacing w:line="240" w:lineRule="auto"/>
        <w:rPr>
          <w:b/>
          <w:lang w:val="en-US"/>
        </w:rPr>
      </w:pPr>
    </w:p>
    <w:p w14:paraId="256EE97A" w14:textId="77777777" w:rsidR="00445DDF" w:rsidRPr="0020759F" w:rsidRDefault="00445DDF" w:rsidP="002C5CEB">
      <w:pPr>
        <w:spacing w:line="240" w:lineRule="auto"/>
        <w:rPr>
          <w:b/>
          <w:lang w:val="en-US"/>
        </w:rPr>
      </w:pPr>
    </w:p>
    <w:p w14:paraId="2AFFB939" w14:textId="77777777" w:rsidR="00445DDF" w:rsidRPr="0020759F" w:rsidRDefault="00445DDF" w:rsidP="002C5CEB">
      <w:pPr>
        <w:spacing w:line="240" w:lineRule="auto"/>
        <w:rPr>
          <w:b/>
          <w:lang w:val="en-US"/>
        </w:rPr>
      </w:pPr>
    </w:p>
    <w:p w14:paraId="2F71999F" w14:textId="77777777" w:rsidR="00445DDF" w:rsidRPr="0020759F" w:rsidRDefault="00445DDF" w:rsidP="002C5CEB">
      <w:pPr>
        <w:spacing w:line="240" w:lineRule="auto"/>
        <w:rPr>
          <w:b/>
          <w:lang w:val="en-US"/>
        </w:rPr>
      </w:pPr>
    </w:p>
    <w:p w14:paraId="341F4167" w14:textId="77777777" w:rsidR="00445DDF" w:rsidRPr="0020759F" w:rsidRDefault="00445DDF" w:rsidP="002C5CEB">
      <w:pPr>
        <w:spacing w:line="240" w:lineRule="auto"/>
        <w:rPr>
          <w:b/>
          <w:lang w:val="en-US"/>
        </w:rPr>
      </w:pPr>
    </w:p>
    <w:p w14:paraId="2E1CE1B0" w14:textId="77777777" w:rsidR="00445DDF" w:rsidRPr="0020759F" w:rsidRDefault="00445DDF" w:rsidP="002C5CEB">
      <w:pPr>
        <w:spacing w:line="240" w:lineRule="auto"/>
        <w:rPr>
          <w:b/>
          <w:lang w:val="en-US"/>
        </w:rPr>
      </w:pPr>
    </w:p>
    <w:p w14:paraId="250AEB8A" w14:textId="77777777" w:rsidR="00445DDF" w:rsidRPr="0020759F" w:rsidRDefault="00445DDF" w:rsidP="002C5CEB">
      <w:pPr>
        <w:spacing w:line="240" w:lineRule="auto"/>
        <w:rPr>
          <w:b/>
          <w:lang w:val="en-US"/>
        </w:rPr>
      </w:pPr>
    </w:p>
    <w:p w14:paraId="2EFAD55D" w14:textId="77777777" w:rsidR="00445DDF" w:rsidRPr="0020759F" w:rsidRDefault="00445DDF" w:rsidP="002C5CEB">
      <w:pPr>
        <w:spacing w:line="240" w:lineRule="auto"/>
        <w:rPr>
          <w:b/>
          <w:lang w:val="en-US"/>
        </w:rPr>
      </w:pPr>
    </w:p>
    <w:p w14:paraId="67D82E85" w14:textId="77777777" w:rsidR="00445DDF" w:rsidRPr="0020759F" w:rsidRDefault="00445DDF" w:rsidP="002C5CEB">
      <w:pPr>
        <w:spacing w:line="240" w:lineRule="auto"/>
        <w:rPr>
          <w:b/>
          <w:lang w:val="en-US"/>
        </w:rPr>
      </w:pPr>
    </w:p>
    <w:p w14:paraId="6B7D8712" w14:textId="77777777" w:rsidR="00445DDF" w:rsidRPr="0020759F" w:rsidRDefault="00445DDF" w:rsidP="002C5CEB">
      <w:pPr>
        <w:spacing w:line="240" w:lineRule="auto"/>
        <w:rPr>
          <w:b/>
          <w:lang w:val="en-US"/>
        </w:rPr>
      </w:pPr>
    </w:p>
    <w:p w14:paraId="49B3A6D0" w14:textId="77777777" w:rsidR="00445DDF" w:rsidRPr="0020759F" w:rsidRDefault="00445DDF" w:rsidP="002C5CEB">
      <w:pPr>
        <w:spacing w:line="240" w:lineRule="auto"/>
        <w:rPr>
          <w:b/>
          <w:lang w:val="en-US"/>
        </w:rPr>
      </w:pPr>
    </w:p>
    <w:p w14:paraId="0C135B59" w14:textId="77777777" w:rsidR="00445DDF" w:rsidRPr="0020759F" w:rsidRDefault="00445DDF" w:rsidP="00A514FA">
      <w:pPr>
        <w:rPr>
          <w:b/>
          <w:lang w:val="en-US"/>
        </w:rPr>
        <w:sectPr w:rsidR="00445DDF" w:rsidRPr="0020759F" w:rsidSect="00A514FA">
          <w:pgSz w:w="11906" w:h="16838"/>
          <w:pgMar w:top="1440" w:right="1440" w:bottom="1440" w:left="1276" w:header="709" w:footer="709" w:gutter="0"/>
          <w:cols w:space="708"/>
          <w:docGrid w:linePitch="360"/>
        </w:sectPr>
      </w:pPr>
    </w:p>
    <w:p w14:paraId="5DA41A61" w14:textId="77777777" w:rsidR="00445DDF" w:rsidRPr="0020759F" w:rsidRDefault="00445DDF" w:rsidP="00A514FA">
      <w:pPr>
        <w:rPr>
          <w:lang w:val="en-US"/>
        </w:rPr>
      </w:pPr>
      <w:r w:rsidRPr="0020759F">
        <w:rPr>
          <w:b/>
          <w:lang w:val="en-US"/>
        </w:rPr>
        <w:lastRenderedPageBreak/>
        <w:t>Table 1 –</w:t>
      </w:r>
      <w:r w:rsidRPr="0020759F">
        <w:rPr>
          <w:lang w:val="en-US"/>
        </w:rPr>
        <w:t xml:space="preserve"> Proportion of each specific AED prescription per 100 AED exposed women during pregnancy in each region</w:t>
      </w:r>
    </w:p>
    <w:p w14:paraId="7B94EC27" w14:textId="77777777" w:rsidR="00445DDF" w:rsidRPr="0020759F" w:rsidRDefault="00445DDF" w:rsidP="00A514FA">
      <w:pPr>
        <w:jc w:val="both"/>
        <w:rPr>
          <w:sz w:val="12"/>
          <w:szCs w:val="12"/>
          <w:lang w:val="en-US"/>
        </w:rPr>
      </w:pPr>
    </w:p>
    <w:tbl>
      <w:tblPr>
        <w:tblW w:w="11320" w:type="dxa"/>
        <w:tblInd w:w="55" w:type="dxa"/>
        <w:tblCellMar>
          <w:left w:w="70" w:type="dxa"/>
          <w:right w:w="70" w:type="dxa"/>
        </w:tblCellMar>
        <w:tblLook w:val="00A0" w:firstRow="1" w:lastRow="0" w:firstColumn="1" w:lastColumn="0" w:noHBand="0" w:noVBand="0"/>
      </w:tblPr>
      <w:tblGrid>
        <w:gridCol w:w="1960"/>
        <w:gridCol w:w="1120"/>
        <w:gridCol w:w="820"/>
        <w:gridCol w:w="1360"/>
        <w:gridCol w:w="820"/>
        <w:gridCol w:w="1300"/>
        <w:gridCol w:w="820"/>
        <w:gridCol w:w="1180"/>
        <w:gridCol w:w="667"/>
        <w:gridCol w:w="1273"/>
      </w:tblGrid>
      <w:tr w:rsidR="00445DDF" w:rsidRPr="0020759F" w14:paraId="088F662E" w14:textId="77777777" w:rsidTr="00A514FA">
        <w:trPr>
          <w:trHeight w:val="300"/>
        </w:trPr>
        <w:tc>
          <w:tcPr>
            <w:tcW w:w="1960" w:type="dxa"/>
            <w:tcBorders>
              <w:top w:val="nil"/>
              <w:left w:val="nil"/>
              <w:bottom w:val="nil"/>
              <w:right w:val="nil"/>
            </w:tcBorders>
            <w:shd w:val="clear" w:color="000000" w:fill="BFBFBF"/>
            <w:noWrap/>
            <w:vAlign w:val="bottom"/>
          </w:tcPr>
          <w:p w14:paraId="1B348A1C" w14:textId="77777777" w:rsidR="00445DDF" w:rsidRPr="0020759F" w:rsidRDefault="00445DDF" w:rsidP="00A514FA">
            <w:pPr>
              <w:spacing w:line="240" w:lineRule="auto"/>
              <w:rPr>
                <w:b/>
                <w:bCs/>
                <w:sz w:val="24"/>
                <w:szCs w:val="24"/>
                <w:lang w:val="en-US" w:eastAsia="fr-FR"/>
              </w:rPr>
            </w:pPr>
            <w:r w:rsidRPr="0020759F">
              <w:rPr>
                <w:b/>
                <w:bCs/>
                <w:sz w:val="24"/>
                <w:szCs w:val="24"/>
                <w:lang w:val="en-US" w:eastAsia="fr-FR"/>
              </w:rPr>
              <w:t> </w:t>
            </w:r>
          </w:p>
        </w:tc>
        <w:tc>
          <w:tcPr>
            <w:tcW w:w="1120" w:type="dxa"/>
            <w:tcBorders>
              <w:top w:val="nil"/>
              <w:left w:val="nil"/>
              <w:bottom w:val="nil"/>
              <w:right w:val="nil"/>
            </w:tcBorders>
            <w:shd w:val="clear" w:color="000000" w:fill="BFBFBF"/>
            <w:noWrap/>
            <w:vAlign w:val="bottom"/>
          </w:tcPr>
          <w:p w14:paraId="49A3040D" w14:textId="77777777" w:rsidR="00445DDF" w:rsidRPr="0020759F" w:rsidRDefault="00445DDF" w:rsidP="00A514FA">
            <w:pPr>
              <w:spacing w:line="240" w:lineRule="auto"/>
              <w:rPr>
                <w:b/>
                <w:bCs/>
                <w:sz w:val="24"/>
                <w:szCs w:val="24"/>
                <w:lang w:val="en-US" w:eastAsia="fr-FR"/>
              </w:rPr>
            </w:pPr>
            <w:r w:rsidRPr="0020759F">
              <w:rPr>
                <w:b/>
                <w:bCs/>
                <w:sz w:val="24"/>
                <w:szCs w:val="24"/>
                <w:lang w:val="en-US" w:eastAsia="fr-FR"/>
              </w:rPr>
              <w:t> </w:t>
            </w:r>
          </w:p>
        </w:tc>
        <w:tc>
          <w:tcPr>
            <w:tcW w:w="2180" w:type="dxa"/>
            <w:gridSpan w:val="2"/>
            <w:tcBorders>
              <w:top w:val="nil"/>
              <w:left w:val="nil"/>
              <w:bottom w:val="single" w:sz="4" w:space="0" w:color="auto"/>
              <w:right w:val="nil"/>
            </w:tcBorders>
            <w:shd w:val="clear" w:color="000000" w:fill="BFBFBF"/>
            <w:noWrap/>
            <w:vAlign w:val="bottom"/>
          </w:tcPr>
          <w:p w14:paraId="0DDF4330" w14:textId="77777777" w:rsidR="00445DDF" w:rsidRPr="0020759F" w:rsidRDefault="00445DDF" w:rsidP="00A514FA">
            <w:pPr>
              <w:spacing w:line="240" w:lineRule="auto"/>
              <w:jc w:val="center"/>
              <w:rPr>
                <w:b/>
                <w:bCs/>
                <w:sz w:val="24"/>
                <w:szCs w:val="24"/>
                <w:lang w:val="fr-FR" w:eastAsia="fr-FR"/>
              </w:rPr>
            </w:pPr>
            <w:r w:rsidRPr="0020759F">
              <w:rPr>
                <w:b/>
                <w:bCs/>
                <w:sz w:val="24"/>
                <w:szCs w:val="24"/>
                <w:lang w:val="fr-FR" w:eastAsia="fr-FR"/>
              </w:rPr>
              <w:t xml:space="preserve">Emilia </w:t>
            </w:r>
            <w:proofErr w:type="spellStart"/>
            <w:r w:rsidRPr="0020759F">
              <w:rPr>
                <w:b/>
                <w:bCs/>
                <w:sz w:val="24"/>
                <w:szCs w:val="24"/>
                <w:lang w:val="fr-FR" w:eastAsia="fr-FR"/>
              </w:rPr>
              <w:t>Romagna</w:t>
            </w:r>
            <w:proofErr w:type="spellEnd"/>
          </w:p>
        </w:tc>
        <w:tc>
          <w:tcPr>
            <w:tcW w:w="2120" w:type="dxa"/>
            <w:gridSpan w:val="2"/>
            <w:tcBorders>
              <w:top w:val="nil"/>
              <w:left w:val="nil"/>
              <w:bottom w:val="single" w:sz="4" w:space="0" w:color="auto"/>
              <w:right w:val="nil"/>
            </w:tcBorders>
            <w:shd w:val="clear" w:color="000000" w:fill="BFBFBF"/>
            <w:noWrap/>
            <w:vAlign w:val="bottom"/>
          </w:tcPr>
          <w:p w14:paraId="49214175" w14:textId="77777777" w:rsidR="00445DDF" w:rsidRPr="0020759F" w:rsidRDefault="00445DDF" w:rsidP="00A514FA">
            <w:pPr>
              <w:spacing w:line="240" w:lineRule="auto"/>
              <w:jc w:val="center"/>
              <w:rPr>
                <w:b/>
                <w:bCs/>
                <w:sz w:val="24"/>
                <w:szCs w:val="24"/>
                <w:lang w:val="fr-FR" w:eastAsia="fr-FR"/>
              </w:rPr>
            </w:pPr>
            <w:proofErr w:type="spellStart"/>
            <w:r w:rsidRPr="0020759F">
              <w:rPr>
                <w:b/>
                <w:bCs/>
                <w:sz w:val="24"/>
                <w:szCs w:val="24"/>
                <w:lang w:val="fr-FR" w:eastAsia="fr-FR"/>
              </w:rPr>
              <w:t>Tuscany</w:t>
            </w:r>
            <w:proofErr w:type="spellEnd"/>
          </w:p>
        </w:tc>
        <w:tc>
          <w:tcPr>
            <w:tcW w:w="2000" w:type="dxa"/>
            <w:gridSpan w:val="2"/>
            <w:tcBorders>
              <w:top w:val="nil"/>
              <w:left w:val="nil"/>
              <w:bottom w:val="single" w:sz="4" w:space="0" w:color="auto"/>
              <w:right w:val="nil"/>
            </w:tcBorders>
            <w:shd w:val="clear" w:color="000000" w:fill="BFBFBF"/>
            <w:noWrap/>
            <w:vAlign w:val="bottom"/>
          </w:tcPr>
          <w:p w14:paraId="1BD9081D" w14:textId="77777777" w:rsidR="00445DDF" w:rsidRPr="0020759F" w:rsidRDefault="00445DDF" w:rsidP="00A514FA">
            <w:pPr>
              <w:spacing w:line="240" w:lineRule="auto"/>
              <w:jc w:val="center"/>
              <w:rPr>
                <w:b/>
                <w:bCs/>
                <w:sz w:val="24"/>
                <w:szCs w:val="24"/>
                <w:lang w:val="fr-FR" w:eastAsia="fr-FR"/>
              </w:rPr>
            </w:pPr>
            <w:r w:rsidRPr="0020759F">
              <w:rPr>
                <w:b/>
                <w:bCs/>
                <w:sz w:val="24"/>
                <w:szCs w:val="24"/>
                <w:lang w:val="fr-FR" w:eastAsia="fr-FR"/>
              </w:rPr>
              <w:t>France</w:t>
            </w:r>
          </w:p>
        </w:tc>
        <w:tc>
          <w:tcPr>
            <w:tcW w:w="1940" w:type="dxa"/>
            <w:gridSpan w:val="2"/>
            <w:tcBorders>
              <w:top w:val="nil"/>
              <w:left w:val="nil"/>
              <w:bottom w:val="single" w:sz="4" w:space="0" w:color="auto"/>
              <w:right w:val="nil"/>
            </w:tcBorders>
            <w:shd w:val="clear" w:color="000000" w:fill="BFBFBF"/>
            <w:noWrap/>
            <w:vAlign w:val="bottom"/>
          </w:tcPr>
          <w:p w14:paraId="7018F582" w14:textId="77777777" w:rsidR="00445DDF" w:rsidRPr="0020759F" w:rsidRDefault="00445DDF" w:rsidP="00A514FA">
            <w:pPr>
              <w:spacing w:line="240" w:lineRule="auto"/>
              <w:jc w:val="center"/>
              <w:rPr>
                <w:b/>
                <w:bCs/>
                <w:sz w:val="24"/>
                <w:szCs w:val="24"/>
                <w:lang w:val="fr-FR" w:eastAsia="fr-FR"/>
              </w:rPr>
            </w:pPr>
            <w:r w:rsidRPr="0020759F">
              <w:rPr>
                <w:b/>
                <w:bCs/>
                <w:sz w:val="24"/>
                <w:szCs w:val="24"/>
                <w:lang w:val="fr-FR" w:eastAsia="fr-FR"/>
              </w:rPr>
              <w:t xml:space="preserve">United </w:t>
            </w:r>
            <w:proofErr w:type="spellStart"/>
            <w:r w:rsidRPr="0020759F">
              <w:rPr>
                <w:b/>
                <w:bCs/>
                <w:sz w:val="24"/>
                <w:szCs w:val="24"/>
                <w:lang w:val="fr-FR" w:eastAsia="fr-FR"/>
              </w:rPr>
              <w:t>Kingdom</w:t>
            </w:r>
            <w:proofErr w:type="spellEnd"/>
          </w:p>
        </w:tc>
      </w:tr>
      <w:tr w:rsidR="00445DDF" w:rsidRPr="0020759F" w14:paraId="681640B3" w14:textId="77777777" w:rsidTr="00A514FA">
        <w:trPr>
          <w:trHeight w:val="315"/>
        </w:trPr>
        <w:tc>
          <w:tcPr>
            <w:tcW w:w="3080" w:type="dxa"/>
            <w:gridSpan w:val="2"/>
            <w:tcBorders>
              <w:top w:val="single" w:sz="4" w:space="0" w:color="auto"/>
              <w:left w:val="single" w:sz="4" w:space="0" w:color="auto"/>
              <w:bottom w:val="single" w:sz="4" w:space="0" w:color="auto"/>
              <w:right w:val="nil"/>
            </w:tcBorders>
            <w:shd w:val="clear" w:color="000000" w:fill="FFFFFF"/>
            <w:vAlign w:val="center"/>
          </w:tcPr>
          <w:p w14:paraId="004FA032" w14:textId="77777777" w:rsidR="00445DDF" w:rsidRPr="0020759F" w:rsidRDefault="00445DDF" w:rsidP="00A514FA">
            <w:pPr>
              <w:spacing w:line="240" w:lineRule="auto"/>
              <w:jc w:val="center"/>
              <w:rPr>
                <w:b/>
                <w:bCs/>
                <w:i/>
                <w:iCs/>
                <w:sz w:val="20"/>
                <w:szCs w:val="20"/>
                <w:lang w:val="fr-FR" w:eastAsia="fr-FR"/>
              </w:rPr>
            </w:pPr>
            <w:r w:rsidRPr="0020759F">
              <w:rPr>
                <w:b/>
                <w:bCs/>
                <w:i/>
                <w:iCs/>
                <w:sz w:val="20"/>
                <w:szCs w:val="20"/>
                <w:lang w:val="fr-FR" w:eastAsia="fr-FR"/>
              </w:rPr>
              <w:t> </w:t>
            </w:r>
          </w:p>
        </w:tc>
        <w:tc>
          <w:tcPr>
            <w:tcW w:w="820" w:type="dxa"/>
            <w:tcBorders>
              <w:top w:val="nil"/>
              <w:left w:val="nil"/>
              <w:bottom w:val="single" w:sz="4" w:space="0" w:color="auto"/>
              <w:right w:val="nil"/>
            </w:tcBorders>
            <w:shd w:val="clear" w:color="000000" w:fill="FFFFFF"/>
            <w:vAlign w:val="center"/>
          </w:tcPr>
          <w:p w14:paraId="09C15B76"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N</w:t>
            </w:r>
          </w:p>
        </w:tc>
        <w:tc>
          <w:tcPr>
            <w:tcW w:w="1360" w:type="dxa"/>
            <w:tcBorders>
              <w:top w:val="nil"/>
              <w:left w:val="nil"/>
              <w:bottom w:val="single" w:sz="4" w:space="0" w:color="auto"/>
              <w:right w:val="nil"/>
            </w:tcBorders>
            <w:shd w:val="clear" w:color="000000" w:fill="FFFFFF"/>
            <w:vAlign w:val="center"/>
          </w:tcPr>
          <w:p w14:paraId="59DE614F"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 xml:space="preserve">%  </w:t>
            </w:r>
          </w:p>
        </w:tc>
        <w:tc>
          <w:tcPr>
            <w:tcW w:w="820" w:type="dxa"/>
            <w:tcBorders>
              <w:top w:val="nil"/>
              <w:left w:val="nil"/>
              <w:bottom w:val="single" w:sz="4" w:space="0" w:color="auto"/>
              <w:right w:val="nil"/>
            </w:tcBorders>
            <w:shd w:val="clear" w:color="000000" w:fill="FFFFFF"/>
            <w:vAlign w:val="center"/>
          </w:tcPr>
          <w:p w14:paraId="4347F8B1"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N</w:t>
            </w:r>
          </w:p>
        </w:tc>
        <w:tc>
          <w:tcPr>
            <w:tcW w:w="1300" w:type="dxa"/>
            <w:tcBorders>
              <w:top w:val="nil"/>
              <w:left w:val="nil"/>
              <w:bottom w:val="single" w:sz="4" w:space="0" w:color="auto"/>
              <w:right w:val="nil"/>
            </w:tcBorders>
            <w:shd w:val="clear" w:color="000000" w:fill="FFFFFF"/>
            <w:vAlign w:val="center"/>
          </w:tcPr>
          <w:p w14:paraId="3B1C8986"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 xml:space="preserve">% </w:t>
            </w:r>
          </w:p>
        </w:tc>
        <w:tc>
          <w:tcPr>
            <w:tcW w:w="820" w:type="dxa"/>
            <w:tcBorders>
              <w:top w:val="nil"/>
              <w:left w:val="nil"/>
              <w:bottom w:val="single" w:sz="4" w:space="0" w:color="auto"/>
              <w:right w:val="nil"/>
            </w:tcBorders>
            <w:shd w:val="clear" w:color="000000" w:fill="FFFFFF"/>
            <w:vAlign w:val="center"/>
          </w:tcPr>
          <w:p w14:paraId="50D4B0BF"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N</w:t>
            </w:r>
          </w:p>
        </w:tc>
        <w:tc>
          <w:tcPr>
            <w:tcW w:w="1180" w:type="dxa"/>
            <w:tcBorders>
              <w:top w:val="nil"/>
              <w:left w:val="nil"/>
              <w:bottom w:val="single" w:sz="4" w:space="0" w:color="auto"/>
              <w:right w:val="nil"/>
            </w:tcBorders>
            <w:shd w:val="clear" w:color="000000" w:fill="FFFFFF"/>
            <w:vAlign w:val="center"/>
          </w:tcPr>
          <w:p w14:paraId="0A8D6BC7"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 xml:space="preserve">% </w:t>
            </w:r>
          </w:p>
        </w:tc>
        <w:tc>
          <w:tcPr>
            <w:tcW w:w="667" w:type="dxa"/>
            <w:tcBorders>
              <w:top w:val="nil"/>
              <w:left w:val="nil"/>
              <w:bottom w:val="single" w:sz="4" w:space="0" w:color="auto"/>
              <w:right w:val="nil"/>
            </w:tcBorders>
            <w:shd w:val="clear" w:color="000000" w:fill="FFFFFF"/>
            <w:vAlign w:val="center"/>
          </w:tcPr>
          <w:p w14:paraId="6E6C6358"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N</w:t>
            </w:r>
          </w:p>
        </w:tc>
        <w:tc>
          <w:tcPr>
            <w:tcW w:w="1273" w:type="dxa"/>
            <w:tcBorders>
              <w:top w:val="nil"/>
              <w:left w:val="nil"/>
              <w:bottom w:val="single" w:sz="4" w:space="0" w:color="auto"/>
              <w:right w:val="nil"/>
            </w:tcBorders>
            <w:shd w:val="clear" w:color="000000" w:fill="FFFFFF"/>
            <w:vAlign w:val="center"/>
          </w:tcPr>
          <w:p w14:paraId="4F2C0DB2"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 xml:space="preserve">% </w:t>
            </w:r>
          </w:p>
        </w:tc>
      </w:tr>
      <w:tr w:rsidR="00445DDF" w:rsidRPr="0020759F" w14:paraId="21978819" w14:textId="77777777" w:rsidTr="00A514FA">
        <w:trPr>
          <w:trHeight w:val="300"/>
        </w:trPr>
        <w:tc>
          <w:tcPr>
            <w:tcW w:w="1960" w:type="dxa"/>
            <w:tcBorders>
              <w:top w:val="nil"/>
              <w:left w:val="nil"/>
              <w:bottom w:val="dashed" w:sz="4" w:space="0" w:color="auto"/>
              <w:right w:val="nil"/>
            </w:tcBorders>
            <w:shd w:val="clear" w:color="auto" w:fill="F2F2F2"/>
            <w:vAlign w:val="center"/>
          </w:tcPr>
          <w:p w14:paraId="38BD0777" w14:textId="77777777" w:rsidR="00445DDF" w:rsidRPr="0020759F" w:rsidRDefault="00445DDF" w:rsidP="00A514FA">
            <w:pPr>
              <w:spacing w:line="240" w:lineRule="auto"/>
              <w:rPr>
                <w:b/>
                <w:bCs/>
                <w:sz w:val="20"/>
                <w:szCs w:val="20"/>
                <w:lang w:val="fr-FR" w:eastAsia="fr-FR"/>
              </w:rPr>
            </w:pPr>
            <w:r w:rsidRPr="0020759F">
              <w:rPr>
                <w:b/>
                <w:bCs/>
                <w:sz w:val="20"/>
                <w:szCs w:val="20"/>
                <w:lang w:val="fr-FR" w:eastAsia="fr-FR"/>
              </w:rPr>
              <w:t> </w:t>
            </w:r>
          </w:p>
        </w:tc>
        <w:tc>
          <w:tcPr>
            <w:tcW w:w="1120" w:type="dxa"/>
            <w:tcBorders>
              <w:top w:val="nil"/>
              <w:left w:val="nil"/>
              <w:bottom w:val="dashed" w:sz="4" w:space="0" w:color="auto"/>
              <w:right w:val="nil"/>
            </w:tcBorders>
            <w:shd w:val="clear" w:color="auto" w:fill="F2F2F2"/>
            <w:vAlign w:val="center"/>
          </w:tcPr>
          <w:p w14:paraId="46D44469" w14:textId="77777777" w:rsidR="00445DDF" w:rsidRPr="0020759F" w:rsidRDefault="00445DDF" w:rsidP="00A514FA">
            <w:pPr>
              <w:spacing w:line="240" w:lineRule="auto"/>
              <w:rPr>
                <w:b/>
                <w:bCs/>
                <w:sz w:val="20"/>
                <w:szCs w:val="20"/>
                <w:lang w:val="fr-FR" w:eastAsia="fr-FR"/>
              </w:rPr>
            </w:pPr>
            <w:proofErr w:type="spellStart"/>
            <w:r w:rsidRPr="0020759F">
              <w:rPr>
                <w:b/>
                <w:bCs/>
                <w:sz w:val="20"/>
                <w:szCs w:val="20"/>
                <w:lang w:val="fr-FR" w:eastAsia="fr-FR"/>
              </w:rPr>
              <w:t>Any</w:t>
            </w:r>
            <w:proofErr w:type="spellEnd"/>
            <w:r w:rsidRPr="0020759F">
              <w:rPr>
                <w:b/>
                <w:bCs/>
                <w:sz w:val="20"/>
                <w:szCs w:val="20"/>
                <w:lang w:val="fr-FR" w:eastAsia="fr-FR"/>
              </w:rPr>
              <w:t xml:space="preserve"> AED</w:t>
            </w:r>
          </w:p>
        </w:tc>
        <w:tc>
          <w:tcPr>
            <w:tcW w:w="820" w:type="dxa"/>
            <w:tcBorders>
              <w:top w:val="nil"/>
              <w:left w:val="nil"/>
              <w:bottom w:val="dotted" w:sz="4" w:space="0" w:color="auto"/>
              <w:right w:val="nil"/>
            </w:tcBorders>
            <w:shd w:val="clear" w:color="auto" w:fill="F2F2F2"/>
            <w:vAlign w:val="center"/>
          </w:tcPr>
          <w:p w14:paraId="5851445D"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1,057</w:t>
            </w:r>
            <w:r w:rsidRPr="0020759F">
              <w:rPr>
                <w:b/>
                <w:bCs/>
                <w:sz w:val="20"/>
                <w:szCs w:val="20"/>
                <w:vertAlign w:val="superscript"/>
                <w:lang w:val="fr-FR" w:eastAsia="fr-FR"/>
              </w:rPr>
              <w:t>a</w:t>
            </w:r>
          </w:p>
        </w:tc>
        <w:tc>
          <w:tcPr>
            <w:tcW w:w="1360" w:type="dxa"/>
            <w:tcBorders>
              <w:top w:val="nil"/>
              <w:left w:val="nil"/>
              <w:bottom w:val="dotted" w:sz="4" w:space="0" w:color="auto"/>
              <w:right w:val="nil"/>
            </w:tcBorders>
            <w:shd w:val="clear" w:color="auto" w:fill="F2F2F2"/>
            <w:vAlign w:val="center"/>
          </w:tcPr>
          <w:p w14:paraId="40B883EB"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100.0%</w:t>
            </w:r>
          </w:p>
        </w:tc>
        <w:tc>
          <w:tcPr>
            <w:tcW w:w="820" w:type="dxa"/>
            <w:tcBorders>
              <w:top w:val="nil"/>
              <w:left w:val="nil"/>
              <w:bottom w:val="dotted" w:sz="4" w:space="0" w:color="auto"/>
              <w:right w:val="nil"/>
            </w:tcBorders>
            <w:shd w:val="clear" w:color="auto" w:fill="F2F2F2"/>
            <w:vAlign w:val="center"/>
          </w:tcPr>
          <w:p w14:paraId="01A9A9F0"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1,722</w:t>
            </w:r>
            <w:r w:rsidRPr="0020759F">
              <w:rPr>
                <w:b/>
                <w:bCs/>
                <w:sz w:val="20"/>
                <w:szCs w:val="20"/>
                <w:vertAlign w:val="superscript"/>
                <w:lang w:val="fr-FR" w:eastAsia="fr-FR"/>
              </w:rPr>
              <w:t>b</w:t>
            </w:r>
          </w:p>
        </w:tc>
        <w:tc>
          <w:tcPr>
            <w:tcW w:w="1300" w:type="dxa"/>
            <w:tcBorders>
              <w:top w:val="nil"/>
              <w:left w:val="nil"/>
              <w:bottom w:val="dotted" w:sz="4" w:space="0" w:color="auto"/>
              <w:right w:val="nil"/>
            </w:tcBorders>
            <w:shd w:val="clear" w:color="auto" w:fill="F2F2F2"/>
            <w:vAlign w:val="center"/>
          </w:tcPr>
          <w:p w14:paraId="64E90E50"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100.0%</w:t>
            </w:r>
          </w:p>
        </w:tc>
        <w:tc>
          <w:tcPr>
            <w:tcW w:w="820" w:type="dxa"/>
            <w:tcBorders>
              <w:top w:val="nil"/>
              <w:left w:val="nil"/>
              <w:bottom w:val="dotted" w:sz="4" w:space="0" w:color="auto"/>
              <w:right w:val="nil"/>
            </w:tcBorders>
            <w:shd w:val="clear" w:color="auto" w:fill="F2F2F2"/>
            <w:vAlign w:val="center"/>
          </w:tcPr>
          <w:p w14:paraId="5BD700C2"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422</w:t>
            </w:r>
            <w:r w:rsidRPr="0020759F">
              <w:rPr>
                <w:b/>
                <w:bCs/>
                <w:sz w:val="20"/>
                <w:szCs w:val="20"/>
                <w:vertAlign w:val="superscript"/>
                <w:lang w:val="fr-FR" w:eastAsia="fr-FR"/>
              </w:rPr>
              <w:t>c</w:t>
            </w:r>
          </w:p>
        </w:tc>
        <w:tc>
          <w:tcPr>
            <w:tcW w:w="1180" w:type="dxa"/>
            <w:tcBorders>
              <w:top w:val="nil"/>
              <w:left w:val="nil"/>
              <w:bottom w:val="dotted" w:sz="4" w:space="0" w:color="auto"/>
              <w:right w:val="nil"/>
            </w:tcBorders>
            <w:shd w:val="clear" w:color="auto" w:fill="F2F2F2"/>
            <w:vAlign w:val="center"/>
          </w:tcPr>
          <w:p w14:paraId="6244F4C8"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100.0%</w:t>
            </w:r>
          </w:p>
        </w:tc>
        <w:tc>
          <w:tcPr>
            <w:tcW w:w="667" w:type="dxa"/>
            <w:tcBorders>
              <w:top w:val="nil"/>
              <w:left w:val="nil"/>
              <w:bottom w:val="dotted" w:sz="4" w:space="0" w:color="auto"/>
              <w:right w:val="nil"/>
            </w:tcBorders>
            <w:shd w:val="clear" w:color="auto" w:fill="F2F2F2"/>
            <w:vAlign w:val="center"/>
          </w:tcPr>
          <w:p w14:paraId="0A6F827D"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2,956</w:t>
            </w:r>
            <w:r w:rsidRPr="0020759F">
              <w:rPr>
                <w:b/>
                <w:bCs/>
                <w:sz w:val="20"/>
                <w:szCs w:val="20"/>
                <w:vertAlign w:val="superscript"/>
                <w:lang w:val="fr-FR" w:eastAsia="fr-FR"/>
              </w:rPr>
              <w:t>d</w:t>
            </w:r>
          </w:p>
        </w:tc>
        <w:tc>
          <w:tcPr>
            <w:tcW w:w="1273" w:type="dxa"/>
            <w:tcBorders>
              <w:top w:val="nil"/>
              <w:left w:val="nil"/>
              <w:bottom w:val="dotted" w:sz="4" w:space="0" w:color="auto"/>
              <w:right w:val="nil"/>
            </w:tcBorders>
            <w:shd w:val="clear" w:color="auto" w:fill="F2F2F2"/>
            <w:vAlign w:val="center"/>
          </w:tcPr>
          <w:p w14:paraId="72EDA31D" w14:textId="77777777" w:rsidR="00445DDF" w:rsidRPr="0020759F" w:rsidRDefault="00445DDF" w:rsidP="00A514FA">
            <w:pPr>
              <w:spacing w:line="240" w:lineRule="auto"/>
              <w:jc w:val="center"/>
              <w:rPr>
                <w:b/>
                <w:bCs/>
                <w:sz w:val="20"/>
                <w:szCs w:val="20"/>
                <w:lang w:val="fr-FR" w:eastAsia="fr-FR"/>
              </w:rPr>
            </w:pPr>
            <w:r w:rsidRPr="0020759F">
              <w:rPr>
                <w:b/>
                <w:bCs/>
                <w:sz w:val="20"/>
                <w:szCs w:val="20"/>
                <w:lang w:val="fr-FR" w:eastAsia="fr-FR"/>
              </w:rPr>
              <w:t>100.0%</w:t>
            </w:r>
          </w:p>
        </w:tc>
      </w:tr>
      <w:tr w:rsidR="00445DDF" w:rsidRPr="0020759F" w14:paraId="4FCD864B" w14:textId="77777777" w:rsidTr="00A514FA">
        <w:trPr>
          <w:trHeight w:val="300"/>
        </w:trPr>
        <w:tc>
          <w:tcPr>
            <w:tcW w:w="1960" w:type="dxa"/>
            <w:tcBorders>
              <w:top w:val="nil"/>
              <w:left w:val="nil"/>
              <w:bottom w:val="nil"/>
              <w:right w:val="nil"/>
            </w:tcBorders>
            <w:shd w:val="clear" w:color="000000" w:fill="FFFFFF"/>
            <w:vAlign w:val="center"/>
          </w:tcPr>
          <w:p w14:paraId="4D4CE499"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Lamotrigine</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19EAA04B"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N03AX09</w:t>
            </w:r>
          </w:p>
        </w:tc>
        <w:tc>
          <w:tcPr>
            <w:tcW w:w="820" w:type="dxa"/>
            <w:tcBorders>
              <w:top w:val="nil"/>
              <w:left w:val="nil"/>
              <w:bottom w:val="nil"/>
              <w:right w:val="nil"/>
            </w:tcBorders>
            <w:shd w:val="clear" w:color="000000" w:fill="FFFFFF"/>
            <w:vAlign w:val="center"/>
          </w:tcPr>
          <w:p w14:paraId="5914278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197</w:t>
            </w:r>
          </w:p>
        </w:tc>
        <w:tc>
          <w:tcPr>
            <w:tcW w:w="1360" w:type="dxa"/>
            <w:tcBorders>
              <w:top w:val="nil"/>
              <w:left w:val="nil"/>
              <w:bottom w:val="nil"/>
              <w:right w:val="nil"/>
            </w:tcBorders>
            <w:shd w:val="clear" w:color="000000" w:fill="FFFFFF"/>
            <w:vAlign w:val="center"/>
          </w:tcPr>
          <w:p w14:paraId="753C339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18.6%</w:t>
            </w:r>
          </w:p>
        </w:tc>
        <w:tc>
          <w:tcPr>
            <w:tcW w:w="820" w:type="dxa"/>
            <w:tcBorders>
              <w:top w:val="nil"/>
              <w:left w:val="nil"/>
              <w:bottom w:val="nil"/>
              <w:right w:val="nil"/>
            </w:tcBorders>
            <w:shd w:val="clear" w:color="000000" w:fill="FFFFFF"/>
            <w:vAlign w:val="center"/>
          </w:tcPr>
          <w:p w14:paraId="219301E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221</w:t>
            </w:r>
          </w:p>
        </w:tc>
        <w:tc>
          <w:tcPr>
            <w:tcW w:w="1300" w:type="dxa"/>
            <w:tcBorders>
              <w:top w:val="nil"/>
              <w:left w:val="nil"/>
              <w:bottom w:val="nil"/>
              <w:right w:val="nil"/>
            </w:tcBorders>
            <w:shd w:val="clear" w:color="000000" w:fill="FFFFFF"/>
            <w:vAlign w:val="center"/>
          </w:tcPr>
          <w:p w14:paraId="1FBC54EE"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12.8%</w:t>
            </w:r>
          </w:p>
        </w:tc>
        <w:tc>
          <w:tcPr>
            <w:tcW w:w="820" w:type="dxa"/>
            <w:tcBorders>
              <w:top w:val="nil"/>
              <w:left w:val="nil"/>
              <w:bottom w:val="nil"/>
              <w:right w:val="nil"/>
            </w:tcBorders>
            <w:shd w:val="clear" w:color="000000" w:fill="FFFFFF"/>
            <w:vAlign w:val="center"/>
          </w:tcPr>
          <w:p w14:paraId="171304C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123</w:t>
            </w:r>
          </w:p>
        </w:tc>
        <w:tc>
          <w:tcPr>
            <w:tcW w:w="1180" w:type="dxa"/>
            <w:tcBorders>
              <w:top w:val="nil"/>
              <w:left w:val="nil"/>
              <w:bottom w:val="nil"/>
              <w:right w:val="nil"/>
            </w:tcBorders>
            <w:shd w:val="clear" w:color="000000" w:fill="FFFFFF"/>
            <w:vAlign w:val="center"/>
          </w:tcPr>
          <w:p w14:paraId="4FAB29B9"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29.1%</w:t>
            </w:r>
          </w:p>
        </w:tc>
        <w:tc>
          <w:tcPr>
            <w:tcW w:w="667" w:type="dxa"/>
            <w:tcBorders>
              <w:top w:val="nil"/>
              <w:left w:val="nil"/>
              <w:bottom w:val="nil"/>
              <w:right w:val="nil"/>
            </w:tcBorders>
            <w:shd w:val="clear" w:color="000000" w:fill="FFFFFF"/>
            <w:vAlign w:val="center"/>
          </w:tcPr>
          <w:p w14:paraId="746C797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980</w:t>
            </w:r>
          </w:p>
        </w:tc>
        <w:tc>
          <w:tcPr>
            <w:tcW w:w="1273" w:type="dxa"/>
            <w:tcBorders>
              <w:top w:val="nil"/>
              <w:left w:val="nil"/>
              <w:bottom w:val="nil"/>
              <w:right w:val="nil"/>
            </w:tcBorders>
            <w:shd w:val="clear" w:color="000000" w:fill="FFFFFF"/>
            <w:vAlign w:val="center"/>
          </w:tcPr>
          <w:p w14:paraId="007CD39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33.2%</w:t>
            </w:r>
          </w:p>
        </w:tc>
      </w:tr>
      <w:tr w:rsidR="00445DDF" w:rsidRPr="0020759F" w14:paraId="5FC390AB" w14:textId="77777777" w:rsidTr="00A514FA">
        <w:trPr>
          <w:trHeight w:val="300"/>
        </w:trPr>
        <w:tc>
          <w:tcPr>
            <w:tcW w:w="1960" w:type="dxa"/>
            <w:tcBorders>
              <w:top w:val="nil"/>
              <w:left w:val="nil"/>
              <w:bottom w:val="nil"/>
              <w:right w:val="nil"/>
            </w:tcBorders>
            <w:shd w:val="clear" w:color="000000" w:fill="FFFFFF"/>
            <w:vAlign w:val="center"/>
          </w:tcPr>
          <w:p w14:paraId="1AA5C790" w14:textId="77777777" w:rsidR="00445DDF" w:rsidRPr="0020759F" w:rsidRDefault="00445DDF" w:rsidP="00A514FA">
            <w:pPr>
              <w:spacing w:line="240" w:lineRule="auto"/>
              <w:rPr>
                <w:i/>
                <w:iCs/>
                <w:sz w:val="20"/>
                <w:szCs w:val="20"/>
                <w:lang w:val="fr-FR" w:eastAsia="fr-FR"/>
              </w:rPr>
            </w:pPr>
            <w:proofErr w:type="spellStart"/>
            <w:r w:rsidRPr="0020759F">
              <w:rPr>
                <w:i/>
                <w:iCs/>
                <w:sz w:val="20"/>
                <w:szCs w:val="20"/>
                <w:lang w:val="fr-FR" w:eastAsia="fr-FR"/>
              </w:rPr>
              <w:t>Any</w:t>
            </w:r>
            <w:proofErr w:type="spellEnd"/>
            <w:r w:rsidRPr="0020759F">
              <w:rPr>
                <w:i/>
                <w:iCs/>
                <w:sz w:val="20"/>
                <w:szCs w:val="20"/>
                <w:lang w:val="fr-FR" w:eastAsia="fr-FR"/>
              </w:rPr>
              <w:t xml:space="preserve"> valproate</w:t>
            </w:r>
          </w:p>
        </w:tc>
        <w:tc>
          <w:tcPr>
            <w:tcW w:w="1120" w:type="dxa"/>
            <w:tcBorders>
              <w:top w:val="nil"/>
              <w:left w:val="nil"/>
              <w:bottom w:val="nil"/>
              <w:right w:val="nil"/>
            </w:tcBorders>
            <w:shd w:val="clear" w:color="000000" w:fill="FFFFFF"/>
            <w:vAlign w:val="center"/>
          </w:tcPr>
          <w:p w14:paraId="64E595DC" w14:textId="77777777" w:rsidR="00445DDF" w:rsidRPr="0020759F" w:rsidRDefault="00445DDF" w:rsidP="00A514FA">
            <w:pPr>
              <w:spacing w:line="240" w:lineRule="auto"/>
              <w:rPr>
                <w:i/>
                <w:iCs/>
                <w:sz w:val="20"/>
                <w:szCs w:val="20"/>
                <w:lang w:val="fr-FR" w:eastAsia="fr-FR"/>
              </w:rPr>
            </w:pPr>
            <w:r w:rsidRPr="0020759F">
              <w:rPr>
                <w:i/>
                <w:iCs/>
                <w:sz w:val="20"/>
                <w:szCs w:val="20"/>
                <w:lang w:val="fr-FR" w:eastAsia="fr-FR"/>
              </w:rPr>
              <w:t> </w:t>
            </w:r>
          </w:p>
        </w:tc>
        <w:tc>
          <w:tcPr>
            <w:tcW w:w="820" w:type="dxa"/>
            <w:tcBorders>
              <w:top w:val="nil"/>
              <w:left w:val="nil"/>
              <w:bottom w:val="nil"/>
              <w:right w:val="nil"/>
            </w:tcBorders>
            <w:shd w:val="clear" w:color="000000" w:fill="FFFFFF"/>
            <w:vAlign w:val="center"/>
          </w:tcPr>
          <w:p w14:paraId="56B2FBC0" w14:textId="77777777" w:rsidR="00445DDF" w:rsidRPr="0020759F" w:rsidRDefault="00445DDF" w:rsidP="00A514FA">
            <w:pPr>
              <w:spacing w:line="240" w:lineRule="auto"/>
              <w:jc w:val="center"/>
              <w:rPr>
                <w:i/>
                <w:iCs/>
                <w:sz w:val="20"/>
                <w:szCs w:val="20"/>
                <w:lang w:val="fr-FR" w:eastAsia="fr-FR"/>
              </w:rPr>
            </w:pPr>
            <w:r w:rsidRPr="0020759F">
              <w:rPr>
                <w:i/>
                <w:iCs/>
                <w:sz w:val="20"/>
                <w:szCs w:val="20"/>
                <w:lang w:val="fr-FR" w:eastAsia="fr-FR"/>
              </w:rPr>
              <w:t>177</w:t>
            </w:r>
          </w:p>
        </w:tc>
        <w:tc>
          <w:tcPr>
            <w:tcW w:w="1360" w:type="dxa"/>
            <w:tcBorders>
              <w:top w:val="nil"/>
              <w:left w:val="nil"/>
              <w:bottom w:val="nil"/>
              <w:right w:val="nil"/>
            </w:tcBorders>
            <w:shd w:val="clear" w:color="000000" w:fill="FFFFFF"/>
            <w:vAlign w:val="center"/>
          </w:tcPr>
          <w:p w14:paraId="2B70E4FF" w14:textId="77777777" w:rsidR="00445DDF" w:rsidRPr="0020759F" w:rsidRDefault="00445DDF" w:rsidP="00A514FA">
            <w:pPr>
              <w:spacing w:line="240" w:lineRule="auto"/>
              <w:jc w:val="center"/>
              <w:rPr>
                <w:i/>
                <w:sz w:val="20"/>
                <w:szCs w:val="20"/>
                <w:lang w:val="fr-FR" w:eastAsia="fr-FR"/>
              </w:rPr>
            </w:pPr>
            <w:r w:rsidRPr="0020759F">
              <w:rPr>
                <w:i/>
                <w:sz w:val="20"/>
                <w:szCs w:val="20"/>
                <w:lang w:val="fr-FR" w:eastAsia="fr-FR"/>
              </w:rPr>
              <w:t>16.7%</w:t>
            </w:r>
          </w:p>
        </w:tc>
        <w:tc>
          <w:tcPr>
            <w:tcW w:w="820" w:type="dxa"/>
            <w:tcBorders>
              <w:top w:val="nil"/>
              <w:left w:val="nil"/>
              <w:bottom w:val="nil"/>
              <w:right w:val="nil"/>
            </w:tcBorders>
            <w:shd w:val="clear" w:color="000000" w:fill="FFFFFF"/>
            <w:vAlign w:val="center"/>
          </w:tcPr>
          <w:p w14:paraId="250DC1DC" w14:textId="77777777" w:rsidR="00445DDF" w:rsidRPr="0020759F" w:rsidRDefault="00445DDF" w:rsidP="00A514FA">
            <w:pPr>
              <w:spacing w:line="240" w:lineRule="auto"/>
              <w:jc w:val="center"/>
              <w:rPr>
                <w:i/>
                <w:iCs/>
                <w:sz w:val="20"/>
                <w:szCs w:val="20"/>
                <w:lang w:val="fr-FR" w:eastAsia="fr-FR"/>
              </w:rPr>
            </w:pPr>
            <w:r w:rsidRPr="0020759F">
              <w:rPr>
                <w:i/>
                <w:iCs/>
                <w:sz w:val="20"/>
                <w:szCs w:val="20"/>
                <w:lang w:val="fr-FR" w:eastAsia="fr-FR"/>
              </w:rPr>
              <w:t>492</w:t>
            </w:r>
          </w:p>
        </w:tc>
        <w:tc>
          <w:tcPr>
            <w:tcW w:w="1300" w:type="dxa"/>
            <w:tcBorders>
              <w:top w:val="nil"/>
              <w:left w:val="nil"/>
              <w:bottom w:val="nil"/>
              <w:right w:val="nil"/>
            </w:tcBorders>
            <w:shd w:val="clear" w:color="000000" w:fill="FFFFFF"/>
            <w:vAlign w:val="center"/>
          </w:tcPr>
          <w:p w14:paraId="1BD2E9BE" w14:textId="77777777" w:rsidR="00445DDF" w:rsidRPr="0020759F" w:rsidRDefault="00445DDF" w:rsidP="00A514FA">
            <w:pPr>
              <w:spacing w:line="240" w:lineRule="auto"/>
              <w:jc w:val="center"/>
              <w:rPr>
                <w:i/>
                <w:sz w:val="20"/>
                <w:szCs w:val="20"/>
                <w:lang w:val="fr-FR" w:eastAsia="fr-FR"/>
              </w:rPr>
            </w:pPr>
            <w:r w:rsidRPr="0020759F">
              <w:rPr>
                <w:i/>
                <w:sz w:val="20"/>
                <w:szCs w:val="20"/>
                <w:lang w:val="fr-FR" w:eastAsia="fr-FR"/>
              </w:rPr>
              <w:t>28.6%</w:t>
            </w:r>
          </w:p>
        </w:tc>
        <w:tc>
          <w:tcPr>
            <w:tcW w:w="820" w:type="dxa"/>
            <w:tcBorders>
              <w:top w:val="nil"/>
              <w:left w:val="nil"/>
              <w:bottom w:val="nil"/>
              <w:right w:val="nil"/>
            </w:tcBorders>
            <w:shd w:val="clear" w:color="000000" w:fill="FFFFFF"/>
            <w:vAlign w:val="center"/>
          </w:tcPr>
          <w:p w14:paraId="055DE92E" w14:textId="77777777" w:rsidR="00445DDF" w:rsidRPr="0020759F" w:rsidRDefault="00445DDF" w:rsidP="00A514FA">
            <w:pPr>
              <w:spacing w:line="240" w:lineRule="auto"/>
              <w:jc w:val="center"/>
              <w:rPr>
                <w:i/>
                <w:iCs/>
                <w:sz w:val="20"/>
                <w:szCs w:val="20"/>
                <w:lang w:val="fr-FR" w:eastAsia="fr-FR"/>
              </w:rPr>
            </w:pPr>
            <w:r w:rsidRPr="0020759F">
              <w:rPr>
                <w:i/>
                <w:iCs/>
                <w:sz w:val="20"/>
                <w:szCs w:val="20"/>
                <w:lang w:val="fr-FR" w:eastAsia="fr-FR"/>
              </w:rPr>
              <w:t>91</w:t>
            </w:r>
          </w:p>
        </w:tc>
        <w:tc>
          <w:tcPr>
            <w:tcW w:w="1180" w:type="dxa"/>
            <w:tcBorders>
              <w:top w:val="nil"/>
              <w:left w:val="nil"/>
              <w:bottom w:val="nil"/>
              <w:right w:val="nil"/>
            </w:tcBorders>
            <w:shd w:val="clear" w:color="000000" w:fill="FFFFFF"/>
            <w:vAlign w:val="center"/>
          </w:tcPr>
          <w:p w14:paraId="7EC7444D" w14:textId="77777777" w:rsidR="00445DDF" w:rsidRPr="0020759F" w:rsidRDefault="00445DDF" w:rsidP="00A514FA">
            <w:pPr>
              <w:spacing w:line="240" w:lineRule="auto"/>
              <w:jc w:val="center"/>
              <w:rPr>
                <w:i/>
                <w:sz w:val="20"/>
                <w:szCs w:val="20"/>
                <w:lang w:val="fr-FR" w:eastAsia="fr-FR"/>
              </w:rPr>
            </w:pPr>
            <w:r w:rsidRPr="0020759F">
              <w:rPr>
                <w:i/>
                <w:sz w:val="20"/>
                <w:szCs w:val="20"/>
                <w:lang w:val="fr-FR" w:eastAsia="fr-FR"/>
              </w:rPr>
              <w:t>21.6%</w:t>
            </w:r>
          </w:p>
        </w:tc>
        <w:tc>
          <w:tcPr>
            <w:tcW w:w="667" w:type="dxa"/>
            <w:tcBorders>
              <w:top w:val="nil"/>
              <w:left w:val="nil"/>
              <w:bottom w:val="nil"/>
              <w:right w:val="nil"/>
            </w:tcBorders>
            <w:shd w:val="clear" w:color="000000" w:fill="FFFFFF"/>
            <w:vAlign w:val="center"/>
          </w:tcPr>
          <w:p w14:paraId="3D943FD3" w14:textId="77777777" w:rsidR="00445DDF" w:rsidRPr="0020759F" w:rsidRDefault="00445DDF" w:rsidP="00A514FA">
            <w:pPr>
              <w:spacing w:line="240" w:lineRule="auto"/>
              <w:jc w:val="center"/>
              <w:rPr>
                <w:i/>
                <w:iCs/>
                <w:sz w:val="20"/>
                <w:szCs w:val="20"/>
                <w:lang w:val="fr-FR" w:eastAsia="fr-FR"/>
              </w:rPr>
            </w:pPr>
            <w:r w:rsidRPr="0020759F">
              <w:rPr>
                <w:i/>
                <w:iCs/>
                <w:sz w:val="20"/>
                <w:szCs w:val="20"/>
                <w:lang w:val="fr-FR" w:eastAsia="fr-FR"/>
              </w:rPr>
              <w:t>353</w:t>
            </w:r>
          </w:p>
        </w:tc>
        <w:tc>
          <w:tcPr>
            <w:tcW w:w="1273" w:type="dxa"/>
            <w:tcBorders>
              <w:top w:val="nil"/>
              <w:left w:val="nil"/>
              <w:bottom w:val="nil"/>
              <w:right w:val="nil"/>
            </w:tcBorders>
            <w:shd w:val="clear" w:color="000000" w:fill="FFFFFF"/>
            <w:vAlign w:val="center"/>
          </w:tcPr>
          <w:p w14:paraId="7B61533F" w14:textId="77777777" w:rsidR="00445DDF" w:rsidRPr="0020759F" w:rsidRDefault="00445DDF" w:rsidP="00A514FA">
            <w:pPr>
              <w:spacing w:line="240" w:lineRule="auto"/>
              <w:jc w:val="center"/>
              <w:rPr>
                <w:i/>
                <w:sz w:val="20"/>
                <w:szCs w:val="20"/>
                <w:lang w:val="fr-FR" w:eastAsia="fr-FR"/>
              </w:rPr>
            </w:pPr>
            <w:r w:rsidRPr="0020759F">
              <w:rPr>
                <w:i/>
                <w:sz w:val="20"/>
                <w:szCs w:val="20"/>
                <w:lang w:val="fr-FR" w:eastAsia="fr-FR"/>
              </w:rPr>
              <w:t>11.9%</w:t>
            </w:r>
          </w:p>
        </w:tc>
      </w:tr>
      <w:tr w:rsidR="00445DDF" w:rsidRPr="0020759F" w14:paraId="52938CBB" w14:textId="77777777" w:rsidTr="00A514FA">
        <w:trPr>
          <w:trHeight w:val="300"/>
        </w:trPr>
        <w:tc>
          <w:tcPr>
            <w:tcW w:w="1960" w:type="dxa"/>
            <w:tcBorders>
              <w:top w:val="nil"/>
              <w:left w:val="nil"/>
              <w:bottom w:val="nil"/>
              <w:right w:val="nil"/>
            </w:tcBorders>
            <w:shd w:val="clear" w:color="000000" w:fill="FFFFFF"/>
            <w:vAlign w:val="center"/>
          </w:tcPr>
          <w:p w14:paraId="6C91E8D4" w14:textId="77777777" w:rsidR="00445DDF" w:rsidRPr="0020759F" w:rsidRDefault="00445DDF" w:rsidP="00A514FA">
            <w:pPr>
              <w:spacing w:line="240" w:lineRule="auto"/>
              <w:rPr>
                <w:sz w:val="20"/>
                <w:szCs w:val="20"/>
                <w:lang w:val="fr-FR" w:eastAsia="fr-FR"/>
              </w:rPr>
            </w:pPr>
            <w:r w:rsidRPr="0020759F">
              <w:rPr>
                <w:sz w:val="20"/>
                <w:szCs w:val="20"/>
                <w:lang w:val="fr-FR" w:eastAsia="fr-FR"/>
              </w:rPr>
              <w:t xml:space="preserve">         </w:t>
            </w:r>
            <w:proofErr w:type="spellStart"/>
            <w:r w:rsidRPr="0020759F">
              <w:rPr>
                <w:sz w:val="20"/>
                <w:szCs w:val="20"/>
                <w:lang w:val="fr-FR" w:eastAsia="fr-FR"/>
              </w:rPr>
              <w:t>Valproic</w:t>
            </w:r>
            <w:proofErr w:type="spellEnd"/>
            <w:r w:rsidRPr="0020759F">
              <w:rPr>
                <w:sz w:val="20"/>
                <w:szCs w:val="20"/>
                <w:lang w:val="fr-FR" w:eastAsia="fr-FR"/>
              </w:rPr>
              <w:t xml:space="preserve"> </w:t>
            </w:r>
            <w:proofErr w:type="spellStart"/>
            <w:r w:rsidRPr="0020759F">
              <w:rPr>
                <w:sz w:val="20"/>
                <w:szCs w:val="20"/>
                <w:lang w:val="fr-FR" w:eastAsia="fr-FR"/>
              </w:rPr>
              <w:t>acid</w:t>
            </w:r>
            <w:proofErr w:type="spellEnd"/>
          </w:p>
        </w:tc>
        <w:tc>
          <w:tcPr>
            <w:tcW w:w="1120" w:type="dxa"/>
            <w:tcBorders>
              <w:top w:val="nil"/>
              <w:left w:val="nil"/>
              <w:bottom w:val="nil"/>
              <w:right w:val="nil"/>
            </w:tcBorders>
            <w:shd w:val="clear" w:color="000000" w:fill="FFFFFF"/>
            <w:vAlign w:val="center"/>
          </w:tcPr>
          <w:p w14:paraId="349DFEC2"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N03AG01</w:t>
            </w:r>
          </w:p>
        </w:tc>
        <w:tc>
          <w:tcPr>
            <w:tcW w:w="820" w:type="dxa"/>
            <w:tcBorders>
              <w:top w:val="nil"/>
              <w:left w:val="nil"/>
              <w:bottom w:val="nil"/>
              <w:right w:val="nil"/>
            </w:tcBorders>
            <w:shd w:val="clear" w:color="000000" w:fill="FFFFFF"/>
            <w:vAlign w:val="center"/>
          </w:tcPr>
          <w:p w14:paraId="2C43282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172</w:t>
            </w:r>
          </w:p>
        </w:tc>
        <w:tc>
          <w:tcPr>
            <w:tcW w:w="1360" w:type="dxa"/>
            <w:tcBorders>
              <w:top w:val="nil"/>
              <w:left w:val="nil"/>
              <w:bottom w:val="nil"/>
              <w:right w:val="nil"/>
            </w:tcBorders>
            <w:shd w:val="clear" w:color="000000" w:fill="FFFFFF"/>
            <w:vAlign w:val="center"/>
          </w:tcPr>
          <w:p w14:paraId="276730B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16.3%</w:t>
            </w:r>
          </w:p>
        </w:tc>
        <w:tc>
          <w:tcPr>
            <w:tcW w:w="820" w:type="dxa"/>
            <w:tcBorders>
              <w:top w:val="nil"/>
              <w:left w:val="nil"/>
              <w:bottom w:val="nil"/>
              <w:right w:val="nil"/>
            </w:tcBorders>
            <w:shd w:val="clear" w:color="000000" w:fill="FFFFFF"/>
            <w:vAlign w:val="center"/>
          </w:tcPr>
          <w:p w14:paraId="3CC39A5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490</w:t>
            </w:r>
          </w:p>
        </w:tc>
        <w:tc>
          <w:tcPr>
            <w:tcW w:w="1300" w:type="dxa"/>
            <w:tcBorders>
              <w:top w:val="nil"/>
              <w:left w:val="nil"/>
              <w:bottom w:val="nil"/>
              <w:right w:val="nil"/>
            </w:tcBorders>
            <w:shd w:val="clear" w:color="000000" w:fill="FFFFFF"/>
            <w:vAlign w:val="center"/>
          </w:tcPr>
          <w:p w14:paraId="3704E39B"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28.5%</w:t>
            </w:r>
          </w:p>
        </w:tc>
        <w:tc>
          <w:tcPr>
            <w:tcW w:w="820" w:type="dxa"/>
            <w:tcBorders>
              <w:top w:val="nil"/>
              <w:left w:val="nil"/>
              <w:bottom w:val="nil"/>
              <w:right w:val="nil"/>
            </w:tcBorders>
            <w:shd w:val="clear" w:color="000000" w:fill="FFFFFF"/>
            <w:vAlign w:val="center"/>
          </w:tcPr>
          <w:p w14:paraId="519C8FA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74</w:t>
            </w:r>
          </w:p>
        </w:tc>
        <w:tc>
          <w:tcPr>
            <w:tcW w:w="1180" w:type="dxa"/>
            <w:tcBorders>
              <w:top w:val="nil"/>
              <w:left w:val="nil"/>
              <w:bottom w:val="nil"/>
              <w:right w:val="nil"/>
            </w:tcBorders>
            <w:shd w:val="clear" w:color="000000" w:fill="FFFFFF"/>
            <w:vAlign w:val="center"/>
          </w:tcPr>
          <w:p w14:paraId="7E3F7AB7"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17.5%</w:t>
            </w:r>
          </w:p>
        </w:tc>
        <w:tc>
          <w:tcPr>
            <w:tcW w:w="667" w:type="dxa"/>
            <w:tcBorders>
              <w:top w:val="nil"/>
              <w:left w:val="nil"/>
              <w:bottom w:val="nil"/>
              <w:right w:val="nil"/>
            </w:tcBorders>
            <w:shd w:val="clear" w:color="000000" w:fill="FFFFFF"/>
            <w:vAlign w:val="center"/>
          </w:tcPr>
          <w:p w14:paraId="6453AD2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353</w:t>
            </w:r>
          </w:p>
        </w:tc>
        <w:tc>
          <w:tcPr>
            <w:tcW w:w="1273" w:type="dxa"/>
            <w:tcBorders>
              <w:top w:val="nil"/>
              <w:left w:val="nil"/>
              <w:bottom w:val="nil"/>
              <w:right w:val="nil"/>
            </w:tcBorders>
            <w:shd w:val="clear" w:color="000000" w:fill="FFFFFF"/>
            <w:vAlign w:val="center"/>
          </w:tcPr>
          <w:p w14:paraId="79266F9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11.9%</w:t>
            </w:r>
          </w:p>
        </w:tc>
      </w:tr>
      <w:tr w:rsidR="00445DDF" w:rsidRPr="0020759F" w14:paraId="75FFD73D" w14:textId="77777777" w:rsidTr="00A514FA">
        <w:trPr>
          <w:trHeight w:val="300"/>
        </w:trPr>
        <w:tc>
          <w:tcPr>
            <w:tcW w:w="1960" w:type="dxa"/>
            <w:tcBorders>
              <w:top w:val="nil"/>
              <w:left w:val="nil"/>
              <w:bottom w:val="nil"/>
              <w:right w:val="nil"/>
            </w:tcBorders>
            <w:shd w:val="clear" w:color="000000" w:fill="FFFFFF"/>
            <w:vAlign w:val="center"/>
          </w:tcPr>
          <w:p w14:paraId="018AC777" w14:textId="77777777" w:rsidR="00445DDF" w:rsidRPr="0020759F" w:rsidRDefault="00445DDF" w:rsidP="00A514FA">
            <w:pPr>
              <w:spacing w:line="240" w:lineRule="auto"/>
              <w:rPr>
                <w:sz w:val="20"/>
                <w:szCs w:val="20"/>
                <w:lang w:val="fr-FR" w:eastAsia="fr-FR"/>
              </w:rPr>
            </w:pPr>
            <w:r w:rsidRPr="0020759F">
              <w:rPr>
                <w:sz w:val="20"/>
                <w:szCs w:val="20"/>
                <w:lang w:val="fr-FR" w:eastAsia="fr-FR"/>
              </w:rPr>
              <w:t xml:space="preserve">         </w:t>
            </w:r>
            <w:proofErr w:type="spellStart"/>
            <w:r w:rsidRPr="0020759F">
              <w:rPr>
                <w:sz w:val="20"/>
                <w:szCs w:val="20"/>
                <w:lang w:val="fr-FR" w:eastAsia="fr-FR"/>
              </w:rPr>
              <w:t>Valpromide</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4412D86D"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N03AG02</w:t>
            </w:r>
          </w:p>
        </w:tc>
        <w:tc>
          <w:tcPr>
            <w:tcW w:w="820" w:type="dxa"/>
            <w:tcBorders>
              <w:top w:val="nil"/>
              <w:left w:val="nil"/>
              <w:bottom w:val="nil"/>
              <w:right w:val="nil"/>
            </w:tcBorders>
            <w:shd w:val="clear" w:color="000000" w:fill="FFFFFF"/>
            <w:vAlign w:val="center"/>
          </w:tcPr>
          <w:p w14:paraId="2205B04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5</w:t>
            </w:r>
          </w:p>
        </w:tc>
        <w:tc>
          <w:tcPr>
            <w:tcW w:w="1360" w:type="dxa"/>
            <w:tcBorders>
              <w:top w:val="nil"/>
              <w:left w:val="nil"/>
              <w:bottom w:val="nil"/>
              <w:right w:val="nil"/>
            </w:tcBorders>
            <w:shd w:val="clear" w:color="000000" w:fill="FFFFFF"/>
            <w:vAlign w:val="center"/>
          </w:tcPr>
          <w:p w14:paraId="4F48819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0.5%</w:t>
            </w:r>
          </w:p>
        </w:tc>
        <w:tc>
          <w:tcPr>
            <w:tcW w:w="820" w:type="dxa"/>
            <w:tcBorders>
              <w:top w:val="nil"/>
              <w:left w:val="nil"/>
              <w:bottom w:val="nil"/>
              <w:right w:val="nil"/>
            </w:tcBorders>
            <w:shd w:val="clear" w:color="000000" w:fill="FFFFFF"/>
            <w:vAlign w:val="center"/>
          </w:tcPr>
          <w:p w14:paraId="2B9F4F2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w:t>
            </w:r>
          </w:p>
        </w:tc>
        <w:tc>
          <w:tcPr>
            <w:tcW w:w="1300" w:type="dxa"/>
            <w:tcBorders>
              <w:top w:val="nil"/>
              <w:left w:val="nil"/>
              <w:bottom w:val="nil"/>
              <w:right w:val="nil"/>
            </w:tcBorders>
            <w:shd w:val="clear" w:color="000000" w:fill="FFFFFF"/>
            <w:vAlign w:val="center"/>
          </w:tcPr>
          <w:p w14:paraId="19AB41F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0.1%</w:t>
            </w:r>
          </w:p>
        </w:tc>
        <w:tc>
          <w:tcPr>
            <w:tcW w:w="820" w:type="dxa"/>
            <w:tcBorders>
              <w:top w:val="nil"/>
              <w:left w:val="nil"/>
              <w:bottom w:val="nil"/>
              <w:right w:val="nil"/>
            </w:tcBorders>
            <w:shd w:val="clear" w:color="000000" w:fill="FFFFFF"/>
            <w:vAlign w:val="center"/>
          </w:tcPr>
          <w:p w14:paraId="5A0F45B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18</w:t>
            </w:r>
          </w:p>
        </w:tc>
        <w:tc>
          <w:tcPr>
            <w:tcW w:w="1180" w:type="dxa"/>
            <w:tcBorders>
              <w:top w:val="nil"/>
              <w:left w:val="nil"/>
              <w:bottom w:val="nil"/>
              <w:right w:val="nil"/>
            </w:tcBorders>
            <w:shd w:val="clear" w:color="000000" w:fill="FFFFFF"/>
            <w:vAlign w:val="center"/>
          </w:tcPr>
          <w:p w14:paraId="16F1C61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4.3%</w:t>
            </w:r>
          </w:p>
        </w:tc>
        <w:tc>
          <w:tcPr>
            <w:tcW w:w="667" w:type="dxa"/>
            <w:tcBorders>
              <w:top w:val="nil"/>
              <w:left w:val="nil"/>
              <w:bottom w:val="nil"/>
              <w:right w:val="nil"/>
            </w:tcBorders>
            <w:shd w:val="clear" w:color="000000" w:fill="FFFFFF"/>
            <w:vAlign w:val="center"/>
          </w:tcPr>
          <w:p w14:paraId="5449F11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w:t>
            </w:r>
          </w:p>
        </w:tc>
        <w:tc>
          <w:tcPr>
            <w:tcW w:w="1273" w:type="dxa"/>
            <w:tcBorders>
              <w:top w:val="nil"/>
              <w:left w:val="nil"/>
              <w:bottom w:val="nil"/>
              <w:right w:val="nil"/>
            </w:tcBorders>
            <w:shd w:val="clear" w:color="000000" w:fill="FFFFFF"/>
            <w:vAlign w:val="center"/>
          </w:tcPr>
          <w:p w14:paraId="33B30627"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w:t>
            </w:r>
          </w:p>
        </w:tc>
      </w:tr>
      <w:tr w:rsidR="00445DDF" w:rsidRPr="0020759F" w14:paraId="2086CD09" w14:textId="77777777" w:rsidTr="00A514FA">
        <w:trPr>
          <w:trHeight w:val="300"/>
        </w:trPr>
        <w:tc>
          <w:tcPr>
            <w:tcW w:w="1960" w:type="dxa"/>
            <w:tcBorders>
              <w:top w:val="nil"/>
              <w:left w:val="nil"/>
              <w:bottom w:val="nil"/>
              <w:right w:val="nil"/>
            </w:tcBorders>
            <w:shd w:val="clear" w:color="000000" w:fill="FFFFFF"/>
            <w:vAlign w:val="center"/>
          </w:tcPr>
          <w:p w14:paraId="72F12D87"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Carbamazepine</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296C8350"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N03AF01</w:t>
            </w:r>
          </w:p>
        </w:tc>
        <w:tc>
          <w:tcPr>
            <w:tcW w:w="820" w:type="dxa"/>
            <w:tcBorders>
              <w:top w:val="nil"/>
              <w:left w:val="nil"/>
              <w:bottom w:val="nil"/>
              <w:right w:val="nil"/>
            </w:tcBorders>
            <w:shd w:val="clear" w:color="000000" w:fill="FFFFFF"/>
            <w:vAlign w:val="center"/>
          </w:tcPr>
          <w:p w14:paraId="42F663D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235</w:t>
            </w:r>
          </w:p>
        </w:tc>
        <w:tc>
          <w:tcPr>
            <w:tcW w:w="1360" w:type="dxa"/>
            <w:tcBorders>
              <w:top w:val="nil"/>
              <w:left w:val="nil"/>
              <w:bottom w:val="nil"/>
              <w:right w:val="nil"/>
            </w:tcBorders>
            <w:shd w:val="clear" w:color="000000" w:fill="FFFFFF"/>
            <w:vAlign w:val="center"/>
          </w:tcPr>
          <w:p w14:paraId="0161D9E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22.2%</w:t>
            </w:r>
          </w:p>
        </w:tc>
        <w:tc>
          <w:tcPr>
            <w:tcW w:w="820" w:type="dxa"/>
            <w:tcBorders>
              <w:top w:val="nil"/>
              <w:left w:val="nil"/>
              <w:bottom w:val="nil"/>
              <w:right w:val="nil"/>
            </w:tcBorders>
            <w:shd w:val="clear" w:color="000000" w:fill="FFFFFF"/>
            <w:vAlign w:val="center"/>
          </w:tcPr>
          <w:p w14:paraId="21F1F4E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260</w:t>
            </w:r>
          </w:p>
        </w:tc>
        <w:tc>
          <w:tcPr>
            <w:tcW w:w="1300" w:type="dxa"/>
            <w:tcBorders>
              <w:top w:val="nil"/>
              <w:left w:val="nil"/>
              <w:bottom w:val="nil"/>
              <w:right w:val="nil"/>
            </w:tcBorders>
            <w:shd w:val="clear" w:color="000000" w:fill="FFFFFF"/>
            <w:vAlign w:val="center"/>
          </w:tcPr>
          <w:p w14:paraId="5A4CDDF1"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15.1%</w:t>
            </w:r>
          </w:p>
        </w:tc>
        <w:tc>
          <w:tcPr>
            <w:tcW w:w="820" w:type="dxa"/>
            <w:tcBorders>
              <w:top w:val="nil"/>
              <w:left w:val="nil"/>
              <w:bottom w:val="nil"/>
              <w:right w:val="nil"/>
            </w:tcBorders>
            <w:shd w:val="clear" w:color="000000" w:fill="FFFFFF"/>
            <w:vAlign w:val="center"/>
          </w:tcPr>
          <w:p w14:paraId="51EB495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31</w:t>
            </w:r>
          </w:p>
        </w:tc>
        <w:tc>
          <w:tcPr>
            <w:tcW w:w="1180" w:type="dxa"/>
            <w:tcBorders>
              <w:top w:val="nil"/>
              <w:left w:val="nil"/>
              <w:bottom w:val="nil"/>
              <w:right w:val="nil"/>
            </w:tcBorders>
            <w:shd w:val="clear" w:color="000000" w:fill="FFFFFF"/>
            <w:vAlign w:val="center"/>
          </w:tcPr>
          <w:p w14:paraId="4A698E95"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7.3%</w:t>
            </w:r>
          </w:p>
        </w:tc>
        <w:tc>
          <w:tcPr>
            <w:tcW w:w="667" w:type="dxa"/>
            <w:tcBorders>
              <w:top w:val="nil"/>
              <w:left w:val="nil"/>
              <w:bottom w:val="nil"/>
              <w:right w:val="nil"/>
            </w:tcBorders>
            <w:shd w:val="clear" w:color="000000" w:fill="FFFFFF"/>
            <w:vAlign w:val="center"/>
          </w:tcPr>
          <w:p w14:paraId="4E8FCD4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485</w:t>
            </w:r>
          </w:p>
        </w:tc>
        <w:tc>
          <w:tcPr>
            <w:tcW w:w="1273" w:type="dxa"/>
            <w:tcBorders>
              <w:top w:val="nil"/>
              <w:left w:val="nil"/>
              <w:bottom w:val="nil"/>
              <w:right w:val="nil"/>
            </w:tcBorders>
            <w:shd w:val="clear" w:color="000000" w:fill="FFFFFF"/>
            <w:vAlign w:val="center"/>
          </w:tcPr>
          <w:p w14:paraId="7DC242B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16.4%</w:t>
            </w:r>
          </w:p>
        </w:tc>
      </w:tr>
      <w:tr w:rsidR="00445DDF" w:rsidRPr="0020759F" w14:paraId="134557EA" w14:textId="77777777" w:rsidTr="00A514FA">
        <w:trPr>
          <w:trHeight w:val="300"/>
        </w:trPr>
        <w:tc>
          <w:tcPr>
            <w:tcW w:w="1960" w:type="dxa"/>
            <w:tcBorders>
              <w:top w:val="nil"/>
              <w:left w:val="nil"/>
              <w:bottom w:val="nil"/>
              <w:right w:val="nil"/>
            </w:tcBorders>
            <w:shd w:val="clear" w:color="000000" w:fill="FFFFFF"/>
            <w:vAlign w:val="center"/>
          </w:tcPr>
          <w:p w14:paraId="6E74A8A9"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Pregabalin</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0C7745CC"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N03AX16</w:t>
            </w:r>
          </w:p>
        </w:tc>
        <w:tc>
          <w:tcPr>
            <w:tcW w:w="820" w:type="dxa"/>
            <w:tcBorders>
              <w:top w:val="nil"/>
              <w:left w:val="nil"/>
              <w:bottom w:val="nil"/>
              <w:right w:val="nil"/>
            </w:tcBorders>
            <w:shd w:val="clear" w:color="000000" w:fill="FFFFFF"/>
            <w:vAlign w:val="center"/>
          </w:tcPr>
          <w:p w14:paraId="56BD53E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61</w:t>
            </w:r>
          </w:p>
        </w:tc>
        <w:tc>
          <w:tcPr>
            <w:tcW w:w="1360" w:type="dxa"/>
            <w:tcBorders>
              <w:top w:val="nil"/>
              <w:left w:val="nil"/>
              <w:bottom w:val="nil"/>
              <w:right w:val="nil"/>
            </w:tcBorders>
            <w:shd w:val="clear" w:color="000000" w:fill="FFFFFF"/>
            <w:vAlign w:val="center"/>
          </w:tcPr>
          <w:p w14:paraId="38480ED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5.8%</w:t>
            </w:r>
          </w:p>
        </w:tc>
        <w:tc>
          <w:tcPr>
            <w:tcW w:w="820" w:type="dxa"/>
            <w:tcBorders>
              <w:top w:val="nil"/>
              <w:left w:val="nil"/>
              <w:bottom w:val="nil"/>
              <w:right w:val="nil"/>
            </w:tcBorders>
            <w:shd w:val="clear" w:color="000000" w:fill="FFFFFF"/>
            <w:vAlign w:val="center"/>
          </w:tcPr>
          <w:p w14:paraId="3F6D6295"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149</w:t>
            </w:r>
          </w:p>
        </w:tc>
        <w:tc>
          <w:tcPr>
            <w:tcW w:w="1300" w:type="dxa"/>
            <w:tcBorders>
              <w:top w:val="nil"/>
              <w:left w:val="nil"/>
              <w:bottom w:val="nil"/>
              <w:right w:val="nil"/>
            </w:tcBorders>
            <w:shd w:val="clear" w:color="000000" w:fill="FFFFFF"/>
            <w:vAlign w:val="center"/>
          </w:tcPr>
          <w:p w14:paraId="626BD53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8.7%</w:t>
            </w:r>
          </w:p>
        </w:tc>
        <w:tc>
          <w:tcPr>
            <w:tcW w:w="820" w:type="dxa"/>
            <w:tcBorders>
              <w:top w:val="nil"/>
              <w:left w:val="nil"/>
              <w:bottom w:val="nil"/>
              <w:right w:val="nil"/>
            </w:tcBorders>
            <w:shd w:val="clear" w:color="000000" w:fill="FFFFFF"/>
            <w:vAlign w:val="center"/>
          </w:tcPr>
          <w:p w14:paraId="5DE00FE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53</w:t>
            </w:r>
          </w:p>
        </w:tc>
        <w:tc>
          <w:tcPr>
            <w:tcW w:w="1180" w:type="dxa"/>
            <w:tcBorders>
              <w:top w:val="nil"/>
              <w:left w:val="nil"/>
              <w:bottom w:val="nil"/>
              <w:right w:val="nil"/>
            </w:tcBorders>
            <w:shd w:val="clear" w:color="000000" w:fill="FFFFFF"/>
            <w:vAlign w:val="center"/>
          </w:tcPr>
          <w:p w14:paraId="77CDDD3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12.6%</w:t>
            </w:r>
          </w:p>
        </w:tc>
        <w:tc>
          <w:tcPr>
            <w:tcW w:w="667" w:type="dxa"/>
            <w:tcBorders>
              <w:top w:val="nil"/>
              <w:left w:val="nil"/>
              <w:bottom w:val="nil"/>
              <w:right w:val="nil"/>
            </w:tcBorders>
            <w:shd w:val="clear" w:color="000000" w:fill="FFFFFF"/>
            <w:vAlign w:val="center"/>
          </w:tcPr>
          <w:p w14:paraId="2FAD575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395</w:t>
            </w:r>
          </w:p>
        </w:tc>
        <w:tc>
          <w:tcPr>
            <w:tcW w:w="1273" w:type="dxa"/>
            <w:tcBorders>
              <w:top w:val="nil"/>
              <w:left w:val="nil"/>
              <w:bottom w:val="nil"/>
              <w:right w:val="nil"/>
            </w:tcBorders>
            <w:shd w:val="clear" w:color="000000" w:fill="FFFFFF"/>
            <w:vAlign w:val="center"/>
          </w:tcPr>
          <w:p w14:paraId="27FC408E"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13.4%</w:t>
            </w:r>
          </w:p>
        </w:tc>
      </w:tr>
      <w:tr w:rsidR="00445DDF" w:rsidRPr="0020759F" w14:paraId="328517D0" w14:textId="77777777" w:rsidTr="00A514FA">
        <w:trPr>
          <w:trHeight w:val="300"/>
        </w:trPr>
        <w:tc>
          <w:tcPr>
            <w:tcW w:w="1960" w:type="dxa"/>
            <w:tcBorders>
              <w:top w:val="nil"/>
              <w:left w:val="nil"/>
              <w:bottom w:val="nil"/>
              <w:right w:val="nil"/>
            </w:tcBorders>
            <w:shd w:val="clear" w:color="000000" w:fill="FFFFFF"/>
            <w:vAlign w:val="center"/>
          </w:tcPr>
          <w:p w14:paraId="664A54B1"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Levetiracetam</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4C9FFC57"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N03AX14</w:t>
            </w:r>
          </w:p>
        </w:tc>
        <w:tc>
          <w:tcPr>
            <w:tcW w:w="820" w:type="dxa"/>
            <w:tcBorders>
              <w:top w:val="nil"/>
              <w:left w:val="nil"/>
              <w:bottom w:val="nil"/>
              <w:right w:val="nil"/>
            </w:tcBorders>
            <w:shd w:val="clear" w:color="000000" w:fill="FFFFFF"/>
            <w:vAlign w:val="center"/>
          </w:tcPr>
          <w:p w14:paraId="30A080FB"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112</w:t>
            </w:r>
          </w:p>
        </w:tc>
        <w:tc>
          <w:tcPr>
            <w:tcW w:w="1360" w:type="dxa"/>
            <w:tcBorders>
              <w:top w:val="nil"/>
              <w:left w:val="nil"/>
              <w:bottom w:val="nil"/>
              <w:right w:val="nil"/>
            </w:tcBorders>
            <w:shd w:val="clear" w:color="000000" w:fill="FFFFFF"/>
            <w:vAlign w:val="center"/>
          </w:tcPr>
          <w:p w14:paraId="1880DBD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10.6%</w:t>
            </w:r>
          </w:p>
        </w:tc>
        <w:tc>
          <w:tcPr>
            <w:tcW w:w="820" w:type="dxa"/>
            <w:tcBorders>
              <w:top w:val="nil"/>
              <w:left w:val="nil"/>
              <w:bottom w:val="nil"/>
              <w:right w:val="nil"/>
            </w:tcBorders>
            <w:shd w:val="clear" w:color="000000" w:fill="FFFFFF"/>
            <w:vAlign w:val="center"/>
          </w:tcPr>
          <w:p w14:paraId="227E01C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115</w:t>
            </w:r>
          </w:p>
        </w:tc>
        <w:tc>
          <w:tcPr>
            <w:tcW w:w="1300" w:type="dxa"/>
            <w:tcBorders>
              <w:top w:val="nil"/>
              <w:left w:val="nil"/>
              <w:bottom w:val="nil"/>
              <w:right w:val="nil"/>
            </w:tcBorders>
            <w:shd w:val="clear" w:color="000000" w:fill="FFFFFF"/>
            <w:vAlign w:val="center"/>
          </w:tcPr>
          <w:p w14:paraId="5717C84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6.7%</w:t>
            </w:r>
          </w:p>
        </w:tc>
        <w:tc>
          <w:tcPr>
            <w:tcW w:w="820" w:type="dxa"/>
            <w:tcBorders>
              <w:top w:val="nil"/>
              <w:left w:val="nil"/>
              <w:bottom w:val="nil"/>
              <w:right w:val="nil"/>
            </w:tcBorders>
            <w:shd w:val="clear" w:color="000000" w:fill="FFFFFF"/>
            <w:vAlign w:val="center"/>
          </w:tcPr>
          <w:p w14:paraId="466B051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45</w:t>
            </w:r>
          </w:p>
        </w:tc>
        <w:tc>
          <w:tcPr>
            <w:tcW w:w="1180" w:type="dxa"/>
            <w:tcBorders>
              <w:top w:val="nil"/>
              <w:left w:val="nil"/>
              <w:bottom w:val="nil"/>
              <w:right w:val="nil"/>
            </w:tcBorders>
            <w:shd w:val="clear" w:color="000000" w:fill="FFFFFF"/>
            <w:vAlign w:val="center"/>
          </w:tcPr>
          <w:p w14:paraId="12B001A7"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10.7%</w:t>
            </w:r>
          </w:p>
        </w:tc>
        <w:tc>
          <w:tcPr>
            <w:tcW w:w="667" w:type="dxa"/>
            <w:tcBorders>
              <w:top w:val="nil"/>
              <w:left w:val="nil"/>
              <w:bottom w:val="nil"/>
              <w:right w:val="nil"/>
            </w:tcBorders>
            <w:shd w:val="clear" w:color="000000" w:fill="FFFFFF"/>
            <w:vAlign w:val="center"/>
          </w:tcPr>
          <w:p w14:paraId="053C2E8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382</w:t>
            </w:r>
          </w:p>
        </w:tc>
        <w:tc>
          <w:tcPr>
            <w:tcW w:w="1273" w:type="dxa"/>
            <w:tcBorders>
              <w:top w:val="nil"/>
              <w:left w:val="nil"/>
              <w:bottom w:val="nil"/>
              <w:right w:val="nil"/>
            </w:tcBorders>
            <w:shd w:val="clear" w:color="000000" w:fill="FFFFFF"/>
            <w:vAlign w:val="center"/>
          </w:tcPr>
          <w:p w14:paraId="70D18FC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12.9%</w:t>
            </w:r>
          </w:p>
        </w:tc>
      </w:tr>
      <w:tr w:rsidR="00445DDF" w:rsidRPr="0020759F" w14:paraId="16B4B77D" w14:textId="77777777" w:rsidTr="00A514FA">
        <w:trPr>
          <w:trHeight w:val="300"/>
        </w:trPr>
        <w:tc>
          <w:tcPr>
            <w:tcW w:w="1960" w:type="dxa"/>
            <w:tcBorders>
              <w:top w:val="nil"/>
              <w:left w:val="nil"/>
              <w:bottom w:val="nil"/>
              <w:right w:val="nil"/>
            </w:tcBorders>
            <w:shd w:val="clear" w:color="000000" w:fill="FFFFFF"/>
            <w:vAlign w:val="center"/>
          </w:tcPr>
          <w:p w14:paraId="36EF56A9"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Gabapentin</w:t>
            </w:r>
            <w:proofErr w:type="spellEnd"/>
            <w:r w:rsidRPr="0020759F">
              <w:rPr>
                <w:sz w:val="20"/>
                <w:szCs w:val="20"/>
                <w:lang w:val="fr-FR" w:eastAsia="fr-FR"/>
              </w:rPr>
              <w:t xml:space="preserve"> </w:t>
            </w:r>
          </w:p>
        </w:tc>
        <w:tc>
          <w:tcPr>
            <w:tcW w:w="1120" w:type="dxa"/>
            <w:tcBorders>
              <w:top w:val="nil"/>
              <w:left w:val="nil"/>
              <w:bottom w:val="nil"/>
              <w:right w:val="nil"/>
            </w:tcBorders>
            <w:shd w:val="clear" w:color="000000" w:fill="FFFFFF"/>
            <w:vAlign w:val="center"/>
          </w:tcPr>
          <w:p w14:paraId="16DC71E8"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N03AX12</w:t>
            </w:r>
          </w:p>
        </w:tc>
        <w:tc>
          <w:tcPr>
            <w:tcW w:w="820" w:type="dxa"/>
            <w:tcBorders>
              <w:top w:val="nil"/>
              <w:left w:val="nil"/>
              <w:bottom w:val="nil"/>
              <w:right w:val="nil"/>
            </w:tcBorders>
            <w:shd w:val="clear" w:color="000000" w:fill="FFFFFF"/>
            <w:vAlign w:val="center"/>
          </w:tcPr>
          <w:p w14:paraId="220A82F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36</w:t>
            </w:r>
          </w:p>
        </w:tc>
        <w:tc>
          <w:tcPr>
            <w:tcW w:w="1360" w:type="dxa"/>
            <w:tcBorders>
              <w:top w:val="nil"/>
              <w:left w:val="nil"/>
              <w:bottom w:val="nil"/>
              <w:right w:val="nil"/>
            </w:tcBorders>
            <w:shd w:val="clear" w:color="000000" w:fill="FFFFFF"/>
            <w:vAlign w:val="center"/>
          </w:tcPr>
          <w:p w14:paraId="084EDB4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3.4%</w:t>
            </w:r>
          </w:p>
        </w:tc>
        <w:tc>
          <w:tcPr>
            <w:tcW w:w="820" w:type="dxa"/>
            <w:tcBorders>
              <w:top w:val="nil"/>
              <w:left w:val="nil"/>
              <w:bottom w:val="nil"/>
              <w:right w:val="nil"/>
            </w:tcBorders>
            <w:shd w:val="clear" w:color="000000" w:fill="FFFFFF"/>
            <w:vAlign w:val="center"/>
          </w:tcPr>
          <w:p w14:paraId="543E15D1"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102</w:t>
            </w:r>
          </w:p>
        </w:tc>
        <w:tc>
          <w:tcPr>
            <w:tcW w:w="1300" w:type="dxa"/>
            <w:tcBorders>
              <w:top w:val="nil"/>
              <w:left w:val="nil"/>
              <w:bottom w:val="nil"/>
              <w:right w:val="nil"/>
            </w:tcBorders>
            <w:shd w:val="clear" w:color="000000" w:fill="FFFFFF"/>
            <w:vAlign w:val="center"/>
          </w:tcPr>
          <w:p w14:paraId="6CD7DE85"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5.9%</w:t>
            </w:r>
          </w:p>
        </w:tc>
        <w:tc>
          <w:tcPr>
            <w:tcW w:w="820" w:type="dxa"/>
            <w:tcBorders>
              <w:top w:val="nil"/>
              <w:left w:val="nil"/>
              <w:bottom w:val="nil"/>
              <w:right w:val="nil"/>
            </w:tcBorders>
            <w:shd w:val="clear" w:color="000000" w:fill="FFFFFF"/>
            <w:vAlign w:val="center"/>
          </w:tcPr>
          <w:p w14:paraId="30808E3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16</w:t>
            </w:r>
          </w:p>
        </w:tc>
        <w:tc>
          <w:tcPr>
            <w:tcW w:w="1180" w:type="dxa"/>
            <w:tcBorders>
              <w:top w:val="nil"/>
              <w:left w:val="nil"/>
              <w:bottom w:val="nil"/>
              <w:right w:val="nil"/>
            </w:tcBorders>
            <w:shd w:val="clear" w:color="000000" w:fill="FFFFFF"/>
            <w:vAlign w:val="center"/>
          </w:tcPr>
          <w:p w14:paraId="4EDD0EE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3.8%</w:t>
            </w:r>
          </w:p>
        </w:tc>
        <w:tc>
          <w:tcPr>
            <w:tcW w:w="667" w:type="dxa"/>
            <w:tcBorders>
              <w:top w:val="nil"/>
              <w:left w:val="nil"/>
              <w:bottom w:val="nil"/>
              <w:right w:val="nil"/>
            </w:tcBorders>
            <w:shd w:val="clear" w:color="000000" w:fill="FFFFFF"/>
            <w:vAlign w:val="center"/>
          </w:tcPr>
          <w:p w14:paraId="11927B5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429</w:t>
            </w:r>
          </w:p>
        </w:tc>
        <w:tc>
          <w:tcPr>
            <w:tcW w:w="1273" w:type="dxa"/>
            <w:tcBorders>
              <w:top w:val="nil"/>
              <w:left w:val="nil"/>
              <w:bottom w:val="nil"/>
              <w:right w:val="nil"/>
            </w:tcBorders>
            <w:shd w:val="clear" w:color="000000" w:fill="FFFFFF"/>
            <w:vAlign w:val="center"/>
          </w:tcPr>
          <w:p w14:paraId="3B93230F"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14.5%</w:t>
            </w:r>
          </w:p>
        </w:tc>
      </w:tr>
      <w:tr w:rsidR="00445DDF" w:rsidRPr="0020759F" w14:paraId="38326F62" w14:textId="77777777" w:rsidTr="00A514FA">
        <w:trPr>
          <w:trHeight w:val="300"/>
        </w:trPr>
        <w:tc>
          <w:tcPr>
            <w:tcW w:w="1960" w:type="dxa"/>
            <w:tcBorders>
              <w:top w:val="nil"/>
              <w:left w:val="nil"/>
              <w:bottom w:val="nil"/>
              <w:right w:val="nil"/>
            </w:tcBorders>
            <w:shd w:val="clear" w:color="000000" w:fill="FFFFFF"/>
            <w:vAlign w:val="center"/>
          </w:tcPr>
          <w:p w14:paraId="2DF0035D"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Clonazepam</w:t>
            </w:r>
            <w:proofErr w:type="spellEnd"/>
          </w:p>
        </w:tc>
        <w:tc>
          <w:tcPr>
            <w:tcW w:w="1120" w:type="dxa"/>
            <w:tcBorders>
              <w:top w:val="nil"/>
              <w:left w:val="nil"/>
              <w:bottom w:val="nil"/>
              <w:right w:val="nil"/>
            </w:tcBorders>
            <w:shd w:val="clear" w:color="000000" w:fill="FFFFFF"/>
            <w:vAlign w:val="center"/>
          </w:tcPr>
          <w:p w14:paraId="6BBDCF2A"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N03AE01</w:t>
            </w:r>
          </w:p>
        </w:tc>
        <w:tc>
          <w:tcPr>
            <w:tcW w:w="820" w:type="dxa"/>
            <w:tcBorders>
              <w:top w:val="nil"/>
              <w:left w:val="nil"/>
              <w:bottom w:val="nil"/>
              <w:right w:val="nil"/>
            </w:tcBorders>
            <w:shd w:val="clear" w:color="000000" w:fill="FFFFFF"/>
            <w:vAlign w:val="center"/>
          </w:tcPr>
          <w:p w14:paraId="6BC169E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158</w:t>
            </w:r>
          </w:p>
        </w:tc>
        <w:tc>
          <w:tcPr>
            <w:tcW w:w="1360" w:type="dxa"/>
            <w:tcBorders>
              <w:top w:val="nil"/>
              <w:left w:val="nil"/>
              <w:bottom w:val="nil"/>
              <w:right w:val="nil"/>
            </w:tcBorders>
            <w:shd w:val="clear" w:color="000000" w:fill="FFFFFF"/>
            <w:vAlign w:val="center"/>
          </w:tcPr>
          <w:p w14:paraId="7609AA0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14.9%</w:t>
            </w:r>
          </w:p>
        </w:tc>
        <w:tc>
          <w:tcPr>
            <w:tcW w:w="820" w:type="dxa"/>
            <w:tcBorders>
              <w:top w:val="nil"/>
              <w:left w:val="nil"/>
              <w:bottom w:val="nil"/>
              <w:right w:val="nil"/>
            </w:tcBorders>
            <w:shd w:val="clear" w:color="000000" w:fill="FFFFFF"/>
            <w:vAlign w:val="center"/>
          </w:tcPr>
          <w:p w14:paraId="6BCD7F6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236</w:t>
            </w:r>
          </w:p>
        </w:tc>
        <w:tc>
          <w:tcPr>
            <w:tcW w:w="1300" w:type="dxa"/>
            <w:tcBorders>
              <w:top w:val="nil"/>
              <w:left w:val="nil"/>
              <w:bottom w:val="nil"/>
              <w:right w:val="nil"/>
            </w:tcBorders>
            <w:shd w:val="clear" w:color="000000" w:fill="FFFFFF"/>
            <w:vAlign w:val="center"/>
          </w:tcPr>
          <w:p w14:paraId="459E562F"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13.7%</w:t>
            </w:r>
          </w:p>
        </w:tc>
        <w:tc>
          <w:tcPr>
            <w:tcW w:w="820" w:type="dxa"/>
            <w:tcBorders>
              <w:top w:val="nil"/>
              <w:left w:val="nil"/>
              <w:bottom w:val="nil"/>
              <w:right w:val="nil"/>
            </w:tcBorders>
            <w:shd w:val="clear" w:color="000000" w:fill="FFFFFF"/>
            <w:vAlign w:val="center"/>
          </w:tcPr>
          <w:p w14:paraId="665D1DF7"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77</w:t>
            </w:r>
          </w:p>
        </w:tc>
        <w:tc>
          <w:tcPr>
            <w:tcW w:w="1180" w:type="dxa"/>
            <w:tcBorders>
              <w:top w:val="nil"/>
              <w:left w:val="nil"/>
              <w:bottom w:val="nil"/>
              <w:right w:val="nil"/>
            </w:tcBorders>
            <w:shd w:val="clear" w:color="000000" w:fill="FFFFFF"/>
            <w:vAlign w:val="center"/>
          </w:tcPr>
          <w:p w14:paraId="1D53853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18.2%</w:t>
            </w:r>
          </w:p>
        </w:tc>
        <w:tc>
          <w:tcPr>
            <w:tcW w:w="667" w:type="dxa"/>
            <w:tcBorders>
              <w:top w:val="nil"/>
              <w:left w:val="nil"/>
              <w:bottom w:val="nil"/>
              <w:right w:val="nil"/>
            </w:tcBorders>
            <w:shd w:val="clear" w:color="000000" w:fill="FFFFFF"/>
            <w:vAlign w:val="center"/>
          </w:tcPr>
          <w:p w14:paraId="282A6BD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72</w:t>
            </w:r>
          </w:p>
        </w:tc>
        <w:tc>
          <w:tcPr>
            <w:tcW w:w="1273" w:type="dxa"/>
            <w:tcBorders>
              <w:top w:val="nil"/>
              <w:left w:val="nil"/>
              <w:bottom w:val="nil"/>
              <w:right w:val="nil"/>
            </w:tcBorders>
            <w:shd w:val="clear" w:color="000000" w:fill="FFFFFF"/>
            <w:vAlign w:val="center"/>
          </w:tcPr>
          <w:p w14:paraId="7E770CC9"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2.4%</w:t>
            </w:r>
          </w:p>
        </w:tc>
      </w:tr>
      <w:tr w:rsidR="00445DDF" w:rsidRPr="0020759F" w14:paraId="148EA8F3" w14:textId="77777777" w:rsidTr="00A514FA">
        <w:trPr>
          <w:trHeight w:val="300"/>
        </w:trPr>
        <w:tc>
          <w:tcPr>
            <w:tcW w:w="1960" w:type="dxa"/>
            <w:tcBorders>
              <w:top w:val="nil"/>
              <w:left w:val="nil"/>
              <w:bottom w:val="nil"/>
              <w:right w:val="nil"/>
            </w:tcBorders>
            <w:shd w:val="clear" w:color="000000" w:fill="FFFFFF"/>
            <w:vAlign w:val="center"/>
          </w:tcPr>
          <w:p w14:paraId="01E7DFE4" w14:textId="77777777" w:rsidR="00445DDF" w:rsidRPr="0020759F" w:rsidRDefault="00445DDF" w:rsidP="00A514FA">
            <w:pPr>
              <w:spacing w:line="240" w:lineRule="auto"/>
              <w:rPr>
                <w:sz w:val="20"/>
                <w:szCs w:val="20"/>
                <w:lang w:val="fr-FR" w:eastAsia="fr-FR"/>
              </w:rPr>
            </w:pPr>
            <w:r w:rsidRPr="0020759F">
              <w:rPr>
                <w:sz w:val="20"/>
                <w:szCs w:val="20"/>
                <w:lang w:val="fr-FR" w:eastAsia="fr-FR"/>
              </w:rPr>
              <w:t xml:space="preserve">Topiramate </w:t>
            </w:r>
          </w:p>
        </w:tc>
        <w:tc>
          <w:tcPr>
            <w:tcW w:w="1120" w:type="dxa"/>
            <w:tcBorders>
              <w:top w:val="nil"/>
              <w:left w:val="nil"/>
              <w:bottom w:val="nil"/>
              <w:right w:val="nil"/>
            </w:tcBorders>
            <w:shd w:val="clear" w:color="000000" w:fill="FFFFFF"/>
            <w:vAlign w:val="center"/>
          </w:tcPr>
          <w:p w14:paraId="3784E6C6"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N03AX11</w:t>
            </w:r>
          </w:p>
        </w:tc>
        <w:tc>
          <w:tcPr>
            <w:tcW w:w="820" w:type="dxa"/>
            <w:tcBorders>
              <w:top w:val="nil"/>
              <w:left w:val="nil"/>
              <w:bottom w:val="nil"/>
              <w:right w:val="nil"/>
            </w:tcBorders>
            <w:shd w:val="clear" w:color="000000" w:fill="FFFFFF"/>
            <w:vAlign w:val="center"/>
          </w:tcPr>
          <w:p w14:paraId="0096159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72</w:t>
            </w:r>
          </w:p>
        </w:tc>
        <w:tc>
          <w:tcPr>
            <w:tcW w:w="1360" w:type="dxa"/>
            <w:tcBorders>
              <w:top w:val="nil"/>
              <w:left w:val="nil"/>
              <w:bottom w:val="nil"/>
              <w:right w:val="nil"/>
            </w:tcBorders>
            <w:shd w:val="clear" w:color="000000" w:fill="FFFFFF"/>
            <w:vAlign w:val="center"/>
          </w:tcPr>
          <w:p w14:paraId="18C6522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6.8%</w:t>
            </w:r>
          </w:p>
        </w:tc>
        <w:tc>
          <w:tcPr>
            <w:tcW w:w="820" w:type="dxa"/>
            <w:tcBorders>
              <w:top w:val="nil"/>
              <w:left w:val="nil"/>
              <w:bottom w:val="nil"/>
              <w:right w:val="nil"/>
            </w:tcBorders>
            <w:shd w:val="clear" w:color="000000" w:fill="FFFFFF"/>
            <w:vAlign w:val="center"/>
          </w:tcPr>
          <w:p w14:paraId="0B49E93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113</w:t>
            </w:r>
          </w:p>
        </w:tc>
        <w:tc>
          <w:tcPr>
            <w:tcW w:w="1300" w:type="dxa"/>
            <w:tcBorders>
              <w:top w:val="nil"/>
              <w:left w:val="nil"/>
              <w:bottom w:val="nil"/>
              <w:right w:val="nil"/>
            </w:tcBorders>
            <w:shd w:val="clear" w:color="000000" w:fill="FFFFFF"/>
            <w:vAlign w:val="center"/>
          </w:tcPr>
          <w:p w14:paraId="2D85134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6.6%</w:t>
            </w:r>
          </w:p>
        </w:tc>
        <w:tc>
          <w:tcPr>
            <w:tcW w:w="820" w:type="dxa"/>
            <w:tcBorders>
              <w:top w:val="nil"/>
              <w:left w:val="nil"/>
              <w:bottom w:val="nil"/>
              <w:right w:val="nil"/>
            </w:tcBorders>
            <w:shd w:val="clear" w:color="000000" w:fill="FFFFFF"/>
            <w:vAlign w:val="center"/>
          </w:tcPr>
          <w:p w14:paraId="654050C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20</w:t>
            </w:r>
          </w:p>
        </w:tc>
        <w:tc>
          <w:tcPr>
            <w:tcW w:w="1180" w:type="dxa"/>
            <w:tcBorders>
              <w:top w:val="nil"/>
              <w:left w:val="nil"/>
              <w:bottom w:val="nil"/>
              <w:right w:val="nil"/>
            </w:tcBorders>
            <w:shd w:val="clear" w:color="000000" w:fill="FFFFFF"/>
            <w:vAlign w:val="center"/>
          </w:tcPr>
          <w:p w14:paraId="6F67F8A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4.7%</w:t>
            </w:r>
          </w:p>
        </w:tc>
        <w:tc>
          <w:tcPr>
            <w:tcW w:w="667" w:type="dxa"/>
            <w:tcBorders>
              <w:top w:val="nil"/>
              <w:left w:val="nil"/>
              <w:bottom w:val="nil"/>
              <w:right w:val="nil"/>
            </w:tcBorders>
            <w:shd w:val="clear" w:color="000000" w:fill="FFFFFF"/>
            <w:vAlign w:val="center"/>
          </w:tcPr>
          <w:p w14:paraId="02BA5DA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183</w:t>
            </w:r>
          </w:p>
        </w:tc>
        <w:tc>
          <w:tcPr>
            <w:tcW w:w="1273" w:type="dxa"/>
            <w:tcBorders>
              <w:top w:val="nil"/>
              <w:left w:val="nil"/>
              <w:bottom w:val="nil"/>
              <w:right w:val="nil"/>
            </w:tcBorders>
            <w:shd w:val="clear" w:color="000000" w:fill="FFFFFF"/>
            <w:vAlign w:val="center"/>
          </w:tcPr>
          <w:p w14:paraId="42A6D037"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6.2%</w:t>
            </w:r>
          </w:p>
        </w:tc>
      </w:tr>
      <w:tr w:rsidR="00445DDF" w:rsidRPr="0020759F" w14:paraId="73A3CB58" w14:textId="77777777" w:rsidTr="00A514FA">
        <w:trPr>
          <w:trHeight w:val="300"/>
        </w:trPr>
        <w:tc>
          <w:tcPr>
            <w:tcW w:w="1960" w:type="dxa"/>
            <w:tcBorders>
              <w:top w:val="nil"/>
              <w:left w:val="nil"/>
              <w:bottom w:val="nil"/>
              <w:right w:val="nil"/>
            </w:tcBorders>
            <w:shd w:val="clear" w:color="000000" w:fill="FFFFFF"/>
            <w:vAlign w:val="center"/>
          </w:tcPr>
          <w:p w14:paraId="3FF42A06"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Phenobarbital</w:t>
            </w:r>
            <w:proofErr w:type="spellEnd"/>
          </w:p>
        </w:tc>
        <w:tc>
          <w:tcPr>
            <w:tcW w:w="1120" w:type="dxa"/>
            <w:tcBorders>
              <w:top w:val="nil"/>
              <w:left w:val="nil"/>
              <w:bottom w:val="nil"/>
              <w:right w:val="nil"/>
            </w:tcBorders>
            <w:shd w:val="clear" w:color="000000" w:fill="FFFFFF"/>
            <w:vAlign w:val="center"/>
          </w:tcPr>
          <w:p w14:paraId="14FD076B"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N03AA02</w:t>
            </w:r>
          </w:p>
        </w:tc>
        <w:tc>
          <w:tcPr>
            <w:tcW w:w="820" w:type="dxa"/>
            <w:tcBorders>
              <w:top w:val="nil"/>
              <w:left w:val="nil"/>
              <w:bottom w:val="nil"/>
              <w:right w:val="nil"/>
            </w:tcBorders>
            <w:shd w:val="clear" w:color="000000" w:fill="FFFFFF"/>
            <w:vAlign w:val="center"/>
          </w:tcPr>
          <w:p w14:paraId="4A12422D"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80</w:t>
            </w:r>
          </w:p>
        </w:tc>
        <w:tc>
          <w:tcPr>
            <w:tcW w:w="1360" w:type="dxa"/>
            <w:tcBorders>
              <w:top w:val="nil"/>
              <w:left w:val="nil"/>
              <w:bottom w:val="nil"/>
              <w:right w:val="nil"/>
            </w:tcBorders>
            <w:shd w:val="clear" w:color="000000" w:fill="FFFFFF"/>
            <w:vAlign w:val="center"/>
          </w:tcPr>
          <w:p w14:paraId="39819BEE"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7.6%</w:t>
            </w:r>
          </w:p>
        </w:tc>
        <w:tc>
          <w:tcPr>
            <w:tcW w:w="820" w:type="dxa"/>
            <w:tcBorders>
              <w:top w:val="nil"/>
              <w:left w:val="nil"/>
              <w:bottom w:val="nil"/>
              <w:right w:val="nil"/>
            </w:tcBorders>
            <w:shd w:val="clear" w:color="000000" w:fill="FFFFFF"/>
            <w:vAlign w:val="center"/>
          </w:tcPr>
          <w:p w14:paraId="3C47BC4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174</w:t>
            </w:r>
          </w:p>
        </w:tc>
        <w:tc>
          <w:tcPr>
            <w:tcW w:w="1300" w:type="dxa"/>
            <w:tcBorders>
              <w:top w:val="nil"/>
              <w:left w:val="nil"/>
              <w:bottom w:val="nil"/>
              <w:right w:val="nil"/>
            </w:tcBorders>
            <w:shd w:val="clear" w:color="000000" w:fill="FFFFFF"/>
            <w:vAlign w:val="center"/>
          </w:tcPr>
          <w:p w14:paraId="270F8A59"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10.1%</w:t>
            </w:r>
          </w:p>
        </w:tc>
        <w:tc>
          <w:tcPr>
            <w:tcW w:w="820" w:type="dxa"/>
            <w:tcBorders>
              <w:top w:val="nil"/>
              <w:left w:val="nil"/>
              <w:bottom w:val="nil"/>
              <w:right w:val="nil"/>
            </w:tcBorders>
            <w:shd w:val="clear" w:color="000000" w:fill="FFFFFF"/>
            <w:vAlign w:val="center"/>
          </w:tcPr>
          <w:p w14:paraId="1A3B50E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w:t>
            </w:r>
          </w:p>
        </w:tc>
        <w:tc>
          <w:tcPr>
            <w:tcW w:w="1180" w:type="dxa"/>
            <w:tcBorders>
              <w:top w:val="nil"/>
              <w:left w:val="nil"/>
              <w:bottom w:val="nil"/>
              <w:right w:val="nil"/>
            </w:tcBorders>
            <w:shd w:val="clear" w:color="000000" w:fill="FFFFFF"/>
            <w:vAlign w:val="center"/>
          </w:tcPr>
          <w:p w14:paraId="709B55D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1.4%</w:t>
            </w:r>
          </w:p>
        </w:tc>
        <w:tc>
          <w:tcPr>
            <w:tcW w:w="667" w:type="dxa"/>
            <w:tcBorders>
              <w:top w:val="nil"/>
              <w:left w:val="nil"/>
              <w:bottom w:val="nil"/>
              <w:right w:val="nil"/>
            </w:tcBorders>
            <w:shd w:val="clear" w:color="000000" w:fill="FFFFFF"/>
            <w:vAlign w:val="center"/>
          </w:tcPr>
          <w:p w14:paraId="12398548"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6</w:t>
            </w:r>
          </w:p>
        </w:tc>
        <w:tc>
          <w:tcPr>
            <w:tcW w:w="1273" w:type="dxa"/>
            <w:tcBorders>
              <w:top w:val="nil"/>
              <w:left w:val="nil"/>
              <w:bottom w:val="nil"/>
              <w:right w:val="nil"/>
            </w:tcBorders>
            <w:shd w:val="clear" w:color="000000" w:fill="FFFFFF"/>
            <w:vAlign w:val="center"/>
          </w:tcPr>
          <w:p w14:paraId="43BAE30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0.2%</w:t>
            </w:r>
          </w:p>
        </w:tc>
      </w:tr>
      <w:tr w:rsidR="00445DDF" w:rsidRPr="0020759F" w14:paraId="6BCFE2DF" w14:textId="77777777" w:rsidTr="00A514FA">
        <w:trPr>
          <w:trHeight w:val="300"/>
        </w:trPr>
        <w:tc>
          <w:tcPr>
            <w:tcW w:w="1960" w:type="dxa"/>
            <w:tcBorders>
              <w:top w:val="nil"/>
              <w:left w:val="nil"/>
              <w:right w:val="nil"/>
            </w:tcBorders>
            <w:shd w:val="clear" w:color="000000" w:fill="FFFFFF"/>
            <w:vAlign w:val="center"/>
          </w:tcPr>
          <w:p w14:paraId="6DBCE654" w14:textId="77777777" w:rsidR="00445DDF" w:rsidRPr="0020759F" w:rsidRDefault="00445DDF" w:rsidP="00A514FA">
            <w:pPr>
              <w:spacing w:line="240" w:lineRule="auto"/>
              <w:rPr>
                <w:sz w:val="20"/>
                <w:szCs w:val="20"/>
                <w:lang w:val="fr-FR" w:eastAsia="fr-FR"/>
              </w:rPr>
            </w:pPr>
            <w:proofErr w:type="spellStart"/>
            <w:r w:rsidRPr="0020759F">
              <w:rPr>
                <w:sz w:val="20"/>
                <w:szCs w:val="20"/>
                <w:lang w:val="fr-FR" w:eastAsia="fr-FR"/>
              </w:rPr>
              <w:t>Oxcarbazepine</w:t>
            </w:r>
            <w:proofErr w:type="spellEnd"/>
            <w:r w:rsidRPr="0020759F">
              <w:rPr>
                <w:sz w:val="20"/>
                <w:szCs w:val="20"/>
                <w:lang w:val="fr-FR" w:eastAsia="fr-FR"/>
              </w:rPr>
              <w:t xml:space="preserve"> </w:t>
            </w:r>
          </w:p>
        </w:tc>
        <w:tc>
          <w:tcPr>
            <w:tcW w:w="1120" w:type="dxa"/>
            <w:tcBorders>
              <w:top w:val="nil"/>
              <w:left w:val="nil"/>
              <w:right w:val="nil"/>
            </w:tcBorders>
            <w:shd w:val="clear" w:color="000000" w:fill="FFFFFF"/>
            <w:vAlign w:val="center"/>
          </w:tcPr>
          <w:p w14:paraId="02DD0BFF"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N03AF02</w:t>
            </w:r>
          </w:p>
        </w:tc>
        <w:tc>
          <w:tcPr>
            <w:tcW w:w="820" w:type="dxa"/>
            <w:tcBorders>
              <w:top w:val="nil"/>
              <w:left w:val="nil"/>
              <w:right w:val="nil"/>
            </w:tcBorders>
            <w:shd w:val="clear" w:color="000000" w:fill="FFFFFF"/>
            <w:vAlign w:val="center"/>
          </w:tcPr>
          <w:p w14:paraId="7521E344"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44</w:t>
            </w:r>
          </w:p>
        </w:tc>
        <w:tc>
          <w:tcPr>
            <w:tcW w:w="1360" w:type="dxa"/>
            <w:tcBorders>
              <w:top w:val="nil"/>
              <w:left w:val="nil"/>
              <w:right w:val="nil"/>
            </w:tcBorders>
            <w:shd w:val="clear" w:color="000000" w:fill="FFFFFF"/>
            <w:vAlign w:val="center"/>
          </w:tcPr>
          <w:p w14:paraId="3018994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4.2%</w:t>
            </w:r>
          </w:p>
        </w:tc>
        <w:tc>
          <w:tcPr>
            <w:tcW w:w="820" w:type="dxa"/>
            <w:tcBorders>
              <w:top w:val="nil"/>
              <w:left w:val="nil"/>
              <w:right w:val="nil"/>
            </w:tcBorders>
            <w:shd w:val="clear" w:color="000000" w:fill="FFFFFF"/>
            <w:vAlign w:val="center"/>
          </w:tcPr>
          <w:p w14:paraId="3ABDD140"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82</w:t>
            </w:r>
          </w:p>
        </w:tc>
        <w:tc>
          <w:tcPr>
            <w:tcW w:w="1300" w:type="dxa"/>
            <w:tcBorders>
              <w:top w:val="nil"/>
              <w:left w:val="nil"/>
              <w:right w:val="nil"/>
            </w:tcBorders>
            <w:shd w:val="clear" w:color="000000" w:fill="FFFFFF"/>
            <w:vAlign w:val="center"/>
          </w:tcPr>
          <w:p w14:paraId="1F115985"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4.8%</w:t>
            </w:r>
          </w:p>
        </w:tc>
        <w:tc>
          <w:tcPr>
            <w:tcW w:w="820" w:type="dxa"/>
            <w:tcBorders>
              <w:top w:val="nil"/>
              <w:left w:val="nil"/>
              <w:right w:val="nil"/>
            </w:tcBorders>
            <w:shd w:val="clear" w:color="000000" w:fill="FFFFFF"/>
            <w:vAlign w:val="center"/>
          </w:tcPr>
          <w:p w14:paraId="77A411E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w:t>
            </w:r>
          </w:p>
        </w:tc>
        <w:tc>
          <w:tcPr>
            <w:tcW w:w="1180" w:type="dxa"/>
            <w:tcBorders>
              <w:top w:val="nil"/>
              <w:left w:val="nil"/>
              <w:right w:val="nil"/>
            </w:tcBorders>
            <w:shd w:val="clear" w:color="000000" w:fill="FFFFFF"/>
            <w:vAlign w:val="center"/>
          </w:tcPr>
          <w:p w14:paraId="6C502C99"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2.4%</w:t>
            </w:r>
          </w:p>
        </w:tc>
        <w:tc>
          <w:tcPr>
            <w:tcW w:w="667" w:type="dxa"/>
            <w:tcBorders>
              <w:top w:val="nil"/>
              <w:left w:val="nil"/>
              <w:right w:val="nil"/>
            </w:tcBorders>
            <w:shd w:val="clear" w:color="000000" w:fill="FFFFFF"/>
            <w:vAlign w:val="center"/>
          </w:tcPr>
          <w:p w14:paraId="5ACBEDAE"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15</w:t>
            </w:r>
          </w:p>
        </w:tc>
        <w:tc>
          <w:tcPr>
            <w:tcW w:w="1273" w:type="dxa"/>
            <w:tcBorders>
              <w:top w:val="nil"/>
              <w:left w:val="nil"/>
              <w:right w:val="nil"/>
            </w:tcBorders>
            <w:shd w:val="clear" w:color="000000" w:fill="FFFFFF"/>
            <w:vAlign w:val="center"/>
          </w:tcPr>
          <w:p w14:paraId="5C6A0F0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0.5%</w:t>
            </w:r>
          </w:p>
        </w:tc>
      </w:tr>
      <w:tr w:rsidR="00445DDF" w:rsidRPr="0020759F" w14:paraId="00AF5242" w14:textId="77777777" w:rsidTr="00A514FA">
        <w:trPr>
          <w:trHeight w:val="300"/>
        </w:trPr>
        <w:tc>
          <w:tcPr>
            <w:tcW w:w="1960" w:type="dxa"/>
            <w:tcBorders>
              <w:top w:val="nil"/>
              <w:left w:val="nil"/>
              <w:bottom w:val="single" w:sz="4" w:space="0" w:color="auto"/>
              <w:right w:val="nil"/>
            </w:tcBorders>
            <w:shd w:val="clear" w:color="000000" w:fill="FFFFFF"/>
            <w:vAlign w:val="center"/>
          </w:tcPr>
          <w:p w14:paraId="213F88F6" w14:textId="77777777" w:rsidR="00445DDF" w:rsidRPr="0020759F" w:rsidRDefault="00445DDF" w:rsidP="00A514FA">
            <w:pPr>
              <w:spacing w:line="240" w:lineRule="auto"/>
              <w:rPr>
                <w:sz w:val="20"/>
                <w:szCs w:val="20"/>
                <w:lang w:val="fr-FR" w:eastAsia="fr-FR"/>
              </w:rPr>
            </w:pPr>
            <w:r w:rsidRPr="0020759F">
              <w:rPr>
                <w:sz w:val="20"/>
                <w:szCs w:val="20"/>
                <w:lang w:val="fr-FR" w:eastAsia="fr-FR"/>
              </w:rPr>
              <w:t>Clobazam</w:t>
            </w:r>
          </w:p>
        </w:tc>
        <w:tc>
          <w:tcPr>
            <w:tcW w:w="1120" w:type="dxa"/>
            <w:tcBorders>
              <w:top w:val="nil"/>
              <w:left w:val="nil"/>
              <w:bottom w:val="single" w:sz="4" w:space="0" w:color="auto"/>
              <w:right w:val="nil"/>
            </w:tcBorders>
            <w:shd w:val="clear" w:color="000000" w:fill="FFFFFF"/>
            <w:vAlign w:val="center"/>
          </w:tcPr>
          <w:p w14:paraId="1D761A43" w14:textId="77777777" w:rsidR="00445DDF" w:rsidRPr="0020759F" w:rsidRDefault="00445DDF" w:rsidP="00A514FA">
            <w:pPr>
              <w:spacing w:line="240" w:lineRule="auto"/>
              <w:rPr>
                <w:sz w:val="20"/>
                <w:szCs w:val="20"/>
                <w:lang w:val="fr-FR" w:eastAsia="fr-FR"/>
              </w:rPr>
            </w:pPr>
            <w:r w:rsidRPr="0020759F">
              <w:rPr>
                <w:sz w:val="20"/>
                <w:szCs w:val="20"/>
                <w:lang w:val="fr-FR" w:eastAsia="fr-FR"/>
              </w:rPr>
              <w:t>N05BA09</w:t>
            </w:r>
          </w:p>
        </w:tc>
        <w:tc>
          <w:tcPr>
            <w:tcW w:w="820" w:type="dxa"/>
            <w:tcBorders>
              <w:top w:val="nil"/>
              <w:left w:val="nil"/>
              <w:bottom w:val="single" w:sz="4" w:space="0" w:color="auto"/>
              <w:right w:val="nil"/>
            </w:tcBorders>
            <w:shd w:val="clear" w:color="000000" w:fill="FFFFFF"/>
            <w:vAlign w:val="center"/>
          </w:tcPr>
          <w:p w14:paraId="56DA4E76"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5</w:t>
            </w:r>
          </w:p>
        </w:tc>
        <w:tc>
          <w:tcPr>
            <w:tcW w:w="1360" w:type="dxa"/>
            <w:tcBorders>
              <w:top w:val="nil"/>
              <w:left w:val="nil"/>
              <w:bottom w:val="single" w:sz="4" w:space="0" w:color="auto"/>
              <w:right w:val="nil"/>
            </w:tcBorders>
            <w:shd w:val="clear" w:color="000000" w:fill="FFFFFF"/>
            <w:vAlign w:val="center"/>
          </w:tcPr>
          <w:p w14:paraId="1000E1B5"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0.5%</w:t>
            </w:r>
          </w:p>
        </w:tc>
        <w:tc>
          <w:tcPr>
            <w:tcW w:w="820" w:type="dxa"/>
            <w:tcBorders>
              <w:top w:val="nil"/>
              <w:left w:val="nil"/>
              <w:bottom w:val="single" w:sz="4" w:space="0" w:color="auto"/>
              <w:right w:val="nil"/>
            </w:tcBorders>
            <w:shd w:val="clear" w:color="000000" w:fill="FFFFFF"/>
            <w:vAlign w:val="center"/>
          </w:tcPr>
          <w:p w14:paraId="0CDF9242"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0</w:t>
            </w:r>
          </w:p>
        </w:tc>
        <w:tc>
          <w:tcPr>
            <w:tcW w:w="1300" w:type="dxa"/>
            <w:tcBorders>
              <w:top w:val="nil"/>
              <w:left w:val="nil"/>
              <w:bottom w:val="single" w:sz="4" w:space="0" w:color="auto"/>
              <w:right w:val="nil"/>
            </w:tcBorders>
            <w:shd w:val="clear" w:color="000000" w:fill="FFFFFF"/>
            <w:vAlign w:val="center"/>
          </w:tcPr>
          <w:p w14:paraId="77FA959C"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w:t>
            </w:r>
          </w:p>
        </w:tc>
        <w:tc>
          <w:tcPr>
            <w:tcW w:w="820" w:type="dxa"/>
            <w:tcBorders>
              <w:top w:val="nil"/>
              <w:left w:val="nil"/>
              <w:bottom w:val="single" w:sz="4" w:space="0" w:color="auto"/>
              <w:right w:val="nil"/>
            </w:tcBorders>
            <w:shd w:val="clear" w:color="000000" w:fill="FFFFFF"/>
            <w:vAlign w:val="center"/>
          </w:tcPr>
          <w:p w14:paraId="634A853E"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44</w:t>
            </w:r>
          </w:p>
        </w:tc>
        <w:tc>
          <w:tcPr>
            <w:tcW w:w="1180" w:type="dxa"/>
            <w:tcBorders>
              <w:top w:val="nil"/>
              <w:left w:val="nil"/>
              <w:bottom w:val="single" w:sz="4" w:space="0" w:color="auto"/>
              <w:right w:val="nil"/>
            </w:tcBorders>
            <w:shd w:val="clear" w:color="000000" w:fill="FFFFFF"/>
            <w:vAlign w:val="center"/>
          </w:tcPr>
          <w:p w14:paraId="3CE69A3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10.4%</w:t>
            </w:r>
          </w:p>
        </w:tc>
        <w:tc>
          <w:tcPr>
            <w:tcW w:w="667" w:type="dxa"/>
            <w:tcBorders>
              <w:top w:val="nil"/>
              <w:left w:val="nil"/>
              <w:bottom w:val="single" w:sz="4" w:space="0" w:color="auto"/>
              <w:right w:val="nil"/>
            </w:tcBorders>
            <w:shd w:val="clear" w:color="000000" w:fill="FFFFFF"/>
            <w:vAlign w:val="center"/>
          </w:tcPr>
          <w:p w14:paraId="75B782D3"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91</w:t>
            </w:r>
          </w:p>
        </w:tc>
        <w:tc>
          <w:tcPr>
            <w:tcW w:w="1273" w:type="dxa"/>
            <w:tcBorders>
              <w:top w:val="nil"/>
              <w:left w:val="nil"/>
              <w:bottom w:val="single" w:sz="4" w:space="0" w:color="auto"/>
              <w:right w:val="nil"/>
            </w:tcBorders>
            <w:shd w:val="clear" w:color="000000" w:fill="FFFFFF"/>
            <w:vAlign w:val="center"/>
          </w:tcPr>
          <w:p w14:paraId="1C22DE1A" w14:textId="77777777" w:rsidR="00445DDF" w:rsidRPr="0020759F" w:rsidRDefault="00445DDF" w:rsidP="00A514FA">
            <w:pPr>
              <w:spacing w:line="240" w:lineRule="auto"/>
              <w:jc w:val="center"/>
              <w:rPr>
                <w:sz w:val="20"/>
                <w:szCs w:val="20"/>
                <w:lang w:val="fr-FR" w:eastAsia="fr-FR"/>
              </w:rPr>
            </w:pPr>
            <w:r w:rsidRPr="0020759F">
              <w:rPr>
                <w:sz w:val="20"/>
                <w:szCs w:val="20"/>
                <w:lang w:val="fr-FR" w:eastAsia="fr-FR"/>
              </w:rPr>
              <w:t>3.1%</w:t>
            </w:r>
          </w:p>
        </w:tc>
      </w:tr>
    </w:tbl>
    <w:p w14:paraId="60F3540A" w14:textId="77777777" w:rsidR="00445DDF" w:rsidRPr="0020759F" w:rsidRDefault="00445DDF" w:rsidP="00A514FA">
      <w:pPr>
        <w:rPr>
          <w:b/>
          <w:lang w:val="en-US"/>
        </w:rPr>
      </w:pPr>
      <w:r w:rsidRPr="0020759F">
        <w:rPr>
          <w:sz w:val="20"/>
          <w:szCs w:val="20"/>
          <w:lang w:val="en-US"/>
        </w:rPr>
        <w:t xml:space="preserve">On a total of </w:t>
      </w:r>
      <w:r w:rsidRPr="0020759F">
        <w:rPr>
          <w:i/>
          <w:sz w:val="20"/>
          <w:szCs w:val="20"/>
          <w:lang w:val="en-US"/>
        </w:rPr>
        <w:t>a</w:t>
      </w:r>
      <w:r w:rsidRPr="0020759F">
        <w:rPr>
          <w:sz w:val="20"/>
          <w:szCs w:val="20"/>
          <w:lang w:val="en-US"/>
        </w:rPr>
        <w:t>: 355,767 pregnancies (3.0</w:t>
      </w:r>
      <w:r w:rsidRPr="0020759F">
        <w:rPr>
          <w:sz w:val="20"/>
          <w:szCs w:val="20"/>
        </w:rPr>
        <w:t>‰)</w:t>
      </w:r>
      <w:r w:rsidRPr="0020759F">
        <w:rPr>
          <w:sz w:val="20"/>
          <w:szCs w:val="20"/>
          <w:lang w:val="en-US"/>
        </w:rPr>
        <w:t xml:space="preserve">; </w:t>
      </w:r>
      <w:r w:rsidRPr="0020759F">
        <w:rPr>
          <w:i/>
          <w:sz w:val="20"/>
          <w:szCs w:val="20"/>
          <w:lang w:val="en-US"/>
        </w:rPr>
        <w:t>b</w:t>
      </w:r>
      <w:r w:rsidRPr="0020759F">
        <w:rPr>
          <w:sz w:val="20"/>
          <w:szCs w:val="20"/>
          <w:lang w:val="en-US"/>
        </w:rPr>
        <w:t>: 294,151 pregnancies (5.9</w:t>
      </w:r>
      <w:r w:rsidRPr="0020759F">
        <w:rPr>
          <w:sz w:val="20"/>
          <w:szCs w:val="20"/>
        </w:rPr>
        <w:t>‰)</w:t>
      </w:r>
      <w:r w:rsidRPr="0020759F">
        <w:rPr>
          <w:sz w:val="20"/>
          <w:szCs w:val="20"/>
          <w:lang w:val="en-US"/>
        </w:rPr>
        <w:t xml:space="preserve">; </w:t>
      </w:r>
      <w:r w:rsidRPr="0020759F">
        <w:rPr>
          <w:i/>
          <w:sz w:val="20"/>
          <w:szCs w:val="20"/>
          <w:lang w:val="en-US"/>
        </w:rPr>
        <w:t>c:</w:t>
      </w:r>
      <w:r w:rsidRPr="0020759F">
        <w:rPr>
          <w:sz w:val="20"/>
          <w:szCs w:val="20"/>
          <w:lang w:val="en-US"/>
        </w:rPr>
        <w:t xml:space="preserve"> 66,681 pregnancies (6.3%); </w:t>
      </w:r>
      <w:r w:rsidRPr="0020759F">
        <w:rPr>
          <w:i/>
          <w:sz w:val="20"/>
          <w:szCs w:val="20"/>
          <w:lang w:val="en-US"/>
        </w:rPr>
        <w:t>d:</w:t>
      </w:r>
      <w:r w:rsidRPr="0020759F">
        <w:rPr>
          <w:sz w:val="20"/>
          <w:szCs w:val="20"/>
          <w:lang w:val="en-US"/>
        </w:rPr>
        <w:t xml:space="preserve"> 380,499 pregnancies (7.8</w:t>
      </w:r>
      <w:r w:rsidRPr="0020759F">
        <w:rPr>
          <w:sz w:val="20"/>
          <w:szCs w:val="20"/>
        </w:rPr>
        <w:t>‰)</w:t>
      </w:r>
      <w:r w:rsidRPr="0020759F">
        <w:rPr>
          <w:b/>
          <w:lang w:val="en-US"/>
        </w:rPr>
        <w:br w:type="page"/>
      </w:r>
      <w:r w:rsidRPr="0020759F">
        <w:rPr>
          <w:b/>
          <w:lang w:val="en-US"/>
        </w:rPr>
        <w:lastRenderedPageBreak/>
        <w:t>Table 2 – Indications of AED prescriptions during pregnancy in France and United Kingdom</w:t>
      </w:r>
    </w:p>
    <w:p w14:paraId="71EBE7F6" w14:textId="77777777" w:rsidR="00445DDF" w:rsidRPr="0020759F" w:rsidRDefault="00445DDF" w:rsidP="00A514FA">
      <w:pPr>
        <w:spacing w:line="240" w:lineRule="auto"/>
        <w:jc w:val="center"/>
        <w:rPr>
          <w:b/>
          <w:sz w:val="24"/>
          <w:szCs w:val="24"/>
          <w:lang w:val="en-US"/>
        </w:rPr>
      </w:pPr>
    </w:p>
    <w:tbl>
      <w:tblPr>
        <w:tblW w:w="8840" w:type="dxa"/>
        <w:jc w:val="center"/>
        <w:tblCellMar>
          <w:left w:w="70" w:type="dxa"/>
          <w:right w:w="70" w:type="dxa"/>
        </w:tblCellMar>
        <w:tblLook w:val="00A0" w:firstRow="1" w:lastRow="0" w:firstColumn="1" w:lastColumn="0" w:noHBand="0" w:noVBand="0"/>
      </w:tblPr>
      <w:tblGrid>
        <w:gridCol w:w="2400"/>
        <w:gridCol w:w="2000"/>
        <w:gridCol w:w="1040"/>
        <w:gridCol w:w="2200"/>
        <w:gridCol w:w="1200"/>
      </w:tblGrid>
      <w:tr w:rsidR="00445DDF" w:rsidRPr="0020759F" w14:paraId="5278050F" w14:textId="77777777" w:rsidTr="00A514FA">
        <w:trPr>
          <w:trHeight w:val="310"/>
          <w:jc w:val="center"/>
        </w:trPr>
        <w:tc>
          <w:tcPr>
            <w:tcW w:w="2400" w:type="dxa"/>
            <w:tcBorders>
              <w:top w:val="nil"/>
              <w:left w:val="nil"/>
              <w:bottom w:val="nil"/>
              <w:right w:val="nil"/>
            </w:tcBorders>
            <w:noWrap/>
            <w:vAlign w:val="bottom"/>
          </w:tcPr>
          <w:p w14:paraId="022EB5FE" w14:textId="77777777" w:rsidR="00445DDF" w:rsidRPr="0020759F" w:rsidRDefault="00445DDF" w:rsidP="00A514FA">
            <w:pPr>
              <w:spacing w:line="240" w:lineRule="auto"/>
              <w:rPr>
                <w:rFonts w:ascii="Times New Roman" w:hAnsi="Times New Roman"/>
                <w:sz w:val="24"/>
                <w:szCs w:val="24"/>
                <w:lang w:val="en-US" w:eastAsia="fr-FR"/>
              </w:rPr>
            </w:pPr>
          </w:p>
        </w:tc>
        <w:tc>
          <w:tcPr>
            <w:tcW w:w="3040" w:type="dxa"/>
            <w:gridSpan w:val="2"/>
            <w:tcBorders>
              <w:top w:val="nil"/>
              <w:left w:val="nil"/>
              <w:bottom w:val="nil"/>
              <w:right w:val="nil"/>
            </w:tcBorders>
            <w:shd w:val="clear" w:color="000000" w:fill="BFBFBF"/>
            <w:noWrap/>
            <w:vAlign w:val="center"/>
          </w:tcPr>
          <w:p w14:paraId="55087ADC"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France</w:t>
            </w:r>
          </w:p>
        </w:tc>
        <w:tc>
          <w:tcPr>
            <w:tcW w:w="3400" w:type="dxa"/>
            <w:gridSpan w:val="2"/>
            <w:tcBorders>
              <w:top w:val="nil"/>
              <w:left w:val="nil"/>
              <w:bottom w:val="nil"/>
              <w:right w:val="nil"/>
            </w:tcBorders>
            <w:shd w:val="clear" w:color="000000" w:fill="BFBFBF"/>
            <w:noWrap/>
            <w:vAlign w:val="center"/>
          </w:tcPr>
          <w:p w14:paraId="415E1C7F"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United Kingdom</w:t>
            </w:r>
          </w:p>
        </w:tc>
      </w:tr>
      <w:tr w:rsidR="00445DDF" w:rsidRPr="0020759F" w14:paraId="09243348" w14:textId="77777777" w:rsidTr="00A514FA">
        <w:trPr>
          <w:trHeight w:val="320"/>
          <w:jc w:val="center"/>
        </w:trPr>
        <w:tc>
          <w:tcPr>
            <w:tcW w:w="2400" w:type="dxa"/>
            <w:tcBorders>
              <w:top w:val="nil"/>
              <w:left w:val="nil"/>
              <w:bottom w:val="single" w:sz="8" w:space="0" w:color="auto"/>
              <w:right w:val="nil"/>
            </w:tcBorders>
            <w:noWrap/>
            <w:vAlign w:val="bottom"/>
          </w:tcPr>
          <w:p w14:paraId="6166F0E1" w14:textId="77777777" w:rsidR="00445DDF" w:rsidRPr="0020759F" w:rsidRDefault="00445DDF" w:rsidP="00A514FA">
            <w:pPr>
              <w:spacing w:line="240" w:lineRule="auto"/>
              <w:rPr>
                <w:sz w:val="24"/>
                <w:szCs w:val="24"/>
                <w:lang w:val="en-US" w:eastAsia="fr-FR"/>
              </w:rPr>
            </w:pPr>
            <w:r w:rsidRPr="0020759F">
              <w:rPr>
                <w:sz w:val="24"/>
                <w:szCs w:val="24"/>
                <w:lang w:val="en-US" w:eastAsia="fr-FR"/>
              </w:rPr>
              <w:t> </w:t>
            </w:r>
          </w:p>
        </w:tc>
        <w:tc>
          <w:tcPr>
            <w:tcW w:w="2000" w:type="dxa"/>
            <w:tcBorders>
              <w:top w:val="nil"/>
              <w:left w:val="nil"/>
              <w:bottom w:val="single" w:sz="8" w:space="0" w:color="auto"/>
              <w:right w:val="nil"/>
            </w:tcBorders>
            <w:shd w:val="clear" w:color="000000" w:fill="FFFFFF"/>
            <w:vAlign w:val="center"/>
          </w:tcPr>
          <w:p w14:paraId="4533DF2D"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N</w:t>
            </w:r>
          </w:p>
        </w:tc>
        <w:tc>
          <w:tcPr>
            <w:tcW w:w="1040" w:type="dxa"/>
            <w:tcBorders>
              <w:top w:val="nil"/>
              <w:left w:val="nil"/>
              <w:bottom w:val="single" w:sz="8" w:space="0" w:color="auto"/>
              <w:right w:val="nil"/>
            </w:tcBorders>
            <w:shd w:val="clear" w:color="000000" w:fill="FFFFFF"/>
            <w:vAlign w:val="center"/>
          </w:tcPr>
          <w:p w14:paraId="7205895A"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 xml:space="preserve">% </w:t>
            </w:r>
          </w:p>
        </w:tc>
        <w:tc>
          <w:tcPr>
            <w:tcW w:w="2200" w:type="dxa"/>
            <w:tcBorders>
              <w:top w:val="nil"/>
              <w:left w:val="nil"/>
              <w:bottom w:val="single" w:sz="8" w:space="0" w:color="auto"/>
              <w:right w:val="nil"/>
            </w:tcBorders>
            <w:shd w:val="clear" w:color="000000" w:fill="FFFFFF"/>
            <w:vAlign w:val="center"/>
          </w:tcPr>
          <w:p w14:paraId="597330E3"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N</w:t>
            </w:r>
          </w:p>
        </w:tc>
        <w:tc>
          <w:tcPr>
            <w:tcW w:w="1200" w:type="dxa"/>
            <w:tcBorders>
              <w:top w:val="nil"/>
              <w:left w:val="nil"/>
              <w:bottom w:val="single" w:sz="8" w:space="0" w:color="auto"/>
              <w:right w:val="nil"/>
            </w:tcBorders>
            <w:shd w:val="clear" w:color="000000" w:fill="FFFFFF"/>
            <w:vAlign w:val="center"/>
          </w:tcPr>
          <w:p w14:paraId="33276396" w14:textId="77777777" w:rsidR="00445DDF" w:rsidRPr="0020759F" w:rsidRDefault="00445DDF" w:rsidP="00A514FA">
            <w:pPr>
              <w:spacing w:line="240" w:lineRule="auto"/>
              <w:jc w:val="center"/>
              <w:rPr>
                <w:b/>
                <w:bCs/>
                <w:sz w:val="24"/>
                <w:szCs w:val="24"/>
                <w:lang w:val="en-US" w:eastAsia="fr-FR"/>
              </w:rPr>
            </w:pPr>
            <w:r w:rsidRPr="0020759F">
              <w:rPr>
                <w:b/>
                <w:bCs/>
                <w:sz w:val="24"/>
                <w:szCs w:val="24"/>
                <w:lang w:val="en-US" w:eastAsia="fr-FR"/>
              </w:rPr>
              <w:t xml:space="preserve">% </w:t>
            </w:r>
          </w:p>
        </w:tc>
      </w:tr>
      <w:tr w:rsidR="00445DDF" w:rsidRPr="0020759F" w14:paraId="17B7820B" w14:textId="77777777" w:rsidTr="00A514FA">
        <w:trPr>
          <w:trHeight w:val="310"/>
          <w:jc w:val="center"/>
        </w:trPr>
        <w:tc>
          <w:tcPr>
            <w:tcW w:w="2400" w:type="dxa"/>
            <w:tcBorders>
              <w:top w:val="nil"/>
              <w:left w:val="nil"/>
              <w:bottom w:val="dotted" w:sz="4" w:space="0" w:color="auto"/>
              <w:right w:val="nil"/>
            </w:tcBorders>
            <w:noWrap/>
            <w:vAlign w:val="bottom"/>
          </w:tcPr>
          <w:p w14:paraId="4CD01710" w14:textId="77777777" w:rsidR="00445DDF" w:rsidRPr="0020759F" w:rsidRDefault="00445DDF" w:rsidP="00A514FA">
            <w:pPr>
              <w:spacing w:line="240" w:lineRule="auto"/>
              <w:rPr>
                <w:b/>
                <w:bCs/>
                <w:sz w:val="24"/>
                <w:szCs w:val="24"/>
                <w:lang w:val="fr-FR" w:eastAsia="fr-FR"/>
              </w:rPr>
            </w:pPr>
            <w:proofErr w:type="spellStart"/>
            <w:r w:rsidRPr="0020759F">
              <w:rPr>
                <w:b/>
                <w:bCs/>
                <w:sz w:val="24"/>
                <w:szCs w:val="24"/>
                <w:lang w:val="fr-FR" w:eastAsia="fr-FR"/>
              </w:rPr>
              <w:t>Any</w:t>
            </w:r>
            <w:proofErr w:type="spellEnd"/>
            <w:r w:rsidRPr="0020759F">
              <w:rPr>
                <w:b/>
                <w:bCs/>
                <w:sz w:val="24"/>
                <w:szCs w:val="24"/>
                <w:lang w:val="fr-FR" w:eastAsia="fr-FR"/>
              </w:rPr>
              <w:t xml:space="preserve"> AED</w:t>
            </w:r>
          </w:p>
        </w:tc>
        <w:tc>
          <w:tcPr>
            <w:tcW w:w="2000" w:type="dxa"/>
            <w:tcBorders>
              <w:top w:val="nil"/>
              <w:left w:val="nil"/>
              <w:bottom w:val="dotted" w:sz="4" w:space="0" w:color="auto"/>
              <w:right w:val="nil"/>
            </w:tcBorders>
            <w:shd w:val="clear" w:color="000000" w:fill="FFFFFF"/>
            <w:vAlign w:val="center"/>
          </w:tcPr>
          <w:p w14:paraId="6611ACB5" w14:textId="77777777" w:rsidR="00445DDF" w:rsidRPr="0020759F" w:rsidRDefault="00445DDF" w:rsidP="00A514FA">
            <w:pPr>
              <w:spacing w:line="240" w:lineRule="auto"/>
              <w:jc w:val="center"/>
              <w:rPr>
                <w:b/>
                <w:bCs/>
                <w:sz w:val="24"/>
                <w:szCs w:val="24"/>
                <w:lang w:val="fr-FR" w:eastAsia="fr-FR"/>
              </w:rPr>
            </w:pPr>
            <w:r w:rsidRPr="0020759F">
              <w:rPr>
                <w:b/>
                <w:bCs/>
                <w:sz w:val="24"/>
                <w:szCs w:val="24"/>
                <w:lang w:val="fr-FR" w:eastAsia="fr-FR"/>
              </w:rPr>
              <w:t>422</w:t>
            </w:r>
          </w:p>
        </w:tc>
        <w:tc>
          <w:tcPr>
            <w:tcW w:w="1040" w:type="dxa"/>
            <w:tcBorders>
              <w:top w:val="nil"/>
              <w:left w:val="nil"/>
              <w:bottom w:val="dotted" w:sz="4" w:space="0" w:color="auto"/>
              <w:right w:val="nil"/>
            </w:tcBorders>
            <w:shd w:val="clear" w:color="000000" w:fill="FFFFFF"/>
            <w:vAlign w:val="center"/>
          </w:tcPr>
          <w:p w14:paraId="4F1B8B2C" w14:textId="77777777" w:rsidR="00445DDF" w:rsidRPr="0020759F" w:rsidRDefault="00445DDF" w:rsidP="00A514FA">
            <w:pPr>
              <w:spacing w:line="240" w:lineRule="auto"/>
              <w:jc w:val="center"/>
              <w:rPr>
                <w:b/>
                <w:bCs/>
                <w:sz w:val="24"/>
                <w:szCs w:val="24"/>
                <w:lang w:val="fr-FR" w:eastAsia="fr-FR"/>
              </w:rPr>
            </w:pPr>
            <w:r w:rsidRPr="0020759F">
              <w:rPr>
                <w:b/>
                <w:bCs/>
                <w:sz w:val="24"/>
                <w:szCs w:val="24"/>
                <w:lang w:val="fr-FR" w:eastAsia="fr-FR"/>
              </w:rPr>
              <w:t>100.0%</w:t>
            </w:r>
          </w:p>
        </w:tc>
        <w:tc>
          <w:tcPr>
            <w:tcW w:w="2200" w:type="dxa"/>
            <w:tcBorders>
              <w:top w:val="nil"/>
              <w:left w:val="nil"/>
              <w:bottom w:val="dotted" w:sz="4" w:space="0" w:color="auto"/>
              <w:right w:val="nil"/>
            </w:tcBorders>
            <w:noWrap/>
            <w:vAlign w:val="bottom"/>
          </w:tcPr>
          <w:p w14:paraId="6EB6F4A4"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2,956</w:t>
            </w:r>
          </w:p>
        </w:tc>
        <w:tc>
          <w:tcPr>
            <w:tcW w:w="1200" w:type="dxa"/>
            <w:tcBorders>
              <w:top w:val="nil"/>
              <w:left w:val="nil"/>
              <w:bottom w:val="dotted" w:sz="4" w:space="0" w:color="auto"/>
              <w:right w:val="nil"/>
            </w:tcBorders>
            <w:noWrap/>
            <w:vAlign w:val="bottom"/>
          </w:tcPr>
          <w:p w14:paraId="7BD439BA"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100.0%</w:t>
            </w:r>
          </w:p>
        </w:tc>
      </w:tr>
      <w:tr w:rsidR="00445DDF" w:rsidRPr="0020759F" w14:paraId="4EA20BF3" w14:textId="77777777" w:rsidTr="00A514FA">
        <w:trPr>
          <w:trHeight w:val="310"/>
          <w:jc w:val="center"/>
        </w:trPr>
        <w:tc>
          <w:tcPr>
            <w:tcW w:w="2400" w:type="dxa"/>
            <w:tcBorders>
              <w:top w:val="nil"/>
              <w:left w:val="nil"/>
              <w:bottom w:val="nil"/>
              <w:right w:val="nil"/>
            </w:tcBorders>
            <w:noWrap/>
            <w:vAlign w:val="bottom"/>
          </w:tcPr>
          <w:p w14:paraId="7604A201" w14:textId="77777777" w:rsidR="00445DDF" w:rsidRPr="0020759F" w:rsidRDefault="00445DDF" w:rsidP="00A514FA">
            <w:pPr>
              <w:spacing w:line="240" w:lineRule="auto"/>
              <w:rPr>
                <w:sz w:val="24"/>
                <w:szCs w:val="24"/>
                <w:lang w:val="fr-FR" w:eastAsia="fr-FR"/>
              </w:rPr>
            </w:pPr>
            <w:proofErr w:type="spellStart"/>
            <w:r w:rsidRPr="0020759F">
              <w:rPr>
                <w:sz w:val="24"/>
                <w:szCs w:val="24"/>
                <w:lang w:val="fr-FR" w:eastAsia="fr-FR"/>
              </w:rPr>
              <w:t>Epilepsy</w:t>
            </w:r>
            <w:proofErr w:type="spellEnd"/>
          </w:p>
        </w:tc>
        <w:tc>
          <w:tcPr>
            <w:tcW w:w="2000" w:type="dxa"/>
            <w:tcBorders>
              <w:top w:val="nil"/>
              <w:left w:val="nil"/>
              <w:bottom w:val="nil"/>
              <w:right w:val="nil"/>
            </w:tcBorders>
            <w:shd w:val="clear" w:color="000000" w:fill="FFFFFF"/>
            <w:vAlign w:val="center"/>
          </w:tcPr>
          <w:p w14:paraId="2AC8018B"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278</w:t>
            </w:r>
          </w:p>
        </w:tc>
        <w:tc>
          <w:tcPr>
            <w:tcW w:w="1040" w:type="dxa"/>
            <w:tcBorders>
              <w:top w:val="nil"/>
              <w:left w:val="nil"/>
              <w:bottom w:val="nil"/>
              <w:right w:val="nil"/>
            </w:tcBorders>
            <w:shd w:val="clear" w:color="000000" w:fill="FFFFFF"/>
            <w:vAlign w:val="center"/>
          </w:tcPr>
          <w:p w14:paraId="55EFEAAA"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65.9%</w:t>
            </w:r>
          </w:p>
        </w:tc>
        <w:tc>
          <w:tcPr>
            <w:tcW w:w="2200" w:type="dxa"/>
            <w:tcBorders>
              <w:top w:val="nil"/>
              <w:left w:val="nil"/>
              <w:bottom w:val="nil"/>
              <w:right w:val="nil"/>
            </w:tcBorders>
            <w:noWrap/>
            <w:vAlign w:val="bottom"/>
          </w:tcPr>
          <w:p w14:paraId="700A6C4C"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1,826</w:t>
            </w:r>
          </w:p>
        </w:tc>
        <w:tc>
          <w:tcPr>
            <w:tcW w:w="1200" w:type="dxa"/>
            <w:tcBorders>
              <w:top w:val="nil"/>
              <w:left w:val="nil"/>
              <w:bottom w:val="nil"/>
              <w:right w:val="nil"/>
            </w:tcBorders>
            <w:noWrap/>
            <w:vAlign w:val="bottom"/>
          </w:tcPr>
          <w:p w14:paraId="5AE99911"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61.8%</w:t>
            </w:r>
          </w:p>
        </w:tc>
      </w:tr>
      <w:tr w:rsidR="00445DDF" w:rsidRPr="0020759F" w14:paraId="36FD6E8B" w14:textId="77777777" w:rsidTr="00A514FA">
        <w:trPr>
          <w:trHeight w:val="310"/>
          <w:jc w:val="center"/>
        </w:trPr>
        <w:tc>
          <w:tcPr>
            <w:tcW w:w="2400" w:type="dxa"/>
            <w:tcBorders>
              <w:top w:val="nil"/>
              <w:left w:val="nil"/>
              <w:bottom w:val="nil"/>
              <w:right w:val="nil"/>
            </w:tcBorders>
            <w:noWrap/>
            <w:vAlign w:val="bottom"/>
          </w:tcPr>
          <w:p w14:paraId="39B13CE6" w14:textId="77777777" w:rsidR="00445DDF" w:rsidRPr="0020759F" w:rsidRDefault="00445DDF" w:rsidP="00A514FA">
            <w:pPr>
              <w:spacing w:line="240" w:lineRule="auto"/>
              <w:rPr>
                <w:sz w:val="24"/>
                <w:szCs w:val="24"/>
                <w:lang w:val="fr-FR" w:eastAsia="fr-FR"/>
              </w:rPr>
            </w:pPr>
            <w:proofErr w:type="spellStart"/>
            <w:r w:rsidRPr="0020759F">
              <w:rPr>
                <w:sz w:val="24"/>
                <w:szCs w:val="24"/>
                <w:lang w:val="fr-FR" w:eastAsia="fr-FR"/>
              </w:rPr>
              <w:t>Bipolar</w:t>
            </w:r>
            <w:proofErr w:type="spellEnd"/>
            <w:r w:rsidRPr="0020759F">
              <w:rPr>
                <w:sz w:val="24"/>
                <w:szCs w:val="24"/>
                <w:lang w:val="fr-FR" w:eastAsia="fr-FR"/>
              </w:rPr>
              <w:t xml:space="preserve"> </w:t>
            </w:r>
            <w:proofErr w:type="spellStart"/>
            <w:r w:rsidRPr="0020759F">
              <w:rPr>
                <w:sz w:val="24"/>
                <w:szCs w:val="24"/>
                <w:lang w:val="fr-FR" w:eastAsia="fr-FR"/>
              </w:rPr>
              <w:t>disorder</w:t>
            </w:r>
            <w:proofErr w:type="spellEnd"/>
          </w:p>
        </w:tc>
        <w:tc>
          <w:tcPr>
            <w:tcW w:w="2000" w:type="dxa"/>
            <w:tcBorders>
              <w:top w:val="nil"/>
              <w:left w:val="nil"/>
              <w:bottom w:val="nil"/>
              <w:right w:val="nil"/>
            </w:tcBorders>
            <w:shd w:val="clear" w:color="000000" w:fill="FFFFFF"/>
            <w:vAlign w:val="center"/>
          </w:tcPr>
          <w:p w14:paraId="5F7A124D"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69</w:t>
            </w:r>
          </w:p>
        </w:tc>
        <w:tc>
          <w:tcPr>
            <w:tcW w:w="1040" w:type="dxa"/>
            <w:tcBorders>
              <w:top w:val="nil"/>
              <w:left w:val="nil"/>
              <w:bottom w:val="nil"/>
              <w:right w:val="nil"/>
            </w:tcBorders>
            <w:shd w:val="clear" w:color="000000" w:fill="FFFFFF"/>
            <w:vAlign w:val="center"/>
          </w:tcPr>
          <w:p w14:paraId="691D1080"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16.4%</w:t>
            </w:r>
          </w:p>
        </w:tc>
        <w:tc>
          <w:tcPr>
            <w:tcW w:w="2200" w:type="dxa"/>
            <w:tcBorders>
              <w:top w:val="nil"/>
              <w:left w:val="nil"/>
              <w:bottom w:val="nil"/>
              <w:right w:val="nil"/>
            </w:tcBorders>
            <w:noWrap/>
            <w:vAlign w:val="bottom"/>
          </w:tcPr>
          <w:p w14:paraId="1B0EFA5C"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161</w:t>
            </w:r>
          </w:p>
        </w:tc>
        <w:tc>
          <w:tcPr>
            <w:tcW w:w="1200" w:type="dxa"/>
            <w:tcBorders>
              <w:top w:val="nil"/>
              <w:left w:val="nil"/>
              <w:bottom w:val="nil"/>
              <w:right w:val="nil"/>
            </w:tcBorders>
            <w:noWrap/>
            <w:vAlign w:val="bottom"/>
          </w:tcPr>
          <w:p w14:paraId="28A75891"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5.4%</w:t>
            </w:r>
          </w:p>
        </w:tc>
      </w:tr>
      <w:tr w:rsidR="00445DDF" w:rsidRPr="0020759F" w14:paraId="6CE8C35A" w14:textId="77777777" w:rsidTr="00A514FA">
        <w:trPr>
          <w:trHeight w:val="310"/>
          <w:jc w:val="center"/>
        </w:trPr>
        <w:tc>
          <w:tcPr>
            <w:tcW w:w="2400" w:type="dxa"/>
            <w:tcBorders>
              <w:top w:val="nil"/>
              <w:left w:val="nil"/>
              <w:bottom w:val="nil"/>
              <w:right w:val="nil"/>
            </w:tcBorders>
            <w:noWrap/>
            <w:vAlign w:val="bottom"/>
          </w:tcPr>
          <w:p w14:paraId="3386A95B" w14:textId="77777777" w:rsidR="00445DDF" w:rsidRPr="0020759F" w:rsidRDefault="00445DDF" w:rsidP="00A514FA">
            <w:pPr>
              <w:spacing w:line="240" w:lineRule="auto"/>
              <w:rPr>
                <w:sz w:val="24"/>
                <w:szCs w:val="24"/>
                <w:lang w:val="fr-FR" w:eastAsia="fr-FR"/>
              </w:rPr>
            </w:pPr>
            <w:proofErr w:type="spellStart"/>
            <w:r w:rsidRPr="0020759F">
              <w:rPr>
                <w:sz w:val="24"/>
                <w:szCs w:val="24"/>
                <w:lang w:val="fr-FR" w:eastAsia="fr-FR"/>
              </w:rPr>
              <w:t>Anxiety</w:t>
            </w:r>
            <w:proofErr w:type="spellEnd"/>
          </w:p>
        </w:tc>
        <w:tc>
          <w:tcPr>
            <w:tcW w:w="2000" w:type="dxa"/>
            <w:tcBorders>
              <w:top w:val="nil"/>
              <w:left w:val="nil"/>
              <w:bottom w:val="nil"/>
              <w:right w:val="nil"/>
            </w:tcBorders>
            <w:shd w:val="clear" w:color="000000" w:fill="FFFFFF"/>
            <w:vAlign w:val="center"/>
          </w:tcPr>
          <w:p w14:paraId="501BE040"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12</w:t>
            </w:r>
          </w:p>
        </w:tc>
        <w:tc>
          <w:tcPr>
            <w:tcW w:w="1040" w:type="dxa"/>
            <w:tcBorders>
              <w:top w:val="nil"/>
              <w:left w:val="nil"/>
              <w:bottom w:val="nil"/>
              <w:right w:val="nil"/>
            </w:tcBorders>
            <w:shd w:val="clear" w:color="000000" w:fill="FFFFFF"/>
            <w:vAlign w:val="center"/>
          </w:tcPr>
          <w:p w14:paraId="5876C912"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2.8%</w:t>
            </w:r>
          </w:p>
        </w:tc>
        <w:tc>
          <w:tcPr>
            <w:tcW w:w="2200" w:type="dxa"/>
            <w:tcBorders>
              <w:top w:val="nil"/>
              <w:left w:val="nil"/>
              <w:bottom w:val="nil"/>
              <w:right w:val="nil"/>
            </w:tcBorders>
            <w:noWrap/>
            <w:vAlign w:val="bottom"/>
          </w:tcPr>
          <w:p w14:paraId="600C9EDD"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72</w:t>
            </w:r>
          </w:p>
        </w:tc>
        <w:tc>
          <w:tcPr>
            <w:tcW w:w="1200" w:type="dxa"/>
            <w:tcBorders>
              <w:top w:val="nil"/>
              <w:left w:val="nil"/>
              <w:bottom w:val="nil"/>
              <w:right w:val="nil"/>
            </w:tcBorders>
            <w:noWrap/>
            <w:vAlign w:val="bottom"/>
          </w:tcPr>
          <w:p w14:paraId="5F3770A1"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2.4%</w:t>
            </w:r>
          </w:p>
        </w:tc>
      </w:tr>
      <w:tr w:rsidR="00445DDF" w:rsidRPr="0020759F" w14:paraId="5BA69E09" w14:textId="77777777" w:rsidTr="00A514FA">
        <w:trPr>
          <w:trHeight w:val="310"/>
          <w:jc w:val="center"/>
        </w:trPr>
        <w:tc>
          <w:tcPr>
            <w:tcW w:w="2400" w:type="dxa"/>
            <w:tcBorders>
              <w:top w:val="nil"/>
              <w:left w:val="nil"/>
              <w:bottom w:val="nil"/>
              <w:right w:val="nil"/>
            </w:tcBorders>
            <w:noWrap/>
            <w:vAlign w:val="bottom"/>
          </w:tcPr>
          <w:p w14:paraId="389B3EFE" w14:textId="77777777" w:rsidR="00445DDF" w:rsidRPr="0020759F" w:rsidRDefault="00445DDF" w:rsidP="00A514FA">
            <w:pPr>
              <w:spacing w:line="240" w:lineRule="auto"/>
              <w:rPr>
                <w:sz w:val="24"/>
                <w:szCs w:val="24"/>
                <w:lang w:val="fr-FR" w:eastAsia="fr-FR"/>
              </w:rPr>
            </w:pPr>
            <w:r w:rsidRPr="0020759F">
              <w:rPr>
                <w:sz w:val="24"/>
                <w:szCs w:val="24"/>
                <w:lang w:val="fr-FR" w:eastAsia="fr-FR"/>
              </w:rPr>
              <w:t>Pain</w:t>
            </w:r>
          </w:p>
        </w:tc>
        <w:tc>
          <w:tcPr>
            <w:tcW w:w="2000" w:type="dxa"/>
            <w:tcBorders>
              <w:top w:val="nil"/>
              <w:left w:val="nil"/>
              <w:bottom w:val="nil"/>
              <w:right w:val="nil"/>
            </w:tcBorders>
            <w:shd w:val="clear" w:color="000000" w:fill="FFFFFF"/>
            <w:vAlign w:val="center"/>
          </w:tcPr>
          <w:p w14:paraId="36CC744F"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49</w:t>
            </w:r>
          </w:p>
        </w:tc>
        <w:tc>
          <w:tcPr>
            <w:tcW w:w="1040" w:type="dxa"/>
            <w:tcBorders>
              <w:top w:val="nil"/>
              <w:left w:val="nil"/>
              <w:bottom w:val="nil"/>
              <w:right w:val="nil"/>
            </w:tcBorders>
            <w:shd w:val="clear" w:color="000000" w:fill="FFFFFF"/>
            <w:vAlign w:val="center"/>
          </w:tcPr>
          <w:p w14:paraId="5C96D2F7"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11.6%</w:t>
            </w:r>
          </w:p>
        </w:tc>
        <w:tc>
          <w:tcPr>
            <w:tcW w:w="2200" w:type="dxa"/>
            <w:tcBorders>
              <w:top w:val="nil"/>
              <w:left w:val="nil"/>
              <w:bottom w:val="nil"/>
              <w:right w:val="nil"/>
            </w:tcBorders>
            <w:noWrap/>
            <w:vAlign w:val="bottom"/>
          </w:tcPr>
          <w:p w14:paraId="21282686"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457</w:t>
            </w:r>
          </w:p>
        </w:tc>
        <w:tc>
          <w:tcPr>
            <w:tcW w:w="1200" w:type="dxa"/>
            <w:tcBorders>
              <w:top w:val="nil"/>
              <w:left w:val="nil"/>
              <w:bottom w:val="nil"/>
              <w:right w:val="nil"/>
            </w:tcBorders>
            <w:noWrap/>
            <w:vAlign w:val="bottom"/>
          </w:tcPr>
          <w:p w14:paraId="1C5A9F86"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15.4%</w:t>
            </w:r>
          </w:p>
        </w:tc>
      </w:tr>
      <w:tr w:rsidR="00445DDF" w:rsidRPr="0020759F" w14:paraId="445C4613" w14:textId="77777777" w:rsidTr="00A514FA">
        <w:trPr>
          <w:trHeight w:val="310"/>
          <w:jc w:val="center"/>
        </w:trPr>
        <w:tc>
          <w:tcPr>
            <w:tcW w:w="2400" w:type="dxa"/>
            <w:tcBorders>
              <w:top w:val="nil"/>
              <w:left w:val="nil"/>
              <w:bottom w:val="nil"/>
              <w:right w:val="nil"/>
            </w:tcBorders>
            <w:noWrap/>
            <w:vAlign w:val="bottom"/>
          </w:tcPr>
          <w:p w14:paraId="2209AE9D" w14:textId="77777777" w:rsidR="00445DDF" w:rsidRPr="0020759F" w:rsidRDefault="00445DDF" w:rsidP="00A514FA">
            <w:pPr>
              <w:spacing w:line="240" w:lineRule="auto"/>
              <w:rPr>
                <w:sz w:val="24"/>
                <w:szCs w:val="24"/>
                <w:lang w:val="fr-FR" w:eastAsia="fr-FR"/>
              </w:rPr>
            </w:pPr>
            <w:r w:rsidRPr="0020759F">
              <w:rPr>
                <w:sz w:val="24"/>
                <w:szCs w:val="24"/>
                <w:lang w:val="fr-FR" w:eastAsia="fr-FR"/>
              </w:rPr>
              <w:t>Migraine</w:t>
            </w:r>
          </w:p>
        </w:tc>
        <w:tc>
          <w:tcPr>
            <w:tcW w:w="2000" w:type="dxa"/>
            <w:tcBorders>
              <w:top w:val="nil"/>
              <w:left w:val="nil"/>
              <w:bottom w:val="nil"/>
              <w:right w:val="nil"/>
            </w:tcBorders>
            <w:shd w:val="clear" w:color="000000" w:fill="FFFFFF"/>
            <w:vAlign w:val="center"/>
          </w:tcPr>
          <w:p w14:paraId="687C93BA"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3</w:t>
            </w:r>
          </w:p>
        </w:tc>
        <w:tc>
          <w:tcPr>
            <w:tcW w:w="1040" w:type="dxa"/>
            <w:tcBorders>
              <w:top w:val="nil"/>
              <w:left w:val="nil"/>
              <w:bottom w:val="nil"/>
              <w:right w:val="nil"/>
            </w:tcBorders>
            <w:shd w:val="clear" w:color="000000" w:fill="FFFFFF"/>
            <w:vAlign w:val="center"/>
          </w:tcPr>
          <w:p w14:paraId="0E3C267B"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0.7%</w:t>
            </w:r>
          </w:p>
        </w:tc>
        <w:tc>
          <w:tcPr>
            <w:tcW w:w="2200" w:type="dxa"/>
            <w:tcBorders>
              <w:top w:val="nil"/>
              <w:left w:val="nil"/>
              <w:bottom w:val="nil"/>
              <w:right w:val="nil"/>
            </w:tcBorders>
            <w:noWrap/>
            <w:vAlign w:val="bottom"/>
          </w:tcPr>
          <w:p w14:paraId="349D0358"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66</w:t>
            </w:r>
          </w:p>
        </w:tc>
        <w:tc>
          <w:tcPr>
            <w:tcW w:w="1200" w:type="dxa"/>
            <w:tcBorders>
              <w:top w:val="nil"/>
              <w:left w:val="nil"/>
              <w:bottom w:val="nil"/>
              <w:right w:val="nil"/>
            </w:tcBorders>
            <w:noWrap/>
            <w:vAlign w:val="bottom"/>
          </w:tcPr>
          <w:p w14:paraId="06960576"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2.2%</w:t>
            </w:r>
          </w:p>
        </w:tc>
      </w:tr>
      <w:tr w:rsidR="00445DDF" w:rsidRPr="0020759F" w14:paraId="41873274" w14:textId="77777777" w:rsidTr="00A514FA">
        <w:trPr>
          <w:trHeight w:val="310"/>
          <w:jc w:val="center"/>
        </w:trPr>
        <w:tc>
          <w:tcPr>
            <w:tcW w:w="2400" w:type="dxa"/>
            <w:tcBorders>
              <w:top w:val="nil"/>
              <w:left w:val="nil"/>
              <w:bottom w:val="nil"/>
              <w:right w:val="nil"/>
            </w:tcBorders>
            <w:noWrap/>
            <w:vAlign w:val="bottom"/>
          </w:tcPr>
          <w:p w14:paraId="22F92850" w14:textId="77777777" w:rsidR="00445DDF" w:rsidRPr="0020759F" w:rsidRDefault="00445DDF" w:rsidP="00A514FA">
            <w:pPr>
              <w:spacing w:line="240" w:lineRule="auto"/>
              <w:rPr>
                <w:sz w:val="24"/>
                <w:szCs w:val="24"/>
                <w:lang w:val="fr-FR" w:eastAsia="fr-FR"/>
              </w:rPr>
            </w:pPr>
            <w:proofErr w:type="spellStart"/>
            <w:r w:rsidRPr="0020759F">
              <w:rPr>
                <w:sz w:val="24"/>
                <w:szCs w:val="24"/>
                <w:lang w:val="fr-FR" w:eastAsia="fr-FR"/>
              </w:rPr>
              <w:t>Gen</w:t>
            </w:r>
            <w:proofErr w:type="spellEnd"/>
            <w:r w:rsidRPr="0020759F">
              <w:rPr>
                <w:sz w:val="24"/>
                <w:szCs w:val="24"/>
                <w:lang w:val="fr-FR" w:eastAsia="fr-FR"/>
              </w:rPr>
              <w:t xml:space="preserve"> </w:t>
            </w:r>
            <w:proofErr w:type="spellStart"/>
            <w:r w:rsidRPr="0020759F">
              <w:rPr>
                <w:sz w:val="24"/>
                <w:szCs w:val="24"/>
                <w:lang w:val="fr-FR" w:eastAsia="fr-FR"/>
              </w:rPr>
              <w:t>psych</w:t>
            </w:r>
            <w:proofErr w:type="spellEnd"/>
          </w:p>
        </w:tc>
        <w:tc>
          <w:tcPr>
            <w:tcW w:w="2000" w:type="dxa"/>
            <w:tcBorders>
              <w:top w:val="nil"/>
              <w:left w:val="nil"/>
              <w:bottom w:val="nil"/>
              <w:right w:val="nil"/>
            </w:tcBorders>
            <w:shd w:val="clear" w:color="000000" w:fill="FFFFFF"/>
            <w:vAlign w:val="center"/>
          </w:tcPr>
          <w:p w14:paraId="4B8C3DA2"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 </w:t>
            </w:r>
          </w:p>
        </w:tc>
        <w:tc>
          <w:tcPr>
            <w:tcW w:w="1040" w:type="dxa"/>
            <w:tcBorders>
              <w:top w:val="nil"/>
              <w:left w:val="nil"/>
              <w:bottom w:val="nil"/>
              <w:right w:val="nil"/>
            </w:tcBorders>
            <w:shd w:val="clear" w:color="000000" w:fill="FFFFFF"/>
            <w:vAlign w:val="center"/>
          </w:tcPr>
          <w:p w14:paraId="5E254F02"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 </w:t>
            </w:r>
          </w:p>
        </w:tc>
        <w:tc>
          <w:tcPr>
            <w:tcW w:w="2200" w:type="dxa"/>
            <w:tcBorders>
              <w:top w:val="nil"/>
              <w:left w:val="nil"/>
              <w:bottom w:val="nil"/>
              <w:right w:val="nil"/>
            </w:tcBorders>
            <w:noWrap/>
            <w:vAlign w:val="bottom"/>
          </w:tcPr>
          <w:p w14:paraId="5854F3CA"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57</w:t>
            </w:r>
          </w:p>
        </w:tc>
        <w:tc>
          <w:tcPr>
            <w:tcW w:w="1200" w:type="dxa"/>
            <w:tcBorders>
              <w:top w:val="nil"/>
              <w:left w:val="nil"/>
              <w:bottom w:val="nil"/>
              <w:right w:val="nil"/>
            </w:tcBorders>
            <w:noWrap/>
            <w:vAlign w:val="bottom"/>
          </w:tcPr>
          <w:p w14:paraId="4E197415"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1.9%</w:t>
            </w:r>
          </w:p>
        </w:tc>
      </w:tr>
      <w:tr w:rsidR="00445DDF" w:rsidRPr="0020759F" w14:paraId="17B16E10" w14:textId="77777777" w:rsidTr="00A514FA">
        <w:trPr>
          <w:trHeight w:val="320"/>
          <w:jc w:val="center"/>
        </w:trPr>
        <w:tc>
          <w:tcPr>
            <w:tcW w:w="2400" w:type="dxa"/>
            <w:tcBorders>
              <w:top w:val="nil"/>
              <w:left w:val="nil"/>
              <w:bottom w:val="single" w:sz="8" w:space="0" w:color="auto"/>
              <w:right w:val="nil"/>
            </w:tcBorders>
            <w:noWrap/>
            <w:vAlign w:val="bottom"/>
          </w:tcPr>
          <w:p w14:paraId="7AA76A66" w14:textId="77777777" w:rsidR="00445DDF" w:rsidRPr="0020759F" w:rsidRDefault="00445DDF" w:rsidP="00A514FA">
            <w:pPr>
              <w:spacing w:line="240" w:lineRule="auto"/>
              <w:rPr>
                <w:sz w:val="24"/>
                <w:szCs w:val="24"/>
                <w:lang w:val="fr-FR" w:eastAsia="fr-FR"/>
              </w:rPr>
            </w:pPr>
            <w:proofErr w:type="spellStart"/>
            <w:r w:rsidRPr="0020759F">
              <w:rPr>
                <w:sz w:val="24"/>
                <w:szCs w:val="24"/>
                <w:lang w:val="fr-FR" w:eastAsia="fr-FR"/>
              </w:rPr>
              <w:t>Unknown</w:t>
            </w:r>
            <w:proofErr w:type="spellEnd"/>
          </w:p>
        </w:tc>
        <w:tc>
          <w:tcPr>
            <w:tcW w:w="2000" w:type="dxa"/>
            <w:tcBorders>
              <w:top w:val="nil"/>
              <w:left w:val="nil"/>
              <w:bottom w:val="single" w:sz="8" w:space="0" w:color="auto"/>
              <w:right w:val="nil"/>
            </w:tcBorders>
            <w:shd w:val="clear" w:color="000000" w:fill="FFFFFF"/>
            <w:vAlign w:val="center"/>
          </w:tcPr>
          <w:p w14:paraId="03A9B83B"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38</w:t>
            </w:r>
          </w:p>
        </w:tc>
        <w:tc>
          <w:tcPr>
            <w:tcW w:w="1040" w:type="dxa"/>
            <w:tcBorders>
              <w:top w:val="nil"/>
              <w:left w:val="nil"/>
              <w:bottom w:val="single" w:sz="8" w:space="0" w:color="auto"/>
              <w:right w:val="nil"/>
            </w:tcBorders>
            <w:shd w:val="clear" w:color="000000" w:fill="FFFFFF"/>
            <w:vAlign w:val="center"/>
          </w:tcPr>
          <w:p w14:paraId="210D5593"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9.0%</w:t>
            </w:r>
          </w:p>
        </w:tc>
        <w:tc>
          <w:tcPr>
            <w:tcW w:w="2200" w:type="dxa"/>
            <w:tcBorders>
              <w:top w:val="nil"/>
              <w:left w:val="nil"/>
              <w:bottom w:val="single" w:sz="8" w:space="0" w:color="auto"/>
              <w:right w:val="nil"/>
            </w:tcBorders>
            <w:noWrap/>
            <w:vAlign w:val="bottom"/>
          </w:tcPr>
          <w:p w14:paraId="1798AD57"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377</w:t>
            </w:r>
          </w:p>
        </w:tc>
        <w:tc>
          <w:tcPr>
            <w:tcW w:w="1200" w:type="dxa"/>
            <w:tcBorders>
              <w:top w:val="nil"/>
              <w:left w:val="nil"/>
              <w:bottom w:val="single" w:sz="8" w:space="0" w:color="auto"/>
              <w:right w:val="nil"/>
            </w:tcBorders>
            <w:noWrap/>
            <w:vAlign w:val="bottom"/>
          </w:tcPr>
          <w:p w14:paraId="573E9A47" w14:textId="77777777" w:rsidR="00445DDF" w:rsidRPr="0020759F" w:rsidRDefault="00445DDF" w:rsidP="00A514FA">
            <w:pPr>
              <w:spacing w:line="240" w:lineRule="auto"/>
              <w:jc w:val="center"/>
              <w:rPr>
                <w:sz w:val="24"/>
                <w:szCs w:val="24"/>
                <w:lang w:val="fr-FR" w:eastAsia="fr-FR"/>
              </w:rPr>
            </w:pPr>
            <w:r w:rsidRPr="0020759F">
              <w:rPr>
                <w:sz w:val="24"/>
                <w:szCs w:val="24"/>
                <w:lang w:val="fr-FR" w:eastAsia="fr-FR"/>
              </w:rPr>
              <w:t>12.8%</w:t>
            </w:r>
          </w:p>
        </w:tc>
      </w:tr>
    </w:tbl>
    <w:p w14:paraId="0CD80E3E" w14:textId="77777777" w:rsidR="00445DDF" w:rsidRPr="0020759F" w:rsidRDefault="00445DDF" w:rsidP="00A514FA">
      <w:pPr>
        <w:spacing w:line="240" w:lineRule="auto"/>
        <w:rPr>
          <w:b/>
          <w:lang w:val="en-US"/>
        </w:rPr>
      </w:pPr>
    </w:p>
    <w:p w14:paraId="57A71D5D" w14:textId="77777777" w:rsidR="00445DDF" w:rsidRPr="0020759F" w:rsidRDefault="00445DDF" w:rsidP="00A514FA">
      <w:pPr>
        <w:spacing w:line="240" w:lineRule="auto"/>
        <w:rPr>
          <w:b/>
          <w:lang w:val="en-US"/>
        </w:rPr>
      </w:pPr>
    </w:p>
    <w:p w14:paraId="411E6582" w14:textId="77777777" w:rsidR="00445DDF" w:rsidRPr="0020759F" w:rsidRDefault="00445DDF" w:rsidP="00A514FA">
      <w:pPr>
        <w:spacing w:line="240" w:lineRule="auto"/>
        <w:rPr>
          <w:b/>
          <w:lang w:val="en-US"/>
        </w:rPr>
      </w:pPr>
    </w:p>
    <w:p w14:paraId="4628F535" w14:textId="77777777" w:rsidR="00445DDF" w:rsidRPr="0020759F" w:rsidRDefault="00445DDF" w:rsidP="002C5CEB">
      <w:pPr>
        <w:spacing w:line="240" w:lineRule="auto"/>
        <w:rPr>
          <w:b/>
          <w:lang w:val="en-US"/>
        </w:rPr>
        <w:sectPr w:rsidR="00445DDF" w:rsidRPr="0020759F" w:rsidSect="00A514FA">
          <w:pgSz w:w="16838" w:h="11906" w:orient="landscape"/>
          <w:pgMar w:top="1276" w:right="1440" w:bottom="1440" w:left="1440" w:header="709" w:footer="709" w:gutter="0"/>
          <w:cols w:space="708"/>
          <w:docGrid w:linePitch="360"/>
        </w:sectPr>
      </w:pPr>
    </w:p>
    <w:p w14:paraId="2C53C8F3" w14:textId="77777777" w:rsidR="00445DDF" w:rsidRPr="0020759F" w:rsidRDefault="00445DDF" w:rsidP="00A514FA">
      <w:pPr>
        <w:spacing w:line="480" w:lineRule="auto"/>
        <w:jc w:val="both"/>
        <w:rPr>
          <w:rFonts w:ascii="Times New Roman" w:hAnsi="Times New Roman"/>
          <w:b/>
          <w:sz w:val="24"/>
          <w:lang w:val="en-US"/>
        </w:rPr>
      </w:pPr>
      <w:r w:rsidRPr="0020759F">
        <w:rPr>
          <w:rFonts w:ascii="Times New Roman" w:hAnsi="Times New Roman"/>
          <w:b/>
          <w:sz w:val="24"/>
          <w:lang w:val="en-US"/>
        </w:rPr>
        <w:lastRenderedPageBreak/>
        <w:t>FIGURE LEGENDS</w:t>
      </w:r>
    </w:p>
    <w:p w14:paraId="2550CBD3" w14:textId="77777777" w:rsidR="00445DDF" w:rsidRPr="0020759F" w:rsidRDefault="00445DDF" w:rsidP="00A514FA">
      <w:pPr>
        <w:spacing w:line="480" w:lineRule="auto"/>
        <w:jc w:val="both"/>
        <w:rPr>
          <w:rFonts w:ascii="Times New Roman" w:hAnsi="Times New Roman"/>
          <w:sz w:val="24"/>
          <w:lang w:val="en-US"/>
        </w:rPr>
      </w:pPr>
    </w:p>
    <w:p w14:paraId="27A82450" w14:textId="77777777" w:rsidR="00445DDF" w:rsidRPr="0020759F" w:rsidRDefault="00445DDF" w:rsidP="00A514FA">
      <w:pPr>
        <w:spacing w:line="480" w:lineRule="auto"/>
        <w:rPr>
          <w:rFonts w:ascii="Times New Roman" w:hAnsi="Times New Roman"/>
          <w:sz w:val="24"/>
          <w:szCs w:val="24"/>
          <w:lang w:val="en-US"/>
        </w:rPr>
      </w:pPr>
      <w:r w:rsidRPr="0020759F">
        <w:rPr>
          <w:rFonts w:ascii="Times New Roman" w:hAnsi="Times New Roman"/>
          <w:b/>
          <w:sz w:val="24"/>
          <w:szCs w:val="24"/>
          <w:lang w:val="en-US"/>
        </w:rPr>
        <w:t>Figure 1</w:t>
      </w:r>
      <w:r w:rsidRPr="0020759F">
        <w:rPr>
          <w:rFonts w:ascii="Times New Roman" w:hAnsi="Times New Roman"/>
          <w:sz w:val="24"/>
          <w:szCs w:val="24"/>
          <w:lang w:val="en-US"/>
        </w:rPr>
        <w:t xml:space="preserve"> - Prevalence of AED prescribing during each of the pregnancy trimesters and the 6 months before the start of pregnancy by region</w:t>
      </w:r>
    </w:p>
    <w:p w14:paraId="7885CF8D" w14:textId="77777777" w:rsidR="00445DDF" w:rsidRPr="0020759F" w:rsidRDefault="00445DDF" w:rsidP="00A514FA">
      <w:pPr>
        <w:spacing w:line="480" w:lineRule="auto"/>
        <w:rPr>
          <w:rFonts w:ascii="Times New Roman" w:hAnsi="Times New Roman"/>
          <w:sz w:val="24"/>
          <w:szCs w:val="24"/>
          <w:lang w:val="en-US"/>
        </w:rPr>
      </w:pPr>
      <w:r w:rsidRPr="0020759F">
        <w:rPr>
          <w:rFonts w:ascii="Times New Roman" w:hAnsi="Times New Roman"/>
          <w:b/>
          <w:sz w:val="24"/>
          <w:szCs w:val="24"/>
          <w:lang w:val="en-US"/>
        </w:rPr>
        <w:t>Figure 2</w:t>
      </w:r>
      <w:r w:rsidRPr="0020759F">
        <w:rPr>
          <w:rFonts w:ascii="Times New Roman" w:hAnsi="Times New Roman"/>
          <w:sz w:val="24"/>
          <w:szCs w:val="24"/>
          <w:lang w:val="en-US"/>
        </w:rPr>
        <w:t xml:space="preserve"> - Prevalence of AED prescribing during pregnancy by year from 2007 to 2016</w:t>
      </w:r>
    </w:p>
    <w:p w14:paraId="407840CB" w14:textId="77777777" w:rsidR="00445DDF" w:rsidRPr="00A514FA" w:rsidRDefault="00445DDF" w:rsidP="00A514FA">
      <w:pPr>
        <w:spacing w:line="480" w:lineRule="auto"/>
        <w:rPr>
          <w:rFonts w:ascii="Times New Roman" w:hAnsi="Times New Roman"/>
          <w:sz w:val="24"/>
          <w:szCs w:val="24"/>
          <w:lang w:val="en-US"/>
        </w:rPr>
      </w:pPr>
      <w:r w:rsidRPr="0020759F">
        <w:rPr>
          <w:rFonts w:ascii="Times New Roman" w:hAnsi="Times New Roman"/>
          <w:b/>
          <w:sz w:val="24"/>
          <w:szCs w:val="24"/>
          <w:lang w:val="en-US"/>
        </w:rPr>
        <w:t>Figure 3</w:t>
      </w:r>
      <w:r w:rsidRPr="0020759F">
        <w:rPr>
          <w:rFonts w:ascii="Times New Roman" w:hAnsi="Times New Roman"/>
          <w:sz w:val="24"/>
          <w:szCs w:val="24"/>
          <w:lang w:val="en-US"/>
        </w:rPr>
        <w:t xml:space="preserve"> - Prevalence of AED prescribing during pregnancy by country and by year from 2007 to 2016</w:t>
      </w:r>
    </w:p>
    <w:p w14:paraId="605A8D3A" w14:textId="77777777" w:rsidR="00445DDF" w:rsidRPr="00286104" w:rsidRDefault="00445DDF" w:rsidP="002C5CEB">
      <w:pPr>
        <w:spacing w:line="240" w:lineRule="auto"/>
        <w:rPr>
          <w:b/>
          <w:lang w:val="en-US"/>
        </w:rPr>
      </w:pPr>
    </w:p>
    <w:sectPr w:rsidR="00445DDF" w:rsidRPr="00286104" w:rsidSect="00A514FA">
      <w:pgSz w:w="11906" w:h="1683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F541" w14:textId="77777777" w:rsidR="002A2C16" w:rsidRDefault="002A2C16" w:rsidP="00E34915">
      <w:pPr>
        <w:spacing w:line="240" w:lineRule="auto"/>
      </w:pPr>
      <w:r>
        <w:separator/>
      </w:r>
    </w:p>
  </w:endnote>
  <w:endnote w:type="continuationSeparator" w:id="0">
    <w:p w14:paraId="4A6269BE" w14:textId="77777777" w:rsidR="002A2C16" w:rsidRDefault="002A2C16" w:rsidP="00E34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heSansOffice">
    <w:altName w:val="Calibri"/>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F96A" w14:textId="77777777" w:rsidR="00646410" w:rsidRDefault="00646410">
    <w:pPr>
      <w:pStyle w:val="Footer"/>
      <w:jc w:val="center"/>
    </w:pPr>
    <w:r>
      <w:fldChar w:fldCharType="begin"/>
    </w:r>
    <w:r>
      <w:instrText>PAGE   \* MERGEFORMAT</w:instrText>
    </w:r>
    <w:r>
      <w:fldChar w:fldCharType="separate"/>
    </w:r>
    <w:r w:rsidRPr="0039084A">
      <w:rPr>
        <w:noProof/>
        <w:lang w:val="fr-FR"/>
      </w:rPr>
      <w:t>20</w:t>
    </w:r>
    <w:r>
      <w:rPr>
        <w:noProof/>
        <w:lang w:val="fr-FR"/>
      </w:rPr>
      <w:fldChar w:fldCharType="end"/>
    </w:r>
  </w:p>
  <w:p w14:paraId="788936F7" w14:textId="77777777" w:rsidR="00646410" w:rsidRDefault="0064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1B78" w14:textId="77777777" w:rsidR="002A2C16" w:rsidRDefault="002A2C16" w:rsidP="00E34915">
      <w:pPr>
        <w:spacing w:line="240" w:lineRule="auto"/>
      </w:pPr>
      <w:r>
        <w:separator/>
      </w:r>
    </w:p>
  </w:footnote>
  <w:footnote w:type="continuationSeparator" w:id="0">
    <w:p w14:paraId="013F993E" w14:textId="77777777" w:rsidR="002A2C16" w:rsidRDefault="002A2C16" w:rsidP="00E349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EEB"/>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57E61F7"/>
    <w:multiLevelType w:val="hybridMultilevel"/>
    <w:tmpl w:val="34B2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928CE"/>
    <w:multiLevelType w:val="hybridMultilevel"/>
    <w:tmpl w:val="49D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D16A7"/>
    <w:multiLevelType w:val="hybridMultilevel"/>
    <w:tmpl w:val="22D80E06"/>
    <w:lvl w:ilvl="0" w:tplc="4D924EC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A7E48"/>
    <w:multiLevelType w:val="hybridMultilevel"/>
    <w:tmpl w:val="B90C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C25C4"/>
    <w:multiLevelType w:val="hybridMultilevel"/>
    <w:tmpl w:val="0928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34CBC"/>
    <w:multiLevelType w:val="hybridMultilevel"/>
    <w:tmpl w:val="F63C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F488B"/>
    <w:multiLevelType w:val="hybridMultilevel"/>
    <w:tmpl w:val="67D23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0264CC"/>
    <w:multiLevelType w:val="hybridMultilevel"/>
    <w:tmpl w:val="25D8323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319B497A"/>
    <w:multiLevelType w:val="hybridMultilevel"/>
    <w:tmpl w:val="D11CA70C"/>
    <w:lvl w:ilvl="0" w:tplc="2B98B2B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75126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CDC6C51"/>
    <w:multiLevelType w:val="hybridMultilevel"/>
    <w:tmpl w:val="0024AC26"/>
    <w:lvl w:ilvl="0" w:tplc="ABCC347C">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D1866D6"/>
    <w:multiLevelType w:val="hybridMultilevel"/>
    <w:tmpl w:val="5178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D1F13"/>
    <w:multiLevelType w:val="hybridMultilevel"/>
    <w:tmpl w:val="5E7AE27A"/>
    <w:lvl w:ilvl="0" w:tplc="B002D36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C7395"/>
    <w:multiLevelType w:val="hybridMultilevel"/>
    <w:tmpl w:val="4C8866C4"/>
    <w:lvl w:ilvl="0" w:tplc="0809001B">
      <w:start w:val="1"/>
      <w:numFmt w:val="lowerRoman"/>
      <w:lvlText w:val="%1."/>
      <w:lvlJc w:val="righ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59431FAE"/>
    <w:multiLevelType w:val="hybridMultilevel"/>
    <w:tmpl w:val="2B00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B1F3A"/>
    <w:multiLevelType w:val="hybridMultilevel"/>
    <w:tmpl w:val="62F0199C"/>
    <w:lvl w:ilvl="0" w:tplc="0410000F">
      <w:start w:val="1"/>
      <w:numFmt w:val="decimal"/>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7" w15:restartNumberingAfterBreak="0">
    <w:nsid w:val="67B9642E"/>
    <w:multiLevelType w:val="hybridMultilevel"/>
    <w:tmpl w:val="1B00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60376"/>
    <w:multiLevelType w:val="hybridMultilevel"/>
    <w:tmpl w:val="C4BA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84C19"/>
    <w:multiLevelType w:val="hybridMultilevel"/>
    <w:tmpl w:val="FADC83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4DA2145"/>
    <w:multiLevelType w:val="hybridMultilevel"/>
    <w:tmpl w:val="4C8866C4"/>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75575AD4"/>
    <w:multiLevelType w:val="hybridMultilevel"/>
    <w:tmpl w:val="4C8866C4"/>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15:restartNumberingAfterBreak="0">
    <w:nsid w:val="7C6D31CA"/>
    <w:multiLevelType w:val="hybridMultilevel"/>
    <w:tmpl w:val="94D05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55025"/>
    <w:multiLevelType w:val="hybridMultilevel"/>
    <w:tmpl w:val="4C8866C4"/>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9"/>
  </w:num>
  <w:num w:numId="2">
    <w:abstractNumId w:val="2"/>
  </w:num>
  <w:num w:numId="3">
    <w:abstractNumId w:val="20"/>
  </w:num>
  <w:num w:numId="4">
    <w:abstractNumId w:val="9"/>
  </w:num>
  <w:num w:numId="5">
    <w:abstractNumId w:val="4"/>
  </w:num>
  <w:num w:numId="6">
    <w:abstractNumId w:val="18"/>
  </w:num>
  <w:num w:numId="7">
    <w:abstractNumId w:val="8"/>
  </w:num>
  <w:num w:numId="8">
    <w:abstractNumId w:val="14"/>
  </w:num>
  <w:num w:numId="9">
    <w:abstractNumId w:val="21"/>
  </w:num>
  <w:num w:numId="10">
    <w:abstractNumId w:val="23"/>
  </w:num>
  <w:num w:numId="11">
    <w:abstractNumId w:val="12"/>
  </w:num>
  <w:num w:numId="12">
    <w:abstractNumId w:val="15"/>
  </w:num>
  <w:num w:numId="13">
    <w:abstractNumId w:val="22"/>
  </w:num>
  <w:num w:numId="14">
    <w:abstractNumId w:val="16"/>
  </w:num>
  <w:num w:numId="15">
    <w:abstractNumId w:val="0"/>
  </w:num>
  <w:num w:numId="16">
    <w:abstractNumId w:val="6"/>
  </w:num>
  <w:num w:numId="17">
    <w:abstractNumId w:val="10"/>
  </w:num>
  <w:num w:numId="18">
    <w:abstractNumId w:val="7"/>
  </w:num>
  <w:num w:numId="19">
    <w:abstractNumId w:val="3"/>
  </w:num>
  <w:num w:numId="20">
    <w:abstractNumId w:val="13"/>
  </w:num>
  <w:num w:numId="21">
    <w:abstractNumId w:val="11"/>
  </w:num>
  <w:num w:numId="22">
    <w:abstractNumId w:val="17"/>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93"/>
    <w:rsid w:val="00003F23"/>
    <w:rsid w:val="00003F6A"/>
    <w:rsid w:val="0001315D"/>
    <w:rsid w:val="0001401D"/>
    <w:rsid w:val="0001683E"/>
    <w:rsid w:val="00016967"/>
    <w:rsid w:val="00016C36"/>
    <w:rsid w:val="0001769C"/>
    <w:rsid w:val="00017926"/>
    <w:rsid w:val="00020834"/>
    <w:rsid w:val="00021EAD"/>
    <w:rsid w:val="00022477"/>
    <w:rsid w:val="00023523"/>
    <w:rsid w:val="00023669"/>
    <w:rsid w:val="000262D7"/>
    <w:rsid w:val="00026A05"/>
    <w:rsid w:val="0003326A"/>
    <w:rsid w:val="00034A4C"/>
    <w:rsid w:val="00041832"/>
    <w:rsid w:val="000420ED"/>
    <w:rsid w:val="000465F8"/>
    <w:rsid w:val="00047655"/>
    <w:rsid w:val="000479C4"/>
    <w:rsid w:val="000506B4"/>
    <w:rsid w:val="00051065"/>
    <w:rsid w:val="0005152B"/>
    <w:rsid w:val="000529C0"/>
    <w:rsid w:val="00055D59"/>
    <w:rsid w:val="00056CD1"/>
    <w:rsid w:val="000664B0"/>
    <w:rsid w:val="000670DA"/>
    <w:rsid w:val="0006799F"/>
    <w:rsid w:val="000706A9"/>
    <w:rsid w:val="0007435A"/>
    <w:rsid w:val="00074605"/>
    <w:rsid w:val="00074712"/>
    <w:rsid w:val="00075437"/>
    <w:rsid w:val="0007589F"/>
    <w:rsid w:val="00077485"/>
    <w:rsid w:val="00082C79"/>
    <w:rsid w:val="00085062"/>
    <w:rsid w:val="00086293"/>
    <w:rsid w:val="000863ED"/>
    <w:rsid w:val="00087E8A"/>
    <w:rsid w:val="00095115"/>
    <w:rsid w:val="000A0CFD"/>
    <w:rsid w:val="000A179D"/>
    <w:rsid w:val="000A34F4"/>
    <w:rsid w:val="000A48C5"/>
    <w:rsid w:val="000A5BF5"/>
    <w:rsid w:val="000A7976"/>
    <w:rsid w:val="000A7B67"/>
    <w:rsid w:val="000B0E27"/>
    <w:rsid w:val="000B3505"/>
    <w:rsid w:val="000B6D4A"/>
    <w:rsid w:val="000B7431"/>
    <w:rsid w:val="000C0551"/>
    <w:rsid w:val="000C6363"/>
    <w:rsid w:val="000C675D"/>
    <w:rsid w:val="000C7824"/>
    <w:rsid w:val="000C799E"/>
    <w:rsid w:val="000D0536"/>
    <w:rsid w:val="000D1CA9"/>
    <w:rsid w:val="000D6889"/>
    <w:rsid w:val="000E0AA6"/>
    <w:rsid w:val="000E4E9C"/>
    <w:rsid w:val="000E65D1"/>
    <w:rsid w:val="000F1418"/>
    <w:rsid w:val="000F1530"/>
    <w:rsid w:val="000F2C37"/>
    <w:rsid w:val="000F4673"/>
    <w:rsid w:val="000F49A0"/>
    <w:rsid w:val="000F7A71"/>
    <w:rsid w:val="00101A7D"/>
    <w:rsid w:val="00102204"/>
    <w:rsid w:val="001058A7"/>
    <w:rsid w:val="00110F0A"/>
    <w:rsid w:val="001111FB"/>
    <w:rsid w:val="0011174D"/>
    <w:rsid w:val="001127F2"/>
    <w:rsid w:val="00114325"/>
    <w:rsid w:val="0011740E"/>
    <w:rsid w:val="00123CA3"/>
    <w:rsid w:val="00127818"/>
    <w:rsid w:val="0013161F"/>
    <w:rsid w:val="00131B50"/>
    <w:rsid w:val="00131BFE"/>
    <w:rsid w:val="00132062"/>
    <w:rsid w:val="00136A10"/>
    <w:rsid w:val="00137150"/>
    <w:rsid w:val="0014018D"/>
    <w:rsid w:val="00140646"/>
    <w:rsid w:val="00140864"/>
    <w:rsid w:val="00143A2A"/>
    <w:rsid w:val="001501F2"/>
    <w:rsid w:val="001513DB"/>
    <w:rsid w:val="001523B5"/>
    <w:rsid w:val="0015296E"/>
    <w:rsid w:val="001540EF"/>
    <w:rsid w:val="001550CB"/>
    <w:rsid w:val="00155F44"/>
    <w:rsid w:val="00156BBA"/>
    <w:rsid w:val="00162C4B"/>
    <w:rsid w:val="00163D00"/>
    <w:rsid w:val="00165032"/>
    <w:rsid w:val="00166569"/>
    <w:rsid w:val="00172890"/>
    <w:rsid w:val="00177261"/>
    <w:rsid w:val="00180D5E"/>
    <w:rsid w:val="00182A27"/>
    <w:rsid w:val="00187666"/>
    <w:rsid w:val="0019288C"/>
    <w:rsid w:val="00195184"/>
    <w:rsid w:val="001955D2"/>
    <w:rsid w:val="001975F6"/>
    <w:rsid w:val="001A0137"/>
    <w:rsid w:val="001A0F6B"/>
    <w:rsid w:val="001A1D3C"/>
    <w:rsid w:val="001A242E"/>
    <w:rsid w:val="001A2E02"/>
    <w:rsid w:val="001A4D35"/>
    <w:rsid w:val="001A517B"/>
    <w:rsid w:val="001A57D9"/>
    <w:rsid w:val="001A7F29"/>
    <w:rsid w:val="001B1FE2"/>
    <w:rsid w:val="001B2ECF"/>
    <w:rsid w:val="001B5602"/>
    <w:rsid w:val="001B5BA5"/>
    <w:rsid w:val="001B7A3A"/>
    <w:rsid w:val="001C25FB"/>
    <w:rsid w:val="001C6DAA"/>
    <w:rsid w:val="001D08B6"/>
    <w:rsid w:val="001D1DD1"/>
    <w:rsid w:val="001D2D52"/>
    <w:rsid w:val="001E131A"/>
    <w:rsid w:val="001E2278"/>
    <w:rsid w:val="001E321D"/>
    <w:rsid w:val="001E4E4D"/>
    <w:rsid w:val="001E62B3"/>
    <w:rsid w:val="001E72F5"/>
    <w:rsid w:val="001F1311"/>
    <w:rsid w:val="001F3D6F"/>
    <w:rsid w:val="001F461A"/>
    <w:rsid w:val="001F47F7"/>
    <w:rsid w:val="001F7238"/>
    <w:rsid w:val="0020332F"/>
    <w:rsid w:val="0020367D"/>
    <w:rsid w:val="00204CA4"/>
    <w:rsid w:val="00205135"/>
    <w:rsid w:val="0020759F"/>
    <w:rsid w:val="00207F6C"/>
    <w:rsid w:val="00210386"/>
    <w:rsid w:val="0021104C"/>
    <w:rsid w:val="00213078"/>
    <w:rsid w:val="002142C0"/>
    <w:rsid w:val="0021451E"/>
    <w:rsid w:val="002217B5"/>
    <w:rsid w:val="00221F39"/>
    <w:rsid w:val="002224AA"/>
    <w:rsid w:val="00222E14"/>
    <w:rsid w:val="00224DA0"/>
    <w:rsid w:val="00226649"/>
    <w:rsid w:val="00240816"/>
    <w:rsid w:val="00241ED9"/>
    <w:rsid w:val="00242B95"/>
    <w:rsid w:val="00243277"/>
    <w:rsid w:val="00243B3F"/>
    <w:rsid w:val="00244F9D"/>
    <w:rsid w:val="00246148"/>
    <w:rsid w:val="002467F7"/>
    <w:rsid w:val="0024784D"/>
    <w:rsid w:val="002539B6"/>
    <w:rsid w:val="00263B04"/>
    <w:rsid w:val="00264588"/>
    <w:rsid w:val="00264CB6"/>
    <w:rsid w:val="00272318"/>
    <w:rsid w:val="00272527"/>
    <w:rsid w:val="00272638"/>
    <w:rsid w:val="002726C8"/>
    <w:rsid w:val="00274622"/>
    <w:rsid w:val="0027464D"/>
    <w:rsid w:val="002801DE"/>
    <w:rsid w:val="00281AA7"/>
    <w:rsid w:val="00283561"/>
    <w:rsid w:val="00286104"/>
    <w:rsid w:val="00287277"/>
    <w:rsid w:val="00287C3B"/>
    <w:rsid w:val="00292EAC"/>
    <w:rsid w:val="00295E06"/>
    <w:rsid w:val="00295E54"/>
    <w:rsid w:val="00297075"/>
    <w:rsid w:val="002A062C"/>
    <w:rsid w:val="002A24F7"/>
    <w:rsid w:val="002A2C16"/>
    <w:rsid w:val="002A5D90"/>
    <w:rsid w:val="002A74E6"/>
    <w:rsid w:val="002B0A35"/>
    <w:rsid w:val="002B2A1E"/>
    <w:rsid w:val="002B5471"/>
    <w:rsid w:val="002C0BFA"/>
    <w:rsid w:val="002C157A"/>
    <w:rsid w:val="002C357C"/>
    <w:rsid w:val="002C36B3"/>
    <w:rsid w:val="002C5CEB"/>
    <w:rsid w:val="002C663A"/>
    <w:rsid w:val="002D087D"/>
    <w:rsid w:val="002D27FC"/>
    <w:rsid w:val="002D46DD"/>
    <w:rsid w:val="002D5FF4"/>
    <w:rsid w:val="002E3868"/>
    <w:rsid w:val="002E4C9C"/>
    <w:rsid w:val="002F0508"/>
    <w:rsid w:val="002F13F6"/>
    <w:rsid w:val="002F24B6"/>
    <w:rsid w:val="002F354B"/>
    <w:rsid w:val="002F45ED"/>
    <w:rsid w:val="002F4F23"/>
    <w:rsid w:val="002F6B5C"/>
    <w:rsid w:val="00302024"/>
    <w:rsid w:val="00303D21"/>
    <w:rsid w:val="00304F1D"/>
    <w:rsid w:val="00305880"/>
    <w:rsid w:val="00310483"/>
    <w:rsid w:val="003115E6"/>
    <w:rsid w:val="0031211C"/>
    <w:rsid w:val="00312812"/>
    <w:rsid w:val="00312CF5"/>
    <w:rsid w:val="00312F20"/>
    <w:rsid w:val="0031359E"/>
    <w:rsid w:val="003140DC"/>
    <w:rsid w:val="00320444"/>
    <w:rsid w:val="003223F2"/>
    <w:rsid w:val="003240DE"/>
    <w:rsid w:val="003272AF"/>
    <w:rsid w:val="003274A0"/>
    <w:rsid w:val="00327B52"/>
    <w:rsid w:val="00330320"/>
    <w:rsid w:val="00330336"/>
    <w:rsid w:val="00331D63"/>
    <w:rsid w:val="00332394"/>
    <w:rsid w:val="00333729"/>
    <w:rsid w:val="00334867"/>
    <w:rsid w:val="00334B09"/>
    <w:rsid w:val="00334BB2"/>
    <w:rsid w:val="003405D9"/>
    <w:rsid w:val="0034386D"/>
    <w:rsid w:val="00345C1A"/>
    <w:rsid w:val="0034616B"/>
    <w:rsid w:val="00346832"/>
    <w:rsid w:val="00346F39"/>
    <w:rsid w:val="00347202"/>
    <w:rsid w:val="003517EC"/>
    <w:rsid w:val="00351C38"/>
    <w:rsid w:val="00352199"/>
    <w:rsid w:val="003539B8"/>
    <w:rsid w:val="00355569"/>
    <w:rsid w:val="00355CCA"/>
    <w:rsid w:val="00355E2E"/>
    <w:rsid w:val="003564E2"/>
    <w:rsid w:val="0035702A"/>
    <w:rsid w:val="00357394"/>
    <w:rsid w:val="00360736"/>
    <w:rsid w:val="00362C5B"/>
    <w:rsid w:val="00364BA7"/>
    <w:rsid w:val="00365666"/>
    <w:rsid w:val="003656E1"/>
    <w:rsid w:val="00365E41"/>
    <w:rsid w:val="003706E3"/>
    <w:rsid w:val="00371C64"/>
    <w:rsid w:val="00372D1F"/>
    <w:rsid w:val="0037445B"/>
    <w:rsid w:val="0038009C"/>
    <w:rsid w:val="0038092E"/>
    <w:rsid w:val="00381853"/>
    <w:rsid w:val="003835F9"/>
    <w:rsid w:val="00383759"/>
    <w:rsid w:val="00384CC8"/>
    <w:rsid w:val="00385339"/>
    <w:rsid w:val="00386172"/>
    <w:rsid w:val="003868B1"/>
    <w:rsid w:val="00387A09"/>
    <w:rsid w:val="003902B2"/>
    <w:rsid w:val="0039084A"/>
    <w:rsid w:val="00391403"/>
    <w:rsid w:val="003928A6"/>
    <w:rsid w:val="00392D13"/>
    <w:rsid w:val="0039387C"/>
    <w:rsid w:val="00394DCA"/>
    <w:rsid w:val="003958C7"/>
    <w:rsid w:val="00395A45"/>
    <w:rsid w:val="00396D6E"/>
    <w:rsid w:val="0039741E"/>
    <w:rsid w:val="003A21A5"/>
    <w:rsid w:val="003A35FC"/>
    <w:rsid w:val="003A4841"/>
    <w:rsid w:val="003A4CA8"/>
    <w:rsid w:val="003A7C1E"/>
    <w:rsid w:val="003A7C6A"/>
    <w:rsid w:val="003A7FAB"/>
    <w:rsid w:val="003A7FEF"/>
    <w:rsid w:val="003B0477"/>
    <w:rsid w:val="003B0AE1"/>
    <w:rsid w:val="003B24DF"/>
    <w:rsid w:val="003B3074"/>
    <w:rsid w:val="003B375C"/>
    <w:rsid w:val="003B3807"/>
    <w:rsid w:val="003B548C"/>
    <w:rsid w:val="003B7EB0"/>
    <w:rsid w:val="003C5365"/>
    <w:rsid w:val="003C5AD3"/>
    <w:rsid w:val="003D073B"/>
    <w:rsid w:val="003D282E"/>
    <w:rsid w:val="003D486A"/>
    <w:rsid w:val="003D49E9"/>
    <w:rsid w:val="003D5ED9"/>
    <w:rsid w:val="003D755B"/>
    <w:rsid w:val="003E1FFF"/>
    <w:rsid w:val="003E410F"/>
    <w:rsid w:val="003E431D"/>
    <w:rsid w:val="003E6549"/>
    <w:rsid w:val="003E6F68"/>
    <w:rsid w:val="003F1D9C"/>
    <w:rsid w:val="003F20EC"/>
    <w:rsid w:val="003F3E06"/>
    <w:rsid w:val="003F4E21"/>
    <w:rsid w:val="003F51FA"/>
    <w:rsid w:val="003F5BE8"/>
    <w:rsid w:val="003F7134"/>
    <w:rsid w:val="003F7EF9"/>
    <w:rsid w:val="00402382"/>
    <w:rsid w:val="0040316C"/>
    <w:rsid w:val="004035F9"/>
    <w:rsid w:val="00404D2F"/>
    <w:rsid w:val="00404EB4"/>
    <w:rsid w:val="004118F8"/>
    <w:rsid w:val="0041375C"/>
    <w:rsid w:val="004174DE"/>
    <w:rsid w:val="00417A98"/>
    <w:rsid w:val="0042138B"/>
    <w:rsid w:val="004238F7"/>
    <w:rsid w:val="00423BF6"/>
    <w:rsid w:val="00423FAE"/>
    <w:rsid w:val="004247A6"/>
    <w:rsid w:val="0042774D"/>
    <w:rsid w:val="0043016D"/>
    <w:rsid w:val="004301A2"/>
    <w:rsid w:val="00431B0D"/>
    <w:rsid w:val="00432905"/>
    <w:rsid w:val="00433D44"/>
    <w:rsid w:val="0043507D"/>
    <w:rsid w:val="00435D12"/>
    <w:rsid w:val="004370CE"/>
    <w:rsid w:val="004412FE"/>
    <w:rsid w:val="00442723"/>
    <w:rsid w:val="00442BB1"/>
    <w:rsid w:val="00445DDF"/>
    <w:rsid w:val="004463FD"/>
    <w:rsid w:val="00450CA6"/>
    <w:rsid w:val="00454D9F"/>
    <w:rsid w:val="00457A05"/>
    <w:rsid w:val="00463D7F"/>
    <w:rsid w:val="00464B94"/>
    <w:rsid w:val="004655EE"/>
    <w:rsid w:val="00466E4A"/>
    <w:rsid w:val="0046757B"/>
    <w:rsid w:val="0046774D"/>
    <w:rsid w:val="004719E2"/>
    <w:rsid w:val="004734DC"/>
    <w:rsid w:val="00474F0F"/>
    <w:rsid w:val="004801AE"/>
    <w:rsid w:val="00481D3E"/>
    <w:rsid w:val="00483CAE"/>
    <w:rsid w:val="0048430B"/>
    <w:rsid w:val="00484C41"/>
    <w:rsid w:val="004856F6"/>
    <w:rsid w:val="004869A1"/>
    <w:rsid w:val="00486E5B"/>
    <w:rsid w:val="00487CC5"/>
    <w:rsid w:val="00487DC7"/>
    <w:rsid w:val="00491683"/>
    <w:rsid w:val="004919D6"/>
    <w:rsid w:val="004941CC"/>
    <w:rsid w:val="00495C67"/>
    <w:rsid w:val="004A010C"/>
    <w:rsid w:val="004A321C"/>
    <w:rsid w:val="004A3792"/>
    <w:rsid w:val="004A4730"/>
    <w:rsid w:val="004A4CAD"/>
    <w:rsid w:val="004A7381"/>
    <w:rsid w:val="004B0BE5"/>
    <w:rsid w:val="004B1F1C"/>
    <w:rsid w:val="004B21D8"/>
    <w:rsid w:val="004B2489"/>
    <w:rsid w:val="004B352F"/>
    <w:rsid w:val="004B3D9A"/>
    <w:rsid w:val="004B7BBE"/>
    <w:rsid w:val="004C16E2"/>
    <w:rsid w:val="004C358A"/>
    <w:rsid w:val="004C3DAA"/>
    <w:rsid w:val="004C4F42"/>
    <w:rsid w:val="004C6AD2"/>
    <w:rsid w:val="004D02A1"/>
    <w:rsid w:val="004D0C46"/>
    <w:rsid w:val="004D1784"/>
    <w:rsid w:val="004D26EC"/>
    <w:rsid w:val="004D30C6"/>
    <w:rsid w:val="004D4375"/>
    <w:rsid w:val="004D779F"/>
    <w:rsid w:val="004E370A"/>
    <w:rsid w:val="004E5923"/>
    <w:rsid w:val="004F16AF"/>
    <w:rsid w:val="004F189C"/>
    <w:rsid w:val="004F207D"/>
    <w:rsid w:val="004F643F"/>
    <w:rsid w:val="0050021B"/>
    <w:rsid w:val="005007A5"/>
    <w:rsid w:val="00501551"/>
    <w:rsid w:val="005020C4"/>
    <w:rsid w:val="00503284"/>
    <w:rsid w:val="005037FB"/>
    <w:rsid w:val="00507182"/>
    <w:rsid w:val="00507FB4"/>
    <w:rsid w:val="00512218"/>
    <w:rsid w:val="0051304C"/>
    <w:rsid w:val="005139D9"/>
    <w:rsid w:val="00513F52"/>
    <w:rsid w:val="0051543D"/>
    <w:rsid w:val="005164C9"/>
    <w:rsid w:val="00516EE7"/>
    <w:rsid w:val="00520972"/>
    <w:rsid w:val="00524FE1"/>
    <w:rsid w:val="005256D3"/>
    <w:rsid w:val="005259D3"/>
    <w:rsid w:val="00525CD7"/>
    <w:rsid w:val="00532743"/>
    <w:rsid w:val="00532C2D"/>
    <w:rsid w:val="00532F13"/>
    <w:rsid w:val="005346E3"/>
    <w:rsid w:val="005357C5"/>
    <w:rsid w:val="0053613B"/>
    <w:rsid w:val="00536E36"/>
    <w:rsid w:val="0054081D"/>
    <w:rsid w:val="0054121C"/>
    <w:rsid w:val="00541593"/>
    <w:rsid w:val="00545E2E"/>
    <w:rsid w:val="00546627"/>
    <w:rsid w:val="0054717F"/>
    <w:rsid w:val="0055019D"/>
    <w:rsid w:val="00551308"/>
    <w:rsid w:val="0055278D"/>
    <w:rsid w:val="00553011"/>
    <w:rsid w:val="0055543F"/>
    <w:rsid w:val="00560542"/>
    <w:rsid w:val="00561113"/>
    <w:rsid w:val="005617CC"/>
    <w:rsid w:val="00562316"/>
    <w:rsid w:val="005624EF"/>
    <w:rsid w:val="0056387E"/>
    <w:rsid w:val="005652D2"/>
    <w:rsid w:val="005657CB"/>
    <w:rsid w:val="0056600E"/>
    <w:rsid w:val="00566860"/>
    <w:rsid w:val="00571C20"/>
    <w:rsid w:val="00573952"/>
    <w:rsid w:val="00574022"/>
    <w:rsid w:val="0057459A"/>
    <w:rsid w:val="00577153"/>
    <w:rsid w:val="0057749F"/>
    <w:rsid w:val="0058142A"/>
    <w:rsid w:val="005866E5"/>
    <w:rsid w:val="00590570"/>
    <w:rsid w:val="005905EA"/>
    <w:rsid w:val="005921A7"/>
    <w:rsid w:val="0059734A"/>
    <w:rsid w:val="005A17BE"/>
    <w:rsid w:val="005A702B"/>
    <w:rsid w:val="005B0613"/>
    <w:rsid w:val="005B47F2"/>
    <w:rsid w:val="005B5591"/>
    <w:rsid w:val="005C2218"/>
    <w:rsid w:val="005C3C66"/>
    <w:rsid w:val="005C4260"/>
    <w:rsid w:val="005C5B71"/>
    <w:rsid w:val="005C5C5D"/>
    <w:rsid w:val="005C67C0"/>
    <w:rsid w:val="005C685F"/>
    <w:rsid w:val="005C6A7B"/>
    <w:rsid w:val="005D2D74"/>
    <w:rsid w:val="005D526F"/>
    <w:rsid w:val="005D5FC6"/>
    <w:rsid w:val="005D7300"/>
    <w:rsid w:val="005D7785"/>
    <w:rsid w:val="005D7D86"/>
    <w:rsid w:val="005E2623"/>
    <w:rsid w:val="005E28F5"/>
    <w:rsid w:val="005E6AA5"/>
    <w:rsid w:val="005F1A53"/>
    <w:rsid w:val="005F3656"/>
    <w:rsid w:val="005F5003"/>
    <w:rsid w:val="005F5FBC"/>
    <w:rsid w:val="005F7291"/>
    <w:rsid w:val="005F7F48"/>
    <w:rsid w:val="006021BA"/>
    <w:rsid w:val="006051DB"/>
    <w:rsid w:val="00605B72"/>
    <w:rsid w:val="0060634C"/>
    <w:rsid w:val="0061059F"/>
    <w:rsid w:val="00610E38"/>
    <w:rsid w:val="0061121A"/>
    <w:rsid w:val="006116F3"/>
    <w:rsid w:val="00611E03"/>
    <w:rsid w:val="00613C07"/>
    <w:rsid w:val="00614E38"/>
    <w:rsid w:val="006151AE"/>
    <w:rsid w:val="0062069D"/>
    <w:rsid w:val="00620995"/>
    <w:rsid w:val="00620EAF"/>
    <w:rsid w:val="0062193B"/>
    <w:rsid w:val="006220B9"/>
    <w:rsid w:val="006228DD"/>
    <w:rsid w:val="00623537"/>
    <w:rsid w:val="006247F1"/>
    <w:rsid w:val="0062551A"/>
    <w:rsid w:val="0062637E"/>
    <w:rsid w:val="0062701E"/>
    <w:rsid w:val="006270DE"/>
    <w:rsid w:val="006303C5"/>
    <w:rsid w:val="00631AB0"/>
    <w:rsid w:val="006330DB"/>
    <w:rsid w:val="0063509F"/>
    <w:rsid w:val="00635915"/>
    <w:rsid w:val="00640F19"/>
    <w:rsid w:val="00642227"/>
    <w:rsid w:val="00642653"/>
    <w:rsid w:val="00643BA2"/>
    <w:rsid w:val="0064467C"/>
    <w:rsid w:val="00646410"/>
    <w:rsid w:val="006530DF"/>
    <w:rsid w:val="006540CC"/>
    <w:rsid w:val="0065594E"/>
    <w:rsid w:val="006563D2"/>
    <w:rsid w:val="0066070A"/>
    <w:rsid w:val="006627A0"/>
    <w:rsid w:val="006628BF"/>
    <w:rsid w:val="00663BB9"/>
    <w:rsid w:val="00665078"/>
    <w:rsid w:val="0066569A"/>
    <w:rsid w:val="00665B42"/>
    <w:rsid w:val="006663C2"/>
    <w:rsid w:val="0066763B"/>
    <w:rsid w:val="006704EE"/>
    <w:rsid w:val="006730D8"/>
    <w:rsid w:val="00673C4C"/>
    <w:rsid w:val="0067407E"/>
    <w:rsid w:val="00674AC2"/>
    <w:rsid w:val="006755FB"/>
    <w:rsid w:val="0068009A"/>
    <w:rsid w:val="0068096B"/>
    <w:rsid w:val="0068134F"/>
    <w:rsid w:val="00682F96"/>
    <w:rsid w:val="0068468E"/>
    <w:rsid w:val="00685073"/>
    <w:rsid w:val="00685701"/>
    <w:rsid w:val="00686267"/>
    <w:rsid w:val="006900A2"/>
    <w:rsid w:val="00691BD0"/>
    <w:rsid w:val="00694218"/>
    <w:rsid w:val="00694DDE"/>
    <w:rsid w:val="00695DA4"/>
    <w:rsid w:val="00695F34"/>
    <w:rsid w:val="00697885"/>
    <w:rsid w:val="006A00CD"/>
    <w:rsid w:val="006A0A15"/>
    <w:rsid w:val="006A33C0"/>
    <w:rsid w:val="006A38BD"/>
    <w:rsid w:val="006A5CB7"/>
    <w:rsid w:val="006A7FD1"/>
    <w:rsid w:val="006B08B0"/>
    <w:rsid w:val="006B136D"/>
    <w:rsid w:val="006B2281"/>
    <w:rsid w:val="006B2A98"/>
    <w:rsid w:val="006B34FA"/>
    <w:rsid w:val="006B3F94"/>
    <w:rsid w:val="006B44D2"/>
    <w:rsid w:val="006B5DF0"/>
    <w:rsid w:val="006C08B1"/>
    <w:rsid w:val="006C2047"/>
    <w:rsid w:val="006C36EE"/>
    <w:rsid w:val="006C4002"/>
    <w:rsid w:val="006C4D37"/>
    <w:rsid w:val="006C56B0"/>
    <w:rsid w:val="006C586D"/>
    <w:rsid w:val="006D057D"/>
    <w:rsid w:val="006D05A4"/>
    <w:rsid w:val="006D05CC"/>
    <w:rsid w:val="006D1033"/>
    <w:rsid w:val="006D1BA9"/>
    <w:rsid w:val="006D3D06"/>
    <w:rsid w:val="006D4685"/>
    <w:rsid w:val="006D6242"/>
    <w:rsid w:val="006D6D6C"/>
    <w:rsid w:val="006D7709"/>
    <w:rsid w:val="006E0B52"/>
    <w:rsid w:val="006E168D"/>
    <w:rsid w:val="006E201C"/>
    <w:rsid w:val="006E371E"/>
    <w:rsid w:val="006E5692"/>
    <w:rsid w:val="006E5AD1"/>
    <w:rsid w:val="006E649E"/>
    <w:rsid w:val="006F025F"/>
    <w:rsid w:val="006F1099"/>
    <w:rsid w:val="006F1A12"/>
    <w:rsid w:val="006F372D"/>
    <w:rsid w:val="007016CD"/>
    <w:rsid w:val="00702BA8"/>
    <w:rsid w:val="00702F40"/>
    <w:rsid w:val="007100FE"/>
    <w:rsid w:val="00710290"/>
    <w:rsid w:val="00710534"/>
    <w:rsid w:val="00710CF9"/>
    <w:rsid w:val="00715F75"/>
    <w:rsid w:val="00720836"/>
    <w:rsid w:val="00720D53"/>
    <w:rsid w:val="007224C4"/>
    <w:rsid w:val="00727DF9"/>
    <w:rsid w:val="007329C6"/>
    <w:rsid w:val="007356E4"/>
    <w:rsid w:val="0073615B"/>
    <w:rsid w:val="00736DD0"/>
    <w:rsid w:val="00737630"/>
    <w:rsid w:val="007411D8"/>
    <w:rsid w:val="00742D62"/>
    <w:rsid w:val="00743E2E"/>
    <w:rsid w:val="00744224"/>
    <w:rsid w:val="007446AA"/>
    <w:rsid w:val="00744EDA"/>
    <w:rsid w:val="00747766"/>
    <w:rsid w:val="00747EB1"/>
    <w:rsid w:val="00751C29"/>
    <w:rsid w:val="00751CD7"/>
    <w:rsid w:val="00753461"/>
    <w:rsid w:val="00757FA7"/>
    <w:rsid w:val="00760265"/>
    <w:rsid w:val="00764EDF"/>
    <w:rsid w:val="0076727C"/>
    <w:rsid w:val="00770ADE"/>
    <w:rsid w:val="00774303"/>
    <w:rsid w:val="00776882"/>
    <w:rsid w:val="00777B15"/>
    <w:rsid w:val="00783883"/>
    <w:rsid w:val="007861C7"/>
    <w:rsid w:val="007923DF"/>
    <w:rsid w:val="0079455F"/>
    <w:rsid w:val="00795A56"/>
    <w:rsid w:val="007A0464"/>
    <w:rsid w:val="007A2045"/>
    <w:rsid w:val="007A2069"/>
    <w:rsid w:val="007A226E"/>
    <w:rsid w:val="007A30B6"/>
    <w:rsid w:val="007A405A"/>
    <w:rsid w:val="007A4EC9"/>
    <w:rsid w:val="007A6769"/>
    <w:rsid w:val="007B00AC"/>
    <w:rsid w:val="007B37F6"/>
    <w:rsid w:val="007B3BA0"/>
    <w:rsid w:val="007B421D"/>
    <w:rsid w:val="007B4427"/>
    <w:rsid w:val="007B5967"/>
    <w:rsid w:val="007C071B"/>
    <w:rsid w:val="007C0953"/>
    <w:rsid w:val="007C1D5E"/>
    <w:rsid w:val="007C3D4E"/>
    <w:rsid w:val="007D0C30"/>
    <w:rsid w:val="007D1420"/>
    <w:rsid w:val="007D2477"/>
    <w:rsid w:val="007D29EA"/>
    <w:rsid w:val="007D37BF"/>
    <w:rsid w:val="007D4C53"/>
    <w:rsid w:val="007D647B"/>
    <w:rsid w:val="007D6E93"/>
    <w:rsid w:val="007D6FEA"/>
    <w:rsid w:val="007E08DF"/>
    <w:rsid w:val="007E2789"/>
    <w:rsid w:val="007E2823"/>
    <w:rsid w:val="007E5DD8"/>
    <w:rsid w:val="007F058C"/>
    <w:rsid w:val="007F1C59"/>
    <w:rsid w:val="007F3A42"/>
    <w:rsid w:val="007F48BB"/>
    <w:rsid w:val="007F4CDC"/>
    <w:rsid w:val="007F51F8"/>
    <w:rsid w:val="007F5393"/>
    <w:rsid w:val="008022B8"/>
    <w:rsid w:val="00802585"/>
    <w:rsid w:val="0080280C"/>
    <w:rsid w:val="00802C14"/>
    <w:rsid w:val="008038D4"/>
    <w:rsid w:val="00804717"/>
    <w:rsid w:val="00805E63"/>
    <w:rsid w:val="0080605D"/>
    <w:rsid w:val="008068D0"/>
    <w:rsid w:val="00807193"/>
    <w:rsid w:val="00810614"/>
    <w:rsid w:val="008111D9"/>
    <w:rsid w:val="008115E7"/>
    <w:rsid w:val="00815672"/>
    <w:rsid w:val="00816A59"/>
    <w:rsid w:val="00821AD3"/>
    <w:rsid w:val="00821BFA"/>
    <w:rsid w:val="008225C3"/>
    <w:rsid w:val="0082371C"/>
    <w:rsid w:val="00824EE8"/>
    <w:rsid w:val="008258CC"/>
    <w:rsid w:val="00825EB1"/>
    <w:rsid w:val="008319BA"/>
    <w:rsid w:val="00833A77"/>
    <w:rsid w:val="008353DC"/>
    <w:rsid w:val="00840044"/>
    <w:rsid w:val="008409FD"/>
    <w:rsid w:val="00840E5D"/>
    <w:rsid w:val="00841F0F"/>
    <w:rsid w:val="008440E0"/>
    <w:rsid w:val="00845A77"/>
    <w:rsid w:val="00850D4A"/>
    <w:rsid w:val="00852344"/>
    <w:rsid w:val="00852ACC"/>
    <w:rsid w:val="008530E3"/>
    <w:rsid w:val="008556E5"/>
    <w:rsid w:val="008559B0"/>
    <w:rsid w:val="00855FA0"/>
    <w:rsid w:val="008570C8"/>
    <w:rsid w:val="00857E14"/>
    <w:rsid w:val="00857FF3"/>
    <w:rsid w:val="0086102A"/>
    <w:rsid w:val="00861525"/>
    <w:rsid w:val="00861B10"/>
    <w:rsid w:val="00861BAB"/>
    <w:rsid w:val="00861D9E"/>
    <w:rsid w:val="0086225F"/>
    <w:rsid w:val="008637BB"/>
    <w:rsid w:val="00863CE3"/>
    <w:rsid w:val="00865630"/>
    <w:rsid w:val="0086784E"/>
    <w:rsid w:val="00867EE5"/>
    <w:rsid w:val="008707CD"/>
    <w:rsid w:val="00871E9F"/>
    <w:rsid w:val="008731E9"/>
    <w:rsid w:val="00873B57"/>
    <w:rsid w:val="008767CF"/>
    <w:rsid w:val="0087734F"/>
    <w:rsid w:val="00877B7D"/>
    <w:rsid w:val="00883F6C"/>
    <w:rsid w:val="0088426E"/>
    <w:rsid w:val="00885525"/>
    <w:rsid w:val="008858C7"/>
    <w:rsid w:val="0088708B"/>
    <w:rsid w:val="008910A5"/>
    <w:rsid w:val="008952A7"/>
    <w:rsid w:val="008953FA"/>
    <w:rsid w:val="008955DC"/>
    <w:rsid w:val="0089561B"/>
    <w:rsid w:val="00896E34"/>
    <w:rsid w:val="00897CB5"/>
    <w:rsid w:val="008A0477"/>
    <w:rsid w:val="008A1D94"/>
    <w:rsid w:val="008A2B47"/>
    <w:rsid w:val="008A3CA4"/>
    <w:rsid w:val="008A54E2"/>
    <w:rsid w:val="008B05BD"/>
    <w:rsid w:val="008B1700"/>
    <w:rsid w:val="008B1D82"/>
    <w:rsid w:val="008B35AB"/>
    <w:rsid w:val="008B5204"/>
    <w:rsid w:val="008B551A"/>
    <w:rsid w:val="008B74DD"/>
    <w:rsid w:val="008C1509"/>
    <w:rsid w:val="008C259B"/>
    <w:rsid w:val="008C3551"/>
    <w:rsid w:val="008D175A"/>
    <w:rsid w:val="008D3A9C"/>
    <w:rsid w:val="008D3ED0"/>
    <w:rsid w:val="008D4E73"/>
    <w:rsid w:val="008D4FEC"/>
    <w:rsid w:val="008D65D4"/>
    <w:rsid w:val="008D7145"/>
    <w:rsid w:val="008E1C6A"/>
    <w:rsid w:val="008E2D92"/>
    <w:rsid w:val="008E3099"/>
    <w:rsid w:val="008E6B5F"/>
    <w:rsid w:val="008F799A"/>
    <w:rsid w:val="00900423"/>
    <w:rsid w:val="0090412D"/>
    <w:rsid w:val="00905064"/>
    <w:rsid w:val="009078A7"/>
    <w:rsid w:val="0091190F"/>
    <w:rsid w:val="009132F5"/>
    <w:rsid w:val="009137A6"/>
    <w:rsid w:val="00914888"/>
    <w:rsid w:val="0091518F"/>
    <w:rsid w:val="00915567"/>
    <w:rsid w:val="00915AE5"/>
    <w:rsid w:val="00916527"/>
    <w:rsid w:val="0091703F"/>
    <w:rsid w:val="00917351"/>
    <w:rsid w:val="009201FA"/>
    <w:rsid w:val="00922E04"/>
    <w:rsid w:val="009230DE"/>
    <w:rsid w:val="009336BA"/>
    <w:rsid w:val="0093483A"/>
    <w:rsid w:val="009416C3"/>
    <w:rsid w:val="00942A69"/>
    <w:rsid w:val="00945961"/>
    <w:rsid w:val="00946F4D"/>
    <w:rsid w:val="00946FAF"/>
    <w:rsid w:val="00950FA6"/>
    <w:rsid w:val="009514E7"/>
    <w:rsid w:val="00952159"/>
    <w:rsid w:val="0095230C"/>
    <w:rsid w:val="00952353"/>
    <w:rsid w:val="0095311A"/>
    <w:rsid w:val="00956C32"/>
    <w:rsid w:val="00957248"/>
    <w:rsid w:val="00957F2F"/>
    <w:rsid w:val="00960AC2"/>
    <w:rsid w:val="00960DB2"/>
    <w:rsid w:val="009636DB"/>
    <w:rsid w:val="00964AC8"/>
    <w:rsid w:val="00970E03"/>
    <w:rsid w:val="00975CF4"/>
    <w:rsid w:val="00975F8A"/>
    <w:rsid w:val="009807D7"/>
    <w:rsid w:val="00983B47"/>
    <w:rsid w:val="00984677"/>
    <w:rsid w:val="00984BD4"/>
    <w:rsid w:val="00984D2E"/>
    <w:rsid w:val="009866AA"/>
    <w:rsid w:val="00990D5F"/>
    <w:rsid w:val="0099190F"/>
    <w:rsid w:val="00991C64"/>
    <w:rsid w:val="009923D1"/>
    <w:rsid w:val="00994F95"/>
    <w:rsid w:val="00995E86"/>
    <w:rsid w:val="009963D9"/>
    <w:rsid w:val="00997E9B"/>
    <w:rsid w:val="009A030F"/>
    <w:rsid w:val="009A11FD"/>
    <w:rsid w:val="009A2958"/>
    <w:rsid w:val="009A41CE"/>
    <w:rsid w:val="009A743C"/>
    <w:rsid w:val="009B278A"/>
    <w:rsid w:val="009B4992"/>
    <w:rsid w:val="009B5CD3"/>
    <w:rsid w:val="009B724F"/>
    <w:rsid w:val="009C2E84"/>
    <w:rsid w:val="009C3B35"/>
    <w:rsid w:val="009C609F"/>
    <w:rsid w:val="009C7F80"/>
    <w:rsid w:val="009D134C"/>
    <w:rsid w:val="009D555F"/>
    <w:rsid w:val="009D683C"/>
    <w:rsid w:val="009E1E6D"/>
    <w:rsid w:val="009E5518"/>
    <w:rsid w:val="009E75E7"/>
    <w:rsid w:val="009F0AF0"/>
    <w:rsid w:val="009F1393"/>
    <w:rsid w:val="009F2A8B"/>
    <w:rsid w:val="009F3C65"/>
    <w:rsid w:val="009F4E88"/>
    <w:rsid w:val="009F5F37"/>
    <w:rsid w:val="009F7B79"/>
    <w:rsid w:val="00A0222C"/>
    <w:rsid w:val="00A02FF6"/>
    <w:rsid w:val="00A0351E"/>
    <w:rsid w:val="00A03B58"/>
    <w:rsid w:val="00A03E8A"/>
    <w:rsid w:val="00A04805"/>
    <w:rsid w:val="00A076DA"/>
    <w:rsid w:val="00A116E4"/>
    <w:rsid w:val="00A1203B"/>
    <w:rsid w:val="00A139AB"/>
    <w:rsid w:val="00A1625F"/>
    <w:rsid w:val="00A217CA"/>
    <w:rsid w:val="00A21932"/>
    <w:rsid w:val="00A25780"/>
    <w:rsid w:val="00A261F3"/>
    <w:rsid w:val="00A26362"/>
    <w:rsid w:val="00A26C1F"/>
    <w:rsid w:val="00A270C7"/>
    <w:rsid w:val="00A272D7"/>
    <w:rsid w:val="00A3087A"/>
    <w:rsid w:val="00A30BA1"/>
    <w:rsid w:val="00A33547"/>
    <w:rsid w:val="00A33BF7"/>
    <w:rsid w:val="00A343F5"/>
    <w:rsid w:val="00A34DBE"/>
    <w:rsid w:val="00A34E9C"/>
    <w:rsid w:val="00A364FD"/>
    <w:rsid w:val="00A400BF"/>
    <w:rsid w:val="00A41823"/>
    <w:rsid w:val="00A4293F"/>
    <w:rsid w:val="00A43843"/>
    <w:rsid w:val="00A43C0A"/>
    <w:rsid w:val="00A46F35"/>
    <w:rsid w:val="00A475F0"/>
    <w:rsid w:val="00A47828"/>
    <w:rsid w:val="00A478C3"/>
    <w:rsid w:val="00A5024F"/>
    <w:rsid w:val="00A514FA"/>
    <w:rsid w:val="00A5427A"/>
    <w:rsid w:val="00A54E25"/>
    <w:rsid w:val="00A55F46"/>
    <w:rsid w:val="00A60C0B"/>
    <w:rsid w:val="00A60D9C"/>
    <w:rsid w:val="00A629BE"/>
    <w:rsid w:val="00A633FC"/>
    <w:rsid w:val="00A63D9A"/>
    <w:rsid w:val="00A647A6"/>
    <w:rsid w:val="00A656B5"/>
    <w:rsid w:val="00A6750D"/>
    <w:rsid w:val="00A71BCA"/>
    <w:rsid w:val="00A74915"/>
    <w:rsid w:val="00A74F0E"/>
    <w:rsid w:val="00A76ABD"/>
    <w:rsid w:val="00A76D37"/>
    <w:rsid w:val="00A814CE"/>
    <w:rsid w:val="00A816A6"/>
    <w:rsid w:val="00A8172D"/>
    <w:rsid w:val="00A81B54"/>
    <w:rsid w:val="00A82C13"/>
    <w:rsid w:val="00A852D7"/>
    <w:rsid w:val="00A859C5"/>
    <w:rsid w:val="00A85E2B"/>
    <w:rsid w:val="00A86E58"/>
    <w:rsid w:val="00A91CCB"/>
    <w:rsid w:val="00A95141"/>
    <w:rsid w:val="00AA0BBC"/>
    <w:rsid w:val="00AA5A9F"/>
    <w:rsid w:val="00AA6D5E"/>
    <w:rsid w:val="00AB2D49"/>
    <w:rsid w:val="00AB3B29"/>
    <w:rsid w:val="00AB6CAA"/>
    <w:rsid w:val="00AB7126"/>
    <w:rsid w:val="00AB7664"/>
    <w:rsid w:val="00AC01D5"/>
    <w:rsid w:val="00AC3C93"/>
    <w:rsid w:val="00AC4F22"/>
    <w:rsid w:val="00AC5A0B"/>
    <w:rsid w:val="00AC6225"/>
    <w:rsid w:val="00AC69DC"/>
    <w:rsid w:val="00AC7034"/>
    <w:rsid w:val="00AC7658"/>
    <w:rsid w:val="00AC7B08"/>
    <w:rsid w:val="00AD0E0B"/>
    <w:rsid w:val="00AD2855"/>
    <w:rsid w:val="00AD29AF"/>
    <w:rsid w:val="00AD2C3E"/>
    <w:rsid w:val="00AD444E"/>
    <w:rsid w:val="00AD659F"/>
    <w:rsid w:val="00AD6D02"/>
    <w:rsid w:val="00AD7166"/>
    <w:rsid w:val="00AD752B"/>
    <w:rsid w:val="00AE07EC"/>
    <w:rsid w:val="00AE0C62"/>
    <w:rsid w:val="00AE338A"/>
    <w:rsid w:val="00AE3783"/>
    <w:rsid w:val="00AE38E9"/>
    <w:rsid w:val="00AE3FF8"/>
    <w:rsid w:val="00AE57B3"/>
    <w:rsid w:val="00AE7891"/>
    <w:rsid w:val="00AF0425"/>
    <w:rsid w:val="00AF0546"/>
    <w:rsid w:val="00AF1195"/>
    <w:rsid w:val="00AF2D7E"/>
    <w:rsid w:val="00AF43C0"/>
    <w:rsid w:val="00AF4708"/>
    <w:rsid w:val="00AF6256"/>
    <w:rsid w:val="00B000E3"/>
    <w:rsid w:val="00B00D98"/>
    <w:rsid w:val="00B010D9"/>
    <w:rsid w:val="00B01624"/>
    <w:rsid w:val="00B01C0E"/>
    <w:rsid w:val="00B07A04"/>
    <w:rsid w:val="00B1032C"/>
    <w:rsid w:val="00B103CF"/>
    <w:rsid w:val="00B10845"/>
    <w:rsid w:val="00B10D32"/>
    <w:rsid w:val="00B11AC8"/>
    <w:rsid w:val="00B11FCD"/>
    <w:rsid w:val="00B13F09"/>
    <w:rsid w:val="00B240F7"/>
    <w:rsid w:val="00B248A2"/>
    <w:rsid w:val="00B24F73"/>
    <w:rsid w:val="00B2506E"/>
    <w:rsid w:val="00B25818"/>
    <w:rsid w:val="00B26CCB"/>
    <w:rsid w:val="00B26FF5"/>
    <w:rsid w:val="00B30D57"/>
    <w:rsid w:val="00B33962"/>
    <w:rsid w:val="00B413E6"/>
    <w:rsid w:val="00B41BAF"/>
    <w:rsid w:val="00B42326"/>
    <w:rsid w:val="00B43D19"/>
    <w:rsid w:val="00B43DBA"/>
    <w:rsid w:val="00B441E8"/>
    <w:rsid w:val="00B452BD"/>
    <w:rsid w:val="00B452DD"/>
    <w:rsid w:val="00B45865"/>
    <w:rsid w:val="00B47006"/>
    <w:rsid w:val="00B47728"/>
    <w:rsid w:val="00B47A51"/>
    <w:rsid w:val="00B47AD0"/>
    <w:rsid w:val="00B47E92"/>
    <w:rsid w:val="00B47F2D"/>
    <w:rsid w:val="00B52BE0"/>
    <w:rsid w:val="00B53C85"/>
    <w:rsid w:val="00B53D83"/>
    <w:rsid w:val="00B53E18"/>
    <w:rsid w:val="00B551B5"/>
    <w:rsid w:val="00B55B17"/>
    <w:rsid w:val="00B60134"/>
    <w:rsid w:val="00B63E88"/>
    <w:rsid w:val="00B63EF1"/>
    <w:rsid w:val="00B66161"/>
    <w:rsid w:val="00B67A35"/>
    <w:rsid w:val="00B713B3"/>
    <w:rsid w:val="00B717A1"/>
    <w:rsid w:val="00B72A05"/>
    <w:rsid w:val="00B72A90"/>
    <w:rsid w:val="00B735B8"/>
    <w:rsid w:val="00B75580"/>
    <w:rsid w:val="00B7570C"/>
    <w:rsid w:val="00B824F4"/>
    <w:rsid w:val="00B82F01"/>
    <w:rsid w:val="00B835AB"/>
    <w:rsid w:val="00B86DE2"/>
    <w:rsid w:val="00B904FA"/>
    <w:rsid w:val="00B905E8"/>
    <w:rsid w:val="00B90AA8"/>
    <w:rsid w:val="00B939D6"/>
    <w:rsid w:val="00B94311"/>
    <w:rsid w:val="00BA17BA"/>
    <w:rsid w:val="00BA3EDB"/>
    <w:rsid w:val="00BB08D3"/>
    <w:rsid w:val="00BB0913"/>
    <w:rsid w:val="00BB136E"/>
    <w:rsid w:val="00BB1783"/>
    <w:rsid w:val="00BB17A7"/>
    <w:rsid w:val="00BB376A"/>
    <w:rsid w:val="00BB3F0F"/>
    <w:rsid w:val="00BB3FFA"/>
    <w:rsid w:val="00BB61AE"/>
    <w:rsid w:val="00BB6577"/>
    <w:rsid w:val="00BB67E9"/>
    <w:rsid w:val="00BB69FD"/>
    <w:rsid w:val="00BC3AB7"/>
    <w:rsid w:val="00BC6C92"/>
    <w:rsid w:val="00BC7E6A"/>
    <w:rsid w:val="00BD13F2"/>
    <w:rsid w:val="00BD153C"/>
    <w:rsid w:val="00BD2192"/>
    <w:rsid w:val="00BD44F5"/>
    <w:rsid w:val="00BD6086"/>
    <w:rsid w:val="00BD6E6A"/>
    <w:rsid w:val="00BE05AF"/>
    <w:rsid w:val="00BE59CE"/>
    <w:rsid w:val="00BE60D3"/>
    <w:rsid w:val="00BE6413"/>
    <w:rsid w:val="00BE6D12"/>
    <w:rsid w:val="00BE70F9"/>
    <w:rsid w:val="00BE78A7"/>
    <w:rsid w:val="00BF2967"/>
    <w:rsid w:val="00BF3217"/>
    <w:rsid w:val="00BF450F"/>
    <w:rsid w:val="00BF4D62"/>
    <w:rsid w:val="00BF5926"/>
    <w:rsid w:val="00BF5D4B"/>
    <w:rsid w:val="00BF7A12"/>
    <w:rsid w:val="00BF7C4F"/>
    <w:rsid w:val="00C00A58"/>
    <w:rsid w:val="00C01198"/>
    <w:rsid w:val="00C01422"/>
    <w:rsid w:val="00C02252"/>
    <w:rsid w:val="00C033C8"/>
    <w:rsid w:val="00C049D4"/>
    <w:rsid w:val="00C100FB"/>
    <w:rsid w:val="00C112CB"/>
    <w:rsid w:val="00C14440"/>
    <w:rsid w:val="00C15436"/>
    <w:rsid w:val="00C158BD"/>
    <w:rsid w:val="00C16236"/>
    <w:rsid w:val="00C16703"/>
    <w:rsid w:val="00C16939"/>
    <w:rsid w:val="00C17376"/>
    <w:rsid w:val="00C22BAB"/>
    <w:rsid w:val="00C22ECD"/>
    <w:rsid w:val="00C23D6C"/>
    <w:rsid w:val="00C24CAB"/>
    <w:rsid w:val="00C272B4"/>
    <w:rsid w:val="00C302B2"/>
    <w:rsid w:val="00C3054F"/>
    <w:rsid w:val="00C306B6"/>
    <w:rsid w:val="00C30EBD"/>
    <w:rsid w:val="00C3184B"/>
    <w:rsid w:val="00C31EC0"/>
    <w:rsid w:val="00C325CE"/>
    <w:rsid w:val="00C32EA4"/>
    <w:rsid w:val="00C33CD3"/>
    <w:rsid w:val="00C35649"/>
    <w:rsid w:val="00C36C1E"/>
    <w:rsid w:val="00C4324D"/>
    <w:rsid w:val="00C4388D"/>
    <w:rsid w:val="00C43D2C"/>
    <w:rsid w:val="00C4620A"/>
    <w:rsid w:val="00C4640F"/>
    <w:rsid w:val="00C50691"/>
    <w:rsid w:val="00C52005"/>
    <w:rsid w:val="00C55A42"/>
    <w:rsid w:val="00C55EEF"/>
    <w:rsid w:val="00C578C3"/>
    <w:rsid w:val="00C612B7"/>
    <w:rsid w:val="00C61E04"/>
    <w:rsid w:val="00C633DB"/>
    <w:rsid w:val="00C642D3"/>
    <w:rsid w:val="00C701C9"/>
    <w:rsid w:val="00C740FC"/>
    <w:rsid w:val="00C7415D"/>
    <w:rsid w:val="00C75625"/>
    <w:rsid w:val="00C75EE9"/>
    <w:rsid w:val="00C768BD"/>
    <w:rsid w:val="00C8003B"/>
    <w:rsid w:val="00C80197"/>
    <w:rsid w:val="00C80A0A"/>
    <w:rsid w:val="00C80A10"/>
    <w:rsid w:val="00C811EE"/>
    <w:rsid w:val="00C81D72"/>
    <w:rsid w:val="00C83163"/>
    <w:rsid w:val="00C83837"/>
    <w:rsid w:val="00C84C8B"/>
    <w:rsid w:val="00C86897"/>
    <w:rsid w:val="00C86E23"/>
    <w:rsid w:val="00C8718E"/>
    <w:rsid w:val="00C87641"/>
    <w:rsid w:val="00C87A35"/>
    <w:rsid w:val="00C87DFF"/>
    <w:rsid w:val="00C87E59"/>
    <w:rsid w:val="00C92974"/>
    <w:rsid w:val="00C9530C"/>
    <w:rsid w:val="00CA21CC"/>
    <w:rsid w:val="00CA24D0"/>
    <w:rsid w:val="00CB0023"/>
    <w:rsid w:val="00CB0AF6"/>
    <w:rsid w:val="00CB352C"/>
    <w:rsid w:val="00CB54BD"/>
    <w:rsid w:val="00CB5D97"/>
    <w:rsid w:val="00CB6828"/>
    <w:rsid w:val="00CB69BB"/>
    <w:rsid w:val="00CB7DBB"/>
    <w:rsid w:val="00CC47DB"/>
    <w:rsid w:val="00CC7A9B"/>
    <w:rsid w:val="00CC7CFA"/>
    <w:rsid w:val="00CD6FC2"/>
    <w:rsid w:val="00CE0696"/>
    <w:rsid w:val="00CE23E9"/>
    <w:rsid w:val="00CE3514"/>
    <w:rsid w:val="00CE5C6C"/>
    <w:rsid w:val="00CE7697"/>
    <w:rsid w:val="00CE7C3B"/>
    <w:rsid w:val="00CF09D9"/>
    <w:rsid w:val="00CF2980"/>
    <w:rsid w:val="00D04E3A"/>
    <w:rsid w:val="00D07897"/>
    <w:rsid w:val="00D10CC1"/>
    <w:rsid w:val="00D110A7"/>
    <w:rsid w:val="00D11468"/>
    <w:rsid w:val="00D116F2"/>
    <w:rsid w:val="00D134D6"/>
    <w:rsid w:val="00D136EC"/>
    <w:rsid w:val="00D15023"/>
    <w:rsid w:val="00D15F37"/>
    <w:rsid w:val="00D1705B"/>
    <w:rsid w:val="00D20721"/>
    <w:rsid w:val="00D20B37"/>
    <w:rsid w:val="00D20EB0"/>
    <w:rsid w:val="00D210C2"/>
    <w:rsid w:val="00D2269E"/>
    <w:rsid w:val="00D2349D"/>
    <w:rsid w:val="00D24341"/>
    <w:rsid w:val="00D25BCC"/>
    <w:rsid w:val="00D265EE"/>
    <w:rsid w:val="00D27448"/>
    <w:rsid w:val="00D2768F"/>
    <w:rsid w:val="00D30FF3"/>
    <w:rsid w:val="00D323C6"/>
    <w:rsid w:val="00D325F0"/>
    <w:rsid w:val="00D3288F"/>
    <w:rsid w:val="00D330D4"/>
    <w:rsid w:val="00D331BD"/>
    <w:rsid w:val="00D33BC5"/>
    <w:rsid w:val="00D33FB6"/>
    <w:rsid w:val="00D33FC7"/>
    <w:rsid w:val="00D36178"/>
    <w:rsid w:val="00D427F1"/>
    <w:rsid w:val="00D45288"/>
    <w:rsid w:val="00D46944"/>
    <w:rsid w:val="00D47636"/>
    <w:rsid w:val="00D5368C"/>
    <w:rsid w:val="00D53B99"/>
    <w:rsid w:val="00D5406F"/>
    <w:rsid w:val="00D55E09"/>
    <w:rsid w:val="00D56EC5"/>
    <w:rsid w:val="00D57182"/>
    <w:rsid w:val="00D61009"/>
    <w:rsid w:val="00D65DBB"/>
    <w:rsid w:val="00D660DA"/>
    <w:rsid w:val="00D66A92"/>
    <w:rsid w:val="00D67B98"/>
    <w:rsid w:val="00D70564"/>
    <w:rsid w:val="00D7151B"/>
    <w:rsid w:val="00D721E1"/>
    <w:rsid w:val="00D73CBC"/>
    <w:rsid w:val="00D73F71"/>
    <w:rsid w:val="00D74F1D"/>
    <w:rsid w:val="00D76843"/>
    <w:rsid w:val="00D814FC"/>
    <w:rsid w:val="00D8222F"/>
    <w:rsid w:val="00D82752"/>
    <w:rsid w:val="00D93C33"/>
    <w:rsid w:val="00D941B0"/>
    <w:rsid w:val="00D9503F"/>
    <w:rsid w:val="00D95143"/>
    <w:rsid w:val="00D95C1D"/>
    <w:rsid w:val="00D9746C"/>
    <w:rsid w:val="00DA2591"/>
    <w:rsid w:val="00DA6B25"/>
    <w:rsid w:val="00DA756F"/>
    <w:rsid w:val="00DB045F"/>
    <w:rsid w:val="00DB22AB"/>
    <w:rsid w:val="00DB2B98"/>
    <w:rsid w:val="00DB38B1"/>
    <w:rsid w:val="00DB6B04"/>
    <w:rsid w:val="00DB6EAC"/>
    <w:rsid w:val="00DB743A"/>
    <w:rsid w:val="00DC05F8"/>
    <w:rsid w:val="00DC22F3"/>
    <w:rsid w:val="00DC246B"/>
    <w:rsid w:val="00DC2BB6"/>
    <w:rsid w:val="00DC353B"/>
    <w:rsid w:val="00DC35CD"/>
    <w:rsid w:val="00DC3B8A"/>
    <w:rsid w:val="00DC57D1"/>
    <w:rsid w:val="00DD1922"/>
    <w:rsid w:val="00DD2629"/>
    <w:rsid w:val="00DD418D"/>
    <w:rsid w:val="00DD5406"/>
    <w:rsid w:val="00DD63DD"/>
    <w:rsid w:val="00DD67DD"/>
    <w:rsid w:val="00DD7D8B"/>
    <w:rsid w:val="00DD7F1B"/>
    <w:rsid w:val="00DE37D7"/>
    <w:rsid w:val="00DE3ADD"/>
    <w:rsid w:val="00DE3CC5"/>
    <w:rsid w:val="00DE3F46"/>
    <w:rsid w:val="00DE4DF4"/>
    <w:rsid w:val="00DE5E83"/>
    <w:rsid w:val="00DE6936"/>
    <w:rsid w:val="00DF35CF"/>
    <w:rsid w:val="00DF410A"/>
    <w:rsid w:val="00DF520B"/>
    <w:rsid w:val="00E067FA"/>
    <w:rsid w:val="00E1632D"/>
    <w:rsid w:val="00E16968"/>
    <w:rsid w:val="00E22AB7"/>
    <w:rsid w:val="00E24FBC"/>
    <w:rsid w:val="00E25B5C"/>
    <w:rsid w:val="00E268E7"/>
    <w:rsid w:val="00E26AF1"/>
    <w:rsid w:val="00E27877"/>
    <w:rsid w:val="00E27C58"/>
    <w:rsid w:val="00E27D0F"/>
    <w:rsid w:val="00E30661"/>
    <w:rsid w:val="00E30E84"/>
    <w:rsid w:val="00E30FE9"/>
    <w:rsid w:val="00E31137"/>
    <w:rsid w:val="00E31A89"/>
    <w:rsid w:val="00E3375A"/>
    <w:rsid w:val="00E34915"/>
    <w:rsid w:val="00E34F32"/>
    <w:rsid w:val="00E3636D"/>
    <w:rsid w:val="00E36849"/>
    <w:rsid w:val="00E369BB"/>
    <w:rsid w:val="00E37A7A"/>
    <w:rsid w:val="00E40A43"/>
    <w:rsid w:val="00E41851"/>
    <w:rsid w:val="00E41EFF"/>
    <w:rsid w:val="00E425DF"/>
    <w:rsid w:val="00E46234"/>
    <w:rsid w:val="00E46BA9"/>
    <w:rsid w:val="00E55EDE"/>
    <w:rsid w:val="00E56CDE"/>
    <w:rsid w:val="00E6162A"/>
    <w:rsid w:val="00E622BD"/>
    <w:rsid w:val="00E645DD"/>
    <w:rsid w:val="00E671D1"/>
    <w:rsid w:val="00E70F7D"/>
    <w:rsid w:val="00E7126D"/>
    <w:rsid w:val="00E776AF"/>
    <w:rsid w:val="00E81D75"/>
    <w:rsid w:val="00E8373E"/>
    <w:rsid w:val="00E87D12"/>
    <w:rsid w:val="00E90E26"/>
    <w:rsid w:val="00E90F62"/>
    <w:rsid w:val="00EA0F02"/>
    <w:rsid w:val="00EA15CE"/>
    <w:rsid w:val="00EA2425"/>
    <w:rsid w:val="00EA4C41"/>
    <w:rsid w:val="00EA4D78"/>
    <w:rsid w:val="00EA5B50"/>
    <w:rsid w:val="00EA5BBA"/>
    <w:rsid w:val="00EA5FCA"/>
    <w:rsid w:val="00EA72ED"/>
    <w:rsid w:val="00EB2158"/>
    <w:rsid w:val="00EB24BB"/>
    <w:rsid w:val="00EB6814"/>
    <w:rsid w:val="00EC3374"/>
    <w:rsid w:val="00EC4A6F"/>
    <w:rsid w:val="00EC4D33"/>
    <w:rsid w:val="00ED0B37"/>
    <w:rsid w:val="00ED114B"/>
    <w:rsid w:val="00ED1717"/>
    <w:rsid w:val="00ED1992"/>
    <w:rsid w:val="00ED1D64"/>
    <w:rsid w:val="00ED255E"/>
    <w:rsid w:val="00ED3C36"/>
    <w:rsid w:val="00ED3FB7"/>
    <w:rsid w:val="00EE07EE"/>
    <w:rsid w:val="00EE1E51"/>
    <w:rsid w:val="00EE4A60"/>
    <w:rsid w:val="00EF180E"/>
    <w:rsid w:val="00EF3003"/>
    <w:rsid w:val="00EF3784"/>
    <w:rsid w:val="00EF3E05"/>
    <w:rsid w:val="00EF41B5"/>
    <w:rsid w:val="00EF6810"/>
    <w:rsid w:val="00EF6B31"/>
    <w:rsid w:val="00EF7773"/>
    <w:rsid w:val="00EF7999"/>
    <w:rsid w:val="00F06C2A"/>
    <w:rsid w:val="00F07390"/>
    <w:rsid w:val="00F10952"/>
    <w:rsid w:val="00F10F14"/>
    <w:rsid w:val="00F11535"/>
    <w:rsid w:val="00F13A4F"/>
    <w:rsid w:val="00F13DE8"/>
    <w:rsid w:val="00F14219"/>
    <w:rsid w:val="00F14E99"/>
    <w:rsid w:val="00F16F94"/>
    <w:rsid w:val="00F17064"/>
    <w:rsid w:val="00F22F05"/>
    <w:rsid w:val="00F23620"/>
    <w:rsid w:val="00F24F96"/>
    <w:rsid w:val="00F262F3"/>
    <w:rsid w:val="00F35193"/>
    <w:rsid w:val="00F35564"/>
    <w:rsid w:val="00F37ABA"/>
    <w:rsid w:val="00F406AA"/>
    <w:rsid w:val="00F40A9E"/>
    <w:rsid w:val="00F41DE6"/>
    <w:rsid w:val="00F432FF"/>
    <w:rsid w:val="00F4365E"/>
    <w:rsid w:val="00F46E20"/>
    <w:rsid w:val="00F47265"/>
    <w:rsid w:val="00F54C9A"/>
    <w:rsid w:val="00F55232"/>
    <w:rsid w:val="00F6190A"/>
    <w:rsid w:val="00F61A8E"/>
    <w:rsid w:val="00F61E23"/>
    <w:rsid w:val="00F6530B"/>
    <w:rsid w:val="00F71434"/>
    <w:rsid w:val="00F7540E"/>
    <w:rsid w:val="00F804EE"/>
    <w:rsid w:val="00F80D17"/>
    <w:rsid w:val="00F82F41"/>
    <w:rsid w:val="00F8461F"/>
    <w:rsid w:val="00F869B1"/>
    <w:rsid w:val="00F9583F"/>
    <w:rsid w:val="00F959D3"/>
    <w:rsid w:val="00FA1A39"/>
    <w:rsid w:val="00FA1AC7"/>
    <w:rsid w:val="00FA2009"/>
    <w:rsid w:val="00FA2A0E"/>
    <w:rsid w:val="00FA3BF6"/>
    <w:rsid w:val="00FA50A0"/>
    <w:rsid w:val="00FA62B0"/>
    <w:rsid w:val="00FA684E"/>
    <w:rsid w:val="00FB189E"/>
    <w:rsid w:val="00FB301D"/>
    <w:rsid w:val="00FB60B4"/>
    <w:rsid w:val="00FB61C1"/>
    <w:rsid w:val="00FB652A"/>
    <w:rsid w:val="00FB72F2"/>
    <w:rsid w:val="00FB73E0"/>
    <w:rsid w:val="00FC0AB3"/>
    <w:rsid w:val="00FC0C75"/>
    <w:rsid w:val="00FC1793"/>
    <w:rsid w:val="00FC3ADB"/>
    <w:rsid w:val="00FC6383"/>
    <w:rsid w:val="00FC796F"/>
    <w:rsid w:val="00FD282C"/>
    <w:rsid w:val="00FD4E65"/>
    <w:rsid w:val="00FD5316"/>
    <w:rsid w:val="00FE0392"/>
    <w:rsid w:val="00FE053F"/>
    <w:rsid w:val="00FE0605"/>
    <w:rsid w:val="00FE0AEC"/>
    <w:rsid w:val="00FE2E1E"/>
    <w:rsid w:val="00FE3DE8"/>
    <w:rsid w:val="00FE4477"/>
    <w:rsid w:val="00FE5DAE"/>
    <w:rsid w:val="00FE6A08"/>
    <w:rsid w:val="00FE6AC4"/>
    <w:rsid w:val="00FF0B41"/>
    <w:rsid w:val="00FF30F1"/>
    <w:rsid w:val="00FF42C0"/>
    <w:rsid w:val="00FF51EE"/>
    <w:rsid w:val="00FF6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5E9EC"/>
  <w15:docId w15:val="{A5C8C9CE-FFD1-4FC8-ADBB-972EE88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93"/>
    <w:pPr>
      <w:spacing w:line="288" w:lineRule="auto"/>
    </w:pPr>
    <w:rPr>
      <w:lang w:val="en-GB" w:eastAsia="en-US"/>
    </w:rPr>
  </w:style>
  <w:style w:type="paragraph" w:styleId="Heading1">
    <w:name w:val="heading 1"/>
    <w:basedOn w:val="Normal"/>
    <w:next w:val="Normal"/>
    <w:link w:val="Heading1Char"/>
    <w:uiPriority w:val="99"/>
    <w:qFormat/>
    <w:rsid w:val="0054159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116E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66E4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66E4A"/>
    <w:pPr>
      <w:keepNext/>
      <w:keepLines/>
      <w:spacing w:before="40"/>
      <w:ind w:left="864" w:hanging="864"/>
      <w:outlineLvl w:val="3"/>
    </w:pPr>
    <w:rPr>
      <w:rFonts w:ascii="Cambria" w:eastAsia="Times New Roman" w:hAnsi="Cambria"/>
      <w:i/>
      <w:iCs/>
      <w:color w:val="365F91"/>
    </w:rPr>
  </w:style>
  <w:style w:type="paragraph" w:styleId="Heading5">
    <w:name w:val="heading 5"/>
    <w:basedOn w:val="Normal"/>
    <w:next w:val="Normal"/>
    <w:link w:val="Heading5Char"/>
    <w:uiPriority w:val="99"/>
    <w:qFormat/>
    <w:rsid w:val="00466E4A"/>
    <w:pPr>
      <w:keepNext/>
      <w:keepLines/>
      <w:spacing w:before="40"/>
      <w:ind w:left="1008" w:hanging="1008"/>
      <w:outlineLvl w:val="4"/>
    </w:pPr>
    <w:rPr>
      <w:rFonts w:ascii="Cambria" w:eastAsia="Times New Roman" w:hAnsi="Cambria"/>
      <w:color w:val="365F91"/>
    </w:rPr>
  </w:style>
  <w:style w:type="paragraph" w:styleId="Heading6">
    <w:name w:val="heading 6"/>
    <w:basedOn w:val="Normal"/>
    <w:next w:val="Normal"/>
    <w:link w:val="Heading6Char"/>
    <w:uiPriority w:val="99"/>
    <w:qFormat/>
    <w:rsid w:val="00466E4A"/>
    <w:pPr>
      <w:keepNext/>
      <w:keepLines/>
      <w:spacing w:before="40"/>
      <w:ind w:left="1152" w:hanging="1152"/>
      <w:outlineLvl w:val="5"/>
    </w:pPr>
    <w:rPr>
      <w:rFonts w:ascii="Cambria" w:eastAsia="Times New Roman" w:hAnsi="Cambria"/>
      <w:color w:val="243F60"/>
    </w:rPr>
  </w:style>
  <w:style w:type="paragraph" w:styleId="Heading7">
    <w:name w:val="heading 7"/>
    <w:basedOn w:val="Normal"/>
    <w:next w:val="Normal"/>
    <w:link w:val="Heading7Char"/>
    <w:uiPriority w:val="99"/>
    <w:qFormat/>
    <w:rsid w:val="00466E4A"/>
    <w:pPr>
      <w:keepNext/>
      <w:keepLines/>
      <w:spacing w:before="40"/>
      <w:ind w:left="1296" w:hanging="1296"/>
      <w:outlineLvl w:val="6"/>
    </w:pPr>
    <w:rPr>
      <w:rFonts w:ascii="Cambria" w:eastAsia="Times New Roman" w:hAnsi="Cambria"/>
      <w:i/>
      <w:iCs/>
      <w:color w:val="243F60"/>
    </w:rPr>
  </w:style>
  <w:style w:type="paragraph" w:styleId="Heading8">
    <w:name w:val="heading 8"/>
    <w:basedOn w:val="Normal"/>
    <w:next w:val="Normal"/>
    <w:link w:val="Heading8Char"/>
    <w:uiPriority w:val="99"/>
    <w:qFormat/>
    <w:rsid w:val="00466E4A"/>
    <w:pPr>
      <w:keepNext/>
      <w:keepLines/>
      <w:spacing w:before="40"/>
      <w:ind w:left="1440" w:hanging="14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9"/>
    <w:qFormat/>
    <w:rsid w:val="00466E4A"/>
    <w:pPr>
      <w:keepNext/>
      <w:keepLines/>
      <w:spacing w:before="40"/>
      <w:ind w:left="1584" w:hanging="1584"/>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593"/>
    <w:rPr>
      <w:rFonts w:ascii="Cambria" w:hAnsi="Cambria" w:cs="Times New Roman"/>
      <w:b/>
      <w:bCs/>
      <w:color w:val="365F91"/>
      <w:sz w:val="28"/>
      <w:szCs w:val="28"/>
      <w:lang w:val="en-GB"/>
    </w:rPr>
  </w:style>
  <w:style w:type="character" w:customStyle="1" w:styleId="Heading2Char">
    <w:name w:val="Heading 2 Char"/>
    <w:basedOn w:val="DefaultParagraphFont"/>
    <w:link w:val="Heading2"/>
    <w:uiPriority w:val="99"/>
    <w:locked/>
    <w:rsid w:val="00A116E4"/>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466E4A"/>
    <w:rPr>
      <w:rFonts w:ascii="Cambria" w:hAnsi="Cambria" w:cs="Times New Roman"/>
      <w:b/>
      <w:bCs/>
      <w:color w:val="4F81BD"/>
      <w:lang w:val="en-GB"/>
    </w:rPr>
  </w:style>
  <w:style w:type="character" w:customStyle="1" w:styleId="Heading4Char">
    <w:name w:val="Heading 4 Char"/>
    <w:basedOn w:val="DefaultParagraphFont"/>
    <w:link w:val="Heading4"/>
    <w:uiPriority w:val="99"/>
    <w:semiHidden/>
    <w:locked/>
    <w:rsid w:val="00466E4A"/>
    <w:rPr>
      <w:rFonts w:ascii="Cambria" w:hAnsi="Cambria" w:cs="Times New Roman"/>
      <w:i/>
      <w:iCs/>
      <w:color w:val="365F91"/>
      <w:lang w:val="en-GB"/>
    </w:rPr>
  </w:style>
  <w:style w:type="character" w:customStyle="1" w:styleId="Heading5Char">
    <w:name w:val="Heading 5 Char"/>
    <w:basedOn w:val="DefaultParagraphFont"/>
    <w:link w:val="Heading5"/>
    <w:uiPriority w:val="99"/>
    <w:semiHidden/>
    <w:locked/>
    <w:rsid w:val="00466E4A"/>
    <w:rPr>
      <w:rFonts w:ascii="Cambria" w:hAnsi="Cambria" w:cs="Times New Roman"/>
      <w:color w:val="365F91"/>
      <w:lang w:val="en-GB"/>
    </w:rPr>
  </w:style>
  <w:style w:type="character" w:customStyle="1" w:styleId="Heading6Char">
    <w:name w:val="Heading 6 Char"/>
    <w:basedOn w:val="DefaultParagraphFont"/>
    <w:link w:val="Heading6"/>
    <w:uiPriority w:val="99"/>
    <w:semiHidden/>
    <w:locked/>
    <w:rsid w:val="00466E4A"/>
    <w:rPr>
      <w:rFonts w:ascii="Cambria" w:hAnsi="Cambria" w:cs="Times New Roman"/>
      <w:color w:val="243F60"/>
      <w:lang w:val="en-GB"/>
    </w:rPr>
  </w:style>
  <w:style w:type="character" w:customStyle="1" w:styleId="Heading7Char">
    <w:name w:val="Heading 7 Char"/>
    <w:basedOn w:val="DefaultParagraphFont"/>
    <w:link w:val="Heading7"/>
    <w:uiPriority w:val="99"/>
    <w:semiHidden/>
    <w:locked/>
    <w:rsid w:val="00466E4A"/>
    <w:rPr>
      <w:rFonts w:ascii="Cambria" w:hAnsi="Cambria" w:cs="Times New Roman"/>
      <w:i/>
      <w:iCs/>
      <w:color w:val="243F60"/>
      <w:lang w:val="en-GB"/>
    </w:rPr>
  </w:style>
  <w:style w:type="character" w:customStyle="1" w:styleId="Heading8Char">
    <w:name w:val="Heading 8 Char"/>
    <w:basedOn w:val="DefaultParagraphFont"/>
    <w:link w:val="Heading8"/>
    <w:uiPriority w:val="99"/>
    <w:semiHidden/>
    <w:locked/>
    <w:rsid w:val="00466E4A"/>
    <w:rPr>
      <w:rFonts w:ascii="Cambria" w:hAnsi="Cambria" w:cs="Times New Roman"/>
      <w:color w:val="272727"/>
      <w:sz w:val="21"/>
      <w:szCs w:val="21"/>
      <w:lang w:val="en-GB"/>
    </w:rPr>
  </w:style>
  <w:style w:type="character" w:customStyle="1" w:styleId="Heading9Char">
    <w:name w:val="Heading 9 Char"/>
    <w:basedOn w:val="DefaultParagraphFont"/>
    <w:link w:val="Heading9"/>
    <w:uiPriority w:val="99"/>
    <w:semiHidden/>
    <w:locked/>
    <w:rsid w:val="00466E4A"/>
    <w:rPr>
      <w:rFonts w:ascii="Cambria" w:hAnsi="Cambria" w:cs="Times New Roman"/>
      <w:i/>
      <w:iCs/>
      <w:color w:val="272727"/>
      <w:sz w:val="21"/>
      <w:szCs w:val="21"/>
      <w:lang w:val="en-GB"/>
    </w:rPr>
  </w:style>
  <w:style w:type="paragraph" w:styleId="ListParagraph">
    <w:name w:val="List Paragraph"/>
    <w:basedOn w:val="Normal"/>
    <w:uiPriority w:val="99"/>
    <w:qFormat/>
    <w:rsid w:val="00541593"/>
    <w:pPr>
      <w:ind w:left="720"/>
      <w:contextualSpacing/>
    </w:pPr>
  </w:style>
  <w:style w:type="paragraph" w:styleId="FootnoteText">
    <w:name w:val="footnote text"/>
    <w:basedOn w:val="Normal"/>
    <w:link w:val="FootnoteTextChar"/>
    <w:uiPriority w:val="99"/>
    <w:rsid w:val="00466E4A"/>
    <w:pPr>
      <w:spacing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locked/>
    <w:rsid w:val="00466E4A"/>
    <w:rPr>
      <w:rFonts w:ascii="Times New Roman" w:hAnsi="Times New Roman" w:cs="Times New Roman"/>
      <w:sz w:val="20"/>
      <w:szCs w:val="20"/>
      <w:lang w:val="en-GB" w:eastAsia="en-GB"/>
    </w:rPr>
  </w:style>
  <w:style w:type="character" w:styleId="FootnoteReference">
    <w:name w:val="footnote reference"/>
    <w:basedOn w:val="DefaultParagraphFont"/>
    <w:uiPriority w:val="99"/>
    <w:rsid w:val="00466E4A"/>
    <w:rPr>
      <w:rFonts w:cs="Times New Roman"/>
      <w:vertAlign w:val="superscript"/>
    </w:rPr>
  </w:style>
  <w:style w:type="paragraph" w:styleId="Header">
    <w:name w:val="header"/>
    <w:basedOn w:val="Normal"/>
    <w:link w:val="HeaderChar"/>
    <w:uiPriority w:val="99"/>
    <w:rsid w:val="00466E4A"/>
    <w:pPr>
      <w:tabs>
        <w:tab w:val="center" w:pos="4513"/>
        <w:tab w:val="right" w:pos="9026"/>
      </w:tabs>
      <w:spacing w:line="240" w:lineRule="auto"/>
    </w:pPr>
  </w:style>
  <w:style w:type="character" w:customStyle="1" w:styleId="HeaderChar">
    <w:name w:val="Header Char"/>
    <w:basedOn w:val="DefaultParagraphFont"/>
    <w:link w:val="Header"/>
    <w:uiPriority w:val="99"/>
    <w:locked/>
    <w:rsid w:val="00466E4A"/>
    <w:rPr>
      <w:rFonts w:cs="Times New Roman"/>
      <w:lang w:val="en-GB"/>
    </w:rPr>
  </w:style>
  <w:style w:type="paragraph" w:styleId="Footer">
    <w:name w:val="footer"/>
    <w:basedOn w:val="Normal"/>
    <w:link w:val="FooterChar"/>
    <w:uiPriority w:val="99"/>
    <w:rsid w:val="00466E4A"/>
    <w:pPr>
      <w:tabs>
        <w:tab w:val="center" w:pos="4513"/>
        <w:tab w:val="right" w:pos="9026"/>
      </w:tabs>
      <w:spacing w:line="240" w:lineRule="auto"/>
    </w:pPr>
  </w:style>
  <w:style w:type="character" w:customStyle="1" w:styleId="FooterChar">
    <w:name w:val="Footer Char"/>
    <w:basedOn w:val="DefaultParagraphFont"/>
    <w:link w:val="Footer"/>
    <w:uiPriority w:val="99"/>
    <w:locked/>
    <w:rsid w:val="00466E4A"/>
    <w:rPr>
      <w:rFonts w:cs="Times New Roman"/>
      <w:lang w:val="en-GB"/>
    </w:rPr>
  </w:style>
  <w:style w:type="table" w:styleId="TableGrid">
    <w:name w:val="Table Grid"/>
    <w:basedOn w:val="TableNormal"/>
    <w:uiPriority w:val="99"/>
    <w:rsid w:val="00466E4A"/>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uiPriority w:val="99"/>
    <w:rsid w:val="00466E4A"/>
    <w:pPr>
      <w:jc w:val="center"/>
    </w:pPr>
    <w:rPr>
      <w:noProof/>
      <w:lang w:val="en-US"/>
    </w:rPr>
  </w:style>
  <w:style w:type="character" w:customStyle="1" w:styleId="EndNoteBibliographyTitleChar">
    <w:name w:val="EndNote Bibliography Title Char"/>
    <w:basedOn w:val="DefaultParagraphFont"/>
    <w:link w:val="EndNoteBibliographyTitle"/>
    <w:uiPriority w:val="99"/>
    <w:locked/>
    <w:rsid w:val="00466E4A"/>
    <w:rPr>
      <w:rFonts w:ascii="Calibri" w:hAnsi="Calibri" w:cs="Times New Roman"/>
      <w:noProof/>
      <w:lang w:val="en-US"/>
    </w:rPr>
  </w:style>
  <w:style w:type="paragraph" w:customStyle="1" w:styleId="EndNoteBibliography">
    <w:name w:val="EndNote Bibliography"/>
    <w:basedOn w:val="Normal"/>
    <w:link w:val="EndNoteBibliographyChar"/>
    <w:uiPriority w:val="99"/>
    <w:rsid w:val="00466E4A"/>
    <w:pPr>
      <w:spacing w:line="240" w:lineRule="auto"/>
      <w:jc w:val="center"/>
    </w:pPr>
    <w:rPr>
      <w:noProof/>
      <w:lang w:val="en-US"/>
    </w:rPr>
  </w:style>
  <w:style w:type="character" w:customStyle="1" w:styleId="EndNoteBibliographyChar">
    <w:name w:val="EndNote Bibliography Char"/>
    <w:basedOn w:val="DefaultParagraphFont"/>
    <w:link w:val="EndNoteBibliography"/>
    <w:uiPriority w:val="99"/>
    <w:locked/>
    <w:rsid w:val="00466E4A"/>
    <w:rPr>
      <w:rFonts w:ascii="Calibri" w:hAnsi="Calibri" w:cs="Times New Roman"/>
      <w:noProof/>
      <w:lang w:val="en-US"/>
    </w:rPr>
  </w:style>
  <w:style w:type="paragraph" w:styleId="BalloonText">
    <w:name w:val="Balloon Text"/>
    <w:basedOn w:val="Normal"/>
    <w:link w:val="BalloonTextChar"/>
    <w:uiPriority w:val="99"/>
    <w:semiHidden/>
    <w:rsid w:val="00466E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6E4A"/>
    <w:rPr>
      <w:rFonts w:ascii="Segoe UI" w:hAnsi="Segoe UI" w:cs="Segoe UI"/>
      <w:sz w:val="18"/>
      <w:szCs w:val="18"/>
      <w:lang w:val="en-GB"/>
    </w:rPr>
  </w:style>
  <w:style w:type="paragraph" w:styleId="NormalWeb">
    <w:name w:val="Normal (Web)"/>
    <w:basedOn w:val="Normal"/>
    <w:uiPriority w:val="99"/>
    <w:semiHidden/>
    <w:rsid w:val="00466E4A"/>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next w:val="Normal"/>
    <w:link w:val="TitleChar"/>
    <w:uiPriority w:val="99"/>
    <w:qFormat/>
    <w:rsid w:val="00466E4A"/>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466E4A"/>
    <w:rPr>
      <w:rFonts w:ascii="Cambria" w:hAnsi="Cambria" w:cs="Times New Roman"/>
      <w:spacing w:val="-10"/>
      <w:kern w:val="28"/>
      <w:sz w:val="56"/>
      <w:szCs w:val="56"/>
      <w:lang w:val="en-GB"/>
    </w:rPr>
  </w:style>
  <w:style w:type="character" w:styleId="CommentReference">
    <w:name w:val="annotation reference"/>
    <w:basedOn w:val="DefaultParagraphFont"/>
    <w:uiPriority w:val="99"/>
    <w:semiHidden/>
    <w:rsid w:val="00466E4A"/>
    <w:rPr>
      <w:rFonts w:cs="Times New Roman"/>
      <w:sz w:val="16"/>
      <w:szCs w:val="16"/>
    </w:rPr>
  </w:style>
  <w:style w:type="paragraph" w:styleId="CommentText">
    <w:name w:val="annotation text"/>
    <w:basedOn w:val="Normal"/>
    <w:link w:val="CommentTextChar"/>
    <w:uiPriority w:val="99"/>
    <w:semiHidden/>
    <w:rsid w:val="00466E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66E4A"/>
    <w:rPr>
      <w:rFonts w:cs="Times New Roman"/>
      <w:sz w:val="20"/>
      <w:szCs w:val="20"/>
      <w:lang w:val="en-GB"/>
    </w:rPr>
  </w:style>
  <w:style w:type="paragraph" w:styleId="CommentSubject">
    <w:name w:val="annotation subject"/>
    <w:basedOn w:val="CommentText"/>
    <w:next w:val="CommentText"/>
    <w:link w:val="CommentSubjectChar"/>
    <w:uiPriority w:val="99"/>
    <w:semiHidden/>
    <w:rsid w:val="00466E4A"/>
    <w:rPr>
      <w:b/>
      <w:bCs/>
    </w:rPr>
  </w:style>
  <w:style w:type="character" w:customStyle="1" w:styleId="CommentSubjectChar">
    <w:name w:val="Comment Subject Char"/>
    <w:basedOn w:val="CommentTextChar"/>
    <w:link w:val="CommentSubject"/>
    <w:uiPriority w:val="99"/>
    <w:semiHidden/>
    <w:locked/>
    <w:rsid w:val="00466E4A"/>
    <w:rPr>
      <w:rFonts w:cs="Times New Roman"/>
      <w:b/>
      <w:bCs/>
      <w:sz w:val="20"/>
      <w:szCs w:val="20"/>
      <w:lang w:val="en-GB"/>
    </w:rPr>
  </w:style>
  <w:style w:type="table" w:customStyle="1" w:styleId="TableGrid1">
    <w:name w:val="Table Grid1"/>
    <w:uiPriority w:val="99"/>
    <w:rsid w:val="00466E4A"/>
    <w:rPr>
      <w:rFonts w:eastAsia="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466E4A"/>
    <w:rPr>
      <w:rFonts w:eastAsia="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66E4A"/>
    <w:rPr>
      <w:rFonts w:cs="Times New Roman"/>
      <w:color w:val="0000FF"/>
      <w:u w:val="single"/>
    </w:rPr>
  </w:style>
  <w:style w:type="paragraph" w:styleId="TOC1">
    <w:name w:val="toc 1"/>
    <w:basedOn w:val="Normal"/>
    <w:next w:val="Normal"/>
    <w:autoRedefine/>
    <w:uiPriority w:val="99"/>
    <w:rsid w:val="00466E4A"/>
    <w:pPr>
      <w:spacing w:after="100"/>
    </w:pPr>
  </w:style>
  <w:style w:type="paragraph" w:styleId="TOC2">
    <w:name w:val="toc 2"/>
    <w:basedOn w:val="Normal"/>
    <w:next w:val="Normal"/>
    <w:autoRedefine/>
    <w:uiPriority w:val="99"/>
    <w:rsid w:val="00466E4A"/>
    <w:pPr>
      <w:spacing w:after="100"/>
      <w:ind w:left="220"/>
    </w:pPr>
  </w:style>
  <w:style w:type="paragraph" w:styleId="TOC3">
    <w:name w:val="toc 3"/>
    <w:basedOn w:val="Normal"/>
    <w:next w:val="Normal"/>
    <w:autoRedefine/>
    <w:uiPriority w:val="99"/>
    <w:rsid w:val="00466E4A"/>
    <w:pPr>
      <w:spacing w:after="100"/>
      <w:ind w:left="440"/>
    </w:pPr>
  </w:style>
  <w:style w:type="paragraph" w:styleId="TOCHeading">
    <w:name w:val="TOC Heading"/>
    <w:basedOn w:val="Heading1"/>
    <w:next w:val="Normal"/>
    <w:uiPriority w:val="99"/>
    <w:qFormat/>
    <w:rsid w:val="00466E4A"/>
    <w:pPr>
      <w:spacing w:line="276" w:lineRule="auto"/>
      <w:outlineLvl w:val="9"/>
    </w:pPr>
    <w:rPr>
      <w:lang w:val="en-US" w:eastAsia="ja-JP"/>
    </w:rPr>
  </w:style>
  <w:style w:type="paragraph" w:styleId="Bibliography">
    <w:name w:val="Bibliography"/>
    <w:basedOn w:val="Normal"/>
    <w:next w:val="Normal"/>
    <w:uiPriority w:val="99"/>
    <w:rsid w:val="002D5FF4"/>
    <w:pPr>
      <w:tabs>
        <w:tab w:val="left" w:pos="504"/>
      </w:tabs>
      <w:spacing w:after="240" w:line="240" w:lineRule="auto"/>
      <w:ind w:left="504" w:hanging="504"/>
    </w:pPr>
  </w:style>
  <w:style w:type="paragraph" w:customStyle="1" w:styleId="Default">
    <w:name w:val="Default"/>
    <w:uiPriority w:val="99"/>
    <w:rsid w:val="00D8222F"/>
    <w:pPr>
      <w:autoSpaceDE w:val="0"/>
      <w:autoSpaceDN w:val="0"/>
      <w:adjustRightInd w:val="0"/>
    </w:pPr>
    <w:rPr>
      <w:rFonts w:cs="Calibri"/>
      <w:color w:val="000000"/>
      <w:sz w:val="24"/>
      <w:szCs w:val="24"/>
      <w:lang w:val="fr-FR" w:eastAsia="en-US"/>
    </w:rPr>
  </w:style>
  <w:style w:type="character" w:customStyle="1" w:styleId="current-selection">
    <w:name w:val="current-selection"/>
    <w:basedOn w:val="DefaultParagraphFont"/>
    <w:uiPriority w:val="99"/>
    <w:rsid w:val="00056CD1"/>
    <w:rPr>
      <w:rFonts w:cs="Times New Roman"/>
    </w:rPr>
  </w:style>
  <w:style w:type="character" w:customStyle="1" w:styleId="a">
    <w:name w:val="_"/>
    <w:basedOn w:val="DefaultParagraphFont"/>
    <w:uiPriority w:val="99"/>
    <w:rsid w:val="00056CD1"/>
    <w:rPr>
      <w:rFonts w:cs="Times New Roman"/>
    </w:rPr>
  </w:style>
  <w:style w:type="character" w:customStyle="1" w:styleId="highlight">
    <w:name w:val="highlight"/>
    <w:basedOn w:val="DefaultParagraphFont"/>
    <w:uiPriority w:val="99"/>
    <w:rsid w:val="002C357C"/>
    <w:rPr>
      <w:rFonts w:cs="Times New Roman"/>
    </w:rPr>
  </w:style>
  <w:style w:type="paragraph" w:styleId="Revision">
    <w:name w:val="Revision"/>
    <w:hidden/>
    <w:uiPriority w:val="99"/>
    <w:semiHidden/>
    <w:rsid w:val="005C3C66"/>
    <w:rPr>
      <w:lang w:val="en-GB" w:eastAsia="en-US"/>
    </w:rPr>
  </w:style>
  <w:style w:type="paragraph" w:customStyle="1" w:styleId="styleright05">
    <w:name w:val="styleright05"/>
    <w:basedOn w:val="Normal"/>
    <w:uiPriority w:val="99"/>
    <w:rsid w:val="00355CCA"/>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35167">
      <w:marLeft w:val="0"/>
      <w:marRight w:val="0"/>
      <w:marTop w:val="0"/>
      <w:marBottom w:val="0"/>
      <w:divBdr>
        <w:top w:val="none" w:sz="0" w:space="0" w:color="auto"/>
        <w:left w:val="none" w:sz="0" w:space="0" w:color="auto"/>
        <w:bottom w:val="none" w:sz="0" w:space="0" w:color="auto"/>
        <w:right w:val="none" w:sz="0" w:space="0" w:color="auto"/>
      </w:divBdr>
      <w:divsChild>
        <w:div w:id="531235179">
          <w:marLeft w:val="0"/>
          <w:marRight w:val="0"/>
          <w:marTop w:val="0"/>
          <w:marBottom w:val="0"/>
          <w:divBdr>
            <w:top w:val="none" w:sz="0" w:space="0" w:color="auto"/>
            <w:left w:val="none" w:sz="0" w:space="0" w:color="auto"/>
            <w:bottom w:val="none" w:sz="0" w:space="0" w:color="auto"/>
            <w:right w:val="none" w:sz="0" w:space="0" w:color="auto"/>
          </w:divBdr>
        </w:div>
        <w:div w:id="531235180">
          <w:marLeft w:val="0"/>
          <w:marRight w:val="0"/>
          <w:marTop w:val="0"/>
          <w:marBottom w:val="0"/>
          <w:divBdr>
            <w:top w:val="none" w:sz="0" w:space="0" w:color="auto"/>
            <w:left w:val="none" w:sz="0" w:space="0" w:color="auto"/>
            <w:bottom w:val="none" w:sz="0" w:space="0" w:color="auto"/>
            <w:right w:val="none" w:sz="0" w:space="0" w:color="auto"/>
          </w:divBdr>
        </w:div>
      </w:divsChild>
    </w:div>
    <w:div w:id="531235168">
      <w:marLeft w:val="0"/>
      <w:marRight w:val="0"/>
      <w:marTop w:val="0"/>
      <w:marBottom w:val="0"/>
      <w:divBdr>
        <w:top w:val="none" w:sz="0" w:space="0" w:color="auto"/>
        <w:left w:val="none" w:sz="0" w:space="0" w:color="auto"/>
        <w:bottom w:val="none" w:sz="0" w:space="0" w:color="auto"/>
        <w:right w:val="none" w:sz="0" w:space="0" w:color="auto"/>
      </w:divBdr>
      <w:divsChild>
        <w:div w:id="531235171">
          <w:marLeft w:val="0"/>
          <w:marRight w:val="0"/>
          <w:marTop w:val="0"/>
          <w:marBottom w:val="0"/>
          <w:divBdr>
            <w:top w:val="none" w:sz="0" w:space="0" w:color="auto"/>
            <w:left w:val="none" w:sz="0" w:space="0" w:color="auto"/>
            <w:bottom w:val="none" w:sz="0" w:space="0" w:color="auto"/>
            <w:right w:val="none" w:sz="0" w:space="0" w:color="auto"/>
          </w:divBdr>
        </w:div>
      </w:divsChild>
    </w:div>
    <w:div w:id="531235170">
      <w:marLeft w:val="0"/>
      <w:marRight w:val="0"/>
      <w:marTop w:val="0"/>
      <w:marBottom w:val="0"/>
      <w:divBdr>
        <w:top w:val="none" w:sz="0" w:space="0" w:color="auto"/>
        <w:left w:val="none" w:sz="0" w:space="0" w:color="auto"/>
        <w:bottom w:val="none" w:sz="0" w:space="0" w:color="auto"/>
        <w:right w:val="none" w:sz="0" w:space="0" w:color="auto"/>
      </w:divBdr>
    </w:div>
    <w:div w:id="531235172">
      <w:marLeft w:val="0"/>
      <w:marRight w:val="0"/>
      <w:marTop w:val="0"/>
      <w:marBottom w:val="0"/>
      <w:divBdr>
        <w:top w:val="none" w:sz="0" w:space="0" w:color="auto"/>
        <w:left w:val="none" w:sz="0" w:space="0" w:color="auto"/>
        <w:bottom w:val="none" w:sz="0" w:space="0" w:color="auto"/>
        <w:right w:val="none" w:sz="0" w:space="0" w:color="auto"/>
      </w:divBdr>
    </w:div>
    <w:div w:id="531235173">
      <w:marLeft w:val="0"/>
      <w:marRight w:val="0"/>
      <w:marTop w:val="0"/>
      <w:marBottom w:val="0"/>
      <w:divBdr>
        <w:top w:val="none" w:sz="0" w:space="0" w:color="auto"/>
        <w:left w:val="none" w:sz="0" w:space="0" w:color="auto"/>
        <w:bottom w:val="none" w:sz="0" w:space="0" w:color="auto"/>
        <w:right w:val="none" w:sz="0" w:space="0" w:color="auto"/>
      </w:divBdr>
    </w:div>
    <w:div w:id="531235174">
      <w:marLeft w:val="0"/>
      <w:marRight w:val="0"/>
      <w:marTop w:val="0"/>
      <w:marBottom w:val="0"/>
      <w:divBdr>
        <w:top w:val="none" w:sz="0" w:space="0" w:color="auto"/>
        <w:left w:val="none" w:sz="0" w:space="0" w:color="auto"/>
        <w:bottom w:val="none" w:sz="0" w:space="0" w:color="auto"/>
        <w:right w:val="none" w:sz="0" w:space="0" w:color="auto"/>
      </w:divBdr>
      <w:divsChild>
        <w:div w:id="531235169">
          <w:marLeft w:val="0"/>
          <w:marRight w:val="0"/>
          <w:marTop w:val="0"/>
          <w:marBottom w:val="0"/>
          <w:divBdr>
            <w:top w:val="none" w:sz="0" w:space="0" w:color="auto"/>
            <w:left w:val="none" w:sz="0" w:space="0" w:color="auto"/>
            <w:bottom w:val="none" w:sz="0" w:space="0" w:color="auto"/>
            <w:right w:val="none" w:sz="0" w:space="0" w:color="auto"/>
          </w:divBdr>
        </w:div>
      </w:divsChild>
    </w:div>
    <w:div w:id="531235175">
      <w:marLeft w:val="0"/>
      <w:marRight w:val="0"/>
      <w:marTop w:val="0"/>
      <w:marBottom w:val="0"/>
      <w:divBdr>
        <w:top w:val="none" w:sz="0" w:space="0" w:color="auto"/>
        <w:left w:val="none" w:sz="0" w:space="0" w:color="auto"/>
        <w:bottom w:val="none" w:sz="0" w:space="0" w:color="auto"/>
        <w:right w:val="none" w:sz="0" w:space="0" w:color="auto"/>
      </w:divBdr>
    </w:div>
    <w:div w:id="531235176">
      <w:marLeft w:val="0"/>
      <w:marRight w:val="0"/>
      <w:marTop w:val="0"/>
      <w:marBottom w:val="0"/>
      <w:divBdr>
        <w:top w:val="none" w:sz="0" w:space="0" w:color="auto"/>
        <w:left w:val="none" w:sz="0" w:space="0" w:color="auto"/>
        <w:bottom w:val="none" w:sz="0" w:space="0" w:color="auto"/>
        <w:right w:val="none" w:sz="0" w:space="0" w:color="auto"/>
      </w:divBdr>
    </w:div>
    <w:div w:id="531235177">
      <w:marLeft w:val="0"/>
      <w:marRight w:val="0"/>
      <w:marTop w:val="0"/>
      <w:marBottom w:val="0"/>
      <w:divBdr>
        <w:top w:val="none" w:sz="0" w:space="0" w:color="auto"/>
        <w:left w:val="none" w:sz="0" w:space="0" w:color="auto"/>
        <w:bottom w:val="none" w:sz="0" w:space="0" w:color="auto"/>
        <w:right w:val="none" w:sz="0" w:space="0" w:color="auto"/>
      </w:divBdr>
    </w:div>
    <w:div w:id="531235178">
      <w:marLeft w:val="0"/>
      <w:marRight w:val="0"/>
      <w:marTop w:val="0"/>
      <w:marBottom w:val="0"/>
      <w:divBdr>
        <w:top w:val="none" w:sz="0" w:space="0" w:color="auto"/>
        <w:left w:val="none" w:sz="0" w:space="0" w:color="auto"/>
        <w:bottom w:val="none" w:sz="0" w:space="0" w:color="auto"/>
        <w:right w:val="none" w:sz="0" w:space="0" w:color="auto"/>
      </w:divBdr>
    </w:div>
    <w:div w:id="531235181">
      <w:marLeft w:val="0"/>
      <w:marRight w:val="0"/>
      <w:marTop w:val="0"/>
      <w:marBottom w:val="0"/>
      <w:divBdr>
        <w:top w:val="none" w:sz="0" w:space="0" w:color="auto"/>
        <w:left w:val="none" w:sz="0" w:space="0" w:color="auto"/>
        <w:bottom w:val="none" w:sz="0" w:space="0" w:color="auto"/>
        <w:right w:val="none" w:sz="0" w:space="0" w:color="auto"/>
      </w:divBdr>
    </w:div>
    <w:div w:id="531235183">
      <w:marLeft w:val="0"/>
      <w:marRight w:val="0"/>
      <w:marTop w:val="0"/>
      <w:marBottom w:val="0"/>
      <w:divBdr>
        <w:top w:val="none" w:sz="0" w:space="0" w:color="auto"/>
        <w:left w:val="none" w:sz="0" w:space="0" w:color="auto"/>
        <w:bottom w:val="none" w:sz="0" w:space="0" w:color="auto"/>
        <w:right w:val="none" w:sz="0" w:space="0" w:color="auto"/>
      </w:divBdr>
    </w:div>
    <w:div w:id="531235184">
      <w:marLeft w:val="0"/>
      <w:marRight w:val="0"/>
      <w:marTop w:val="0"/>
      <w:marBottom w:val="0"/>
      <w:divBdr>
        <w:top w:val="none" w:sz="0" w:space="0" w:color="auto"/>
        <w:left w:val="none" w:sz="0" w:space="0" w:color="auto"/>
        <w:bottom w:val="none" w:sz="0" w:space="0" w:color="auto"/>
        <w:right w:val="none" w:sz="0" w:space="0" w:color="auto"/>
      </w:divBdr>
    </w:div>
    <w:div w:id="531235185">
      <w:marLeft w:val="0"/>
      <w:marRight w:val="0"/>
      <w:marTop w:val="0"/>
      <w:marBottom w:val="0"/>
      <w:divBdr>
        <w:top w:val="none" w:sz="0" w:space="0" w:color="auto"/>
        <w:left w:val="none" w:sz="0" w:space="0" w:color="auto"/>
        <w:bottom w:val="none" w:sz="0" w:space="0" w:color="auto"/>
        <w:right w:val="none" w:sz="0" w:space="0" w:color="auto"/>
      </w:divBdr>
    </w:div>
    <w:div w:id="531235186">
      <w:marLeft w:val="0"/>
      <w:marRight w:val="0"/>
      <w:marTop w:val="0"/>
      <w:marBottom w:val="0"/>
      <w:divBdr>
        <w:top w:val="none" w:sz="0" w:space="0" w:color="auto"/>
        <w:left w:val="none" w:sz="0" w:space="0" w:color="auto"/>
        <w:bottom w:val="none" w:sz="0" w:space="0" w:color="auto"/>
        <w:right w:val="none" w:sz="0" w:space="0" w:color="auto"/>
      </w:divBdr>
      <w:divsChild>
        <w:div w:id="531235182">
          <w:marLeft w:val="0"/>
          <w:marRight w:val="0"/>
          <w:marTop w:val="0"/>
          <w:marBottom w:val="0"/>
          <w:divBdr>
            <w:top w:val="none" w:sz="0" w:space="0" w:color="auto"/>
            <w:left w:val="none" w:sz="0" w:space="0" w:color="auto"/>
            <w:bottom w:val="none" w:sz="0" w:space="0" w:color="auto"/>
            <w:right w:val="none" w:sz="0" w:space="0" w:color="auto"/>
          </w:divBdr>
        </w:div>
        <w:div w:id="53123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rris@sgu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E00A-9F85-4371-9B44-CEB8A8C4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24728</Words>
  <Characters>140950</Characters>
  <Application>Microsoft Office Word</Application>
  <DocSecurity>0</DocSecurity>
  <Lines>1174</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Prescription of antiepileptic medicines including valproate in pregnant women:</vt:lpstr>
      <vt:lpstr>Prescription of antiepileptic medicines including valproate in pregnant women:</vt:lpstr>
    </vt:vector>
  </TitlesOfParts>
  <Company/>
  <LinksUpToDate>false</LinksUpToDate>
  <CharactersWithSpaces>165348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antiepileptic medicines including valproate in pregnant women:</dc:title>
  <dc:creator>Caroline Hurault-Delarue</dc:creator>
  <cp:lastModifiedBy>Joan Morris</cp:lastModifiedBy>
  <cp:revision>4</cp:revision>
  <cp:lastPrinted>2018-10-29T17:42:00Z</cp:lastPrinted>
  <dcterms:created xsi:type="dcterms:W3CDTF">2019-08-07T10:44:00Z</dcterms:created>
  <dcterms:modified xsi:type="dcterms:W3CDTF">2019-08-20T15:09:00Z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id="DvQurqrT"/&gt;&lt;style id="http://www.zotero.org/styles/epilepsia" locale="fr-FR"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value="true"/&gt;&lt;/prefs&gt;&lt;/data&gt;</vt:lpwstr>
  </property>
</Properties>
</file>