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5A11A" w14:textId="77777777" w:rsidR="00C96ABD" w:rsidRPr="0055305E" w:rsidRDefault="00C96ABD" w:rsidP="00C96ABD">
      <w:pPr>
        <w:pStyle w:val="berschrift2"/>
        <w:rPr>
          <w:rFonts w:ascii="Cambria" w:hAnsi="Cambria"/>
        </w:rPr>
      </w:pPr>
      <w:r w:rsidRPr="0055305E">
        <w:rPr>
          <w:rFonts w:ascii="Cambria" w:hAnsi="Cambria"/>
        </w:rPr>
        <w:t>S1 – Flow chart</w:t>
      </w:r>
    </w:p>
    <w:p w14:paraId="2D525A55" w14:textId="77777777" w:rsidR="00C96ABD" w:rsidRPr="0055305E" w:rsidRDefault="00C96ABD" w:rsidP="00C96ABD">
      <w:pPr>
        <w:spacing w:after="120"/>
        <w:rPr>
          <w:lang w:val="en-US"/>
        </w:rPr>
      </w:pPr>
      <w:r w:rsidRPr="0055305E">
        <w:rPr>
          <w:noProof/>
          <w:lang w:val="de-CH" w:eastAsia="de-CH"/>
        </w:rPr>
        <w:drawing>
          <wp:inline distT="0" distB="0" distL="0" distR="0" wp14:anchorId="4319878A" wp14:editId="45719B10">
            <wp:extent cx="4510530" cy="5327374"/>
            <wp:effectExtent l="0" t="0" r="4445" b="6985"/>
            <wp:docPr id="1" name="Grafik 1" descr="G:\Paediatrie\Päd. Pharmakologie\Ziesenitz\Metamizol PK Studie\Manuscript 2018\flowchart5_V3_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ediatrie\Päd. Pharmakologie\Ziesenitz\Metamizol PK Studie\Manuscript 2018\flowchart5_V3_V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0640" cy="5327504"/>
                    </a:xfrm>
                    <a:prstGeom prst="rect">
                      <a:avLst/>
                    </a:prstGeom>
                    <a:noFill/>
                    <a:ln>
                      <a:noFill/>
                    </a:ln>
                  </pic:spPr>
                </pic:pic>
              </a:graphicData>
            </a:graphic>
          </wp:inline>
        </w:drawing>
      </w:r>
    </w:p>
    <w:p w14:paraId="4B603A55" w14:textId="77777777" w:rsidR="00C96ABD" w:rsidRPr="0055305E" w:rsidRDefault="00C96ABD" w:rsidP="00C96ABD">
      <w:pPr>
        <w:spacing w:after="120"/>
        <w:rPr>
          <w:lang w:val="en-US"/>
        </w:rPr>
      </w:pPr>
      <w:r w:rsidRPr="0055305E">
        <w:rPr>
          <w:b/>
          <w:lang w:val="en-US"/>
        </w:rPr>
        <w:t>Figure S1</w:t>
      </w:r>
      <w:r w:rsidRPr="0055305E">
        <w:rPr>
          <w:lang w:val="en-US"/>
        </w:rPr>
        <w:t xml:space="preserve">: Recruitment flow chart. </w:t>
      </w:r>
    </w:p>
    <w:p w14:paraId="45AAA559" w14:textId="77777777" w:rsidR="00C96ABD" w:rsidRPr="0055305E" w:rsidRDefault="00C96ABD" w:rsidP="00C96ABD">
      <w:pPr>
        <w:rPr>
          <w:lang w:val="en-US" w:eastAsia="de-DE"/>
        </w:rPr>
      </w:pPr>
    </w:p>
    <w:p w14:paraId="3E961256" w14:textId="77777777" w:rsidR="00C96ABD" w:rsidRPr="0055305E" w:rsidRDefault="00C96ABD" w:rsidP="00C96ABD">
      <w:pPr>
        <w:spacing w:line="276" w:lineRule="auto"/>
        <w:jc w:val="left"/>
        <w:rPr>
          <w:rFonts w:eastAsia="MS ????" w:cs="Helvetica"/>
          <w:b/>
          <w:bCs/>
          <w:sz w:val="24"/>
          <w:szCs w:val="24"/>
          <w:lang w:val="en-GB" w:eastAsia="de-DE"/>
        </w:rPr>
      </w:pPr>
      <w:r w:rsidRPr="0055305E">
        <w:rPr>
          <w:lang w:val="en-US"/>
        </w:rPr>
        <w:br w:type="page"/>
      </w:r>
    </w:p>
    <w:p w14:paraId="18032DB2" w14:textId="69EB63FF" w:rsidR="00A4695F" w:rsidRPr="00805048" w:rsidRDefault="00A4695F">
      <w:pPr>
        <w:spacing w:after="160" w:line="259" w:lineRule="auto"/>
        <w:jc w:val="left"/>
        <w:rPr>
          <w:b/>
          <w:lang w:val="en-US"/>
        </w:rPr>
      </w:pPr>
      <w:r w:rsidRPr="00805048">
        <w:rPr>
          <w:b/>
          <w:lang w:val="en-US"/>
        </w:rPr>
        <w:lastRenderedPageBreak/>
        <w:t>S2 Sample preparation and laboratory analysis</w:t>
      </w:r>
    </w:p>
    <w:p w14:paraId="0668254D" w14:textId="0316C5C5" w:rsidR="00A4695F" w:rsidRDefault="00A4695F" w:rsidP="00805048">
      <w:pPr>
        <w:spacing w:after="160"/>
        <w:rPr>
          <w:lang w:val="en-US"/>
        </w:rPr>
      </w:pPr>
      <w:r>
        <w:rPr>
          <w:lang w:val="en-US"/>
        </w:rPr>
        <w:t>Immediately after collection, samples were centrifuged at 1’500 g for 10 min at 4°C</w:t>
      </w:r>
      <w:r w:rsidR="00DE41C1">
        <w:rPr>
          <w:lang w:val="en-US"/>
        </w:rPr>
        <w:t xml:space="preserve"> and plasma was stored frozen at -80°C until analysis.</w:t>
      </w:r>
    </w:p>
    <w:p w14:paraId="363C7AF5" w14:textId="77777777" w:rsidR="00A4695F" w:rsidRPr="00A4695F" w:rsidRDefault="00A4695F" w:rsidP="00805048">
      <w:pPr>
        <w:spacing w:after="160"/>
        <w:rPr>
          <w:lang w:val="en-US"/>
        </w:rPr>
      </w:pPr>
      <w:r w:rsidRPr="00A4695F">
        <w:rPr>
          <w:lang w:val="en-US"/>
        </w:rPr>
        <w:t>The samples were analyzed as described before with some adaptions (Bachmann et al., 2019). In brief, MAA, AA, FAA, and AAA were analysed on a Shimadzu HPLC (Kyoto, Japan) which was connected to a triple quadrupole mass spectrometer (API 4000 Qtrap, AB Sciex, Ontario, Canada). All analytes were quantified by multiple reaction monitoring in the positive mode using electro spray ionization.</w:t>
      </w:r>
    </w:p>
    <w:p w14:paraId="4945DF65" w14:textId="6890A9BB" w:rsidR="00A4695F" w:rsidRPr="00A4695F" w:rsidRDefault="00A4695F" w:rsidP="00805048">
      <w:pPr>
        <w:spacing w:after="160"/>
        <w:rPr>
          <w:lang w:val="en-US"/>
        </w:rPr>
      </w:pPr>
      <w:r w:rsidRPr="00A4695F">
        <w:rPr>
          <w:lang w:val="en-US"/>
        </w:rPr>
        <w:t xml:space="preserve">Chromatographic separation was conducted on a luna pentafluorophenyl column (50 mm x 2 mm, Phenomenex, Torrance, CA, USA) at a flow rate of 0.7 mL/min and a temperature of 43°C. Mobile phase were water (A) and methanol (B) both supplemented with 0.1% formic acid. The following gradient program was applied: 0-0.5 min, 5% B; 0.5-1.8 min, 5-40% B; 1.9-2.2 min, 40-95% B; 2.2-3.0 min, 95% B; 3.0-3.5 min, 5% B. The injected sample (2 µL) was mixed with mobile phase A during the first 0.5 min of each run using a third pump (pump C). Therefore, a T-union was installed ahead of the analytical column. Thereby, the total flow of pump A and B was increased linearly from 0.1 to 0.7 mL/min, while the pump C flow was reduced simultaneously from 0.6 to 0 mL/min. Analyst software 1.6.2 </w:t>
      </w:r>
      <w:r>
        <w:rPr>
          <w:lang w:val="en-US"/>
        </w:rPr>
        <w:t xml:space="preserve">(AB Sciex) </w:t>
      </w:r>
      <w:r w:rsidRPr="00A4695F">
        <w:rPr>
          <w:lang w:val="en-US"/>
        </w:rPr>
        <w:t xml:space="preserve">was used to operate the instruments and to analyze the data. </w:t>
      </w:r>
    </w:p>
    <w:p w14:paraId="1EA99763" w14:textId="67AE5599" w:rsidR="00A4695F" w:rsidRPr="00805048" w:rsidRDefault="00A4695F" w:rsidP="00805048">
      <w:pPr>
        <w:spacing w:after="160"/>
        <w:rPr>
          <w:lang w:val="en-US"/>
        </w:rPr>
      </w:pPr>
      <w:r w:rsidRPr="00A4695F">
        <w:rPr>
          <w:lang w:val="en-US"/>
        </w:rPr>
        <w:t>Study samples were kept at -80°C. On the day of the analysis, samples were thawed at room temperature. 20 µL of plasma was precipitated with 400 µL methanol containing the internal standards (4-MAA-d3: 20 ng/mL, 4-AA-d3: 30 ng/mL, 4-AAA-d3: 60 ng/mL). Samples were vortex-mixed for 1 minute and centrifuged at 3220g for 30 minutes at 10 °C. The supernatant was injected into the LC-MS/MS system. Samples above the upper limit of quantification were diluted with blank plasma and reanalyzed. Overall, the inter-day accuracy was between 90.6% to 10</w:t>
      </w:r>
      <w:r>
        <w:rPr>
          <w:lang w:val="en-US"/>
        </w:rPr>
        <w:t>9.5%, while maximal inter-day im</w:t>
      </w:r>
      <w:r w:rsidRPr="00A4695F">
        <w:rPr>
          <w:lang w:val="en-US"/>
        </w:rPr>
        <w:t>precision was ≤11.6%</w:t>
      </w:r>
    </w:p>
    <w:p w14:paraId="3DE9CBD4" w14:textId="44B2BCD6" w:rsidR="00A4695F" w:rsidRDefault="00A4695F">
      <w:pPr>
        <w:spacing w:after="160" w:line="259" w:lineRule="auto"/>
        <w:jc w:val="left"/>
        <w:rPr>
          <w:rFonts w:eastAsia="MS ????" w:cs="Helvetica"/>
          <w:b/>
          <w:bCs/>
          <w:sz w:val="24"/>
          <w:szCs w:val="24"/>
          <w:lang w:val="en-GB" w:eastAsia="de-DE"/>
        </w:rPr>
      </w:pPr>
      <w:r w:rsidRPr="00805048">
        <w:rPr>
          <w:lang w:val="en-US"/>
        </w:rPr>
        <w:br w:type="page"/>
      </w:r>
    </w:p>
    <w:p w14:paraId="1E4A4044" w14:textId="055B58FE" w:rsidR="00C96ABD" w:rsidRPr="0055305E" w:rsidRDefault="00C96ABD" w:rsidP="00C96ABD">
      <w:pPr>
        <w:pStyle w:val="berschrift2"/>
        <w:rPr>
          <w:rFonts w:ascii="Cambria" w:hAnsi="Cambria"/>
        </w:rPr>
      </w:pPr>
      <w:r w:rsidRPr="0055305E">
        <w:rPr>
          <w:rFonts w:ascii="Cambria" w:hAnsi="Cambria"/>
        </w:rPr>
        <w:lastRenderedPageBreak/>
        <w:t>S</w:t>
      </w:r>
      <w:r w:rsidR="00A4695F">
        <w:rPr>
          <w:rFonts w:ascii="Cambria" w:hAnsi="Cambria"/>
        </w:rPr>
        <w:t>3</w:t>
      </w:r>
      <w:r w:rsidRPr="0055305E">
        <w:rPr>
          <w:rFonts w:ascii="Cambria" w:hAnsi="Cambria"/>
        </w:rPr>
        <w:t xml:space="preserve"> – Safety Laboratory</w:t>
      </w:r>
    </w:p>
    <w:p w14:paraId="21902E12" w14:textId="5233E6CF" w:rsidR="00C96ABD" w:rsidRPr="0055305E" w:rsidRDefault="00C96ABD" w:rsidP="00C96ABD">
      <w:pPr>
        <w:spacing w:line="276" w:lineRule="auto"/>
        <w:jc w:val="left"/>
        <w:rPr>
          <w:lang w:val="en-US"/>
        </w:rPr>
      </w:pPr>
      <w:r w:rsidRPr="0055305E">
        <w:rPr>
          <w:lang w:val="en-US"/>
        </w:rPr>
        <w:t>Table S</w:t>
      </w:r>
      <w:r w:rsidR="00A4695F">
        <w:rPr>
          <w:lang w:val="en-US"/>
        </w:rPr>
        <w:t>3</w:t>
      </w:r>
      <w:r w:rsidRPr="0055305E">
        <w:rPr>
          <w:lang w:val="en-US"/>
        </w:rPr>
        <w:t xml:space="preserve">: Safety laboratory of the patients who had </w:t>
      </w:r>
      <w:r w:rsidR="00EC2BBA">
        <w:rPr>
          <w:lang w:val="en-US"/>
        </w:rPr>
        <w:t>≥</w:t>
      </w:r>
      <w:r w:rsidRPr="0055305E">
        <w:rPr>
          <w:lang w:val="en-US"/>
        </w:rPr>
        <w:t>5 samples at baseline (T0) and 6 hours after metamizole administration (T6) (compared by Mann Whitney test).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7"/>
        <w:gridCol w:w="899"/>
        <w:gridCol w:w="431"/>
        <w:gridCol w:w="938"/>
        <w:gridCol w:w="1551"/>
        <w:gridCol w:w="431"/>
        <w:gridCol w:w="938"/>
        <w:gridCol w:w="1551"/>
        <w:gridCol w:w="834"/>
      </w:tblGrid>
      <w:tr w:rsidR="00C96ABD" w:rsidRPr="0055305E" w14:paraId="06E3B085" w14:textId="77777777" w:rsidTr="00C942AC">
        <w:trPr>
          <w:trHeight w:val="255"/>
        </w:trPr>
        <w:tc>
          <w:tcPr>
            <w:tcW w:w="889" w:type="pct"/>
            <w:shd w:val="clear" w:color="auto" w:fill="auto"/>
            <w:noWrap/>
            <w:vAlign w:val="center"/>
          </w:tcPr>
          <w:p w14:paraId="33443950" w14:textId="77777777" w:rsidR="00C96ABD" w:rsidRPr="0055305E" w:rsidRDefault="00C96ABD" w:rsidP="00C942AC">
            <w:pPr>
              <w:spacing w:after="0"/>
              <w:jc w:val="left"/>
              <w:rPr>
                <w:rFonts w:cs="Arial"/>
                <w:color w:val="000000"/>
                <w:lang w:val="en-US" w:eastAsia="de-CH"/>
              </w:rPr>
            </w:pPr>
            <w:r w:rsidRPr="0055305E">
              <w:rPr>
                <w:rFonts w:cs="Arial"/>
                <w:b/>
                <w:lang w:val="en-US"/>
              </w:rPr>
              <w:t>Parameter</w:t>
            </w:r>
          </w:p>
        </w:tc>
        <w:tc>
          <w:tcPr>
            <w:tcW w:w="488" w:type="pct"/>
            <w:vAlign w:val="center"/>
          </w:tcPr>
          <w:p w14:paraId="5B57848F" w14:textId="77777777" w:rsidR="00C96ABD" w:rsidRPr="0055305E" w:rsidRDefault="00C96ABD" w:rsidP="00C942AC">
            <w:pPr>
              <w:spacing w:after="0"/>
              <w:jc w:val="center"/>
              <w:rPr>
                <w:rFonts w:cs="Arial"/>
                <w:b/>
                <w:lang w:val="en-US"/>
              </w:rPr>
            </w:pPr>
            <w:r w:rsidRPr="0055305E">
              <w:rPr>
                <w:rFonts w:cs="Arial"/>
                <w:b/>
                <w:lang w:val="en-US"/>
              </w:rPr>
              <w:t>unit</w:t>
            </w:r>
          </w:p>
        </w:tc>
        <w:tc>
          <w:tcPr>
            <w:tcW w:w="234" w:type="pct"/>
            <w:vAlign w:val="center"/>
          </w:tcPr>
          <w:p w14:paraId="47853B43" w14:textId="77777777" w:rsidR="00C96ABD" w:rsidRPr="0055305E" w:rsidRDefault="00C96ABD" w:rsidP="00C942AC">
            <w:pPr>
              <w:spacing w:after="0"/>
              <w:jc w:val="center"/>
              <w:rPr>
                <w:rFonts w:cs="Arial"/>
                <w:lang w:val="en-US"/>
              </w:rPr>
            </w:pPr>
            <w:r w:rsidRPr="0055305E">
              <w:rPr>
                <w:rFonts w:cs="Arial"/>
                <w:b/>
                <w:lang w:val="en-US"/>
              </w:rPr>
              <w:t>n</w:t>
            </w:r>
          </w:p>
        </w:tc>
        <w:tc>
          <w:tcPr>
            <w:tcW w:w="509" w:type="pct"/>
            <w:shd w:val="clear" w:color="auto" w:fill="auto"/>
            <w:noWrap/>
            <w:vAlign w:val="center"/>
          </w:tcPr>
          <w:p w14:paraId="5D3F66F5" w14:textId="77777777" w:rsidR="00C96ABD" w:rsidRPr="0055305E" w:rsidRDefault="00C96ABD" w:rsidP="00C942AC">
            <w:pPr>
              <w:spacing w:after="0"/>
              <w:jc w:val="center"/>
              <w:rPr>
                <w:rFonts w:cs="Arial"/>
                <w:bCs/>
                <w:color w:val="000000"/>
                <w:lang w:val="en-US" w:eastAsia="de-CH"/>
              </w:rPr>
            </w:pPr>
            <w:r w:rsidRPr="0055305E">
              <w:rPr>
                <w:rFonts w:cs="Arial"/>
                <w:b/>
                <w:lang w:val="en-US"/>
              </w:rPr>
              <w:t>Median</w:t>
            </w:r>
          </w:p>
        </w:tc>
        <w:tc>
          <w:tcPr>
            <w:tcW w:w="842" w:type="pct"/>
            <w:shd w:val="clear" w:color="auto" w:fill="auto"/>
            <w:noWrap/>
            <w:vAlign w:val="center"/>
          </w:tcPr>
          <w:p w14:paraId="645DBB3D" w14:textId="77777777" w:rsidR="00C96ABD" w:rsidRPr="0055305E" w:rsidRDefault="00C96ABD" w:rsidP="00C942AC">
            <w:pPr>
              <w:spacing w:after="0"/>
              <w:jc w:val="center"/>
              <w:rPr>
                <w:rFonts w:cs="Arial"/>
                <w:bCs/>
                <w:color w:val="000000"/>
                <w:lang w:val="en-US" w:eastAsia="de-CH"/>
              </w:rPr>
            </w:pPr>
            <w:r w:rsidRPr="0055305E">
              <w:rPr>
                <w:rFonts w:cs="Arial"/>
                <w:b/>
                <w:lang w:val="en-US"/>
              </w:rPr>
              <w:t>[IQR]</w:t>
            </w:r>
          </w:p>
        </w:tc>
        <w:tc>
          <w:tcPr>
            <w:tcW w:w="234" w:type="pct"/>
            <w:vAlign w:val="center"/>
          </w:tcPr>
          <w:p w14:paraId="7AE5051F" w14:textId="77777777" w:rsidR="00C96ABD" w:rsidRPr="0055305E" w:rsidRDefault="00C96ABD" w:rsidP="00C942AC">
            <w:pPr>
              <w:spacing w:after="0"/>
              <w:jc w:val="center"/>
              <w:rPr>
                <w:rFonts w:cs="Arial"/>
                <w:lang w:val="en-US"/>
              </w:rPr>
            </w:pPr>
            <w:r w:rsidRPr="0055305E">
              <w:rPr>
                <w:rFonts w:cs="Arial"/>
                <w:b/>
                <w:lang w:val="en-US"/>
              </w:rPr>
              <w:t>n</w:t>
            </w:r>
          </w:p>
        </w:tc>
        <w:tc>
          <w:tcPr>
            <w:tcW w:w="509" w:type="pct"/>
            <w:vAlign w:val="center"/>
          </w:tcPr>
          <w:p w14:paraId="3F028107" w14:textId="77777777" w:rsidR="00C96ABD" w:rsidRPr="0055305E" w:rsidRDefault="00C96ABD" w:rsidP="00C942AC">
            <w:pPr>
              <w:spacing w:after="0"/>
              <w:jc w:val="center"/>
              <w:rPr>
                <w:rFonts w:cs="Arial"/>
                <w:bCs/>
                <w:color w:val="000000"/>
                <w:lang w:val="en-US" w:eastAsia="de-CH"/>
              </w:rPr>
            </w:pPr>
            <w:r w:rsidRPr="0055305E">
              <w:rPr>
                <w:rFonts w:cs="Arial"/>
                <w:b/>
                <w:lang w:val="en-US"/>
              </w:rPr>
              <w:t>Median</w:t>
            </w:r>
          </w:p>
        </w:tc>
        <w:tc>
          <w:tcPr>
            <w:tcW w:w="842" w:type="pct"/>
            <w:vAlign w:val="center"/>
          </w:tcPr>
          <w:p w14:paraId="5E1CD2AA" w14:textId="77777777" w:rsidR="00C96ABD" w:rsidRPr="0055305E" w:rsidRDefault="00C96ABD" w:rsidP="00C942AC">
            <w:pPr>
              <w:spacing w:after="0"/>
              <w:jc w:val="center"/>
              <w:rPr>
                <w:rFonts w:cs="Arial"/>
                <w:bCs/>
                <w:color w:val="000000"/>
                <w:lang w:val="en-US" w:eastAsia="de-CH"/>
              </w:rPr>
            </w:pPr>
            <w:r w:rsidRPr="0055305E">
              <w:rPr>
                <w:rFonts w:cs="Arial"/>
                <w:b/>
                <w:lang w:val="en-US"/>
              </w:rPr>
              <w:t>[IQR]</w:t>
            </w:r>
          </w:p>
        </w:tc>
        <w:tc>
          <w:tcPr>
            <w:tcW w:w="453" w:type="pct"/>
            <w:vAlign w:val="center"/>
          </w:tcPr>
          <w:p w14:paraId="12CABDE5" w14:textId="77777777" w:rsidR="00C96ABD" w:rsidRPr="0055305E" w:rsidRDefault="00C96ABD" w:rsidP="00C942AC">
            <w:pPr>
              <w:spacing w:after="0"/>
              <w:jc w:val="center"/>
              <w:rPr>
                <w:rFonts w:cs="Arial"/>
                <w:bCs/>
                <w:color w:val="000000"/>
                <w:lang w:val="en-US" w:eastAsia="de-CH"/>
              </w:rPr>
            </w:pPr>
            <w:r w:rsidRPr="0055305E">
              <w:rPr>
                <w:rFonts w:cs="Arial"/>
                <w:b/>
                <w:lang w:val="en-US"/>
              </w:rPr>
              <w:t>p</w:t>
            </w:r>
          </w:p>
        </w:tc>
      </w:tr>
      <w:tr w:rsidR="00C96ABD" w:rsidRPr="0055305E" w14:paraId="42720FDB" w14:textId="77777777" w:rsidTr="00C942AC">
        <w:trPr>
          <w:trHeight w:val="255"/>
        </w:trPr>
        <w:tc>
          <w:tcPr>
            <w:tcW w:w="889" w:type="pct"/>
            <w:shd w:val="clear" w:color="auto" w:fill="auto"/>
            <w:noWrap/>
            <w:vAlign w:val="center"/>
          </w:tcPr>
          <w:p w14:paraId="67F785E0" w14:textId="77777777" w:rsidR="00C96ABD" w:rsidRPr="0055305E" w:rsidRDefault="00C96ABD" w:rsidP="00C942AC">
            <w:pPr>
              <w:spacing w:after="0"/>
              <w:jc w:val="left"/>
              <w:rPr>
                <w:rFonts w:cs="Arial"/>
                <w:color w:val="000000"/>
                <w:lang w:val="en-US" w:eastAsia="de-CH"/>
              </w:rPr>
            </w:pPr>
            <w:r w:rsidRPr="0055305E">
              <w:rPr>
                <w:rFonts w:cs="Arial"/>
                <w:b/>
                <w:lang w:val="en-US"/>
              </w:rPr>
              <w:t>Hematology</w:t>
            </w:r>
          </w:p>
        </w:tc>
        <w:tc>
          <w:tcPr>
            <w:tcW w:w="488" w:type="pct"/>
            <w:vAlign w:val="center"/>
          </w:tcPr>
          <w:p w14:paraId="1DD7DEFC" w14:textId="77777777" w:rsidR="00C96ABD" w:rsidRPr="0055305E" w:rsidRDefault="00C96ABD" w:rsidP="00C942AC">
            <w:pPr>
              <w:spacing w:after="0"/>
              <w:jc w:val="center"/>
              <w:rPr>
                <w:rFonts w:cs="Arial"/>
                <w:lang w:val="en-US"/>
              </w:rPr>
            </w:pPr>
          </w:p>
        </w:tc>
        <w:tc>
          <w:tcPr>
            <w:tcW w:w="234" w:type="pct"/>
            <w:vAlign w:val="center"/>
          </w:tcPr>
          <w:p w14:paraId="7D921FA4" w14:textId="77777777" w:rsidR="00C96ABD" w:rsidRPr="0055305E" w:rsidRDefault="00C96ABD" w:rsidP="00C942AC">
            <w:pPr>
              <w:spacing w:after="0"/>
              <w:jc w:val="center"/>
              <w:rPr>
                <w:rFonts w:cs="Arial"/>
                <w:lang w:val="en-US"/>
              </w:rPr>
            </w:pPr>
            <w:r w:rsidRPr="0055305E">
              <w:rPr>
                <w:rFonts w:cs="Arial"/>
                <w:b/>
                <w:lang w:val="en-US"/>
              </w:rPr>
              <w:t>T0</w:t>
            </w:r>
          </w:p>
        </w:tc>
        <w:tc>
          <w:tcPr>
            <w:tcW w:w="509" w:type="pct"/>
            <w:shd w:val="clear" w:color="auto" w:fill="auto"/>
            <w:noWrap/>
            <w:vAlign w:val="center"/>
          </w:tcPr>
          <w:p w14:paraId="69D4DC53" w14:textId="77777777" w:rsidR="00C96ABD" w:rsidRPr="0055305E" w:rsidRDefault="00C96ABD" w:rsidP="00C942AC">
            <w:pPr>
              <w:spacing w:after="0"/>
              <w:jc w:val="center"/>
              <w:rPr>
                <w:rFonts w:cs="Arial"/>
                <w:bCs/>
                <w:color w:val="000000"/>
                <w:lang w:val="en-US" w:eastAsia="de-CH"/>
              </w:rPr>
            </w:pPr>
          </w:p>
        </w:tc>
        <w:tc>
          <w:tcPr>
            <w:tcW w:w="842" w:type="pct"/>
            <w:shd w:val="clear" w:color="auto" w:fill="auto"/>
            <w:noWrap/>
            <w:vAlign w:val="center"/>
          </w:tcPr>
          <w:p w14:paraId="26153ED6" w14:textId="77777777" w:rsidR="00C96ABD" w:rsidRPr="0055305E" w:rsidRDefault="00C96ABD" w:rsidP="00C942AC">
            <w:pPr>
              <w:spacing w:after="0"/>
              <w:jc w:val="center"/>
              <w:rPr>
                <w:rFonts w:cs="Arial"/>
                <w:bCs/>
                <w:color w:val="000000"/>
                <w:lang w:val="en-US" w:eastAsia="de-CH"/>
              </w:rPr>
            </w:pPr>
          </w:p>
        </w:tc>
        <w:tc>
          <w:tcPr>
            <w:tcW w:w="234" w:type="pct"/>
            <w:vAlign w:val="center"/>
          </w:tcPr>
          <w:p w14:paraId="181853B0" w14:textId="77777777" w:rsidR="00C96ABD" w:rsidRPr="0055305E" w:rsidRDefault="00C96ABD" w:rsidP="00C942AC">
            <w:pPr>
              <w:spacing w:after="0"/>
              <w:jc w:val="center"/>
              <w:rPr>
                <w:rFonts w:cs="Arial"/>
                <w:lang w:val="en-US"/>
              </w:rPr>
            </w:pPr>
            <w:r w:rsidRPr="0055305E">
              <w:rPr>
                <w:rFonts w:cs="Arial"/>
                <w:b/>
                <w:lang w:val="en-US"/>
              </w:rPr>
              <w:t>T6</w:t>
            </w:r>
          </w:p>
        </w:tc>
        <w:tc>
          <w:tcPr>
            <w:tcW w:w="509" w:type="pct"/>
            <w:vAlign w:val="center"/>
          </w:tcPr>
          <w:p w14:paraId="784F4666" w14:textId="77777777" w:rsidR="00C96ABD" w:rsidRPr="0055305E" w:rsidRDefault="00C96ABD" w:rsidP="00C942AC">
            <w:pPr>
              <w:spacing w:after="0"/>
              <w:jc w:val="center"/>
              <w:rPr>
                <w:rFonts w:cs="Arial"/>
                <w:bCs/>
                <w:color w:val="000000"/>
                <w:lang w:val="en-US" w:eastAsia="de-CH"/>
              </w:rPr>
            </w:pPr>
          </w:p>
        </w:tc>
        <w:tc>
          <w:tcPr>
            <w:tcW w:w="842" w:type="pct"/>
            <w:vAlign w:val="center"/>
          </w:tcPr>
          <w:p w14:paraId="144CB17E" w14:textId="77777777" w:rsidR="00C96ABD" w:rsidRPr="0055305E" w:rsidRDefault="00C96ABD" w:rsidP="00C942AC">
            <w:pPr>
              <w:spacing w:after="0"/>
              <w:jc w:val="center"/>
              <w:rPr>
                <w:rFonts w:cs="Arial"/>
                <w:bCs/>
                <w:color w:val="000000"/>
                <w:lang w:val="en-US" w:eastAsia="de-CH"/>
              </w:rPr>
            </w:pPr>
          </w:p>
        </w:tc>
        <w:tc>
          <w:tcPr>
            <w:tcW w:w="453" w:type="pct"/>
            <w:vAlign w:val="center"/>
          </w:tcPr>
          <w:p w14:paraId="5D41DAC1" w14:textId="77777777" w:rsidR="00C96ABD" w:rsidRPr="0055305E" w:rsidRDefault="00C96ABD" w:rsidP="00C942AC">
            <w:pPr>
              <w:spacing w:after="0"/>
              <w:jc w:val="center"/>
              <w:rPr>
                <w:rFonts w:cs="Arial"/>
                <w:bCs/>
                <w:color w:val="000000"/>
                <w:lang w:val="en-US" w:eastAsia="de-CH"/>
              </w:rPr>
            </w:pPr>
          </w:p>
        </w:tc>
      </w:tr>
      <w:tr w:rsidR="00C96ABD" w:rsidRPr="0055305E" w14:paraId="499A82F3" w14:textId="77777777" w:rsidTr="00C942AC">
        <w:trPr>
          <w:trHeight w:val="255"/>
        </w:trPr>
        <w:tc>
          <w:tcPr>
            <w:tcW w:w="889" w:type="pct"/>
            <w:shd w:val="clear" w:color="auto" w:fill="auto"/>
            <w:noWrap/>
            <w:hideMark/>
          </w:tcPr>
          <w:p w14:paraId="2CD7140F" w14:textId="77777777" w:rsidR="00C96ABD" w:rsidRPr="0055305E" w:rsidRDefault="00C96ABD" w:rsidP="00C942AC">
            <w:pPr>
              <w:spacing w:after="0"/>
              <w:jc w:val="left"/>
              <w:rPr>
                <w:rFonts w:cs="Arial"/>
                <w:color w:val="000000"/>
                <w:lang w:val="en-US" w:eastAsia="de-CH"/>
              </w:rPr>
            </w:pPr>
            <w:r w:rsidRPr="0055305E">
              <w:rPr>
                <w:rFonts w:cs="Arial"/>
                <w:lang w:val="en-US"/>
              </w:rPr>
              <w:t>Erythrocytes</w:t>
            </w:r>
          </w:p>
        </w:tc>
        <w:tc>
          <w:tcPr>
            <w:tcW w:w="488" w:type="pct"/>
          </w:tcPr>
          <w:p w14:paraId="52295293" w14:textId="77777777" w:rsidR="00C96ABD" w:rsidRPr="0055305E" w:rsidRDefault="00C96ABD" w:rsidP="00C942AC">
            <w:pPr>
              <w:spacing w:after="0"/>
              <w:jc w:val="center"/>
              <w:rPr>
                <w:rFonts w:cs="Arial"/>
                <w:lang w:val="en-US"/>
              </w:rPr>
            </w:pPr>
            <w:r w:rsidRPr="0055305E">
              <w:rPr>
                <w:rFonts w:cs="Arial"/>
                <w:lang w:val="en-US"/>
              </w:rPr>
              <w:t>10E</w:t>
            </w:r>
            <w:r w:rsidRPr="0055305E">
              <w:rPr>
                <w:rFonts w:cs="Arial"/>
                <w:vertAlign w:val="superscript"/>
                <w:lang w:val="en-US"/>
              </w:rPr>
              <w:t>12</w:t>
            </w:r>
            <w:r w:rsidRPr="0055305E">
              <w:rPr>
                <w:rFonts w:cs="Arial"/>
                <w:lang w:val="en-US"/>
              </w:rPr>
              <w:t>/l</w:t>
            </w:r>
          </w:p>
        </w:tc>
        <w:tc>
          <w:tcPr>
            <w:tcW w:w="234" w:type="pct"/>
            <w:vAlign w:val="center"/>
          </w:tcPr>
          <w:p w14:paraId="1651A40D"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550F479C"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4.34</w:t>
            </w:r>
          </w:p>
        </w:tc>
        <w:tc>
          <w:tcPr>
            <w:tcW w:w="842" w:type="pct"/>
            <w:shd w:val="clear" w:color="auto" w:fill="auto"/>
            <w:noWrap/>
            <w:vAlign w:val="center"/>
            <w:hideMark/>
          </w:tcPr>
          <w:p w14:paraId="463B110D"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(4.2; 4.6)</w:t>
            </w:r>
          </w:p>
        </w:tc>
        <w:tc>
          <w:tcPr>
            <w:tcW w:w="234" w:type="pct"/>
            <w:vAlign w:val="center"/>
          </w:tcPr>
          <w:p w14:paraId="6309F058"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0F564AE5"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4.08</w:t>
            </w:r>
          </w:p>
        </w:tc>
        <w:tc>
          <w:tcPr>
            <w:tcW w:w="842" w:type="pct"/>
            <w:vAlign w:val="center"/>
          </w:tcPr>
          <w:p w14:paraId="7C83EE62"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 4.4)</w:t>
            </w:r>
          </w:p>
        </w:tc>
        <w:tc>
          <w:tcPr>
            <w:tcW w:w="453" w:type="pct"/>
          </w:tcPr>
          <w:p w14:paraId="6C5D1278" w14:textId="77777777" w:rsidR="00C96ABD" w:rsidRPr="0055305E" w:rsidRDefault="00C96ABD" w:rsidP="00C942AC">
            <w:pPr>
              <w:spacing w:after="0"/>
              <w:jc w:val="center"/>
              <w:rPr>
                <w:rFonts w:cs="Arial"/>
                <w:bCs/>
                <w:color w:val="000000"/>
                <w:lang w:val="en-US" w:eastAsia="de-CH"/>
              </w:rPr>
            </w:pPr>
            <w:r w:rsidRPr="0055305E">
              <w:t>0.033</w:t>
            </w:r>
          </w:p>
        </w:tc>
      </w:tr>
      <w:tr w:rsidR="00C96ABD" w:rsidRPr="0055305E" w14:paraId="3FAAAF96" w14:textId="77777777" w:rsidTr="00C942AC">
        <w:trPr>
          <w:trHeight w:val="255"/>
        </w:trPr>
        <w:tc>
          <w:tcPr>
            <w:tcW w:w="889" w:type="pct"/>
            <w:shd w:val="clear" w:color="auto" w:fill="auto"/>
            <w:noWrap/>
            <w:hideMark/>
          </w:tcPr>
          <w:p w14:paraId="479E79C5" w14:textId="77777777" w:rsidR="00C96ABD" w:rsidRPr="0055305E" w:rsidRDefault="00C96ABD" w:rsidP="00C942AC">
            <w:pPr>
              <w:spacing w:after="0"/>
              <w:jc w:val="left"/>
              <w:rPr>
                <w:rFonts w:cs="Arial"/>
                <w:color w:val="000000"/>
                <w:lang w:val="en-US" w:eastAsia="de-CH"/>
              </w:rPr>
            </w:pPr>
            <w:r w:rsidRPr="0055305E">
              <w:rPr>
                <w:rFonts w:cs="Arial"/>
                <w:lang w:val="en-US"/>
              </w:rPr>
              <w:t>Hemoglobin</w:t>
            </w:r>
          </w:p>
        </w:tc>
        <w:tc>
          <w:tcPr>
            <w:tcW w:w="488" w:type="pct"/>
          </w:tcPr>
          <w:p w14:paraId="25B25E13" w14:textId="77777777" w:rsidR="00C96ABD" w:rsidRPr="0055305E" w:rsidRDefault="00C96ABD" w:rsidP="00C942AC">
            <w:pPr>
              <w:spacing w:after="0"/>
              <w:jc w:val="center"/>
              <w:rPr>
                <w:rFonts w:cs="Arial"/>
                <w:lang w:val="en-US"/>
              </w:rPr>
            </w:pPr>
            <w:r w:rsidRPr="0055305E">
              <w:rPr>
                <w:rFonts w:cs="Arial"/>
                <w:lang w:val="en-US"/>
              </w:rPr>
              <w:t>g/l</w:t>
            </w:r>
          </w:p>
        </w:tc>
        <w:tc>
          <w:tcPr>
            <w:tcW w:w="234" w:type="pct"/>
            <w:vAlign w:val="center"/>
          </w:tcPr>
          <w:p w14:paraId="46CFBAC5"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2A3CF66D"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117</w:t>
            </w:r>
          </w:p>
        </w:tc>
        <w:tc>
          <w:tcPr>
            <w:tcW w:w="842" w:type="pct"/>
            <w:shd w:val="clear" w:color="auto" w:fill="auto"/>
            <w:noWrap/>
            <w:vAlign w:val="center"/>
            <w:hideMark/>
          </w:tcPr>
          <w:p w14:paraId="7FC68BC9"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(115.5; 121.5)</w:t>
            </w:r>
          </w:p>
        </w:tc>
        <w:tc>
          <w:tcPr>
            <w:tcW w:w="234" w:type="pct"/>
            <w:vAlign w:val="center"/>
          </w:tcPr>
          <w:p w14:paraId="7EED9633"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7BA83037"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110</w:t>
            </w:r>
          </w:p>
        </w:tc>
        <w:tc>
          <w:tcPr>
            <w:tcW w:w="842" w:type="pct"/>
            <w:vAlign w:val="center"/>
          </w:tcPr>
          <w:p w14:paraId="7E4E9A6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(108.2; 115)</w:t>
            </w:r>
          </w:p>
        </w:tc>
        <w:tc>
          <w:tcPr>
            <w:tcW w:w="453" w:type="pct"/>
          </w:tcPr>
          <w:p w14:paraId="288634F7" w14:textId="77777777" w:rsidR="00C96ABD" w:rsidRPr="0055305E" w:rsidRDefault="00C96ABD" w:rsidP="00C942AC">
            <w:pPr>
              <w:spacing w:after="0"/>
              <w:jc w:val="center"/>
              <w:rPr>
                <w:rFonts w:cs="Arial"/>
                <w:bCs/>
                <w:color w:val="000000"/>
                <w:lang w:val="en-US" w:eastAsia="de-CH"/>
              </w:rPr>
            </w:pPr>
            <w:r w:rsidRPr="0055305E">
              <w:t>0.022</w:t>
            </w:r>
          </w:p>
        </w:tc>
      </w:tr>
      <w:tr w:rsidR="00C96ABD" w:rsidRPr="0055305E" w14:paraId="1F432473" w14:textId="77777777" w:rsidTr="00C942AC">
        <w:trPr>
          <w:trHeight w:val="255"/>
        </w:trPr>
        <w:tc>
          <w:tcPr>
            <w:tcW w:w="889" w:type="pct"/>
            <w:shd w:val="clear" w:color="auto" w:fill="auto"/>
            <w:noWrap/>
            <w:hideMark/>
          </w:tcPr>
          <w:p w14:paraId="121EEEC1" w14:textId="77777777" w:rsidR="00C96ABD" w:rsidRPr="0055305E" w:rsidRDefault="00C96ABD" w:rsidP="00C942AC">
            <w:pPr>
              <w:spacing w:after="0"/>
              <w:jc w:val="left"/>
              <w:rPr>
                <w:rFonts w:cs="Arial"/>
                <w:color w:val="000000"/>
                <w:lang w:val="en-US" w:eastAsia="de-CH"/>
              </w:rPr>
            </w:pPr>
            <w:r w:rsidRPr="0055305E">
              <w:rPr>
                <w:rFonts w:cs="Arial"/>
                <w:lang w:val="en-US"/>
              </w:rPr>
              <w:t>Thrombocytes</w:t>
            </w:r>
          </w:p>
        </w:tc>
        <w:tc>
          <w:tcPr>
            <w:tcW w:w="488" w:type="pct"/>
          </w:tcPr>
          <w:p w14:paraId="47BA0CBF" w14:textId="77777777" w:rsidR="00C96ABD" w:rsidRPr="0055305E" w:rsidRDefault="00C96ABD" w:rsidP="00C942AC">
            <w:pPr>
              <w:spacing w:after="0"/>
              <w:jc w:val="center"/>
              <w:rPr>
                <w:rFonts w:cs="Arial"/>
                <w:lang w:val="en-US"/>
              </w:rPr>
            </w:pPr>
            <w:r w:rsidRPr="0055305E">
              <w:rPr>
                <w:rFonts w:cs="Arial"/>
                <w:lang w:val="en-US"/>
              </w:rPr>
              <w:t>10E</w:t>
            </w:r>
            <w:r w:rsidRPr="0055305E">
              <w:rPr>
                <w:rFonts w:cs="Arial"/>
                <w:vertAlign w:val="superscript"/>
                <w:lang w:val="en-US"/>
              </w:rPr>
              <w:t>9</w:t>
            </w:r>
            <w:r w:rsidRPr="0055305E">
              <w:rPr>
                <w:rFonts w:cs="Arial"/>
                <w:lang w:val="en-US"/>
              </w:rPr>
              <w:t>/l</w:t>
            </w:r>
          </w:p>
        </w:tc>
        <w:tc>
          <w:tcPr>
            <w:tcW w:w="234" w:type="pct"/>
            <w:vAlign w:val="center"/>
          </w:tcPr>
          <w:p w14:paraId="4787E2CA"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43142C5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353</w:t>
            </w:r>
          </w:p>
        </w:tc>
        <w:tc>
          <w:tcPr>
            <w:tcW w:w="842" w:type="pct"/>
            <w:shd w:val="clear" w:color="auto" w:fill="auto"/>
            <w:noWrap/>
            <w:vAlign w:val="center"/>
            <w:hideMark/>
          </w:tcPr>
          <w:p w14:paraId="77F5A79F"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(317; 382)</w:t>
            </w:r>
          </w:p>
        </w:tc>
        <w:tc>
          <w:tcPr>
            <w:tcW w:w="234" w:type="pct"/>
            <w:vAlign w:val="center"/>
          </w:tcPr>
          <w:p w14:paraId="262C6A70"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10FBFEEA"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299</w:t>
            </w:r>
          </w:p>
        </w:tc>
        <w:tc>
          <w:tcPr>
            <w:tcW w:w="842" w:type="pct"/>
            <w:vAlign w:val="center"/>
          </w:tcPr>
          <w:p w14:paraId="2E6F21A3"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(247.8; 361.8)</w:t>
            </w:r>
          </w:p>
        </w:tc>
        <w:tc>
          <w:tcPr>
            <w:tcW w:w="453" w:type="pct"/>
          </w:tcPr>
          <w:p w14:paraId="786A40C1" w14:textId="77777777" w:rsidR="00C96ABD" w:rsidRPr="0055305E" w:rsidRDefault="00C96ABD" w:rsidP="00C942AC">
            <w:pPr>
              <w:spacing w:after="0"/>
              <w:jc w:val="center"/>
              <w:rPr>
                <w:rFonts w:cs="Arial"/>
                <w:bCs/>
                <w:color w:val="000000"/>
                <w:lang w:val="en-US" w:eastAsia="de-CH"/>
              </w:rPr>
            </w:pPr>
            <w:r w:rsidRPr="0055305E">
              <w:t>0.078</w:t>
            </w:r>
          </w:p>
        </w:tc>
      </w:tr>
      <w:tr w:rsidR="00C96ABD" w:rsidRPr="0055305E" w14:paraId="6167419A" w14:textId="77777777" w:rsidTr="00C942AC">
        <w:trPr>
          <w:trHeight w:val="255"/>
        </w:trPr>
        <w:tc>
          <w:tcPr>
            <w:tcW w:w="889" w:type="pct"/>
            <w:shd w:val="clear" w:color="auto" w:fill="auto"/>
            <w:noWrap/>
            <w:hideMark/>
          </w:tcPr>
          <w:p w14:paraId="6DDA1ED3" w14:textId="77777777" w:rsidR="00C96ABD" w:rsidRPr="0055305E" w:rsidRDefault="00C96ABD" w:rsidP="00C942AC">
            <w:pPr>
              <w:spacing w:after="0"/>
              <w:jc w:val="left"/>
              <w:rPr>
                <w:rFonts w:cs="Arial"/>
                <w:color w:val="000000"/>
                <w:lang w:val="en-US" w:eastAsia="de-CH"/>
              </w:rPr>
            </w:pPr>
            <w:r w:rsidRPr="0055305E">
              <w:rPr>
                <w:rFonts w:cs="Arial"/>
                <w:lang w:val="en-US"/>
              </w:rPr>
              <w:t>Leucocytes</w:t>
            </w:r>
          </w:p>
        </w:tc>
        <w:tc>
          <w:tcPr>
            <w:tcW w:w="488" w:type="pct"/>
          </w:tcPr>
          <w:p w14:paraId="63DD76B1" w14:textId="77777777" w:rsidR="00C96ABD" w:rsidRPr="0055305E" w:rsidRDefault="00C96ABD" w:rsidP="00C942AC">
            <w:pPr>
              <w:spacing w:after="0"/>
              <w:jc w:val="center"/>
              <w:rPr>
                <w:rFonts w:cs="Arial"/>
                <w:lang w:val="en-US"/>
              </w:rPr>
            </w:pPr>
            <w:r w:rsidRPr="0055305E">
              <w:rPr>
                <w:rFonts w:cs="Arial"/>
                <w:lang w:val="en-US"/>
              </w:rPr>
              <w:t>10E</w:t>
            </w:r>
            <w:r w:rsidRPr="0055305E">
              <w:rPr>
                <w:rFonts w:cs="Arial"/>
                <w:vertAlign w:val="superscript"/>
                <w:lang w:val="en-US"/>
              </w:rPr>
              <w:t>9</w:t>
            </w:r>
            <w:r w:rsidRPr="0055305E">
              <w:rPr>
                <w:rFonts w:cs="Arial"/>
                <w:lang w:val="en-US"/>
              </w:rPr>
              <w:t>/l</w:t>
            </w:r>
          </w:p>
        </w:tc>
        <w:tc>
          <w:tcPr>
            <w:tcW w:w="234" w:type="pct"/>
            <w:vAlign w:val="center"/>
          </w:tcPr>
          <w:p w14:paraId="421F4FD3"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46461E3B"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8.08</w:t>
            </w:r>
          </w:p>
        </w:tc>
        <w:tc>
          <w:tcPr>
            <w:tcW w:w="842" w:type="pct"/>
            <w:shd w:val="clear" w:color="auto" w:fill="auto"/>
            <w:noWrap/>
            <w:vAlign w:val="center"/>
            <w:hideMark/>
          </w:tcPr>
          <w:p w14:paraId="0B028957"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(7.6; 10.2)</w:t>
            </w:r>
          </w:p>
        </w:tc>
        <w:tc>
          <w:tcPr>
            <w:tcW w:w="234" w:type="pct"/>
            <w:vAlign w:val="center"/>
          </w:tcPr>
          <w:p w14:paraId="7B5B8227"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009D112D"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14.04</w:t>
            </w:r>
          </w:p>
        </w:tc>
        <w:tc>
          <w:tcPr>
            <w:tcW w:w="842" w:type="pct"/>
            <w:vAlign w:val="center"/>
          </w:tcPr>
          <w:p w14:paraId="24A89A54"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(10.9; 15.4)</w:t>
            </w:r>
          </w:p>
        </w:tc>
        <w:tc>
          <w:tcPr>
            <w:tcW w:w="453" w:type="pct"/>
          </w:tcPr>
          <w:p w14:paraId="73355E15" w14:textId="77777777" w:rsidR="00C96ABD" w:rsidRPr="0055305E" w:rsidRDefault="00C96ABD" w:rsidP="00C942AC">
            <w:pPr>
              <w:spacing w:after="0"/>
              <w:jc w:val="center"/>
              <w:rPr>
                <w:rFonts w:cs="Arial"/>
                <w:bCs/>
                <w:color w:val="000000"/>
                <w:lang w:val="en-US" w:eastAsia="de-CH"/>
              </w:rPr>
            </w:pPr>
            <w:r w:rsidRPr="0055305E">
              <w:t>&lt;0.001</w:t>
            </w:r>
          </w:p>
        </w:tc>
      </w:tr>
      <w:tr w:rsidR="00C96ABD" w:rsidRPr="0055305E" w14:paraId="0B519DCD" w14:textId="77777777" w:rsidTr="00C942AC">
        <w:trPr>
          <w:trHeight w:val="255"/>
        </w:trPr>
        <w:tc>
          <w:tcPr>
            <w:tcW w:w="889" w:type="pct"/>
            <w:shd w:val="clear" w:color="auto" w:fill="auto"/>
            <w:noWrap/>
            <w:hideMark/>
          </w:tcPr>
          <w:p w14:paraId="514C9DD1" w14:textId="77777777" w:rsidR="00C96ABD" w:rsidRPr="0055305E" w:rsidRDefault="00C96ABD" w:rsidP="00C942AC">
            <w:pPr>
              <w:spacing w:after="0"/>
              <w:jc w:val="left"/>
              <w:rPr>
                <w:rFonts w:cs="Arial"/>
                <w:color w:val="000000"/>
                <w:lang w:val="en-US" w:eastAsia="de-CH"/>
              </w:rPr>
            </w:pPr>
            <w:r w:rsidRPr="0055305E">
              <w:rPr>
                <w:rFonts w:cs="Arial"/>
                <w:lang w:val="en-US"/>
              </w:rPr>
              <w:t>Neutrophils</w:t>
            </w:r>
          </w:p>
        </w:tc>
        <w:tc>
          <w:tcPr>
            <w:tcW w:w="488" w:type="pct"/>
          </w:tcPr>
          <w:p w14:paraId="034F31D9" w14:textId="77777777" w:rsidR="00C96ABD" w:rsidRPr="0055305E" w:rsidRDefault="00C96ABD" w:rsidP="00C942AC">
            <w:pPr>
              <w:spacing w:after="0"/>
              <w:jc w:val="center"/>
              <w:rPr>
                <w:rFonts w:cs="Arial"/>
                <w:lang w:val="en-US"/>
              </w:rPr>
            </w:pPr>
            <w:r w:rsidRPr="0055305E">
              <w:rPr>
                <w:rFonts w:cs="Arial"/>
                <w:lang w:val="en-US"/>
              </w:rPr>
              <w:t>10E</w:t>
            </w:r>
            <w:r w:rsidRPr="0055305E">
              <w:rPr>
                <w:rFonts w:cs="Arial"/>
                <w:vertAlign w:val="superscript"/>
                <w:lang w:val="en-US"/>
              </w:rPr>
              <w:t>9</w:t>
            </w:r>
            <w:r w:rsidRPr="0055305E">
              <w:rPr>
                <w:rFonts w:cs="Arial"/>
                <w:lang w:val="en-US"/>
              </w:rPr>
              <w:t>/l</w:t>
            </w:r>
          </w:p>
        </w:tc>
        <w:tc>
          <w:tcPr>
            <w:tcW w:w="234" w:type="pct"/>
            <w:vAlign w:val="center"/>
          </w:tcPr>
          <w:p w14:paraId="1037F9EC"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4E7B8D08"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3.06</w:t>
            </w:r>
          </w:p>
        </w:tc>
        <w:tc>
          <w:tcPr>
            <w:tcW w:w="842" w:type="pct"/>
            <w:shd w:val="clear" w:color="auto" w:fill="auto"/>
            <w:noWrap/>
            <w:vAlign w:val="center"/>
            <w:hideMark/>
          </w:tcPr>
          <w:p w14:paraId="74DE4285"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(2.6; 4)</w:t>
            </w:r>
          </w:p>
        </w:tc>
        <w:tc>
          <w:tcPr>
            <w:tcW w:w="234" w:type="pct"/>
            <w:vAlign w:val="center"/>
          </w:tcPr>
          <w:p w14:paraId="0DAAE79F"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7084899D"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10.72</w:t>
            </w:r>
          </w:p>
        </w:tc>
        <w:tc>
          <w:tcPr>
            <w:tcW w:w="842" w:type="pct"/>
            <w:vAlign w:val="center"/>
          </w:tcPr>
          <w:p w14:paraId="27A0377C"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(7.1; 11.8)</w:t>
            </w:r>
          </w:p>
        </w:tc>
        <w:tc>
          <w:tcPr>
            <w:tcW w:w="453" w:type="pct"/>
          </w:tcPr>
          <w:p w14:paraId="487D55CE" w14:textId="77777777" w:rsidR="00C96ABD" w:rsidRPr="0055305E" w:rsidRDefault="00C96ABD" w:rsidP="00C942AC">
            <w:pPr>
              <w:spacing w:after="0"/>
              <w:jc w:val="center"/>
              <w:rPr>
                <w:rFonts w:cs="Arial"/>
                <w:bCs/>
                <w:color w:val="000000"/>
                <w:lang w:val="en-US" w:eastAsia="de-CH"/>
              </w:rPr>
            </w:pPr>
            <w:r w:rsidRPr="0055305E">
              <w:t>&lt;0.001</w:t>
            </w:r>
          </w:p>
        </w:tc>
      </w:tr>
      <w:tr w:rsidR="00C96ABD" w:rsidRPr="0055305E" w14:paraId="4BBAA922" w14:textId="77777777" w:rsidTr="00C942AC">
        <w:trPr>
          <w:trHeight w:val="255"/>
        </w:trPr>
        <w:tc>
          <w:tcPr>
            <w:tcW w:w="889" w:type="pct"/>
            <w:shd w:val="clear" w:color="auto" w:fill="auto"/>
            <w:noWrap/>
            <w:vAlign w:val="center"/>
          </w:tcPr>
          <w:p w14:paraId="551F6C68" w14:textId="77777777" w:rsidR="00C96ABD" w:rsidRPr="0055305E" w:rsidRDefault="00C96ABD" w:rsidP="00C942AC">
            <w:pPr>
              <w:spacing w:after="0"/>
              <w:jc w:val="left"/>
              <w:rPr>
                <w:rFonts w:cs="Arial"/>
                <w:color w:val="000000"/>
                <w:lang w:val="en-US" w:eastAsia="de-CH"/>
              </w:rPr>
            </w:pPr>
            <w:r w:rsidRPr="0055305E">
              <w:rPr>
                <w:rFonts w:cs="Arial"/>
                <w:b/>
                <w:lang w:val="en-US"/>
              </w:rPr>
              <w:t>Biochemistry</w:t>
            </w:r>
          </w:p>
        </w:tc>
        <w:tc>
          <w:tcPr>
            <w:tcW w:w="488" w:type="pct"/>
            <w:vAlign w:val="center"/>
          </w:tcPr>
          <w:p w14:paraId="318EAEB2" w14:textId="77777777" w:rsidR="00C96ABD" w:rsidRPr="0055305E" w:rsidRDefault="00C96ABD" w:rsidP="00C942AC">
            <w:pPr>
              <w:spacing w:after="0"/>
              <w:jc w:val="center"/>
              <w:rPr>
                <w:rFonts w:cs="Arial"/>
                <w:lang w:val="en-US"/>
              </w:rPr>
            </w:pPr>
          </w:p>
        </w:tc>
        <w:tc>
          <w:tcPr>
            <w:tcW w:w="234" w:type="pct"/>
            <w:vAlign w:val="center"/>
          </w:tcPr>
          <w:p w14:paraId="49D09F22" w14:textId="77777777" w:rsidR="00C96ABD" w:rsidRPr="0055305E" w:rsidRDefault="00C96ABD" w:rsidP="00C942AC">
            <w:pPr>
              <w:spacing w:after="0"/>
              <w:jc w:val="center"/>
              <w:rPr>
                <w:rFonts w:cs="Arial"/>
                <w:lang w:val="en-US"/>
              </w:rPr>
            </w:pPr>
            <w:r w:rsidRPr="0055305E">
              <w:rPr>
                <w:rFonts w:cs="Arial"/>
                <w:b/>
                <w:lang w:val="en-US"/>
              </w:rPr>
              <w:t>T0</w:t>
            </w:r>
          </w:p>
        </w:tc>
        <w:tc>
          <w:tcPr>
            <w:tcW w:w="509" w:type="pct"/>
            <w:shd w:val="clear" w:color="auto" w:fill="auto"/>
            <w:noWrap/>
            <w:vAlign w:val="center"/>
          </w:tcPr>
          <w:p w14:paraId="6375A53B" w14:textId="77777777" w:rsidR="00C96ABD" w:rsidRPr="0055305E" w:rsidRDefault="00C96ABD" w:rsidP="00C942AC">
            <w:pPr>
              <w:spacing w:after="0"/>
              <w:jc w:val="center"/>
              <w:rPr>
                <w:rFonts w:cs="Arial"/>
                <w:bCs/>
                <w:color w:val="000000"/>
                <w:lang w:val="en-US" w:eastAsia="de-CH"/>
              </w:rPr>
            </w:pPr>
          </w:p>
        </w:tc>
        <w:tc>
          <w:tcPr>
            <w:tcW w:w="842" w:type="pct"/>
            <w:shd w:val="clear" w:color="auto" w:fill="auto"/>
            <w:noWrap/>
            <w:vAlign w:val="center"/>
          </w:tcPr>
          <w:p w14:paraId="3350A605" w14:textId="77777777" w:rsidR="00C96ABD" w:rsidRPr="0055305E" w:rsidRDefault="00C96ABD" w:rsidP="00C942AC">
            <w:pPr>
              <w:spacing w:after="0"/>
              <w:jc w:val="center"/>
              <w:rPr>
                <w:rFonts w:cs="Arial"/>
                <w:bCs/>
                <w:color w:val="000000"/>
                <w:lang w:val="en-US" w:eastAsia="de-CH"/>
              </w:rPr>
            </w:pPr>
          </w:p>
        </w:tc>
        <w:tc>
          <w:tcPr>
            <w:tcW w:w="234" w:type="pct"/>
            <w:vAlign w:val="center"/>
          </w:tcPr>
          <w:p w14:paraId="37FDE2A3" w14:textId="77777777" w:rsidR="00C96ABD" w:rsidRPr="0055305E" w:rsidRDefault="00C96ABD" w:rsidP="00C942AC">
            <w:pPr>
              <w:spacing w:after="0"/>
              <w:jc w:val="center"/>
              <w:rPr>
                <w:rFonts w:cs="Arial"/>
                <w:lang w:val="en-US"/>
              </w:rPr>
            </w:pPr>
            <w:r w:rsidRPr="0055305E">
              <w:rPr>
                <w:rFonts w:cs="Arial"/>
                <w:b/>
                <w:lang w:val="en-US"/>
              </w:rPr>
              <w:t>T6</w:t>
            </w:r>
          </w:p>
        </w:tc>
        <w:tc>
          <w:tcPr>
            <w:tcW w:w="509" w:type="pct"/>
            <w:vAlign w:val="center"/>
          </w:tcPr>
          <w:p w14:paraId="21EC525F" w14:textId="77777777" w:rsidR="00C96ABD" w:rsidRPr="0055305E" w:rsidRDefault="00C96ABD" w:rsidP="00C942AC">
            <w:pPr>
              <w:spacing w:after="0"/>
              <w:jc w:val="center"/>
              <w:rPr>
                <w:rFonts w:cs="Arial"/>
                <w:bCs/>
                <w:color w:val="000000"/>
                <w:lang w:val="en-US" w:eastAsia="de-CH"/>
              </w:rPr>
            </w:pPr>
          </w:p>
        </w:tc>
        <w:tc>
          <w:tcPr>
            <w:tcW w:w="842" w:type="pct"/>
            <w:vAlign w:val="center"/>
          </w:tcPr>
          <w:p w14:paraId="0220C11C" w14:textId="77777777" w:rsidR="00C96ABD" w:rsidRPr="0055305E" w:rsidRDefault="00C96ABD" w:rsidP="00C942AC">
            <w:pPr>
              <w:spacing w:after="0"/>
              <w:jc w:val="center"/>
              <w:rPr>
                <w:rFonts w:cs="Arial"/>
                <w:bCs/>
                <w:color w:val="000000"/>
                <w:lang w:val="en-US" w:eastAsia="de-CH"/>
              </w:rPr>
            </w:pPr>
          </w:p>
        </w:tc>
        <w:tc>
          <w:tcPr>
            <w:tcW w:w="453" w:type="pct"/>
            <w:vAlign w:val="center"/>
          </w:tcPr>
          <w:p w14:paraId="3D9D044C" w14:textId="77777777" w:rsidR="00C96ABD" w:rsidRPr="0055305E" w:rsidRDefault="00C96ABD" w:rsidP="00C942AC">
            <w:pPr>
              <w:spacing w:after="0"/>
              <w:jc w:val="center"/>
              <w:rPr>
                <w:rFonts w:cs="Arial"/>
                <w:bCs/>
                <w:color w:val="000000"/>
                <w:lang w:val="en-US" w:eastAsia="de-CH"/>
              </w:rPr>
            </w:pPr>
          </w:p>
        </w:tc>
      </w:tr>
      <w:tr w:rsidR="00C96ABD" w:rsidRPr="0055305E" w14:paraId="388D2A7A" w14:textId="77777777" w:rsidTr="00C942AC">
        <w:trPr>
          <w:trHeight w:val="255"/>
        </w:trPr>
        <w:tc>
          <w:tcPr>
            <w:tcW w:w="889" w:type="pct"/>
            <w:shd w:val="clear" w:color="auto" w:fill="auto"/>
            <w:noWrap/>
            <w:hideMark/>
          </w:tcPr>
          <w:p w14:paraId="52F75FCE" w14:textId="77777777" w:rsidR="00C96ABD" w:rsidRPr="0055305E" w:rsidRDefault="00C96ABD" w:rsidP="00C942AC">
            <w:pPr>
              <w:spacing w:after="0"/>
              <w:jc w:val="left"/>
              <w:rPr>
                <w:rFonts w:cs="Arial"/>
                <w:color w:val="000000"/>
                <w:lang w:val="en-US" w:eastAsia="de-CH"/>
              </w:rPr>
            </w:pPr>
            <w:r w:rsidRPr="0055305E">
              <w:rPr>
                <w:rFonts w:cs="Arial"/>
                <w:lang w:val="en-US"/>
              </w:rPr>
              <w:t>Urea</w:t>
            </w:r>
          </w:p>
        </w:tc>
        <w:tc>
          <w:tcPr>
            <w:tcW w:w="488" w:type="pct"/>
          </w:tcPr>
          <w:p w14:paraId="77235599" w14:textId="77777777" w:rsidR="00C96ABD" w:rsidRPr="0055305E" w:rsidRDefault="00C96ABD" w:rsidP="00C942AC">
            <w:pPr>
              <w:spacing w:after="0"/>
              <w:jc w:val="center"/>
              <w:rPr>
                <w:rFonts w:cs="Arial"/>
                <w:lang w:val="en-US"/>
              </w:rPr>
            </w:pPr>
            <w:r w:rsidRPr="0055305E">
              <w:rPr>
                <w:rFonts w:cs="Arial"/>
                <w:lang w:val="en-US"/>
              </w:rPr>
              <w:t>mmol/l</w:t>
            </w:r>
          </w:p>
        </w:tc>
        <w:tc>
          <w:tcPr>
            <w:tcW w:w="234" w:type="pct"/>
            <w:vAlign w:val="center"/>
          </w:tcPr>
          <w:p w14:paraId="2197C0C6"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55CB3EE0"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4.5</w:t>
            </w:r>
          </w:p>
        </w:tc>
        <w:tc>
          <w:tcPr>
            <w:tcW w:w="842" w:type="pct"/>
            <w:shd w:val="clear" w:color="auto" w:fill="auto"/>
            <w:noWrap/>
            <w:vAlign w:val="center"/>
            <w:hideMark/>
          </w:tcPr>
          <w:p w14:paraId="7137F422"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(3.4; 5.3)</w:t>
            </w:r>
          </w:p>
        </w:tc>
        <w:tc>
          <w:tcPr>
            <w:tcW w:w="234" w:type="pct"/>
            <w:vAlign w:val="center"/>
          </w:tcPr>
          <w:p w14:paraId="0A9DB79D"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5F99ADDE"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3.9</w:t>
            </w:r>
          </w:p>
        </w:tc>
        <w:tc>
          <w:tcPr>
            <w:tcW w:w="842" w:type="pct"/>
            <w:vAlign w:val="center"/>
          </w:tcPr>
          <w:p w14:paraId="25B00174"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(3.2; 4.4)</w:t>
            </w:r>
          </w:p>
        </w:tc>
        <w:tc>
          <w:tcPr>
            <w:tcW w:w="453" w:type="pct"/>
          </w:tcPr>
          <w:p w14:paraId="6C3496E1" w14:textId="77777777" w:rsidR="00C96ABD" w:rsidRPr="0055305E" w:rsidRDefault="00C96ABD" w:rsidP="00C942AC">
            <w:pPr>
              <w:spacing w:after="0"/>
              <w:jc w:val="center"/>
              <w:rPr>
                <w:rFonts w:cs="Arial"/>
                <w:bCs/>
                <w:color w:val="000000"/>
                <w:lang w:val="en-US" w:eastAsia="de-CH"/>
              </w:rPr>
            </w:pPr>
            <w:r w:rsidRPr="0055305E">
              <w:t>0.125</w:t>
            </w:r>
          </w:p>
        </w:tc>
      </w:tr>
      <w:tr w:rsidR="00C96ABD" w:rsidRPr="0055305E" w14:paraId="493A3847" w14:textId="77777777" w:rsidTr="00C942AC">
        <w:trPr>
          <w:trHeight w:val="255"/>
        </w:trPr>
        <w:tc>
          <w:tcPr>
            <w:tcW w:w="889" w:type="pct"/>
            <w:shd w:val="clear" w:color="auto" w:fill="auto"/>
            <w:noWrap/>
            <w:hideMark/>
          </w:tcPr>
          <w:p w14:paraId="1AA36429" w14:textId="77777777" w:rsidR="00C96ABD" w:rsidRPr="0055305E" w:rsidRDefault="00C96ABD" w:rsidP="00C942AC">
            <w:pPr>
              <w:spacing w:after="0"/>
              <w:jc w:val="left"/>
              <w:rPr>
                <w:rFonts w:cs="Arial"/>
                <w:color w:val="000000"/>
                <w:lang w:val="en-US" w:eastAsia="de-CH"/>
              </w:rPr>
            </w:pPr>
            <w:r w:rsidRPr="0055305E">
              <w:rPr>
                <w:rFonts w:cs="Arial"/>
                <w:lang w:val="en-US"/>
              </w:rPr>
              <w:t>Creatinine</w:t>
            </w:r>
          </w:p>
        </w:tc>
        <w:tc>
          <w:tcPr>
            <w:tcW w:w="488" w:type="pct"/>
          </w:tcPr>
          <w:p w14:paraId="09464A92" w14:textId="77777777" w:rsidR="00C96ABD" w:rsidRPr="0055305E" w:rsidRDefault="00C96ABD" w:rsidP="00C942AC">
            <w:pPr>
              <w:spacing w:after="0"/>
              <w:jc w:val="center"/>
              <w:rPr>
                <w:rFonts w:cs="Arial"/>
                <w:lang w:val="en-US"/>
              </w:rPr>
            </w:pPr>
            <w:r w:rsidRPr="0055305E">
              <w:rPr>
                <w:rFonts w:cs="Arial"/>
                <w:lang w:val="en-US"/>
              </w:rPr>
              <w:t>µmol/l</w:t>
            </w:r>
          </w:p>
        </w:tc>
        <w:tc>
          <w:tcPr>
            <w:tcW w:w="234" w:type="pct"/>
            <w:vAlign w:val="center"/>
          </w:tcPr>
          <w:p w14:paraId="68A77610"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7B69386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31</w:t>
            </w:r>
          </w:p>
        </w:tc>
        <w:tc>
          <w:tcPr>
            <w:tcW w:w="842" w:type="pct"/>
            <w:shd w:val="clear" w:color="auto" w:fill="auto"/>
            <w:noWrap/>
            <w:vAlign w:val="center"/>
            <w:hideMark/>
          </w:tcPr>
          <w:p w14:paraId="0EA5932C"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(23; 34)</w:t>
            </w:r>
          </w:p>
        </w:tc>
        <w:tc>
          <w:tcPr>
            <w:tcW w:w="234" w:type="pct"/>
            <w:vAlign w:val="center"/>
          </w:tcPr>
          <w:p w14:paraId="010BCB0A"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3C79001F"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27.5</w:t>
            </w:r>
          </w:p>
        </w:tc>
        <w:tc>
          <w:tcPr>
            <w:tcW w:w="842" w:type="pct"/>
            <w:vAlign w:val="center"/>
          </w:tcPr>
          <w:p w14:paraId="090675AA"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(25; 31)</w:t>
            </w:r>
          </w:p>
        </w:tc>
        <w:tc>
          <w:tcPr>
            <w:tcW w:w="453" w:type="pct"/>
          </w:tcPr>
          <w:p w14:paraId="57DCB5E0" w14:textId="77777777" w:rsidR="00C96ABD" w:rsidRPr="0055305E" w:rsidRDefault="00C96ABD" w:rsidP="00C942AC">
            <w:pPr>
              <w:spacing w:after="0"/>
              <w:jc w:val="center"/>
              <w:rPr>
                <w:rFonts w:cs="Arial"/>
                <w:bCs/>
                <w:color w:val="000000"/>
                <w:lang w:val="en-US" w:eastAsia="de-CH"/>
              </w:rPr>
            </w:pPr>
            <w:r w:rsidRPr="0055305E">
              <w:t>0.401</w:t>
            </w:r>
          </w:p>
        </w:tc>
      </w:tr>
      <w:tr w:rsidR="00C96ABD" w:rsidRPr="0055305E" w14:paraId="5D08FC9B" w14:textId="77777777" w:rsidTr="00C942AC">
        <w:trPr>
          <w:trHeight w:val="255"/>
        </w:trPr>
        <w:tc>
          <w:tcPr>
            <w:tcW w:w="889" w:type="pct"/>
            <w:shd w:val="clear" w:color="auto" w:fill="auto"/>
            <w:noWrap/>
            <w:hideMark/>
          </w:tcPr>
          <w:p w14:paraId="598DD6D4" w14:textId="77777777" w:rsidR="00C96ABD" w:rsidRPr="0055305E" w:rsidRDefault="00C96ABD" w:rsidP="00C942AC">
            <w:pPr>
              <w:spacing w:after="0"/>
              <w:jc w:val="left"/>
              <w:rPr>
                <w:rFonts w:cs="Arial"/>
                <w:color w:val="000000"/>
                <w:lang w:val="en-US" w:eastAsia="de-CH"/>
              </w:rPr>
            </w:pPr>
            <w:r w:rsidRPr="0055305E">
              <w:rPr>
                <w:rFonts w:cs="Arial"/>
                <w:lang w:val="en-US"/>
              </w:rPr>
              <w:t>eGFR Schwartz</w:t>
            </w:r>
          </w:p>
        </w:tc>
        <w:tc>
          <w:tcPr>
            <w:tcW w:w="488" w:type="pct"/>
          </w:tcPr>
          <w:p w14:paraId="31777775" w14:textId="77777777" w:rsidR="00C96ABD" w:rsidRPr="0055305E" w:rsidRDefault="00C96ABD" w:rsidP="00C942AC">
            <w:pPr>
              <w:spacing w:after="0"/>
              <w:jc w:val="center"/>
              <w:rPr>
                <w:rFonts w:cs="Arial"/>
                <w:lang w:val="en-US"/>
              </w:rPr>
            </w:pPr>
            <w:r w:rsidRPr="0055305E">
              <w:rPr>
                <w:rFonts w:cs="Arial"/>
                <w:lang w:val="en-US"/>
              </w:rPr>
              <w:t>ml/min</w:t>
            </w:r>
          </w:p>
        </w:tc>
        <w:tc>
          <w:tcPr>
            <w:tcW w:w="234" w:type="pct"/>
            <w:vAlign w:val="center"/>
          </w:tcPr>
          <w:p w14:paraId="4F2E8152" w14:textId="77777777" w:rsidR="00C96ABD" w:rsidRPr="0055305E" w:rsidRDefault="00C96ABD" w:rsidP="00C942AC">
            <w:pPr>
              <w:spacing w:after="0"/>
              <w:jc w:val="center"/>
              <w:rPr>
                <w:rFonts w:cs="Arial"/>
                <w:bCs/>
                <w:color w:val="000000"/>
                <w:lang w:val="en-US" w:eastAsia="de-CH"/>
              </w:rPr>
            </w:pPr>
            <w:r w:rsidRPr="0055305E">
              <w:rPr>
                <w:rFonts w:cs="Arial"/>
                <w:lang w:val="en-US"/>
              </w:rPr>
              <w:t>9</w:t>
            </w:r>
          </w:p>
        </w:tc>
        <w:tc>
          <w:tcPr>
            <w:tcW w:w="509" w:type="pct"/>
            <w:shd w:val="clear" w:color="auto" w:fill="auto"/>
            <w:noWrap/>
            <w:vAlign w:val="center"/>
            <w:hideMark/>
          </w:tcPr>
          <w:p w14:paraId="4623FB02"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44.62</w:t>
            </w:r>
          </w:p>
        </w:tc>
        <w:tc>
          <w:tcPr>
            <w:tcW w:w="842" w:type="pct"/>
            <w:shd w:val="clear" w:color="auto" w:fill="auto"/>
            <w:noWrap/>
            <w:vAlign w:val="center"/>
            <w:hideMark/>
          </w:tcPr>
          <w:p w14:paraId="6D615BDB"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(36.6; 63.9)</w:t>
            </w:r>
          </w:p>
        </w:tc>
        <w:tc>
          <w:tcPr>
            <w:tcW w:w="234" w:type="pct"/>
            <w:vAlign w:val="center"/>
          </w:tcPr>
          <w:p w14:paraId="4B0DE27C" w14:textId="77777777" w:rsidR="00C96ABD" w:rsidRPr="0055305E" w:rsidRDefault="00C96ABD" w:rsidP="00C942AC">
            <w:pPr>
              <w:spacing w:after="0"/>
              <w:jc w:val="center"/>
              <w:rPr>
                <w:rFonts w:cs="Arial"/>
                <w:bCs/>
                <w:color w:val="000000"/>
                <w:lang w:val="en-US" w:eastAsia="de-CH"/>
              </w:rPr>
            </w:pPr>
            <w:r w:rsidRPr="0055305E">
              <w:rPr>
                <w:rFonts w:cs="Arial"/>
                <w:lang w:val="en-US"/>
              </w:rPr>
              <w:t>9</w:t>
            </w:r>
          </w:p>
        </w:tc>
        <w:tc>
          <w:tcPr>
            <w:tcW w:w="509" w:type="pct"/>
            <w:vAlign w:val="center"/>
          </w:tcPr>
          <w:p w14:paraId="6EB687AF"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62.33</w:t>
            </w:r>
          </w:p>
        </w:tc>
        <w:tc>
          <w:tcPr>
            <w:tcW w:w="842" w:type="pct"/>
            <w:vAlign w:val="center"/>
          </w:tcPr>
          <w:p w14:paraId="6B804034"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(46; 70.1)</w:t>
            </w:r>
          </w:p>
        </w:tc>
        <w:tc>
          <w:tcPr>
            <w:tcW w:w="453" w:type="pct"/>
          </w:tcPr>
          <w:p w14:paraId="322C0001" w14:textId="77777777" w:rsidR="00C96ABD" w:rsidRPr="0055305E" w:rsidRDefault="00C96ABD" w:rsidP="00C942AC">
            <w:pPr>
              <w:spacing w:after="0"/>
              <w:jc w:val="center"/>
              <w:rPr>
                <w:rFonts w:cs="Arial"/>
                <w:bCs/>
                <w:color w:val="000000"/>
                <w:lang w:val="en-US" w:eastAsia="de-CH"/>
              </w:rPr>
            </w:pPr>
            <w:r w:rsidRPr="0055305E">
              <w:t>0.31</w:t>
            </w:r>
          </w:p>
        </w:tc>
      </w:tr>
      <w:tr w:rsidR="00C96ABD" w:rsidRPr="0055305E" w14:paraId="0F06BA9C" w14:textId="77777777" w:rsidTr="00C942AC">
        <w:trPr>
          <w:trHeight w:val="255"/>
        </w:trPr>
        <w:tc>
          <w:tcPr>
            <w:tcW w:w="889" w:type="pct"/>
            <w:shd w:val="clear" w:color="auto" w:fill="auto"/>
            <w:noWrap/>
            <w:hideMark/>
          </w:tcPr>
          <w:p w14:paraId="3CCFA2C5" w14:textId="77777777" w:rsidR="00C96ABD" w:rsidRPr="0055305E" w:rsidRDefault="00C96ABD" w:rsidP="00C942AC">
            <w:pPr>
              <w:spacing w:after="0"/>
              <w:jc w:val="left"/>
              <w:rPr>
                <w:rFonts w:cs="Arial"/>
                <w:color w:val="000000"/>
                <w:lang w:val="en-US" w:eastAsia="de-CH"/>
              </w:rPr>
            </w:pPr>
            <w:r w:rsidRPr="0055305E">
              <w:rPr>
                <w:rFonts w:cs="Arial"/>
                <w:lang w:val="en-US"/>
              </w:rPr>
              <w:t>eGFR FAS</w:t>
            </w:r>
          </w:p>
        </w:tc>
        <w:tc>
          <w:tcPr>
            <w:tcW w:w="488" w:type="pct"/>
          </w:tcPr>
          <w:p w14:paraId="04A43EF4" w14:textId="77777777" w:rsidR="00C96ABD" w:rsidRPr="0055305E" w:rsidRDefault="00C96ABD" w:rsidP="00C942AC">
            <w:pPr>
              <w:spacing w:after="0"/>
              <w:jc w:val="center"/>
              <w:rPr>
                <w:rFonts w:cs="Arial"/>
                <w:lang w:val="en-US"/>
              </w:rPr>
            </w:pPr>
            <w:r w:rsidRPr="0055305E">
              <w:rPr>
                <w:rFonts w:cs="Arial"/>
                <w:lang w:val="en-US"/>
              </w:rPr>
              <w:t>ml/min</w:t>
            </w:r>
          </w:p>
        </w:tc>
        <w:tc>
          <w:tcPr>
            <w:tcW w:w="234" w:type="pct"/>
            <w:vAlign w:val="center"/>
          </w:tcPr>
          <w:p w14:paraId="2C0FD2E2"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shd w:val="clear" w:color="auto" w:fill="auto"/>
            <w:noWrap/>
            <w:vAlign w:val="center"/>
            <w:hideMark/>
          </w:tcPr>
          <w:p w14:paraId="761A0370"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49.89</w:t>
            </w:r>
          </w:p>
        </w:tc>
        <w:tc>
          <w:tcPr>
            <w:tcW w:w="842" w:type="pct"/>
            <w:shd w:val="clear" w:color="auto" w:fill="auto"/>
            <w:noWrap/>
            <w:vAlign w:val="center"/>
            <w:hideMark/>
          </w:tcPr>
          <w:p w14:paraId="5F02C9A2"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(41.5; 66.5)</w:t>
            </w:r>
          </w:p>
        </w:tc>
        <w:tc>
          <w:tcPr>
            <w:tcW w:w="234" w:type="pct"/>
            <w:vAlign w:val="center"/>
          </w:tcPr>
          <w:p w14:paraId="08FE4610" w14:textId="77777777" w:rsidR="00C96ABD" w:rsidRPr="0055305E" w:rsidRDefault="00C96ABD" w:rsidP="00C942AC">
            <w:pPr>
              <w:spacing w:after="0"/>
              <w:jc w:val="center"/>
              <w:rPr>
                <w:rFonts w:cs="Arial"/>
                <w:bCs/>
                <w:color w:val="000000"/>
                <w:lang w:val="en-US" w:eastAsia="de-CH"/>
              </w:rPr>
            </w:pPr>
            <w:r w:rsidRPr="0055305E">
              <w:rPr>
                <w:rFonts w:cs="Arial"/>
                <w:lang w:val="en-US"/>
              </w:rPr>
              <w:t>17</w:t>
            </w:r>
          </w:p>
        </w:tc>
        <w:tc>
          <w:tcPr>
            <w:tcW w:w="509" w:type="pct"/>
            <w:vAlign w:val="center"/>
          </w:tcPr>
          <w:p w14:paraId="1DD2911B"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63.76</w:t>
            </w:r>
          </w:p>
        </w:tc>
        <w:tc>
          <w:tcPr>
            <w:tcW w:w="842" w:type="pct"/>
            <w:vAlign w:val="center"/>
          </w:tcPr>
          <w:p w14:paraId="3215829D"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(45.5; 74.1)</w:t>
            </w:r>
          </w:p>
        </w:tc>
        <w:tc>
          <w:tcPr>
            <w:tcW w:w="453" w:type="pct"/>
          </w:tcPr>
          <w:p w14:paraId="7E4097A6" w14:textId="77777777" w:rsidR="00C96ABD" w:rsidRPr="0055305E" w:rsidRDefault="00C96ABD" w:rsidP="00C942AC">
            <w:pPr>
              <w:spacing w:after="0"/>
              <w:jc w:val="center"/>
              <w:rPr>
                <w:rFonts w:cs="Arial"/>
                <w:bCs/>
                <w:color w:val="000000"/>
                <w:lang w:val="en-US" w:eastAsia="de-CH"/>
              </w:rPr>
            </w:pPr>
            <w:r w:rsidRPr="0055305E">
              <w:t>0.228</w:t>
            </w:r>
          </w:p>
        </w:tc>
      </w:tr>
      <w:tr w:rsidR="00C96ABD" w:rsidRPr="0055305E" w14:paraId="7B06398E" w14:textId="77777777" w:rsidTr="00C942AC">
        <w:trPr>
          <w:trHeight w:val="255"/>
        </w:trPr>
        <w:tc>
          <w:tcPr>
            <w:tcW w:w="889" w:type="pct"/>
            <w:shd w:val="clear" w:color="auto" w:fill="auto"/>
            <w:noWrap/>
            <w:hideMark/>
          </w:tcPr>
          <w:p w14:paraId="1031BD87" w14:textId="77777777" w:rsidR="00C96ABD" w:rsidRPr="0055305E" w:rsidRDefault="00C96ABD" w:rsidP="00C942AC">
            <w:pPr>
              <w:spacing w:after="0"/>
              <w:jc w:val="left"/>
              <w:rPr>
                <w:rFonts w:cs="Arial"/>
                <w:color w:val="000000"/>
                <w:lang w:val="en-US" w:eastAsia="de-CH"/>
              </w:rPr>
            </w:pPr>
            <w:r w:rsidRPr="0055305E">
              <w:rPr>
                <w:rFonts w:cs="Arial"/>
                <w:lang w:val="en-US"/>
              </w:rPr>
              <w:t>ALAT</w:t>
            </w:r>
          </w:p>
        </w:tc>
        <w:tc>
          <w:tcPr>
            <w:tcW w:w="488" w:type="pct"/>
          </w:tcPr>
          <w:p w14:paraId="5F40A920" w14:textId="77777777" w:rsidR="00C96ABD" w:rsidRPr="0055305E" w:rsidRDefault="00C96ABD" w:rsidP="00C942AC">
            <w:pPr>
              <w:spacing w:after="0"/>
              <w:jc w:val="center"/>
              <w:rPr>
                <w:rFonts w:cs="Arial"/>
                <w:lang w:val="en-US"/>
              </w:rPr>
            </w:pPr>
            <w:r w:rsidRPr="0055305E">
              <w:rPr>
                <w:rFonts w:cs="Arial"/>
                <w:lang w:val="en-US"/>
              </w:rPr>
              <w:t>U/l</w:t>
            </w:r>
          </w:p>
        </w:tc>
        <w:tc>
          <w:tcPr>
            <w:tcW w:w="234" w:type="pct"/>
            <w:vAlign w:val="center"/>
          </w:tcPr>
          <w:p w14:paraId="4EA51C99"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2F46E99B"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17</w:t>
            </w:r>
          </w:p>
        </w:tc>
        <w:tc>
          <w:tcPr>
            <w:tcW w:w="842" w:type="pct"/>
            <w:shd w:val="clear" w:color="auto" w:fill="auto"/>
            <w:noWrap/>
            <w:vAlign w:val="center"/>
            <w:hideMark/>
          </w:tcPr>
          <w:p w14:paraId="4E7CB8D9"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(11; 20)</w:t>
            </w:r>
          </w:p>
        </w:tc>
        <w:tc>
          <w:tcPr>
            <w:tcW w:w="234" w:type="pct"/>
            <w:vAlign w:val="center"/>
          </w:tcPr>
          <w:p w14:paraId="21CC38FF"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32B3522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16.5</w:t>
            </w:r>
          </w:p>
        </w:tc>
        <w:tc>
          <w:tcPr>
            <w:tcW w:w="842" w:type="pct"/>
            <w:vAlign w:val="center"/>
          </w:tcPr>
          <w:p w14:paraId="24634889"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(13; 21.8)</w:t>
            </w:r>
          </w:p>
        </w:tc>
        <w:tc>
          <w:tcPr>
            <w:tcW w:w="453" w:type="pct"/>
          </w:tcPr>
          <w:p w14:paraId="0FE26340" w14:textId="77777777" w:rsidR="00C96ABD" w:rsidRPr="0055305E" w:rsidRDefault="00C96ABD" w:rsidP="00C942AC">
            <w:pPr>
              <w:spacing w:after="0"/>
              <w:jc w:val="center"/>
              <w:rPr>
                <w:rFonts w:cs="Arial"/>
                <w:bCs/>
                <w:color w:val="000000"/>
                <w:lang w:val="en-US" w:eastAsia="de-CH"/>
              </w:rPr>
            </w:pPr>
            <w:r w:rsidRPr="0055305E">
              <w:t>0.761</w:t>
            </w:r>
          </w:p>
        </w:tc>
      </w:tr>
      <w:tr w:rsidR="00C96ABD" w:rsidRPr="0055305E" w14:paraId="29D41E75" w14:textId="77777777" w:rsidTr="00C942AC">
        <w:trPr>
          <w:trHeight w:val="255"/>
        </w:trPr>
        <w:tc>
          <w:tcPr>
            <w:tcW w:w="889" w:type="pct"/>
            <w:shd w:val="clear" w:color="auto" w:fill="auto"/>
            <w:noWrap/>
            <w:hideMark/>
          </w:tcPr>
          <w:p w14:paraId="38DAFC57" w14:textId="77777777" w:rsidR="00C96ABD" w:rsidRPr="0055305E" w:rsidRDefault="00C96ABD" w:rsidP="00C942AC">
            <w:pPr>
              <w:spacing w:after="0"/>
              <w:jc w:val="left"/>
              <w:rPr>
                <w:rFonts w:cs="Arial"/>
                <w:color w:val="000000"/>
                <w:lang w:val="en-US" w:eastAsia="de-CH"/>
              </w:rPr>
            </w:pPr>
            <w:r w:rsidRPr="0055305E">
              <w:rPr>
                <w:rFonts w:cs="Arial"/>
                <w:lang w:val="en-US"/>
              </w:rPr>
              <w:t>ASAT</w:t>
            </w:r>
          </w:p>
        </w:tc>
        <w:tc>
          <w:tcPr>
            <w:tcW w:w="488" w:type="pct"/>
          </w:tcPr>
          <w:p w14:paraId="440F63E8" w14:textId="77777777" w:rsidR="00C96ABD" w:rsidRPr="0055305E" w:rsidRDefault="00C96ABD" w:rsidP="00C942AC">
            <w:pPr>
              <w:spacing w:after="0"/>
              <w:jc w:val="center"/>
              <w:rPr>
                <w:rFonts w:cs="Arial"/>
                <w:lang w:val="en-US"/>
              </w:rPr>
            </w:pPr>
            <w:r w:rsidRPr="0055305E">
              <w:rPr>
                <w:rFonts w:cs="Arial"/>
                <w:lang w:val="en-US"/>
              </w:rPr>
              <w:t>U/l</w:t>
            </w:r>
          </w:p>
        </w:tc>
        <w:tc>
          <w:tcPr>
            <w:tcW w:w="234" w:type="pct"/>
            <w:vAlign w:val="center"/>
          </w:tcPr>
          <w:p w14:paraId="1D788E01"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34EC8438"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33</w:t>
            </w:r>
          </w:p>
        </w:tc>
        <w:tc>
          <w:tcPr>
            <w:tcW w:w="842" w:type="pct"/>
            <w:shd w:val="clear" w:color="auto" w:fill="auto"/>
            <w:noWrap/>
            <w:vAlign w:val="center"/>
            <w:hideMark/>
          </w:tcPr>
          <w:p w14:paraId="70993999"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(29.5; 34)</w:t>
            </w:r>
          </w:p>
        </w:tc>
        <w:tc>
          <w:tcPr>
            <w:tcW w:w="234" w:type="pct"/>
            <w:vAlign w:val="center"/>
          </w:tcPr>
          <w:p w14:paraId="414399F1"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59759A07"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36.5</w:t>
            </w:r>
          </w:p>
        </w:tc>
        <w:tc>
          <w:tcPr>
            <w:tcW w:w="842" w:type="pct"/>
            <w:vAlign w:val="center"/>
          </w:tcPr>
          <w:p w14:paraId="0FA2D277"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(33; 40)</w:t>
            </w:r>
          </w:p>
        </w:tc>
        <w:tc>
          <w:tcPr>
            <w:tcW w:w="453" w:type="pct"/>
          </w:tcPr>
          <w:p w14:paraId="7470E37D" w14:textId="77777777" w:rsidR="00C96ABD" w:rsidRPr="0055305E" w:rsidRDefault="00C96ABD" w:rsidP="00C942AC">
            <w:pPr>
              <w:spacing w:after="0"/>
              <w:jc w:val="center"/>
              <w:rPr>
                <w:rFonts w:cs="Arial"/>
                <w:bCs/>
                <w:color w:val="000000"/>
                <w:lang w:val="en-US" w:eastAsia="de-CH"/>
              </w:rPr>
            </w:pPr>
            <w:r w:rsidRPr="0055305E">
              <w:t>0.017</w:t>
            </w:r>
          </w:p>
        </w:tc>
      </w:tr>
      <w:tr w:rsidR="00C96ABD" w:rsidRPr="0055305E" w14:paraId="4FB22687" w14:textId="77777777" w:rsidTr="00C942AC">
        <w:trPr>
          <w:trHeight w:val="255"/>
        </w:trPr>
        <w:tc>
          <w:tcPr>
            <w:tcW w:w="889" w:type="pct"/>
            <w:shd w:val="clear" w:color="auto" w:fill="auto"/>
            <w:noWrap/>
            <w:hideMark/>
          </w:tcPr>
          <w:p w14:paraId="49A145A5" w14:textId="77777777" w:rsidR="00C96ABD" w:rsidRPr="0055305E" w:rsidRDefault="00C96ABD" w:rsidP="00C942AC">
            <w:pPr>
              <w:spacing w:after="0"/>
              <w:jc w:val="left"/>
              <w:rPr>
                <w:rFonts w:cs="Arial"/>
                <w:color w:val="000000"/>
                <w:lang w:val="en-US" w:eastAsia="de-CH"/>
              </w:rPr>
            </w:pPr>
            <w:r w:rsidRPr="0055305E">
              <w:rPr>
                <w:rFonts w:cs="Arial"/>
                <w:lang w:val="en-US"/>
              </w:rPr>
              <w:t>Total bilirubin</w:t>
            </w:r>
          </w:p>
        </w:tc>
        <w:tc>
          <w:tcPr>
            <w:tcW w:w="488" w:type="pct"/>
          </w:tcPr>
          <w:p w14:paraId="4AF9AE4C" w14:textId="77777777" w:rsidR="00C96ABD" w:rsidRPr="0055305E" w:rsidRDefault="00C96ABD" w:rsidP="00C942AC">
            <w:pPr>
              <w:spacing w:after="0"/>
              <w:jc w:val="center"/>
              <w:rPr>
                <w:rFonts w:cs="Arial"/>
                <w:lang w:val="en-US"/>
              </w:rPr>
            </w:pPr>
            <w:r w:rsidRPr="0055305E">
              <w:rPr>
                <w:rFonts w:cs="Arial"/>
                <w:lang w:val="en-US"/>
              </w:rPr>
              <w:t>µmol/l</w:t>
            </w:r>
          </w:p>
        </w:tc>
        <w:tc>
          <w:tcPr>
            <w:tcW w:w="234" w:type="pct"/>
            <w:vAlign w:val="center"/>
          </w:tcPr>
          <w:p w14:paraId="67A06DE7"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10A51E0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w:t>
            </w:r>
          </w:p>
        </w:tc>
        <w:tc>
          <w:tcPr>
            <w:tcW w:w="842" w:type="pct"/>
            <w:shd w:val="clear" w:color="auto" w:fill="auto"/>
            <w:noWrap/>
            <w:vAlign w:val="center"/>
            <w:hideMark/>
          </w:tcPr>
          <w:p w14:paraId="297D7D42"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 4.5)</w:t>
            </w:r>
          </w:p>
        </w:tc>
        <w:tc>
          <w:tcPr>
            <w:tcW w:w="234" w:type="pct"/>
            <w:vAlign w:val="center"/>
          </w:tcPr>
          <w:p w14:paraId="4E3B25D7"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4E279347"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4</w:t>
            </w:r>
          </w:p>
        </w:tc>
        <w:tc>
          <w:tcPr>
            <w:tcW w:w="842" w:type="pct"/>
            <w:vAlign w:val="center"/>
          </w:tcPr>
          <w:p w14:paraId="5F49F364"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 5)</w:t>
            </w:r>
          </w:p>
        </w:tc>
        <w:tc>
          <w:tcPr>
            <w:tcW w:w="453" w:type="pct"/>
          </w:tcPr>
          <w:p w14:paraId="330B330C" w14:textId="77777777" w:rsidR="00C96ABD" w:rsidRPr="0055305E" w:rsidRDefault="00C96ABD" w:rsidP="00C942AC">
            <w:pPr>
              <w:spacing w:after="0"/>
              <w:jc w:val="center"/>
              <w:rPr>
                <w:rFonts w:cs="Arial"/>
                <w:bCs/>
                <w:color w:val="000000"/>
                <w:lang w:val="en-US" w:eastAsia="de-CH"/>
              </w:rPr>
            </w:pPr>
            <w:r w:rsidRPr="0055305E">
              <w:t>0.545</w:t>
            </w:r>
          </w:p>
        </w:tc>
      </w:tr>
      <w:tr w:rsidR="00C96ABD" w:rsidRPr="0055305E" w14:paraId="1C438EDA" w14:textId="77777777" w:rsidTr="00C942AC">
        <w:trPr>
          <w:trHeight w:val="255"/>
        </w:trPr>
        <w:tc>
          <w:tcPr>
            <w:tcW w:w="889" w:type="pct"/>
            <w:shd w:val="clear" w:color="auto" w:fill="auto"/>
            <w:noWrap/>
            <w:hideMark/>
          </w:tcPr>
          <w:p w14:paraId="007CFAB7" w14:textId="77777777" w:rsidR="00C96ABD" w:rsidRPr="0055305E" w:rsidRDefault="00C96ABD" w:rsidP="00C942AC">
            <w:pPr>
              <w:spacing w:after="0"/>
              <w:jc w:val="left"/>
              <w:rPr>
                <w:rFonts w:cs="Arial"/>
                <w:color w:val="000000"/>
                <w:lang w:val="en-US" w:eastAsia="de-CH"/>
              </w:rPr>
            </w:pPr>
            <w:r w:rsidRPr="0055305E">
              <w:rPr>
                <w:rFonts w:cs="Arial"/>
                <w:lang w:val="en-US"/>
              </w:rPr>
              <w:t>Total albumine</w:t>
            </w:r>
          </w:p>
        </w:tc>
        <w:tc>
          <w:tcPr>
            <w:tcW w:w="488" w:type="pct"/>
          </w:tcPr>
          <w:p w14:paraId="55AAE0A6" w14:textId="77777777" w:rsidR="00C96ABD" w:rsidRPr="0055305E" w:rsidRDefault="00C96ABD" w:rsidP="00C942AC">
            <w:pPr>
              <w:spacing w:after="0"/>
              <w:jc w:val="center"/>
              <w:rPr>
                <w:rFonts w:cs="Arial"/>
                <w:lang w:val="en-US"/>
              </w:rPr>
            </w:pPr>
            <w:r w:rsidRPr="0055305E">
              <w:rPr>
                <w:rFonts w:cs="Arial"/>
                <w:lang w:val="en-US"/>
              </w:rPr>
              <w:t>g/l</w:t>
            </w:r>
          </w:p>
        </w:tc>
        <w:tc>
          <w:tcPr>
            <w:tcW w:w="234" w:type="pct"/>
            <w:vAlign w:val="center"/>
          </w:tcPr>
          <w:p w14:paraId="1779138E" w14:textId="77777777" w:rsidR="00C96ABD" w:rsidRPr="0055305E" w:rsidRDefault="00C96ABD" w:rsidP="00C942AC">
            <w:pPr>
              <w:spacing w:after="0"/>
              <w:jc w:val="center"/>
              <w:rPr>
                <w:rFonts w:cs="Arial"/>
                <w:bCs/>
                <w:color w:val="000000"/>
                <w:lang w:val="en-US" w:eastAsia="de-CH"/>
              </w:rPr>
            </w:pPr>
            <w:r w:rsidRPr="0055305E">
              <w:rPr>
                <w:rFonts w:cs="Arial"/>
                <w:lang w:val="en-US"/>
              </w:rPr>
              <w:t>19</w:t>
            </w:r>
          </w:p>
        </w:tc>
        <w:tc>
          <w:tcPr>
            <w:tcW w:w="509" w:type="pct"/>
            <w:shd w:val="clear" w:color="auto" w:fill="auto"/>
            <w:noWrap/>
            <w:vAlign w:val="center"/>
            <w:hideMark/>
          </w:tcPr>
          <w:p w14:paraId="1AEFE5F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34</w:t>
            </w:r>
          </w:p>
        </w:tc>
        <w:tc>
          <w:tcPr>
            <w:tcW w:w="842" w:type="pct"/>
            <w:shd w:val="clear" w:color="auto" w:fill="auto"/>
            <w:noWrap/>
            <w:vAlign w:val="center"/>
            <w:hideMark/>
          </w:tcPr>
          <w:p w14:paraId="0055CAC3"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(31.5; 36)</w:t>
            </w:r>
          </w:p>
        </w:tc>
        <w:tc>
          <w:tcPr>
            <w:tcW w:w="234" w:type="pct"/>
            <w:vAlign w:val="center"/>
          </w:tcPr>
          <w:p w14:paraId="76505DBF" w14:textId="77777777" w:rsidR="00C96ABD" w:rsidRPr="0055305E" w:rsidRDefault="00C96ABD" w:rsidP="00C942AC">
            <w:pPr>
              <w:spacing w:after="0"/>
              <w:jc w:val="center"/>
              <w:rPr>
                <w:rFonts w:cs="Arial"/>
                <w:bCs/>
                <w:color w:val="000000"/>
                <w:lang w:val="en-US" w:eastAsia="de-CH"/>
              </w:rPr>
            </w:pPr>
            <w:r w:rsidRPr="0055305E">
              <w:rPr>
                <w:rFonts w:cs="Arial"/>
                <w:lang w:val="en-US"/>
              </w:rPr>
              <w:t>18</w:t>
            </w:r>
          </w:p>
        </w:tc>
        <w:tc>
          <w:tcPr>
            <w:tcW w:w="509" w:type="pct"/>
            <w:vAlign w:val="center"/>
          </w:tcPr>
          <w:p w14:paraId="0429707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33</w:t>
            </w:r>
          </w:p>
        </w:tc>
        <w:tc>
          <w:tcPr>
            <w:tcW w:w="842" w:type="pct"/>
            <w:vAlign w:val="center"/>
          </w:tcPr>
          <w:p w14:paraId="44CC1B56" w14:textId="77777777" w:rsidR="00C96ABD" w:rsidRPr="0055305E" w:rsidRDefault="00C96ABD" w:rsidP="00C942AC">
            <w:pPr>
              <w:spacing w:after="0"/>
              <w:jc w:val="center"/>
              <w:rPr>
                <w:rFonts w:cs="Arial"/>
                <w:bCs/>
                <w:color w:val="000000"/>
                <w:lang w:val="en-US" w:eastAsia="de-CH"/>
              </w:rPr>
            </w:pPr>
            <w:r w:rsidRPr="0055305E">
              <w:rPr>
                <w:rFonts w:cs="Arial"/>
                <w:bCs/>
                <w:color w:val="000000"/>
                <w:lang w:val="en-US" w:eastAsia="de-CH"/>
              </w:rPr>
              <w:t>(32; 34.8)</w:t>
            </w:r>
          </w:p>
        </w:tc>
        <w:tc>
          <w:tcPr>
            <w:tcW w:w="453" w:type="pct"/>
          </w:tcPr>
          <w:p w14:paraId="65417C1F" w14:textId="77777777" w:rsidR="00C96ABD" w:rsidRPr="0055305E" w:rsidRDefault="00C96ABD" w:rsidP="00C942AC">
            <w:pPr>
              <w:spacing w:after="0"/>
              <w:jc w:val="center"/>
              <w:rPr>
                <w:rFonts w:cs="Arial"/>
                <w:bCs/>
                <w:color w:val="000000"/>
                <w:lang w:val="en-US" w:eastAsia="de-CH"/>
              </w:rPr>
            </w:pPr>
            <w:r w:rsidRPr="0055305E">
              <w:t>0.305</w:t>
            </w:r>
          </w:p>
        </w:tc>
      </w:tr>
      <w:tr w:rsidR="00C96ABD" w:rsidRPr="0055305E" w14:paraId="38B5A4D2" w14:textId="77777777" w:rsidTr="00C942AC">
        <w:trPr>
          <w:trHeight w:val="255"/>
        </w:trPr>
        <w:tc>
          <w:tcPr>
            <w:tcW w:w="5000" w:type="pct"/>
            <w:gridSpan w:val="9"/>
            <w:shd w:val="clear" w:color="auto" w:fill="auto"/>
            <w:noWrap/>
          </w:tcPr>
          <w:p w14:paraId="66CBEFA6" w14:textId="77777777" w:rsidR="00C96ABD" w:rsidRPr="0055305E" w:rsidRDefault="00C96ABD" w:rsidP="00C942AC">
            <w:pPr>
              <w:spacing w:after="0"/>
              <w:jc w:val="left"/>
            </w:pPr>
            <w:r w:rsidRPr="0055305E">
              <w:rPr>
                <w:rFonts w:cstheme="minorHAnsi"/>
                <w:lang w:val="en-US"/>
              </w:rPr>
              <w:t xml:space="preserve">Abbreviations: IQR interquartile range; GFR Glomerular filtration rate; </w:t>
            </w:r>
          </w:p>
        </w:tc>
      </w:tr>
    </w:tbl>
    <w:p w14:paraId="2B80ED3F" w14:textId="77777777" w:rsidR="00C96ABD" w:rsidRPr="0055305E" w:rsidRDefault="00C96ABD" w:rsidP="00C96ABD">
      <w:pPr>
        <w:spacing w:after="120"/>
        <w:rPr>
          <w:lang w:val="en-US"/>
        </w:rPr>
      </w:pPr>
    </w:p>
    <w:p w14:paraId="0C1A6561" w14:textId="77777777" w:rsidR="00C96ABD" w:rsidRPr="0055305E" w:rsidRDefault="00C96ABD" w:rsidP="00C96ABD">
      <w:pPr>
        <w:spacing w:line="276" w:lineRule="auto"/>
        <w:jc w:val="left"/>
        <w:rPr>
          <w:lang w:val="en-US"/>
        </w:rPr>
      </w:pPr>
      <w:r w:rsidRPr="0055305E">
        <w:rPr>
          <w:lang w:val="en-US"/>
        </w:rPr>
        <w:br w:type="page"/>
      </w:r>
    </w:p>
    <w:p w14:paraId="6BAFE565" w14:textId="2C2A78F4" w:rsidR="00C96ABD" w:rsidRPr="0055305E" w:rsidRDefault="00C96ABD" w:rsidP="00C96ABD">
      <w:pPr>
        <w:pStyle w:val="berschrift2"/>
        <w:rPr>
          <w:rFonts w:ascii="Cambria" w:hAnsi="Cambria"/>
        </w:rPr>
      </w:pPr>
      <w:r w:rsidRPr="0055305E">
        <w:rPr>
          <w:rFonts w:ascii="Cambria" w:hAnsi="Cambria"/>
        </w:rPr>
        <w:t>S</w:t>
      </w:r>
      <w:r w:rsidR="00A4695F">
        <w:rPr>
          <w:rFonts w:ascii="Cambria" w:hAnsi="Cambria"/>
        </w:rPr>
        <w:t>4</w:t>
      </w:r>
      <w:r w:rsidRPr="0055305E">
        <w:rPr>
          <w:rFonts w:ascii="Cambria" w:hAnsi="Cambria"/>
        </w:rPr>
        <w:t xml:space="preserve"> – Population pharmacokinetic model evaluation</w:t>
      </w:r>
    </w:p>
    <w:p w14:paraId="56004582" w14:textId="746EF5BD" w:rsidR="00C96ABD" w:rsidRPr="0055305E" w:rsidRDefault="00C96ABD" w:rsidP="00C96ABD">
      <w:pPr>
        <w:pStyle w:val="berschrift3"/>
        <w:numPr>
          <w:ilvl w:val="0"/>
          <w:numId w:val="0"/>
        </w:numPr>
        <w:ind w:left="720" w:hanging="720"/>
        <w:rPr>
          <w:rFonts w:ascii="Cambria" w:hAnsi="Cambria"/>
        </w:rPr>
      </w:pPr>
      <w:r w:rsidRPr="0055305E">
        <w:rPr>
          <w:rFonts w:ascii="Cambria" w:hAnsi="Cambria"/>
        </w:rPr>
        <w:t xml:space="preserve">A: </w:t>
      </w:r>
      <w:r w:rsidR="00A4695F">
        <w:rPr>
          <w:rFonts w:ascii="Cambria" w:hAnsi="Cambria"/>
        </w:rPr>
        <w:t>S</w:t>
      </w:r>
      <w:r w:rsidRPr="0055305E">
        <w:rPr>
          <w:rFonts w:ascii="Cambria" w:hAnsi="Cambria"/>
        </w:rPr>
        <w:t>ensitivity analyses</w:t>
      </w:r>
    </w:p>
    <w:p w14:paraId="0DD76FA9" w14:textId="565997E2" w:rsidR="00A4695F" w:rsidRPr="0060090F" w:rsidRDefault="00A4695F" w:rsidP="00A4695F">
      <w:pPr>
        <w:rPr>
          <w:lang w:val="en-GB"/>
        </w:rPr>
      </w:pPr>
      <w:r w:rsidRPr="00805048">
        <w:rPr>
          <w:b/>
          <w:i/>
          <w:lang w:val="en-GB"/>
        </w:rPr>
        <w:t>Methods</w:t>
      </w:r>
      <w:r>
        <w:rPr>
          <w:lang w:val="en-GB"/>
        </w:rPr>
        <w:t>:</w:t>
      </w:r>
      <w:r w:rsidR="00805048">
        <w:rPr>
          <w:lang w:val="en-GB"/>
        </w:rPr>
        <w:t xml:space="preserve"> </w:t>
      </w:r>
      <w:r w:rsidRPr="0098352A">
        <w:rPr>
          <w:lang w:val="en-GB"/>
        </w:rPr>
        <w:t xml:space="preserve">The following sensitivity analyses were performed: </w:t>
      </w:r>
      <w:r w:rsidR="004E5103">
        <w:rPr>
          <w:lang w:val="en-GB"/>
        </w:rPr>
        <w:t>applying two- versus one</w:t>
      </w:r>
      <w:r w:rsidRPr="0098352A">
        <w:rPr>
          <w:lang w:val="en-GB"/>
        </w:rPr>
        <w:t xml:space="preserve">-compartmental distribution </w:t>
      </w:r>
      <w:r w:rsidR="004E5103">
        <w:rPr>
          <w:lang w:val="en-GB"/>
        </w:rPr>
        <w:t xml:space="preserve">models </w:t>
      </w:r>
      <w:r w:rsidRPr="0098352A">
        <w:rPr>
          <w:lang w:val="en-GB"/>
        </w:rPr>
        <w:t>for MAA or all metabolites, treating concentrations below LLOQ as censored variables (LAPLACE estimation method)</w:t>
      </w:r>
      <w:r w:rsidR="004E5103">
        <w:rPr>
          <w:lang w:val="en-GB"/>
        </w:rPr>
        <w:t xml:space="preserve"> versus fixing concentrations below LLOQ to LLOQ/2</w:t>
      </w:r>
      <w:r w:rsidR="00C050C4">
        <w:rPr>
          <w:lang w:val="en-GB"/>
        </w:rPr>
        <w:t>, inclusion of MAA concentration data considered as not physiological in the initial analysis (defined as MAA concentrations increasing &gt;50% from its previous value), and use of varying k</w:t>
      </w:r>
      <w:r w:rsidR="00C050C4" w:rsidRPr="00C050C4">
        <w:rPr>
          <w:vertAlign w:val="subscript"/>
          <w:lang w:val="en-GB"/>
        </w:rPr>
        <w:t>H</w:t>
      </w:r>
      <w:r w:rsidR="00C050C4">
        <w:rPr>
          <w:lang w:val="en-GB"/>
        </w:rPr>
        <w:t xml:space="preserve"> All analyses were performed using subroutine ADVAN6 (differential equation solver), and first-order conditional estimation method with interaction unless otherwise stated.</w:t>
      </w:r>
    </w:p>
    <w:p w14:paraId="637762C4" w14:textId="355CC9D3" w:rsidR="00C96ABD" w:rsidRPr="0055305E" w:rsidRDefault="00A4695F" w:rsidP="00C96ABD">
      <w:pPr>
        <w:rPr>
          <w:lang w:val="en-GB"/>
        </w:rPr>
      </w:pPr>
      <w:r w:rsidRPr="00805048">
        <w:rPr>
          <w:b/>
          <w:i/>
          <w:lang w:val="en-GB"/>
        </w:rPr>
        <w:t>Results</w:t>
      </w:r>
      <w:r>
        <w:rPr>
          <w:lang w:val="en-GB"/>
        </w:rPr>
        <w:t>:</w:t>
      </w:r>
      <w:r w:rsidR="00805048">
        <w:rPr>
          <w:lang w:val="en-GB"/>
        </w:rPr>
        <w:t xml:space="preserve"> </w:t>
      </w:r>
      <w:r w:rsidR="00C96ABD" w:rsidRPr="0055305E">
        <w:rPr>
          <w:lang w:val="en-GB"/>
        </w:rPr>
        <w:t>Using two-compartmental distribution kinetics for MAA or more metabolites improved the general model fit (lower AIC, lower residual error for AA, AAA and FAA), but lead to increased bias in residual diagnostics for the main metabolite MAA and larger residual error. CL</w:t>
      </w:r>
      <w:r w:rsidR="00C96ABD" w:rsidRPr="0055305E">
        <w:rPr>
          <w:vertAlign w:val="subscript"/>
          <w:lang w:val="en-GB"/>
        </w:rPr>
        <w:t>MAArest</w:t>
      </w:r>
      <w:r w:rsidR="00C96ABD" w:rsidRPr="0055305E">
        <w:rPr>
          <w:lang w:val="en-GB"/>
        </w:rPr>
        <w:t xml:space="preserve"> was not identifiable in the two-compartment model, but total MAA clearance did not significantly differ (&lt;8%) from one-compartmental analysis, hence the simpler one-compartment distribution model was considered for</w:t>
      </w:r>
      <w:bookmarkStart w:id="0" w:name="_GoBack"/>
      <w:bookmarkEnd w:id="0"/>
      <w:r w:rsidR="00C96ABD" w:rsidRPr="0055305E">
        <w:rPr>
          <w:lang w:val="en-GB"/>
        </w:rPr>
        <w:t xml:space="preserve"> the final analysis.</w:t>
      </w:r>
    </w:p>
    <w:p w14:paraId="7614F189" w14:textId="77777777" w:rsidR="00C96ABD" w:rsidRPr="0055305E" w:rsidRDefault="00C96ABD" w:rsidP="00C96ABD">
      <w:pPr>
        <w:rPr>
          <w:lang w:val="en-GB"/>
        </w:rPr>
      </w:pPr>
      <w:r w:rsidRPr="0055305E">
        <w:rPr>
          <w:lang w:val="en-GB"/>
        </w:rPr>
        <w:t xml:space="preserve">Treating concentrations below LLOQ as censored variables (LAPLACE estimation method with interaction), reduced the residual error for MAA to approximately half, but did not impact total MAA clearance (&lt;3% difference), while increasing model instability and estimation time. Use of a mixed error model also approximately halved the residual proportional error, and was therefore used in the final analysis. </w:t>
      </w:r>
    </w:p>
    <w:p w14:paraId="1C830A09" w14:textId="77777777" w:rsidR="00C96ABD" w:rsidRPr="0055305E" w:rsidRDefault="00C96ABD" w:rsidP="00C96ABD">
      <w:pPr>
        <w:rPr>
          <w:lang w:val="en-GB"/>
        </w:rPr>
      </w:pPr>
      <w:r w:rsidRPr="0055305E">
        <w:rPr>
          <w:lang w:val="en-GB"/>
        </w:rPr>
        <w:t xml:space="preserve">Inclusion of MAA concentration data considered as unphysiological in the initial analysis, largely increased BSV (from </w:t>
      </w:r>
      <w:r w:rsidRPr="0055305E">
        <w:rPr>
          <w:rFonts w:cs="Times New Roman"/>
          <w:lang w:val="en-GB"/>
        </w:rPr>
        <w:t>≈</w:t>
      </w:r>
      <w:r w:rsidRPr="0055305E">
        <w:rPr>
          <w:lang w:val="en-GB"/>
        </w:rPr>
        <w:t xml:space="preserve">50% to 90%) and uncertainty (RSE increase from </w:t>
      </w:r>
      <w:r w:rsidRPr="0055305E">
        <w:rPr>
          <w:rFonts w:cs="Times New Roman"/>
          <w:lang w:val="en-GB"/>
        </w:rPr>
        <w:t>≈</w:t>
      </w:r>
      <w:r w:rsidRPr="0055305E">
        <w:rPr>
          <w:lang w:val="en-GB"/>
        </w:rPr>
        <w:t>15% to 37%) in CL</w:t>
      </w:r>
      <w:r w:rsidRPr="0055305E">
        <w:rPr>
          <w:vertAlign w:val="subscript"/>
          <w:lang w:val="en-GB"/>
        </w:rPr>
        <w:t xml:space="preserve">MAAother, </w:t>
      </w:r>
      <w:r w:rsidRPr="0055305E">
        <w:rPr>
          <w:lang w:val="en-GB"/>
        </w:rPr>
        <w:t xml:space="preserve">and increased the residual error of MAA by 20%. Total MAA clearance did not however significantly change (&lt;4% difference). </w:t>
      </w:r>
    </w:p>
    <w:p w14:paraId="6A24B915" w14:textId="48D29778" w:rsidR="00C96ABD" w:rsidRDefault="00C96ABD" w:rsidP="00C96ABD">
      <w:pPr>
        <w:rPr>
          <w:lang w:val="en-GB"/>
        </w:rPr>
      </w:pPr>
      <w:r w:rsidRPr="0055305E">
        <w:rPr>
          <w:lang w:val="en-GB"/>
        </w:rPr>
        <w:t xml:space="preserve">The hydrolysis of metamizole could not be estimated (estimate </w:t>
      </w:r>
      <w:r w:rsidRPr="0055305E">
        <w:rPr>
          <w:rFonts w:cs="Times New Roman"/>
          <w:lang w:val="en-GB"/>
        </w:rPr>
        <w:t>→</w:t>
      </w:r>
      <w:r w:rsidRPr="0055305E">
        <w:rPr>
          <w:lang w:val="en-GB"/>
        </w:rPr>
        <w:t xml:space="preserve"> infinity), using slower kH than 20/h worsened the model fit, hence the fixed value of 20/h was also used for the final analysis.</w:t>
      </w:r>
    </w:p>
    <w:p w14:paraId="5209B740" w14:textId="542B6C00" w:rsidR="00A4695F" w:rsidRPr="0055305E" w:rsidRDefault="00A4695F" w:rsidP="00A4695F">
      <w:pPr>
        <w:rPr>
          <w:lang w:val="en-GB"/>
        </w:rPr>
      </w:pPr>
      <w:r w:rsidRPr="00805048">
        <w:rPr>
          <w:b/>
          <w:i/>
          <w:lang w:val="en-GB"/>
        </w:rPr>
        <w:t>Summary</w:t>
      </w:r>
      <w:r>
        <w:rPr>
          <w:lang w:val="en-GB"/>
        </w:rPr>
        <w:t>:</w:t>
      </w:r>
      <w:r w:rsidR="00805048">
        <w:rPr>
          <w:lang w:val="en-GB"/>
        </w:rPr>
        <w:t xml:space="preserve"> </w:t>
      </w:r>
      <w:r w:rsidRPr="0098352A">
        <w:rPr>
          <w:rFonts w:eastAsiaTheme="minorEastAsia"/>
          <w:lang w:val="en-GB"/>
        </w:rPr>
        <w:t>Sensitivity analyses did not alter MAA clearance estimates or improve the MAA kinetic description.</w:t>
      </w:r>
    </w:p>
    <w:p w14:paraId="1DDD5537" w14:textId="77777777" w:rsidR="00C96ABD" w:rsidRPr="0055305E" w:rsidRDefault="00C96ABD" w:rsidP="00C96ABD">
      <w:pPr>
        <w:spacing w:line="276" w:lineRule="auto"/>
        <w:jc w:val="left"/>
        <w:rPr>
          <w:lang w:val="en-GB" w:eastAsia="de-DE"/>
        </w:rPr>
      </w:pPr>
      <w:r w:rsidRPr="0055305E">
        <w:rPr>
          <w:lang w:val="en-GB" w:eastAsia="de-DE"/>
        </w:rPr>
        <w:br w:type="page"/>
      </w:r>
    </w:p>
    <w:p w14:paraId="4F1AD8C0" w14:textId="77777777" w:rsidR="00C96ABD" w:rsidRPr="0055305E" w:rsidRDefault="00C96ABD" w:rsidP="00C96ABD">
      <w:pPr>
        <w:pStyle w:val="berschrift3"/>
        <w:numPr>
          <w:ilvl w:val="0"/>
          <w:numId w:val="0"/>
        </w:numPr>
        <w:ind w:left="720" w:hanging="720"/>
        <w:rPr>
          <w:rFonts w:ascii="Cambria" w:hAnsi="Cambria"/>
        </w:rPr>
      </w:pPr>
      <w:r w:rsidRPr="0055305E">
        <w:rPr>
          <w:rFonts w:ascii="Cambria" w:hAnsi="Cambria"/>
        </w:rPr>
        <w:t>B: Supplemental figures</w:t>
      </w:r>
    </w:p>
    <w:p w14:paraId="53FA1950" w14:textId="77777777" w:rsidR="00C96ABD" w:rsidRPr="0055305E" w:rsidRDefault="00C96ABD" w:rsidP="00C96ABD">
      <w:pPr>
        <w:rPr>
          <w:b/>
          <w:lang w:val="en-GB"/>
        </w:rPr>
      </w:pPr>
      <w:r w:rsidRPr="0055305E">
        <w:rPr>
          <w:b/>
          <w:noProof/>
          <w:lang w:val="de-CH" w:eastAsia="de-CH"/>
        </w:rPr>
        <w:drawing>
          <wp:inline distT="0" distB="0" distL="0" distR="0" wp14:anchorId="07225B91" wp14:editId="4C1F870B">
            <wp:extent cx="3057150" cy="539801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eta_modelcomparis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7150" cy="5398019"/>
                    </a:xfrm>
                    <a:prstGeom prst="rect">
                      <a:avLst/>
                    </a:prstGeom>
                  </pic:spPr>
                </pic:pic>
              </a:graphicData>
            </a:graphic>
          </wp:inline>
        </w:drawing>
      </w:r>
    </w:p>
    <w:p w14:paraId="3CA9EA8E" w14:textId="3BD4FD09" w:rsidR="00C96ABD" w:rsidRPr="0055305E" w:rsidRDefault="00C96ABD" w:rsidP="00C96ABD">
      <w:pPr>
        <w:rPr>
          <w:lang w:val="en-GB"/>
        </w:rPr>
      </w:pPr>
      <w:r w:rsidRPr="0055305E">
        <w:rPr>
          <w:b/>
          <w:lang w:val="en-GB"/>
        </w:rPr>
        <w:t>Figure S</w:t>
      </w:r>
      <w:r w:rsidR="00A4695F">
        <w:rPr>
          <w:b/>
          <w:lang w:val="en-GB"/>
        </w:rPr>
        <w:t>4</w:t>
      </w:r>
      <w:r w:rsidRPr="0055305E">
        <w:rPr>
          <w:b/>
          <w:lang w:val="en-GB"/>
        </w:rPr>
        <w:t>.1</w:t>
      </w:r>
      <w:r w:rsidRPr="0055305E">
        <w:rPr>
          <w:lang w:val="en-GB"/>
        </w:rPr>
        <w:t xml:space="preserve">: </w:t>
      </w:r>
      <w:r w:rsidRPr="0055305E">
        <w:rPr>
          <w:b/>
          <w:lang w:val="en-GB"/>
        </w:rPr>
        <w:t>Bias in distribution of individual random effects (</w:t>
      </w:r>
      <w:r w:rsidRPr="0055305E">
        <w:rPr>
          <w:rFonts w:cs="Times New Roman"/>
          <w:b/>
          <w:lang w:val="en-GB"/>
        </w:rPr>
        <w:t>η</w:t>
      </w:r>
      <w:r w:rsidRPr="0055305E">
        <w:rPr>
          <w:b/>
          <w:lang w:val="en-GB"/>
        </w:rPr>
        <w:t>i) related to MAA clearance (CL)</w:t>
      </w:r>
      <w:r w:rsidRPr="0055305E">
        <w:rPr>
          <w:lang w:val="en-GB"/>
        </w:rPr>
        <w:t xml:space="preserve"> over age, with and without inclusion of age and weight as covariates (shrinkage: &lt; 10-20%).</w:t>
      </w:r>
    </w:p>
    <w:p w14:paraId="5D9810EB" w14:textId="77777777" w:rsidR="00C96ABD" w:rsidRPr="0055305E" w:rsidRDefault="00C96ABD" w:rsidP="00C96ABD">
      <w:pPr>
        <w:rPr>
          <w:b/>
          <w:lang w:val="en-GB"/>
        </w:rPr>
      </w:pPr>
      <w:r w:rsidRPr="0055305E">
        <w:rPr>
          <w:b/>
          <w:noProof/>
          <w:lang w:val="de-CH" w:eastAsia="de-CH"/>
        </w:rPr>
        <w:drawing>
          <wp:inline distT="0" distB="0" distL="0" distR="0" wp14:anchorId="708C81C4" wp14:editId="595B3510">
            <wp:extent cx="5760720" cy="3389630"/>
            <wp:effectExtent l="0" t="0" r="0" b="127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eta_modelcompariso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389630"/>
                    </a:xfrm>
                    <a:prstGeom prst="rect">
                      <a:avLst/>
                    </a:prstGeom>
                  </pic:spPr>
                </pic:pic>
              </a:graphicData>
            </a:graphic>
          </wp:inline>
        </w:drawing>
      </w:r>
    </w:p>
    <w:p w14:paraId="2DCDDE37" w14:textId="74FC1D87" w:rsidR="00C96ABD" w:rsidRPr="0055305E" w:rsidRDefault="00C96ABD" w:rsidP="00C96ABD">
      <w:pPr>
        <w:rPr>
          <w:lang w:val="en-GB"/>
        </w:rPr>
      </w:pPr>
      <w:r w:rsidRPr="0055305E">
        <w:rPr>
          <w:b/>
          <w:lang w:val="en-GB"/>
        </w:rPr>
        <w:t>Figure S</w:t>
      </w:r>
      <w:r w:rsidR="00A4695F">
        <w:rPr>
          <w:b/>
          <w:lang w:val="en-GB"/>
        </w:rPr>
        <w:t>4</w:t>
      </w:r>
      <w:r w:rsidRPr="0055305E">
        <w:rPr>
          <w:b/>
          <w:lang w:val="en-GB"/>
        </w:rPr>
        <w:t>.2: Distribution of individual random effects</w:t>
      </w:r>
      <w:r w:rsidRPr="0055305E">
        <w:rPr>
          <w:lang w:val="en-GB"/>
        </w:rPr>
        <w:t xml:space="preserve"> </w:t>
      </w:r>
      <w:r w:rsidRPr="0055305E">
        <w:rPr>
          <w:b/>
          <w:lang w:val="en-GB"/>
        </w:rPr>
        <w:t>related to the other metabolite’s clearance (CL) and volume of distribution (V</w:t>
      </w:r>
      <w:r w:rsidRPr="0055305E">
        <w:rPr>
          <w:b/>
          <w:vertAlign w:val="subscript"/>
          <w:lang w:val="en-GB"/>
        </w:rPr>
        <w:t>tot</w:t>
      </w:r>
      <w:r w:rsidRPr="0055305E">
        <w:rPr>
          <w:b/>
          <w:lang w:val="en-GB"/>
        </w:rPr>
        <w:t xml:space="preserve">) </w:t>
      </w:r>
      <w:r w:rsidRPr="0055305E">
        <w:rPr>
          <w:lang w:val="en-GB"/>
        </w:rPr>
        <w:t>over age, with and without inclusion of age and weight as covariates on MAA clearance (shrinkage: &lt;10-30%).</w:t>
      </w:r>
    </w:p>
    <w:p w14:paraId="4DD2AB76" w14:textId="77777777" w:rsidR="00C96ABD" w:rsidRPr="0055305E" w:rsidRDefault="00C96ABD" w:rsidP="00C96ABD">
      <w:pPr>
        <w:spacing w:line="276" w:lineRule="auto"/>
        <w:jc w:val="left"/>
        <w:rPr>
          <w:lang w:val="en-GB"/>
        </w:rPr>
      </w:pPr>
      <w:r w:rsidRPr="0055305E">
        <w:rPr>
          <w:lang w:val="en-GB"/>
        </w:rPr>
        <w:br w:type="page"/>
      </w:r>
    </w:p>
    <w:p w14:paraId="2608B2A6" w14:textId="77777777" w:rsidR="00C96ABD" w:rsidRPr="0055305E" w:rsidRDefault="00C96ABD" w:rsidP="00C96ABD">
      <w:pPr>
        <w:spacing w:line="276" w:lineRule="auto"/>
        <w:jc w:val="left"/>
        <w:rPr>
          <w:b/>
          <w:highlight w:val="yellow"/>
          <w:lang w:val="en-GB"/>
        </w:rPr>
      </w:pPr>
      <w:r w:rsidRPr="0055305E">
        <w:rPr>
          <w:b/>
          <w:noProof/>
          <w:lang w:val="de-CH" w:eastAsia="de-CH"/>
        </w:rPr>
        <w:drawing>
          <wp:inline distT="0" distB="0" distL="0" distR="0" wp14:anchorId="1B0F8034" wp14:editId="3CB6191E">
            <wp:extent cx="2835667" cy="2835667"/>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VPCl_nice_40.png"/>
                    <pic:cNvPicPr/>
                  </pic:nvPicPr>
                  <pic:blipFill>
                    <a:blip r:embed="rId11">
                      <a:extLst>
                        <a:ext uri="{28A0092B-C50C-407E-A947-70E740481C1C}">
                          <a14:useLocalDpi xmlns:a14="http://schemas.microsoft.com/office/drawing/2010/main" val="0"/>
                        </a:ext>
                      </a:extLst>
                    </a:blip>
                    <a:stretch>
                      <a:fillRect/>
                    </a:stretch>
                  </pic:blipFill>
                  <pic:spPr>
                    <a:xfrm>
                      <a:off x="0" y="0"/>
                      <a:ext cx="2835667" cy="2835667"/>
                    </a:xfrm>
                    <a:prstGeom prst="rect">
                      <a:avLst/>
                    </a:prstGeom>
                  </pic:spPr>
                </pic:pic>
              </a:graphicData>
            </a:graphic>
          </wp:inline>
        </w:drawing>
      </w:r>
    </w:p>
    <w:p w14:paraId="36BA498C" w14:textId="0705CD64" w:rsidR="00C96ABD" w:rsidRPr="0055305E" w:rsidRDefault="00C96ABD" w:rsidP="00C96ABD">
      <w:pPr>
        <w:spacing w:line="276" w:lineRule="auto"/>
        <w:jc w:val="left"/>
        <w:rPr>
          <w:lang w:val="en-GB"/>
        </w:rPr>
      </w:pPr>
      <w:r w:rsidRPr="0055305E">
        <w:rPr>
          <w:b/>
          <w:lang w:val="en-GB"/>
        </w:rPr>
        <w:t>Figure S</w:t>
      </w:r>
      <w:r w:rsidR="00A4695F">
        <w:rPr>
          <w:b/>
          <w:lang w:val="en-GB"/>
        </w:rPr>
        <w:t>4</w:t>
      </w:r>
      <w:r w:rsidRPr="0055305E">
        <w:rPr>
          <w:b/>
          <w:lang w:val="en-GB"/>
        </w:rPr>
        <w:t>.3: Visual predictive check.</w:t>
      </w:r>
      <w:r w:rsidRPr="0055305E">
        <w:rPr>
          <w:lang w:val="en-GB"/>
        </w:rPr>
        <w:t xml:space="preserve"> Model evaluation: comparison of observed and model-based predicted percentiles</w:t>
      </w:r>
      <w:r w:rsidR="00DF42CD">
        <w:rPr>
          <w:lang w:val="en-GB"/>
        </w:rPr>
        <w:t xml:space="preserve"> (</w:t>
      </w:r>
      <w:r w:rsidRPr="0055305E">
        <w:rPr>
          <w:lang w:val="en-GB"/>
        </w:rPr>
        <w:t xml:space="preserve">semi-logarithmic scale). </w:t>
      </w:r>
      <w:r w:rsidRPr="0055305E">
        <w:rPr>
          <w:i/>
          <w:lang w:val="en-GB"/>
        </w:rPr>
        <w:t>Black dots</w:t>
      </w:r>
      <w:r w:rsidRPr="0055305E">
        <w:rPr>
          <w:lang w:val="en-GB"/>
        </w:rPr>
        <w:t xml:space="preserve">: observed concentrations. </w:t>
      </w:r>
      <w:r w:rsidRPr="0055305E">
        <w:rPr>
          <w:i/>
          <w:lang w:val="en-GB"/>
        </w:rPr>
        <w:t>solid line</w:t>
      </w:r>
      <w:r w:rsidRPr="0055305E">
        <w:rPr>
          <w:lang w:val="en-GB"/>
        </w:rPr>
        <w:t xml:space="preserve">: empirical median, </w:t>
      </w:r>
      <w:r w:rsidRPr="0055305E">
        <w:rPr>
          <w:i/>
          <w:lang w:val="en-GB"/>
        </w:rPr>
        <w:t>dashed lines</w:t>
      </w:r>
      <w:r w:rsidRPr="0055305E">
        <w:rPr>
          <w:lang w:val="en-GB"/>
        </w:rPr>
        <w:t>: empirical 2.5</w:t>
      </w:r>
      <w:r w:rsidRPr="0055305E">
        <w:rPr>
          <w:vertAlign w:val="superscript"/>
          <w:lang w:val="en-GB"/>
        </w:rPr>
        <w:t>th</w:t>
      </w:r>
      <w:r w:rsidRPr="0055305E">
        <w:rPr>
          <w:lang w:val="en-GB"/>
        </w:rPr>
        <w:t xml:space="preserve"> and 97.5</w:t>
      </w:r>
      <w:r w:rsidRPr="0055305E">
        <w:rPr>
          <w:vertAlign w:val="superscript"/>
          <w:lang w:val="en-GB"/>
        </w:rPr>
        <w:t>th</w:t>
      </w:r>
      <w:r w:rsidRPr="0055305E">
        <w:rPr>
          <w:lang w:val="en-GB"/>
        </w:rPr>
        <w:t xml:space="preserve"> percentiles (limiting the 95% prediction interval). </w:t>
      </w:r>
    </w:p>
    <w:p w14:paraId="23A43F07" w14:textId="77777777" w:rsidR="00C96ABD" w:rsidRPr="0055305E" w:rsidRDefault="00C96ABD" w:rsidP="00C96ABD">
      <w:pPr>
        <w:spacing w:line="276" w:lineRule="auto"/>
        <w:jc w:val="left"/>
        <w:rPr>
          <w:lang w:val="en-GB"/>
        </w:rPr>
      </w:pPr>
      <w:r w:rsidRPr="0055305E">
        <w:rPr>
          <w:lang w:val="en-GB"/>
        </w:rPr>
        <w:br w:type="page"/>
      </w:r>
    </w:p>
    <w:p w14:paraId="6F12A7BD" w14:textId="77777777" w:rsidR="00C96ABD" w:rsidRPr="0055305E" w:rsidRDefault="00C96ABD" w:rsidP="00C96ABD">
      <w:pPr>
        <w:spacing w:line="276" w:lineRule="auto"/>
        <w:jc w:val="left"/>
        <w:rPr>
          <w:b/>
          <w:lang w:val="en-GB"/>
        </w:rPr>
      </w:pPr>
      <w:r w:rsidRPr="0055305E">
        <w:rPr>
          <w:b/>
          <w:noProof/>
          <w:lang w:val="de-CH" w:eastAsia="de-CH"/>
        </w:rPr>
        <w:drawing>
          <wp:inline distT="0" distB="0" distL="0" distR="0" wp14:anchorId="30EE5FA7" wp14:editId="43D855A5">
            <wp:extent cx="3060000" cy="4590864"/>
            <wp:effectExtent l="0" t="0" r="7620" b="63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GOF_4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0000" cy="4590864"/>
                    </a:xfrm>
                    <a:prstGeom prst="rect">
                      <a:avLst/>
                    </a:prstGeom>
                  </pic:spPr>
                </pic:pic>
              </a:graphicData>
            </a:graphic>
          </wp:inline>
        </w:drawing>
      </w:r>
    </w:p>
    <w:p w14:paraId="39B9E057" w14:textId="04A526DC" w:rsidR="00C96ABD" w:rsidRPr="0055305E" w:rsidRDefault="00C96ABD" w:rsidP="00C96ABD">
      <w:pPr>
        <w:spacing w:line="276" w:lineRule="auto"/>
        <w:jc w:val="left"/>
        <w:rPr>
          <w:lang w:val="en-GB"/>
        </w:rPr>
      </w:pPr>
      <w:r w:rsidRPr="0055305E">
        <w:rPr>
          <w:b/>
          <w:lang w:val="en-GB"/>
        </w:rPr>
        <w:t>Figure S</w:t>
      </w:r>
      <w:r w:rsidR="00A4695F">
        <w:rPr>
          <w:b/>
          <w:lang w:val="en-GB"/>
        </w:rPr>
        <w:t>4</w:t>
      </w:r>
      <w:r w:rsidRPr="0055305E">
        <w:rPr>
          <w:b/>
          <w:lang w:val="en-GB"/>
        </w:rPr>
        <w:t>.4: Goodness-of fit plots.</w:t>
      </w:r>
      <w:r w:rsidRPr="0055305E">
        <w:rPr>
          <w:lang w:val="en-GB"/>
        </w:rPr>
        <w:t xml:space="preserve"> Observed versus population predicted concentrations (DV vs PRED) and residual plots (conditional weighted residuals, CWRES) over time (TIME) and population predictions (PRED). </w:t>
      </w:r>
      <w:r w:rsidRPr="0055305E">
        <w:rPr>
          <w:i/>
          <w:lang w:val="en-GB"/>
        </w:rPr>
        <w:t>Blue dots</w:t>
      </w:r>
      <w:r w:rsidRPr="0055305E">
        <w:rPr>
          <w:lang w:val="en-GB"/>
        </w:rPr>
        <w:t>: concentrations below lower limit of quantification.</w:t>
      </w:r>
    </w:p>
    <w:p w14:paraId="2AE04BFD" w14:textId="77777777" w:rsidR="00C96ABD" w:rsidRPr="0055305E" w:rsidRDefault="00C96ABD" w:rsidP="00C96ABD">
      <w:pPr>
        <w:spacing w:line="276" w:lineRule="auto"/>
        <w:jc w:val="left"/>
        <w:rPr>
          <w:lang w:val="en-GB"/>
        </w:rPr>
      </w:pPr>
    </w:p>
    <w:p w14:paraId="79CFEF57" w14:textId="77777777" w:rsidR="00C96ABD" w:rsidRPr="0055305E" w:rsidRDefault="00C96ABD" w:rsidP="00C96ABD">
      <w:pPr>
        <w:spacing w:line="276" w:lineRule="auto"/>
        <w:jc w:val="left"/>
        <w:rPr>
          <w:lang w:val="en-GB"/>
        </w:rPr>
      </w:pPr>
      <w:r w:rsidRPr="0055305E">
        <w:rPr>
          <w:lang w:val="en-GB"/>
        </w:rPr>
        <w:br w:type="page"/>
      </w:r>
    </w:p>
    <w:p w14:paraId="391DD2EB" w14:textId="4ED07BDF" w:rsidR="00C96ABD" w:rsidRPr="0055305E" w:rsidRDefault="00C96ABD" w:rsidP="00C96ABD">
      <w:pPr>
        <w:pStyle w:val="berschrift2"/>
        <w:rPr>
          <w:rFonts w:ascii="Cambria" w:hAnsi="Cambria"/>
        </w:rPr>
      </w:pPr>
      <w:r w:rsidRPr="0055305E">
        <w:rPr>
          <w:rFonts w:ascii="Cambria" w:hAnsi="Cambria"/>
        </w:rPr>
        <w:t>S</w:t>
      </w:r>
      <w:r w:rsidR="00A4695F">
        <w:rPr>
          <w:rFonts w:ascii="Cambria" w:hAnsi="Cambria"/>
        </w:rPr>
        <w:t>5</w:t>
      </w:r>
      <w:r w:rsidRPr="0055305E">
        <w:rPr>
          <w:rFonts w:ascii="Cambria" w:hAnsi="Cambria"/>
        </w:rPr>
        <w:t xml:space="preserve"> – Dose evaluation</w:t>
      </w:r>
    </w:p>
    <w:p w14:paraId="48315404" w14:textId="77777777" w:rsidR="00C96ABD" w:rsidRPr="0055305E" w:rsidRDefault="00C96ABD" w:rsidP="00C96ABD">
      <w:pPr>
        <w:spacing w:line="276" w:lineRule="auto"/>
        <w:jc w:val="left"/>
        <w:rPr>
          <w:lang w:val="en-GB"/>
        </w:rPr>
      </w:pPr>
      <w:r w:rsidRPr="0055305E">
        <w:rPr>
          <w:noProof/>
          <w:lang w:val="de-CH" w:eastAsia="de-CH"/>
        </w:rPr>
        <w:drawing>
          <wp:inline distT="0" distB="0" distL="0" distR="0" wp14:anchorId="5D5A7BD2" wp14:editId="734D222B">
            <wp:extent cx="5760720" cy="1534795"/>
            <wp:effectExtent l="0" t="0" r="0" b="825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CLci95_weight_4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1534795"/>
                    </a:xfrm>
                    <a:prstGeom prst="rect">
                      <a:avLst/>
                    </a:prstGeom>
                  </pic:spPr>
                </pic:pic>
              </a:graphicData>
            </a:graphic>
          </wp:inline>
        </w:drawing>
      </w:r>
    </w:p>
    <w:p w14:paraId="277104B5" w14:textId="2F2CEB76" w:rsidR="00C96ABD" w:rsidRPr="0055305E" w:rsidRDefault="00C96ABD" w:rsidP="00C96ABD">
      <w:pPr>
        <w:spacing w:line="276" w:lineRule="auto"/>
        <w:jc w:val="left"/>
        <w:rPr>
          <w:lang w:val="en-GB"/>
        </w:rPr>
      </w:pPr>
      <w:r w:rsidRPr="0055305E">
        <w:rPr>
          <w:b/>
          <w:lang w:val="en-GB"/>
        </w:rPr>
        <w:t>Figure S</w:t>
      </w:r>
      <w:r w:rsidR="00A4695F">
        <w:rPr>
          <w:b/>
          <w:lang w:val="en-GB"/>
        </w:rPr>
        <w:t>5</w:t>
      </w:r>
      <w:r w:rsidRPr="0055305E">
        <w:rPr>
          <w:b/>
          <w:lang w:val="en-GB"/>
        </w:rPr>
        <w:t>.1:</w:t>
      </w:r>
      <w:r w:rsidRPr="0055305E">
        <w:rPr>
          <w:lang w:val="en-GB"/>
        </w:rPr>
        <w:t xml:space="preserve"> Illustration of model-predicted typical clearance for patients of different age and weight with 95% confidence intervals (shaded areas). Weight for age bands was simulated according to WHO percentiles curves.</w:t>
      </w:r>
    </w:p>
    <w:p w14:paraId="35CE52C5" w14:textId="77777777" w:rsidR="00C96ABD" w:rsidRPr="0055305E" w:rsidRDefault="00C96ABD" w:rsidP="00C96ABD">
      <w:pPr>
        <w:spacing w:line="276" w:lineRule="auto"/>
        <w:jc w:val="left"/>
        <w:rPr>
          <w:lang w:val="en-GB"/>
        </w:rPr>
      </w:pPr>
    </w:p>
    <w:p w14:paraId="474A2030" w14:textId="77777777" w:rsidR="00C96ABD" w:rsidRPr="0055305E" w:rsidRDefault="00C96ABD" w:rsidP="00C96ABD">
      <w:pPr>
        <w:spacing w:line="276" w:lineRule="auto"/>
        <w:jc w:val="left"/>
        <w:rPr>
          <w:lang w:val="en-GB"/>
        </w:rPr>
      </w:pPr>
      <w:r w:rsidRPr="0055305E">
        <w:rPr>
          <w:noProof/>
          <w:lang w:val="de-CH" w:eastAsia="de-CH"/>
        </w:rPr>
        <w:drawing>
          <wp:inline distT="0" distB="0" distL="0" distR="0" wp14:anchorId="7124C7A0" wp14:editId="2B0B36A5">
            <wp:extent cx="3057150" cy="3057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_AUCci95_weight_nca_log_4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7150" cy="3057150"/>
                    </a:xfrm>
                    <a:prstGeom prst="rect">
                      <a:avLst/>
                    </a:prstGeom>
                  </pic:spPr>
                </pic:pic>
              </a:graphicData>
            </a:graphic>
          </wp:inline>
        </w:drawing>
      </w:r>
    </w:p>
    <w:p w14:paraId="01C1BC5D" w14:textId="6951D259" w:rsidR="00C96ABD" w:rsidRPr="0055305E" w:rsidRDefault="00C96ABD" w:rsidP="00C96ABD">
      <w:pPr>
        <w:spacing w:line="276" w:lineRule="auto"/>
        <w:jc w:val="left"/>
        <w:rPr>
          <w:lang w:val="en-GB"/>
        </w:rPr>
      </w:pPr>
      <w:r w:rsidRPr="0055305E">
        <w:rPr>
          <w:b/>
          <w:lang w:val="en-GB"/>
        </w:rPr>
        <w:t>Figure S</w:t>
      </w:r>
      <w:r w:rsidR="00A4695F">
        <w:rPr>
          <w:b/>
          <w:lang w:val="en-GB"/>
        </w:rPr>
        <w:t>5</w:t>
      </w:r>
      <w:r w:rsidRPr="0055305E">
        <w:rPr>
          <w:b/>
          <w:lang w:val="en-GB"/>
        </w:rPr>
        <w:t>.2:</w:t>
      </w:r>
      <w:r w:rsidRPr="0055305E">
        <w:rPr>
          <w:lang w:val="en-GB"/>
        </w:rPr>
        <w:t xml:space="preserve"> Comparison of model-based AUC predictions (typical value with 95%CI) with individual AUC estimates from model-based (black dots) and non-compartmental analysis (open circles). Weight for age bands were simulated according to WHO percentiles curves. </w:t>
      </w:r>
      <w:r w:rsidRPr="0055305E">
        <w:rPr>
          <w:i/>
          <w:lang w:val="en-GB"/>
        </w:rPr>
        <w:t>Black horizontal lines</w:t>
      </w:r>
      <w:r w:rsidRPr="0055305E">
        <w:rPr>
          <w:lang w:val="en-GB"/>
        </w:rPr>
        <w:t>: reference AUC in healthy volunteers receiving a dose of 500 mg or 1000 mg metamizole (AUC</w:t>
      </w:r>
      <w:r w:rsidRPr="0055305E">
        <w:rPr>
          <w:vertAlign w:val="subscript"/>
          <w:lang w:val="en-GB"/>
        </w:rPr>
        <w:t>500</w:t>
      </w:r>
      <w:r w:rsidRPr="0055305E">
        <w:rPr>
          <w:lang w:val="en-GB"/>
        </w:rPr>
        <w:t>, AUC</w:t>
      </w:r>
      <w:r w:rsidRPr="0055305E">
        <w:rPr>
          <w:vertAlign w:val="subscript"/>
          <w:lang w:val="en-GB"/>
        </w:rPr>
        <w:t>1000</w:t>
      </w:r>
      <w:r w:rsidRPr="0055305E">
        <w:rPr>
          <w:lang w:val="en-GB"/>
        </w:rPr>
        <w:t xml:space="preserve">). </w:t>
      </w:r>
      <w:r w:rsidRPr="0055305E">
        <w:rPr>
          <w:i/>
          <w:lang w:val="en-GB"/>
        </w:rPr>
        <w:t>Dashed horizontal line</w:t>
      </w:r>
      <w:r w:rsidRPr="0055305E">
        <w:rPr>
          <w:lang w:val="en-GB"/>
        </w:rPr>
        <w:t>: 2-fold increase in AUC</w:t>
      </w:r>
      <w:r w:rsidRPr="0055305E">
        <w:rPr>
          <w:vertAlign w:val="subscript"/>
          <w:lang w:val="en-GB"/>
        </w:rPr>
        <w:t>1000</w:t>
      </w:r>
      <w:r w:rsidRPr="0055305E">
        <w:rPr>
          <w:lang w:val="en-GB"/>
        </w:rPr>
        <w:t>).</w:t>
      </w:r>
    </w:p>
    <w:p w14:paraId="0063F6FC" w14:textId="77777777" w:rsidR="00283B52" w:rsidRPr="0055305E" w:rsidRDefault="00283B52"/>
    <w:sectPr w:rsidR="00283B52" w:rsidRPr="0055305E" w:rsidSect="0055305E">
      <w:headerReference w:type="default" r:id="rId15"/>
      <w:footerReference w:type="default" r:id="rId16"/>
      <w:pgSz w:w="11906" w:h="16838" w:code="9"/>
      <w:pgMar w:top="2268" w:right="1418" w:bottom="1134"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3444B" w14:textId="77777777" w:rsidR="006B405F" w:rsidRDefault="006B405F" w:rsidP="0055305E">
      <w:pPr>
        <w:spacing w:after="0" w:line="240" w:lineRule="auto"/>
      </w:pPr>
      <w:r>
        <w:separator/>
      </w:r>
    </w:p>
  </w:endnote>
  <w:endnote w:type="continuationSeparator" w:id="0">
    <w:p w14:paraId="1AC18CC7" w14:textId="77777777" w:rsidR="006B405F" w:rsidRDefault="006B405F" w:rsidP="0055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
    <w:charset w:val="80"/>
    <w:family w:val="auto"/>
    <w:pitch w:val="variable"/>
    <w:sig w:usb0="00000001" w:usb1="08070000" w:usb2="00000010" w:usb3="00000000" w:csb0="00020000"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34029"/>
      <w:docPartObj>
        <w:docPartGallery w:val="Page Numbers (Bottom of Page)"/>
        <w:docPartUnique/>
      </w:docPartObj>
    </w:sdtPr>
    <w:sdtEndPr/>
    <w:sdtContent>
      <w:p w14:paraId="3DED66DE" w14:textId="003222AA" w:rsidR="00CD3017" w:rsidRDefault="00C2335F">
        <w:pPr>
          <w:pStyle w:val="Fuzeile"/>
          <w:jc w:val="right"/>
        </w:pPr>
        <w:r>
          <w:fldChar w:fldCharType="begin"/>
        </w:r>
        <w:r>
          <w:instrText>PAGE   \* MERGEFORMAT</w:instrText>
        </w:r>
        <w:r>
          <w:fldChar w:fldCharType="separate"/>
        </w:r>
        <w:r w:rsidR="00805048">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E248" w14:textId="77777777" w:rsidR="006B405F" w:rsidRDefault="006B405F" w:rsidP="0055305E">
      <w:pPr>
        <w:spacing w:after="0" w:line="240" w:lineRule="auto"/>
      </w:pPr>
      <w:r>
        <w:separator/>
      </w:r>
    </w:p>
  </w:footnote>
  <w:footnote w:type="continuationSeparator" w:id="0">
    <w:p w14:paraId="1832DEE4" w14:textId="77777777" w:rsidR="006B405F" w:rsidRDefault="006B405F" w:rsidP="0055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849A2" w14:textId="77777777" w:rsidR="0055305E" w:rsidRDefault="0055305E">
    <w:pPr>
      <w:pStyle w:val="Kopfzeile"/>
      <w:rPr>
        <w:b/>
        <w:lang w:val="en-US"/>
      </w:rPr>
    </w:pPr>
    <w:r>
      <w:rPr>
        <w:b/>
        <w:lang w:val="en-US"/>
      </w:rPr>
      <w:t>SUPPLEMENTAL MATERIAL</w:t>
    </w:r>
  </w:p>
  <w:p w14:paraId="2C9D8F10" w14:textId="4ACCBADB" w:rsidR="0055305E" w:rsidRPr="0055305E" w:rsidRDefault="00A4695F">
    <w:pPr>
      <w:pStyle w:val="Kopfzeile"/>
      <w:rPr>
        <w:b/>
        <w:lang w:val="en-US"/>
      </w:rPr>
    </w:pPr>
    <w:r>
      <w:rPr>
        <w:b/>
        <w:lang w:val="en-US"/>
      </w:rPr>
      <w:t xml:space="preserve">Ziesenitz et al. 2019: </w:t>
    </w:r>
    <w:r w:rsidR="0055305E" w:rsidRPr="0055305E">
      <w:rPr>
        <w:b/>
        <w:lang w:val="en-US"/>
      </w:rPr>
      <w:t>Dose evaluation of intravenous metamizole (dipyrone) in infants and children: a prospective population pharmacokinetic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05C5F"/>
    <w:multiLevelType w:val="multilevel"/>
    <w:tmpl w:val="300A6FE6"/>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esenitz">
    <w15:presenceInfo w15:providerId="None" w15:userId="Ziesen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BD"/>
    <w:rsid w:val="00044B6E"/>
    <w:rsid w:val="00277172"/>
    <w:rsid w:val="00283B52"/>
    <w:rsid w:val="004E5103"/>
    <w:rsid w:val="0055305E"/>
    <w:rsid w:val="006B405F"/>
    <w:rsid w:val="00762FC1"/>
    <w:rsid w:val="00805048"/>
    <w:rsid w:val="00A16D39"/>
    <w:rsid w:val="00A35A3A"/>
    <w:rsid w:val="00A4695F"/>
    <w:rsid w:val="00B04E08"/>
    <w:rsid w:val="00C050C4"/>
    <w:rsid w:val="00C2335F"/>
    <w:rsid w:val="00C709D0"/>
    <w:rsid w:val="00C96ABD"/>
    <w:rsid w:val="00DE41C1"/>
    <w:rsid w:val="00DF42CD"/>
    <w:rsid w:val="00EB710C"/>
    <w:rsid w:val="00EC2BBA"/>
    <w:rsid w:val="00FC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6ABD"/>
    <w:pPr>
      <w:spacing w:after="200" w:line="360" w:lineRule="auto"/>
      <w:jc w:val="both"/>
    </w:pPr>
    <w:rPr>
      <w:rFonts w:ascii="Cambria" w:hAnsi="Cambria"/>
      <w:lang w:val="fr-FR"/>
    </w:rPr>
  </w:style>
  <w:style w:type="paragraph" w:styleId="berschrift1">
    <w:name w:val="heading 1"/>
    <w:basedOn w:val="Standard"/>
    <w:next w:val="Standard"/>
    <w:link w:val="berschrift1Zchn"/>
    <w:uiPriority w:val="9"/>
    <w:qFormat/>
    <w:rsid w:val="00C96ABD"/>
    <w:pPr>
      <w:keepNext/>
      <w:keepLines/>
      <w:widowControl w:val="0"/>
      <w:numPr>
        <w:numId w:val="1"/>
      </w:numPr>
      <w:spacing w:before="480" w:after="240"/>
      <w:outlineLvl w:val="0"/>
    </w:pPr>
    <w:rPr>
      <w:rFonts w:ascii="Helvetica" w:eastAsia="MS Gothic" w:hAnsi="Helvetica"/>
      <w:b/>
      <w:bCs/>
      <w:caps/>
      <w:sz w:val="24"/>
      <w:szCs w:val="24"/>
      <w:lang w:val="en-GB" w:eastAsia="ja-JP"/>
    </w:rPr>
  </w:style>
  <w:style w:type="paragraph" w:styleId="berschrift2">
    <w:name w:val="heading 2"/>
    <w:basedOn w:val="Standard"/>
    <w:next w:val="Standard"/>
    <w:link w:val="berschrift2Zchn"/>
    <w:autoRedefine/>
    <w:uiPriority w:val="99"/>
    <w:qFormat/>
    <w:rsid w:val="00C96ABD"/>
    <w:pPr>
      <w:keepNext/>
      <w:keepLines/>
      <w:spacing w:after="0" w:line="480" w:lineRule="auto"/>
      <w:outlineLvl w:val="1"/>
    </w:pPr>
    <w:rPr>
      <w:rFonts w:ascii="Helvetica" w:eastAsia="MS ????" w:hAnsi="Helvetica" w:cs="Helvetica"/>
      <w:b/>
      <w:bCs/>
      <w:sz w:val="24"/>
      <w:szCs w:val="24"/>
      <w:lang w:val="en-GB" w:eastAsia="de-DE"/>
    </w:rPr>
  </w:style>
  <w:style w:type="paragraph" w:styleId="berschrift3">
    <w:name w:val="heading 3"/>
    <w:basedOn w:val="Standard"/>
    <w:next w:val="Standard"/>
    <w:link w:val="berschrift3Zchn"/>
    <w:autoRedefine/>
    <w:uiPriority w:val="9"/>
    <w:unhideWhenUsed/>
    <w:qFormat/>
    <w:rsid w:val="00C96ABD"/>
    <w:pPr>
      <w:keepNext/>
      <w:keepLines/>
      <w:widowControl w:val="0"/>
      <w:numPr>
        <w:ilvl w:val="2"/>
        <w:numId w:val="1"/>
      </w:numPr>
      <w:spacing w:after="0" w:line="480" w:lineRule="auto"/>
      <w:outlineLvl w:val="2"/>
    </w:pPr>
    <w:rPr>
      <w:rFonts w:ascii="Helvetica" w:eastAsia="MS Gothic" w:hAnsi="Helvetica" w:cs="Helvetica"/>
      <w:b/>
      <w:bCs/>
      <w:szCs w:val="24"/>
      <w:lang w:val="en-GB" w:eastAsia="ja-JP"/>
    </w:rPr>
  </w:style>
  <w:style w:type="paragraph" w:styleId="berschrift4">
    <w:name w:val="heading 4"/>
    <w:basedOn w:val="berschrift2"/>
    <w:next w:val="Standard"/>
    <w:link w:val="berschrift4Zchn"/>
    <w:uiPriority w:val="9"/>
    <w:unhideWhenUsed/>
    <w:qFormat/>
    <w:rsid w:val="00C96ABD"/>
    <w:pPr>
      <w:numPr>
        <w:ilvl w:val="3"/>
        <w:numId w:val="1"/>
      </w:numPr>
      <w:outlineLvl w:val="3"/>
    </w:pPr>
  </w:style>
  <w:style w:type="paragraph" w:styleId="berschrift5">
    <w:name w:val="heading 5"/>
    <w:basedOn w:val="Standard"/>
    <w:next w:val="Standard"/>
    <w:link w:val="berschrift5Zchn"/>
    <w:uiPriority w:val="9"/>
    <w:unhideWhenUsed/>
    <w:qFormat/>
    <w:rsid w:val="00C96ABD"/>
    <w:pPr>
      <w:keepNext/>
      <w:keepLines/>
      <w:widowControl w:val="0"/>
      <w:numPr>
        <w:ilvl w:val="4"/>
        <w:numId w:val="1"/>
      </w:numPr>
      <w:spacing w:before="200" w:after="0"/>
      <w:outlineLvl w:val="4"/>
    </w:pPr>
    <w:rPr>
      <w:rFonts w:ascii="Calibri" w:eastAsia="MS Gothic" w:hAnsi="Calibri"/>
      <w:color w:val="243F60"/>
      <w:lang w:val="en-GB" w:eastAsia="ja-JP"/>
    </w:rPr>
  </w:style>
  <w:style w:type="paragraph" w:styleId="berschrift6">
    <w:name w:val="heading 6"/>
    <w:basedOn w:val="Standard"/>
    <w:next w:val="Standard"/>
    <w:link w:val="berschrift6Zchn"/>
    <w:uiPriority w:val="9"/>
    <w:unhideWhenUsed/>
    <w:qFormat/>
    <w:rsid w:val="00C96ABD"/>
    <w:pPr>
      <w:keepNext/>
      <w:keepLines/>
      <w:widowControl w:val="0"/>
      <w:numPr>
        <w:ilvl w:val="5"/>
        <w:numId w:val="1"/>
      </w:numPr>
      <w:spacing w:before="200" w:after="0"/>
      <w:outlineLvl w:val="5"/>
    </w:pPr>
    <w:rPr>
      <w:rFonts w:ascii="Calibri" w:eastAsia="MS Gothic" w:hAnsi="Calibri"/>
      <w:i/>
      <w:iCs/>
      <w:color w:val="243F60"/>
      <w:lang w:val="en-GB" w:eastAsia="ja-JP"/>
    </w:rPr>
  </w:style>
  <w:style w:type="paragraph" w:styleId="berschrift7">
    <w:name w:val="heading 7"/>
    <w:basedOn w:val="Standard"/>
    <w:next w:val="Standard"/>
    <w:link w:val="berschrift7Zchn"/>
    <w:uiPriority w:val="9"/>
    <w:semiHidden/>
    <w:unhideWhenUsed/>
    <w:qFormat/>
    <w:rsid w:val="00C96ABD"/>
    <w:pPr>
      <w:keepNext/>
      <w:keepLines/>
      <w:widowControl w:val="0"/>
      <w:numPr>
        <w:ilvl w:val="6"/>
        <w:numId w:val="1"/>
      </w:numPr>
      <w:spacing w:before="200" w:after="0"/>
      <w:outlineLvl w:val="6"/>
    </w:pPr>
    <w:rPr>
      <w:rFonts w:ascii="Calibri" w:eastAsia="MS Gothic" w:hAnsi="Calibri"/>
      <w:i/>
      <w:iCs/>
      <w:color w:val="404040"/>
      <w:lang w:val="en-GB" w:eastAsia="ja-JP"/>
    </w:rPr>
  </w:style>
  <w:style w:type="paragraph" w:styleId="berschrift8">
    <w:name w:val="heading 8"/>
    <w:basedOn w:val="Standard"/>
    <w:next w:val="Standard"/>
    <w:link w:val="berschrift8Zchn"/>
    <w:uiPriority w:val="9"/>
    <w:semiHidden/>
    <w:unhideWhenUsed/>
    <w:qFormat/>
    <w:rsid w:val="00C96ABD"/>
    <w:pPr>
      <w:keepNext/>
      <w:keepLines/>
      <w:widowControl w:val="0"/>
      <w:numPr>
        <w:ilvl w:val="7"/>
        <w:numId w:val="1"/>
      </w:numPr>
      <w:spacing w:before="200" w:after="0"/>
      <w:outlineLvl w:val="7"/>
    </w:pPr>
    <w:rPr>
      <w:rFonts w:ascii="Calibri" w:eastAsia="MS Gothic" w:hAnsi="Calibri"/>
      <w:color w:val="404040"/>
      <w:lang w:val="en-GB" w:eastAsia="ja-JP"/>
    </w:rPr>
  </w:style>
  <w:style w:type="paragraph" w:styleId="berschrift9">
    <w:name w:val="heading 9"/>
    <w:basedOn w:val="Standard"/>
    <w:next w:val="Standard"/>
    <w:link w:val="berschrift9Zchn"/>
    <w:uiPriority w:val="9"/>
    <w:semiHidden/>
    <w:unhideWhenUsed/>
    <w:qFormat/>
    <w:rsid w:val="00C96ABD"/>
    <w:pPr>
      <w:keepNext/>
      <w:keepLines/>
      <w:widowControl w:val="0"/>
      <w:numPr>
        <w:ilvl w:val="8"/>
        <w:numId w:val="1"/>
      </w:numPr>
      <w:spacing w:before="200" w:after="0"/>
      <w:outlineLvl w:val="8"/>
    </w:pPr>
    <w:rPr>
      <w:rFonts w:ascii="Calibri" w:eastAsia="MS Gothic" w:hAnsi="Calibri"/>
      <w:i/>
      <w:iCs/>
      <w:color w:val="404040"/>
      <w:lang w:val="en-GB"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ABD"/>
    <w:rPr>
      <w:rFonts w:ascii="Helvetica" w:eastAsia="MS Gothic" w:hAnsi="Helvetica"/>
      <w:b/>
      <w:bCs/>
      <w:caps/>
      <w:sz w:val="24"/>
      <w:szCs w:val="24"/>
      <w:lang w:val="en-GB" w:eastAsia="ja-JP"/>
    </w:rPr>
  </w:style>
  <w:style w:type="character" w:customStyle="1" w:styleId="berschrift2Zchn">
    <w:name w:val="Überschrift 2 Zchn"/>
    <w:basedOn w:val="Absatz-Standardschriftart"/>
    <w:link w:val="berschrift2"/>
    <w:uiPriority w:val="99"/>
    <w:rsid w:val="00C96ABD"/>
    <w:rPr>
      <w:rFonts w:ascii="Helvetica" w:eastAsia="MS ????" w:hAnsi="Helvetica" w:cs="Helvetica"/>
      <w:b/>
      <w:bCs/>
      <w:sz w:val="24"/>
      <w:szCs w:val="24"/>
      <w:lang w:val="en-GB" w:eastAsia="de-DE"/>
    </w:rPr>
  </w:style>
  <w:style w:type="character" w:customStyle="1" w:styleId="berschrift3Zchn">
    <w:name w:val="Überschrift 3 Zchn"/>
    <w:basedOn w:val="Absatz-Standardschriftart"/>
    <w:link w:val="berschrift3"/>
    <w:uiPriority w:val="9"/>
    <w:rsid w:val="00C96ABD"/>
    <w:rPr>
      <w:rFonts w:ascii="Helvetica" w:eastAsia="MS Gothic" w:hAnsi="Helvetica" w:cs="Helvetica"/>
      <w:b/>
      <w:bCs/>
      <w:szCs w:val="24"/>
      <w:lang w:val="en-GB" w:eastAsia="ja-JP"/>
    </w:rPr>
  </w:style>
  <w:style w:type="character" w:customStyle="1" w:styleId="berschrift4Zchn">
    <w:name w:val="Überschrift 4 Zchn"/>
    <w:basedOn w:val="Absatz-Standardschriftart"/>
    <w:link w:val="berschrift4"/>
    <w:uiPriority w:val="9"/>
    <w:rsid w:val="00C96ABD"/>
    <w:rPr>
      <w:rFonts w:ascii="Helvetica" w:eastAsia="MS ????" w:hAnsi="Helvetica" w:cs="Helvetica"/>
      <w:b/>
      <w:bCs/>
      <w:sz w:val="24"/>
      <w:szCs w:val="24"/>
      <w:lang w:val="en-GB" w:eastAsia="de-DE"/>
    </w:rPr>
  </w:style>
  <w:style w:type="character" w:customStyle="1" w:styleId="berschrift5Zchn">
    <w:name w:val="Überschrift 5 Zchn"/>
    <w:basedOn w:val="Absatz-Standardschriftart"/>
    <w:link w:val="berschrift5"/>
    <w:uiPriority w:val="9"/>
    <w:rsid w:val="00C96ABD"/>
    <w:rPr>
      <w:rFonts w:ascii="Calibri" w:eastAsia="MS Gothic" w:hAnsi="Calibri"/>
      <w:color w:val="243F60"/>
      <w:lang w:val="en-GB" w:eastAsia="ja-JP"/>
    </w:rPr>
  </w:style>
  <w:style w:type="character" w:customStyle="1" w:styleId="berschrift6Zchn">
    <w:name w:val="Überschrift 6 Zchn"/>
    <w:basedOn w:val="Absatz-Standardschriftart"/>
    <w:link w:val="berschrift6"/>
    <w:uiPriority w:val="9"/>
    <w:rsid w:val="00C96ABD"/>
    <w:rPr>
      <w:rFonts w:ascii="Calibri" w:eastAsia="MS Gothic" w:hAnsi="Calibri"/>
      <w:i/>
      <w:iCs/>
      <w:color w:val="243F60"/>
      <w:lang w:val="en-GB" w:eastAsia="ja-JP"/>
    </w:rPr>
  </w:style>
  <w:style w:type="character" w:customStyle="1" w:styleId="berschrift7Zchn">
    <w:name w:val="Überschrift 7 Zchn"/>
    <w:basedOn w:val="Absatz-Standardschriftart"/>
    <w:link w:val="berschrift7"/>
    <w:uiPriority w:val="9"/>
    <w:semiHidden/>
    <w:rsid w:val="00C96ABD"/>
    <w:rPr>
      <w:rFonts w:ascii="Calibri" w:eastAsia="MS Gothic" w:hAnsi="Calibri"/>
      <w:i/>
      <w:iCs/>
      <w:color w:val="404040"/>
      <w:lang w:val="en-GB" w:eastAsia="ja-JP"/>
    </w:rPr>
  </w:style>
  <w:style w:type="character" w:customStyle="1" w:styleId="berschrift8Zchn">
    <w:name w:val="Überschrift 8 Zchn"/>
    <w:basedOn w:val="Absatz-Standardschriftart"/>
    <w:link w:val="berschrift8"/>
    <w:uiPriority w:val="9"/>
    <w:semiHidden/>
    <w:rsid w:val="00C96ABD"/>
    <w:rPr>
      <w:rFonts w:ascii="Calibri" w:eastAsia="MS Gothic" w:hAnsi="Calibri"/>
      <w:color w:val="404040"/>
      <w:lang w:val="en-GB" w:eastAsia="ja-JP"/>
    </w:rPr>
  </w:style>
  <w:style w:type="character" w:customStyle="1" w:styleId="berschrift9Zchn">
    <w:name w:val="Überschrift 9 Zchn"/>
    <w:basedOn w:val="Absatz-Standardschriftart"/>
    <w:link w:val="berschrift9"/>
    <w:uiPriority w:val="9"/>
    <w:semiHidden/>
    <w:rsid w:val="00C96ABD"/>
    <w:rPr>
      <w:rFonts w:ascii="Calibri" w:eastAsia="MS Gothic" w:hAnsi="Calibri"/>
      <w:i/>
      <w:iCs/>
      <w:color w:val="404040"/>
      <w:lang w:val="en-GB" w:eastAsia="ja-JP"/>
    </w:rPr>
  </w:style>
  <w:style w:type="paragraph" w:styleId="Fuzeile">
    <w:name w:val="footer"/>
    <w:basedOn w:val="Standard"/>
    <w:link w:val="FuzeileZchn"/>
    <w:uiPriority w:val="99"/>
    <w:unhideWhenUsed/>
    <w:rsid w:val="00C96ABD"/>
    <w:pPr>
      <w:tabs>
        <w:tab w:val="center" w:pos="4536"/>
        <w:tab w:val="right" w:pos="9072"/>
      </w:tabs>
      <w:spacing w:after="0"/>
    </w:pPr>
  </w:style>
  <w:style w:type="character" w:customStyle="1" w:styleId="FuzeileZchn">
    <w:name w:val="Fußzeile Zchn"/>
    <w:basedOn w:val="Absatz-Standardschriftart"/>
    <w:link w:val="Fuzeile"/>
    <w:uiPriority w:val="99"/>
    <w:rsid w:val="00C96ABD"/>
    <w:rPr>
      <w:rFonts w:ascii="Cambria" w:hAnsi="Cambria"/>
      <w:lang w:val="fr-FR"/>
    </w:rPr>
  </w:style>
  <w:style w:type="character" w:styleId="Kommentarzeichen">
    <w:name w:val="annotation reference"/>
    <w:basedOn w:val="Absatz-Standardschriftart"/>
    <w:uiPriority w:val="99"/>
    <w:semiHidden/>
    <w:unhideWhenUsed/>
    <w:rsid w:val="00C96ABD"/>
    <w:rPr>
      <w:sz w:val="16"/>
      <w:szCs w:val="16"/>
    </w:rPr>
  </w:style>
  <w:style w:type="paragraph" w:styleId="Kommentartext">
    <w:name w:val="annotation text"/>
    <w:basedOn w:val="Standard"/>
    <w:link w:val="KommentartextZchn"/>
    <w:uiPriority w:val="99"/>
    <w:unhideWhenUsed/>
    <w:rsid w:val="00C96ABD"/>
  </w:style>
  <w:style w:type="character" w:customStyle="1" w:styleId="KommentartextZchn">
    <w:name w:val="Kommentartext Zchn"/>
    <w:basedOn w:val="Absatz-Standardschriftart"/>
    <w:link w:val="Kommentartext"/>
    <w:uiPriority w:val="99"/>
    <w:rsid w:val="00C96ABD"/>
    <w:rPr>
      <w:rFonts w:ascii="Cambria" w:hAnsi="Cambria"/>
      <w:lang w:val="fr-FR"/>
    </w:rPr>
  </w:style>
  <w:style w:type="character" w:styleId="Zeilennummer">
    <w:name w:val="line number"/>
    <w:basedOn w:val="Absatz-Standardschriftart"/>
    <w:uiPriority w:val="99"/>
    <w:semiHidden/>
    <w:unhideWhenUsed/>
    <w:rsid w:val="00C96ABD"/>
  </w:style>
  <w:style w:type="paragraph" w:styleId="Sprechblasentext">
    <w:name w:val="Balloon Text"/>
    <w:basedOn w:val="Standard"/>
    <w:link w:val="SprechblasentextZchn"/>
    <w:uiPriority w:val="99"/>
    <w:semiHidden/>
    <w:unhideWhenUsed/>
    <w:rsid w:val="00C96A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ABD"/>
    <w:rPr>
      <w:rFonts w:ascii="Segoe UI" w:hAnsi="Segoe UI" w:cs="Segoe UI"/>
      <w:sz w:val="18"/>
      <w:szCs w:val="18"/>
      <w:lang w:val="fr-FR"/>
    </w:rPr>
  </w:style>
  <w:style w:type="paragraph" w:styleId="Kopfzeile">
    <w:name w:val="header"/>
    <w:basedOn w:val="Standard"/>
    <w:link w:val="KopfzeileZchn"/>
    <w:uiPriority w:val="99"/>
    <w:unhideWhenUsed/>
    <w:rsid w:val="0055305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5305E"/>
    <w:rPr>
      <w:rFonts w:ascii="Cambria" w:hAnsi="Cambria"/>
      <w:lang w:val="fr-FR"/>
    </w:rPr>
  </w:style>
  <w:style w:type="paragraph" w:styleId="Kommentarthema">
    <w:name w:val="annotation subject"/>
    <w:basedOn w:val="Kommentartext"/>
    <w:next w:val="Kommentartext"/>
    <w:link w:val="KommentarthemaZchn"/>
    <w:uiPriority w:val="99"/>
    <w:semiHidden/>
    <w:unhideWhenUsed/>
    <w:rsid w:val="00A35A3A"/>
    <w:pPr>
      <w:spacing w:line="240" w:lineRule="auto"/>
    </w:pPr>
    <w:rPr>
      <w:b/>
      <w:bCs/>
      <w:sz w:val="20"/>
      <w:szCs w:val="20"/>
    </w:rPr>
  </w:style>
  <w:style w:type="character" w:customStyle="1" w:styleId="KommentarthemaZchn">
    <w:name w:val="Kommentarthema Zchn"/>
    <w:basedOn w:val="KommentartextZchn"/>
    <w:link w:val="Kommentarthema"/>
    <w:uiPriority w:val="99"/>
    <w:semiHidden/>
    <w:rsid w:val="00A35A3A"/>
    <w:rPr>
      <w:rFonts w:ascii="Cambria" w:hAnsi="Cambria"/>
      <w:b/>
      <w:bCs/>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6ABD"/>
    <w:pPr>
      <w:spacing w:after="200" w:line="360" w:lineRule="auto"/>
      <w:jc w:val="both"/>
    </w:pPr>
    <w:rPr>
      <w:rFonts w:ascii="Cambria" w:hAnsi="Cambria"/>
      <w:lang w:val="fr-FR"/>
    </w:rPr>
  </w:style>
  <w:style w:type="paragraph" w:styleId="berschrift1">
    <w:name w:val="heading 1"/>
    <w:basedOn w:val="Standard"/>
    <w:next w:val="Standard"/>
    <w:link w:val="berschrift1Zchn"/>
    <w:uiPriority w:val="9"/>
    <w:qFormat/>
    <w:rsid w:val="00C96ABD"/>
    <w:pPr>
      <w:keepNext/>
      <w:keepLines/>
      <w:widowControl w:val="0"/>
      <w:numPr>
        <w:numId w:val="1"/>
      </w:numPr>
      <w:spacing w:before="480" w:after="240"/>
      <w:outlineLvl w:val="0"/>
    </w:pPr>
    <w:rPr>
      <w:rFonts w:ascii="Helvetica" w:eastAsia="MS Gothic" w:hAnsi="Helvetica"/>
      <w:b/>
      <w:bCs/>
      <w:caps/>
      <w:sz w:val="24"/>
      <w:szCs w:val="24"/>
      <w:lang w:val="en-GB" w:eastAsia="ja-JP"/>
    </w:rPr>
  </w:style>
  <w:style w:type="paragraph" w:styleId="berschrift2">
    <w:name w:val="heading 2"/>
    <w:basedOn w:val="Standard"/>
    <w:next w:val="Standard"/>
    <w:link w:val="berschrift2Zchn"/>
    <w:autoRedefine/>
    <w:uiPriority w:val="99"/>
    <w:qFormat/>
    <w:rsid w:val="00C96ABD"/>
    <w:pPr>
      <w:keepNext/>
      <w:keepLines/>
      <w:spacing w:after="0" w:line="480" w:lineRule="auto"/>
      <w:outlineLvl w:val="1"/>
    </w:pPr>
    <w:rPr>
      <w:rFonts w:ascii="Helvetica" w:eastAsia="MS ????" w:hAnsi="Helvetica" w:cs="Helvetica"/>
      <w:b/>
      <w:bCs/>
      <w:sz w:val="24"/>
      <w:szCs w:val="24"/>
      <w:lang w:val="en-GB" w:eastAsia="de-DE"/>
    </w:rPr>
  </w:style>
  <w:style w:type="paragraph" w:styleId="berschrift3">
    <w:name w:val="heading 3"/>
    <w:basedOn w:val="Standard"/>
    <w:next w:val="Standard"/>
    <w:link w:val="berschrift3Zchn"/>
    <w:autoRedefine/>
    <w:uiPriority w:val="9"/>
    <w:unhideWhenUsed/>
    <w:qFormat/>
    <w:rsid w:val="00C96ABD"/>
    <w:pPr>
      <w:keepNext/>
      <w:keepLines/>
      <w:widowControl w:val="0"/>
      <w:numPr>
        <w:ilvl w:val="2"/>
        <w:numId w:val="1"/>
      </w:numPr>
      <w:spacing w:after="0" w:line="480" w:lineRule="auto"/>
      <w:outlineLvl w:val="2"/>
    </w:pPr>
    <w:rPr>
      <w:rFonts w:ascii="Helvetica" w:eastAsia="MS Gothic" w:hAnsi="Helvetica" w:cs="Helvetica"/>
      <w:b/>
      <w:bCs/>
      <w:szCs w:val="24"/>
      <w:lang w:val="en-GB" w:eastAsia="ja-JP"/>
    </w:rPr>
  </w:style>
  <w:style w:type="paragraph" w:styleId="berschrift4">
    <w:name w:val="heading 4"/>
    <w:basedOn w:val="berschrift2"/>
    <w:next w:val="Standard"/>
    <w:link w:val="berschrift4Zchn"/>
    <w:uiPriority w:val="9"/>
    <w:unhideWhenUsed/>
    <w:qFormat/>
    <w:rsid w:val="00C96ABD"/>
    <w:pPr>
      <w:numPr>
        <w:ilvl w:val="3"/>
        <w:numId w:val="1"/>
      </w:numPr>
      <w:outlineLvl w:val="3"/>
    </w:pPr>
  </w:style>
  <w:style w:type="paragraph" w:styleId="berschrift5">
    <w:name w:val="heading 5"/>
    <w:basedOn w:val="Standard"/>
    <w:next w:val="Standard"/>
    <w:link w:val="berschrift5Zchn"/>
    <w:uiPriority w:val="9"/>
    <w:unhideWhenUsed/>
    <w:qFormat/>
    <w:rsid w:val="00C96ABD"/>
    <w:pPr>
      <w:keepNext/>
      <w:keepLines/>
      <w:widowControl w:val="0"/>
      <w:numPr>
        <w:ilvl w:val="4"/>
        <w:numId w:val="1"/>
      </w:numPr>
      <w:spacing w:before="200" w:after="0"/>
      <w:outlineLvl w:val="4"/>
    </w:pPr>
    <w:rPr>
      <w:rFonts w:ascii="Calibri" w:eastAsia="MS Gothic" w:hAnsi="Calibri"/>
      <w:color w:val="243F60"/>
      <w:lang w:val="en-GB" w:eastAsia="ja-JP"/>
    </w:rPr>
  </w:style>
  <w:style w:type="paragraph" w:styleId="berschrift6">
    <w:name w:val="heading 6"/>
    <w:basedOn w:val="Standard"/>
    <w:next w:val="Standard"/>
    <w:link w:val="berschrift6Zchn"/>
    <w:uiPriority w:val="9"/>
    <w:unhideWhenUsed/>
    <w:qFormat/>
    <w:rsid w:val="00C96ABD"/>
    <w:pPr>
      <w:keepNext/>
      <w:keepLines/>
      <w:widowControl w:val="0"/>
      <w:numPr>
        <w:ilvl w:val="5"/>
        <w:numId w:val="1"/>
      </w:numPr>
      <w:spacing w:before="200" w:after="0"/>
      <w:outlineLvl w:val="5"/>
    </w:pPr>
    <w:rPr>
      <w:rFonts w:ascii="Calibri" w:eastAsia="MS Gothic" w:hAnsi="Calibri"/>
      <w:i/>
      <w:iCs/>
      <w:color w:val="243F60"/>
      <w:lang w:val="en-GB" w:eastAsia="ja-JP"/>
    </w:rPr>
  </w:style>
  <w:style w:type="paragraph" w:styleId="berschrift7">
    <w:name w:val="heading 7"/>
    <w:basedOn w:val="Standard"/>
    <w:next w:val="Standard"/>
    <w:link w:val="berschrift7Zchn"/>
    <w:uiPriority w:val="9"/>
    <w:semiHidden/>
    <w:unhideWhenUsed/>
    <w:qFormat/>
    <w:rsid w:val="00C96ABD"/>
    <w:pPr>
      <w:keepNext/>
      <w:keepLines/>
      <w:widowControl w:val="0"/>
      <w:numPr>
        <w:ilvl w:val="6"/>
        <w:numId w:val="1"/>
      </w:numPr>
      <w:spacing w:before="200" w:after="0"/>
      <w:outlineLvl w:val="6"/>
    </w:pPr>
    <w:rPr>
      <w:rFonts w:ascii="Calibri" w:eastAsia="MS Gothic" w:hAnsi="Calibri"/>
      <w:i/>
      <w:iCs/>
      <w:color w:val="404040"/>
      <w:lang w:val="en-GB" w:eastAsia="ja-JP"/>
    </w:rPr>
  </w:style>
  <w:style w:type="paragraph" w:styleId="berschrift8">
    <w:name w:val="heading 8"/>
    <w:basedOn w:val="Standard"/>
    <w:next w:val="Standard"/>
    <w:link w:val="berschrift8Zchn"/>
    <w:uiPriority w:val="9"/>
    <w:semiHidden/>
    <w:unhideWhenUsed/>
    <w:qFormat/>
    <w:rsid w:val="00C96ABD"/>
    <w:pPr>
      <w:keepNext/>
      <w:keepLines/>
      <w:widowControl w:val="0"/>
      <w:numPr>
        <w:ilvl w:val="7"/>
        <w:numId w:val="1"/>
      </w:numPr>
      <w:spacing w:before="200" w:after="0"/>
      <w:outlineLvl w:val="7"/>
    </w:pPr>
    <w:rPr>
      <w:rFonts w:ascii="Calibri" w:eastAsia="MS Gothic" w:hAnsi="Calibri"/>
      <w:color w:val="404040"/>
      <w:lang w:val="en-GB" w:eastAsia="ja-JP"/>
    </w:rPr>
  </w:style>
  <w:style w:type="paragraph" w:styleId="berschrift9">
    <w:name w:val="heading 9"/>
    <w:basedOn w:val="Standard"/>
    <w:next w:val="Standard"/>
    <w:link w:val="berschrift9Zchn"/>
    <w:uiPriority w:val="9"/>
    <w:semiHidden/>
    <w:unhideWhenUsed/>
    <w:qFormat/>
    <w:rsid w:val="00C96ABD"/>
    <w:pPr>
      <w:keepNext/>
      <w:keepLines/>
      <w:widowControl w:val="0"/>
      <w:numPr>
        <w:ilvl w:val="8"/>
        <w:numId w:val="1"/>
      </w:numPr>
      <w:spacing w:before="200" w:after="0"/>
      <w:outlineLvl w:val="8"/>
    </w:pPr>
    <w:rPr>
      <w:rFonts w:ascii="Calibri" w:eastAsia="MS Gothic" w:hAnsi="Calibri"/>
      <w:i/>
      <w:iCs/>
      <w:color w:val="404040"/>
      <w:lang w:val="en-GB"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ABD"/>
    <w:rPr>
      <w:rFonts w:ascii="Helvetica" w:eastAsia="MS Gothic" w:hAnsi="Helvetica"/>
      <w:b/>
      <w:bCs/>
      <w:caps/>
      <w:sz w:val="24"/>
      <w:szCs w:val="24"/>
      <w:lang w:val="en-GB" w:eastAsia="ja-JP"/>
    </w:rPr>
  </w:style>
  <w:style w:type="character" w:customStyle="1" w:styleId="berschrift2Zchn">
    <w:name w:val="Überschrift 2 Zchn"/>
    <w:basedOn w:val="Absatz-Standardschriftart"/>
    <w:link w:val="berschrift2"/>
    <w:uiPriority w:val="99"/>
    <w:rsid w:val="00C96ABD"/>
    <w:rPr>
      <w:rFonts w:ascii="Helvetica" w:eastAsia="MS ????" w:hAnsi="Helvetica" w:cs="Helvetica"/>
      <w:b/>
      <w:bCs/>
      <w:sz w:val="24"/>
      <w:szCs w:val="24"/>
      <w:lang w:val="en-GB" w:eastAsia="de-DE"/>
    </w:rPr>
  </w:style>
  <w:style w:type="character" w:customStyle="1" w:styleId="berschrift3Zchn">
    <w:name w:val="Überschrift 3 Zchn"/>
    <w:basedOn w:val="Absatz-Standardschriftart"/>
    <w:link w:val="berschrift3"/>
    <w:uiPriority w:val="9"/>
    <w:rsid w:val="00C96ABD"/>
    <w:rPr>
      <w:rFonts w:ascii="Helvetica" w:eastAsia="MS Gothic" w:hAnsi="Helvetica" w:cs="Helvetica"/>
      <w:b/>
      <w:bCs/>
      <w:szCs w:val="24"/>
      <w:lang w:val="en-GB" w:eastAsia="ja-JP"/>
    </w:rPr>
  </w:style>
  <w:style w:type="character" w:customStyle="1" w:styleId="berschrift4Zchn">
    <w:name w:val="Überschrift 4 Zchn"/>
    <w:basedOn w:val="Absatz-Standardschriftart"/>
    <w:link w:val="berschrift4"/>
    <w:uiPriority w:val="9"/>
    <w:rsid w:val="00C96ABD"/>
    <w:rPr>
      <w:rFonts w:ascii="Helvetica" w:eastAsia="MS ????" w:hAnsi="Helvetica" w:cs="Helvetica"/>
      <w:b/>
      <w:bCs/>
      <w:sz w:val="24"/>
      <w:szCs w:val="24"/>
      <w:lang w:val="en-GB" w:eastAsia="de-DE"/>
    </w:rPr>
  </w:style>
  <w:style w:type="character" w:customStyle="1" w:styleId="berschrift5Zchn">
    <w:name w:val="Überschrift 5 Zchn"/>
    <w:basedOn w:val="Absatz-Standardschriftart"/>
    <w:link w:val="berschrift5"/>
    <w:uiPriority w:val="9"/>
    <w:rsid w:val="00C96ABD"/>
    <w:rPr>
      <w:rFonts w:ascii="Calibri" w:eastAsia="MS Gothic" w:hAnsi="Calibri"/>
      <w:color w:val="243F60"/>
      <w:lang w:val="en-GB" w:eastAsia="ja-JP"/>
    </w:rPr>
  </w:style>
  <w:style w:type="character" w:customStyle="1" w:styleId="berschrift6Zchn">
    <w:name w:val="Überschrift 6 Zchn"/>
    <w:basedOn w:val="Absatz-Standardschriftart"/>
    <w:link w:val="berschrift6"/>
    <w:uiPriority w:val="9"/>
    <w:rsid w:val="00C96ABD"/>
    <w:rPr>
      <w:rFonts w:ascii="Calibri" w:eastAsia="MS Gothic" w:hAnsi="Calibri"/>
      <w:i/>
      <w:iCs/>
      <w:color w:val="243F60"/>
      <w:lang w:val="en-GB" w:eastAsia="ja-JP"/>
    </w:rPr>
  </w:style>
  <w:style w:type="character" w:customStyle="1" w:styleId="berschrift7Zchn">
    <w:name w:val="Überschrift 7 Zchn"/>
    <w:basedOn w:val="Absatz-Standardschriftart"/>
    <w:link w:val="berschrift7"/>
    <w:uiPriority w:val="9"/>
    <w:semiHidden/>
    <w:rsid w:val="00C96ABD"/>
    <w:rPr>
      <w:rFonts w:ascii="Calibri" w:eastAsia="MS Gothic" w:hAnsi="Calibri"/>
      <w:i/>
      <w:iCs/>
      <w:color w:val="404040"/>
      <w:lang w:val="en-GB" w:eastAsia="ja-JP"/>
    </w:rPr>
  </w:style>
  <w:style w:type="character" w:customStyle="1" w:styleId="berschrift8Zchn">
    <w:name w:val="Überschrift 8 Zchn"/>
    <w:basedOn w:val="Absatz-Standardschriftart"/>
    <w:link w:val="berschrift8"/>
    <w:uiPriority w:val="9"/>
    <w:semiHidden/>
    <w:rsid w:val="00C96ABD"/>
    <w:rPr>
      <w:rFonts w:ascii="Calibri" w:eastAsia="MS Gothic" w:hAnsi="Calibri"/>
      <w:color w:val="404040"/>
      <w:lang w:val="en-GB" w:eastAsia="ja-JP"/>
    </w:rPr>
  </w:style>
  <w:style w:type="character" w:customStyle="1" w:styleId="berschrift9Zchn">
    <w:name w:val="Überschrift 9 Zchn"/>
    <w:basedOn w:val="Absatz-Standardschriftart"/>
    <w:link w:val="berschrift9"/>
    <w:uiPriority w:val="9"/>
    <w:semiHidden/>
    <w:rsid w:val="00C96ABD"/>
    <w:rPr>
      <w:rFonts w:ascii="Calibri" w:eastAsia="MS Gothic" w:hAnsi="Calibri"/>
      <w:i/>
      <w:iCs/>
      <w:color w:val="404040"/>
      <w:lang w:val="en-GB" w:eastAsia="ja-JP"/>
    </w:rPr>
  </w:style>
  <w:style w:type="paragraph" w:styleId="Fuzeile">
    <w:name w:val="footer"/>
    <w:basedOn w:val="Standard"/>
    <w:link w:val="FuzeileZchn"/>
    <w:uiPriority w:val="99"/>
    <w:unhideWhenUsed/>
    <w:rsid w:val="00C96ABD"/>
    <w:pPr>
      <w:tabs>
        <w:tab w:val="center" w:pos="4536"/>
        <w:tab w:val="right" w:pos="9072"/>
      </w:tabs>
      <w:spacing w:after="0"/>
    </w:pPr>
  </w:style>
  <w:style w:type="character" w:customStyle="1" w:styleId="FuzeileZchn">
    <w:name w:val="Fußzeile Zchn"/>
    <w:basedOn w:val="Absatz-Standardschriftart"/>
    <w:link w:val="Fuzeile"/>
    <w:uiPriority w:val="99"/>
    <w:rsid w:val="00C96ABD"/>
    <w:rPr>
      <w:rFonts w:ascii="Cambria" w:hAnsi="Cambria"/>
      <w:lang w:val="fr-FR"/>
    </w:rPr>
  </w:style>
  <w:style w:type="character" w:styleId="Kommentarzeichen">
    <w:name w:val="annotation reference"/>
    <w:basedOn w:val="Absatz-Standardschriftart"/>
    <w:uiPriority w:val="99"/>
    <w:semiHidden/>
    <w:unhideWhenUsed/>
    <w:rsid w:val="00C96ABD"/>
    <w:rPr>
      <w:sz w:val="16"/>
      <w:szCs w:val="16"/>
    </w:rPr>
  </w:style>
  <w:style w:type="paragraph" w:styleId="Kommentartext">
    <w:name w:val="annotation text"/>
    <w:basedOn w:val="Standard"/>
    <w:link w:val="KommentartextZchn"/>
    <w:uiPriority w:val="99"/>
    <w:unhideWhenUsed/>
    <w:rsid w:val="00C96ABD"/>
  </w:style>
  <w:style w:type="character" w:customStyle="1" w:styleId="KommentartextZchn">
    <w:name w:val="Kommentartext Zchn"/>
    <w:basedOn w:val="Absatz-Standardschriftart"/>
    <w:link w:val="Kommentartext"/>
    <w:uiPriority w:val="99"/>
    <w:rsid w:val="00C96ABD"/>
    <w:rPr>
      <w:rFonts w:ascii="Cambria" w:hAnsi="Cambria"/>
      <w:lang w:val="fr-FR"/>
    </w:rPr>
  </w:style>
  <w:style w:type="character" w:styleId="Zeilennummer">
    <w:name w:val="line number"/>
    <w:basedOn w:val="Absatz-Standardschriftart"/>
    <w:uiPriority w:val="99"/>
    <w:semiHidden/>
    <w:unhideWhenUsed/>
    <w:rsid w:val="00C96ABD"/>
  </w:style>
  <w:style w:type="paragraph" w:styleId="Sprechblasentext">
    <w:name w:val="Balloon Text"/>
    <w:basedOn w:val="Standard"/>
    <w:link w:val="SprechblasentextZchn"/>
    <w:uiPriority w:val="99"/>
    <w:semiHidden/>
    <w:unhideWhenUsed/>
    <w:rsid w:val="00C96A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ABD"/>
    <w:rPr>
      <w:rFonts w:ascii="Segoe UI" w:hAnsi="Segoe UI" w:cs="Segoe UI"/>
      <w:sz w:val="18"/>
      <w:szCs w:val="18"/>
      <w:lang w:val="fr-FR"/>
    </w:rPr>
  </w:style>
  <w:style w:type="paragraph" w:styleId="Kopfzeile">
    <w:name w:val="header"/>
    <w:basedOn w:val="Standard"/>
    <w:link w:val="KopfzeileZchn"/>
    <w:uiPriority w:val="99"/>
    <w:unhideWhenUsed/>
    <w:rsid w:val="0055305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55305E"/>
    <w:rPr>
      <w:rFonts w:ascii="Cambria" w:hAnsi="Cambria"/>
      <w:lang w:val="fr-FR"/>
    </w:rPr>
  </w:style>
  <w:style w:type="paragraph" w:styleId="Kommentarthema">
    <w:name w:val="annotation subject"/>
    <w:basedOn w:val="Kommentartext"/>
    <w:next w:val="Kommentartext"/>
    <w:link w:val="KommentarthemaZchn"/>
    <w:uiPriority w:val="99"/>
    <w:semiHidden/>
    <w:unhideWhenUsed/>
    <w:rsid w:val="00A35A3A"/>
    <w:pPr>
      <w:spacing w:line="240" w:lineRule="auto"/>
    </w:pPr>
    <w:rPr>
      <w:b/>
      <w:bCs/>
      <w:sz w:val="20"/>
      <w:szCs w:val="20"/>
    </w:rPr>
  </w:style>
  <w:style w:type="character" w:customStyle="1" w:styleId="KommentarthemaZchn">
    <w:name w:val="Kommentarthema Zchn"/>
    <w:basedOn w:val="KommentartextZchn"/>
    <w:link w:val="Kommentarthema"/>
    <w:uiPriority w:val="99"/>
    <w:semiHidden/>
    <w:rsid w:val="00A35A3A"/>
    <w:rPr>
      <w:rFonts w:ascii="Cambria" w:hAnsi="Cambr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992</Words>
  <Characters>6254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Universitäts-Kinderspital beider Basel (UKBB)</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Ziesenitz</dc:creator>
  <cp:lastModifiedBy>Verena Gotta</cp:lastModifiedBy>
  <cp:revision>2</cp:revision>
  <dcterms:created xsi:type="dcterms:W3CDTF">2019-05-31T08:34:00Z</dcterms:created>
  <dcterms:modified xsi:type="dcterms:W3CDTF">2019-05-31T08:34:00Z</dcterms:modified>
</cp:coreProperties>
</file>