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2811" w14:textId="00D65130" w:rsidR="004A479A" w:rsidRDefault="00AF1552" w:rsidP="004A479A">
      <w:pPr>
        <w:pStyle w:val="Heading1"/>
      </w:pPr>
      <w:r w:rsidRPr="00AF1552">
        <w:t>Global nurse shortages - the facts, the impact and action for change</w:t>
      </w:r>
      <w:r w:rsidR="004A479A">
        <w:t xml:space="preserve"> </w:t>
      </w:r>
    </w:p>
    <w:p w14:paraId="5E14FFF3" w14:textId="77777777" w:rsidR="00760F90" w:rsidRDefault="00760F90" w:rsidP="00760F90">
      <w:r>
        <w:t xml:space="preserve">Preferred short title </w:t>
      </w:r>
    </w:p>
    <w:p w14:paraId="55A15825" w14:textId="6AFD30E0" w:rsidR="00760F90" w:rsidRPr="00760F90" w:rsidRDefault="00AF1552" w:rsidP="00760F90">
      <w:r>
        <w:t>G</w:t>
      </w:r>
      <w:r w:rsidR="00760F90">
        <w:t>lobal nursing shortages</w:t>
      </w:r>
      <w:r>
        <w:t xml:space="preserve"> – action for change </w:t>
      </w:r>
    </w:p>
    <w:p w14:paraId="64F4F4E8" w14:textId="77777777" w:rsidR="0053466E" w:rsidRDefault="002F0033" w:rsidP="002E436F">
      <w:pPr>
        <w:pStyle w:val="Heading2"/>
      </w:pPr>
      <w:r>
        <w:t>Authors</w:t>
      </w:r>
    </w:p>
    <w:p w14:paraId="2464553B" w14:textId="647EDCCF" w:rsidR="004A479A" w:rsidRDefault="004A479A" w:rsidP="0053466E">
      <w:r>
        <w:t xml:space="preserve">Vari M </w:t>
      </w:r>
      <w:r w:rsidR="00916822">
        <w:t>Drennan,</w:t>
      </w:r>
    </w:p>
    <w:p w14:paraId="6E75A55D" w14:textId="77777777" w:rsidR="00AF1552" w:rsidRDefault="00AF1552" w:rsidP="00AF1552">
      <w:pPr>
        <w:jc w:val="both"/>
      </w:pPr>
      <w:r>
        <w:t>Fiona Ross</w:t>
      </w:r>
    </w:p>
    <w:p w14:paraId="1CAA94D9" w14:textId="4A6A6370" w:rsidR="0053466E" w:rsidRPr="00AF1552" w:rsidRDefault="00AF1552" w:rsidP="00AF1552">
      <w:pPr>
        <w:pStyle w:val="Heading2"/>
      </w:pPr>
      <w:r w:rsidRPr="00AF1552">
        <w:t xml:space="preserve"> </w:t>
      </w:r>
      <w:r w:rsidR="0053466E" w:rsidRPr="00AF1552">
        <w:t xml:space="preserve">Department </w:t>
      </w:r>
      <w:r w:rsidR="002F0033" w:rsidRPr="00AF1552">
        <w:t xml:space="preserve">and Institution </w:t>
      </w:r>
    </w:p>
    <w:p w14:paraId="571D14A9" w14:textId="77777777" w:rsidR="004A479A" w:rsidRDefault="004A479A" w:rsidP="0053466E">
      <w:r>
        <w:t xml:space="preserve">Centre for Health &amp; Social Care </w:t>
      </w:r>
      <w:r w:rsidR="0053466E">
        <w:t>Research,</w:t>
      </w:r>
      <w:r>
        <w:t xml:space="preserve"> Joint Faculty of Kingston University &amp; St. George’s University of London </w:t>
      </w:r>
    </w:p>
    <w:p w14:paraId="11AE8159" w14:textId="77777777" w:rsidR="0053466E" w:rsidRDefault="0053466E" w:rsidP="002E436F">
      <w:pPr>
        <w:pStyle w:val="Heading2"/>
      </w:pPr>
      <w:r>
        <w:t xml:space="preserve">Corresponding author </w:t>
      </w:r>
    </w:p>
    <w:p w14:paraId="57AD0A6F" w14:textId="78E378C2" w:rsidR="00270D64" w:rsidRDefault="0053466E" w:rsidP="00760F90">
      <w:pPr>
        <w:rPr>
          <w:rStyle w:val="Hyperlink"/>
        </w:rPr>
      </w:pPr>
      <w:r>
        <w:t xml:space="preserve">Vari M Drennan </w:t>
      </w:r>
      <w:r w:rsidRPr="0053466E">
        <w:t>Centre for Health &amp; Social Care Research, Joint Faculty of Kingston University &amp; St. George’s University of London</w:t>
      </w:r>
      <w:r>
        <w:t xml:space="preserve">, St. George’s </w:t>
      </w:r>
      <w:r w:rsidR="002F0033">
        <w:t>University</w:t>
      </w:r>
      <w:r>
        <w:t xml:space="preserve"> of </w:t>
      </w:r>
      <w:r w:rsidR="002F0033">
        <w:t>London,</w:t>
      </w:r>
      <w:r>
        <w:t xml:space="preserve"> Cranmer </w:t>
      </w:r>
      <w:r w:rsidR="002F0033">
        <w:t>Terrace,</w:t>
      </w:r>
      <w:r>
        <w:t xml:space="preserve"> London SW17 </w:t>
      </w:r>
      <w:r w:rsidR="002F0033">
        <w:t>0RE,</w:t>
      </w:r>
      <w:r>
        <w:t xml:space="preserve"> UK. +44 (0)208 7272339 </w:t>
      </w:r>
      <w:hyperlink r:id="rId8" w:history="1">
        <w:r w:rsidRPr="00224C67">
          <w:rPr>
            <w:rStyle w:val="Hyperlink"/>
          </w:rPr>
          <w:t>v.drennan@sgul.kingston.ac.uk</w:t>
        </w:r>
      </w:hyperlink>
    </w:p>
    <w:p w14:paraId="499C9A1F" w14:textId="76E9422A" w:rsidR="00D07AF2" w:rsidRDefault="00D07AF2" w:rsidP="00760F90">
      <w:pPr>
        <w:rPr>
          <w:rStyle w:val="Hyperlink"/>
        </w:rPr>
      </w:pPr>
    </w:p>
    <w:p w14:paraId="047666C2" w14:textId="77777777" w:rsidR="00D07AF2" w:rsidRPr="00F358BA" w:rsidRDefault="00D07AF2" w:rsidP="00F358BA">
      <w:pPr>
        <w:pStyle w:val="Heading2"/>
      </w:pPr>
      <w:r w:rsidRPr="00F358BA">
        <w:t>Biographical Details</w:t>
      </w:r>
    </w:p>
    <w:p w14:paraId="2F98B6C3" w14:textId="1EA19684" w:rsidR="00D07AF2" w:rsidRDefault="00D07AF2" w:rsidP="00F358BA">
      <w:pPr>
        <w:spacing w:line="240" w:lineRule="auto"/>
        <w:rPr>
          <w:rFonts w:ascii="Arial" w:hAnsi="Arial"/>
        </w:rPr>
      </w:pPr>
      <w:r w:rsidRPr="00F358BA">
        <w:rPr>
          <w:rFonts w:ascii="Arial" w:hAnsi="Arial"/>
        </w:rPr>
        <w:t>Vari M Drennan MBE, PhD, MSC, BSc., RN, RHV, FQNI i</w:t>
      </w:r>
      <w:r>
        <w:rPr>
          <w:rFonts w:ascii="Arial" w:hAnsi="Arial"/>
        </w:rPr>
        <w:t>s Professor of Health Care &amp; Policy Research. Her key clinical/research interests are: development of nursing workforce and retention of nurses, innovation in mid-level/advanced practice roles in primary and secondary care and health and social care of older adults in the community. She has been a member of national working parties on the development of community nursing and health visiting workforces. Until recently she was an executive member of the International Co</w:t>
      </w:r>
      <w:r w:rsidR="00603B62">
        <w:rPr>
          <w:rFonts w:ascii="Arial" w:hAnsi="Arial"/>
        </w:rPr>
        <w:t xml:space="preserve">llaboration </w:t>
      </w:r>
      <w:r>
        <w:rPr>
          <w:rFonts w:ascii="Arial" w:hAnsi="Arial"/>
        </w:rPr>
        <w:t xml:space="preserve">on Community </w:t>
      </w:r>
      <w:r w:rsidR="00603B62">
        <w:rPr>
          <w:rFonts w:ascii="Arial" w:hAnsi="Arial"/>
        </w:rPr>
        <w:t xml:space="preserve">Health </w:t>
      </w:r>
      <w:r>
        <w:rPr>
          <w:rFonts w:ascii="Arial" w:hAnsi="Arial"/>
        </w:rPr>
        <w:t xml:space="preserve">Nursing Research.  Her full profile can be found at </w:t>
      </w:r>
      <w:hyperlink r:id="rId9" w:history="1">
        <w:r w:rsidRPr="00624381">
          <w:rPr>
            <w:rStyle w:val="Hyperlink"/>
            <w:rFonts w:ascii="Arial" w:hAnsi="Arial"/>
          </w:rPr>
          <w:t>https://www.healthcare.ac.uk/staff/professor-vari-drennan/</w:t>
        </w:r>
      </w:hyperlink>
      <w:r>
        <w:rPr>
          <w:rFonts w:ascii="Arial" w:hAnsi="Arial"/>
        </w:rPr>
        <w:t xml:space="preserve"> and on twitter : @VariDrennan. </w:t>
      </w:r>
    </w:p>
    <w:p w14:paraId="2A5D78FA" w14:textId="77777777" w:rsidR="00603B62" w:rsidRDefault="00603B62" w:rsidP="00603B62">
      <w:pPr>
        <w:pStyle w:val="ListBullet"/>
        <w:numPr>
          <w:ilvl w:val="0"/>
          <w:numId w:val="0"/>
        </w:numPr>
        <w:rPr>
          <w:rFonts w:ascii="Calibri" w:hAnsi="Calibri" w:cs="Calibri"/>
          <w:b/>
          <w:szCs w:val="22"/>
        </w:rPr>
      </w:pPr>
    </w:p>
    <w:p w14:paraId="641261F2" w14:textId="77777777" w:rsidR="00774F4C" w:rsidRDefault="00603B62" w:rsidP="0073729E">
      <w:pPr>
        <w:pStyle w:val="ListBullet"/>
        <w:numPr>
          <w:ilvl w:val="0"/>
          <w:numId w:val="0"/>
        </w:numPr>
        <w:rPr>
          <w:rFonts w:ascii="Arial" w:hAnsi="Arial" w:cs="Arial"/>
        </w:rPr>
      </w:pPr>
      <w:r w:rsidRPr="00D65EAE">
        <w:rPr>
          <w:rFonts w:ascii="Arial" w:hAnsi="Arial" w:cs="Arial"/>
          <w:b/>
        </w:rPr>
        <w:t xml:space="preserve">Fiona Ross CBE, PhD, BSc, RN </w:t>
      </w:r>
      <w:r w:rsidR="00D65EAE">
        <w:rPr>
          <w:rFonts w:ascii="Arial" w:hAnsi="Arial" w:cs="Arial"/>
          <w:b/>
        </w:rPr>
        <w:t xml:space="preserve"> </w:t>
      </w:r>
      <w:r w:rsidR="00D65EAE">
        <w:rPr>
          <w:rFonts w:ascii="Arial" w:hAnsi="Arial" w:cs="Arial"/>
        </w:rPr>
        <w:t>is Professor of Health Research</w:t>
      </w:r>
      <w:r w:rsidR="0073729E">
        <w:rPr>
          <w:rFonts w:ascii="Arial" w:hAnsi="Arial" w:cs="Arial"/>
        </w:rPr>
        <w:t>. She</w:t>
      </w:r>
      <w:r w:rsidR="00D65EAE">
        <w:rPr>
          <w:rFonts w:ascii="Arial" w:hAnsi="Arial" w:cs="Arial"/>
        </w:rPr>
        <w:t xml:space="preserve"> </w:t>
      </w:r>
      <w:r w:rsidRPr="00D65EAE">
        <w:rPr>
          <w:rFonts w:ascii="Arial" w:hAnsi="Arial" w:cs="Arial"/>
        </w:rPr>
        <w:t>has a background in community health nursing and social policy</w:t>
      </w:r>
      <w:r w:rsidR="0073729E">
        <w:rPr>
          <w:rFonts w:ascii="Arial" w:hAnsi="Arial" w:cs="Arial"/>
        </w:rPr>
        <w:t xml:space="preserve">, </w:t>
      </w:r>
      <w:r w:rsidRPr="00D65EAE">
        <w:rPr>
          <w:rFonts w:ascii="Arial" w:hAnsi="Arial" w:cs="Arial"/>
        </w:rPr>
        <w:t xml:space="preserve">had </w:t>
      </w:r>
      <w:r w:rsidR="00D65EAE">
        <w:rPr>
          <w:rFonts w:ascii="Arial" w:hAnsi="Arial" w:cs="Arial"/>
        </w:rPr>
        <w:t xml:space="preserve">senior academic </w:t>
      </w:r>
      <w:r w:rsidR="0073729E">
        <w:rPr>
          <w:rFonts w:ascii="Arial" w:hAnsi="Arial" w:cs="Arial"/>
        </w:rPr>
        <w:t xml:space="preserve">and research leadership </w:t>
      </w:r>
      <w:r w:rsidR="00D65EAE">
        <w:rPr>
          <w:rFonts w:ascii="Arial" w:hAnsi="Arial" w:cs="Arial"/>
        </w:rPr>
        <w:t>roles</w:t>
      </w:r>
      <w:r w:rsidR="0073729E">
        <w:rPr>
          <w:rFonts w:ascii="Arial" w:hAnsi="Arial" w:cs="Arial"/>
        </w:rPr>
        <w:t xml:space="preserve"> </w:t>
      </w:r>
      <w:r w:rsidR="00D65EAE">
        <w:rPr>
          <w:rFonts w:ascii="Arial" w:hAnsi="Arial" w:cs="Arial"/>
        </w:rPr>
        <w:t xml:space="preserve"> and </w:t>
      </w:r>
      <w:r w:rsidRPr="00D65EAE">
        <w:rPr>
          <w:rFonts w:ascii="Arial" w:hAnsi="Arial" w:cs="Arial"/>
        </w:rPr>
        <w:t xml:space="preserve">has published widely on community services for older people, public engagement in research, collaborative practice, leadership and equalities in higher education. </w:t>
      </w:r>
      <w:r w:rsidR="0073729E">
        <w:rPr>
          <w:rFonts w:ascii="Arial" w:hAnsi="Arial" w:cs="Arial"/>
        </w:rPr>
        <w:t xml:space="preserve">She is Emeritus Editor of the International Journal of Interprofessional Care and </w:t>
      </w:r>
      <w:r w:rsidRPr="00D65EAE">
        <w:rPr>
          <w:rFonts w:ascii="Arial" w:hAnsi="Arial" w:cs="Arial"/>
        </w:rPr>
        <w:t>immediate past President of the International Collaboration of Community Health Nursing Research.  She is</w:t>
      </w:r>
      <w:r w:rsidR="0073729E">
        <w:rPr>
          <w:rFonts w:ascii="Arial" w:hAnsi="Arial" w:cs="Arial"/>
        </w:rPr>
        <w:t xml:space="preserve"> currently </w:t>
      </w:r>
    </w:p>
    <w:p w14:paraId="24763851" w14:textId="30447BA6" w:rsidR="00270D64" w:rsidRDefault="0073729E" w:rsidP="0073729E">
      <w:pPr>
        <w:pStyle w:val="ListBullet"/>
        <w:numPr>
          <w:ilvl w:val="0"/>
          <w:numId w:val="0"/>
        </w:numPr>
        <w:rPr>
          <w:rFonts w:ascii="Arial" w:hAnsi="Arial"/>
        </w:rPr>
      </w:pPr>
      <w:r>
        <w:rPr>
          <w:rFonts w:ascii="Arial" w:hAnsi="Arial" w:cs="Arial"/>
        </w:rPr>
        <w:t>Chair of the Board of T</w:t>
      </w:r>
      <w:r w:rsidR="00603B62" w:rsidRPr="00D65EAE">
        <w:rPr>
          <w:rFonts w:ascii="Arial" w:hAnsi="Arial" w:cs="Arial"/>
        </w:rPr>
        <w:t xml:space="preserve">rustees at Princess Alice Hospice. Her full profile can be found at </w:t>
      </w:r>
      <w:hyperlink r:id="rId10" w:history="1">
        <w:r w:rsidR="00603B62" w:rsidRPr="00D65EAE">
          <w:rPr>
            <w:rStyle w:val="Hyperlink"/>
            <w:rFonts w:ascii="Arial" w:hAnsi="Arial" w:cs="Arial"/>
          </w:rPr>
          <w:t>http://www.healthcare.ac.uk/staff/professor-fiona-ross-cbe/</w:t>
        </w:r>
      </w:hyperlink>
      <w:r>
        <w:rPr>
          <w:rStyle w:val="Hyperlink"/>
          <w:rFonts w:ascii="Arial" w:hAnsi="Arial" w:cs="Arial"/>
        </w:rPr>
        <w:t xml:space="preserve">    @ProfFionaRoss</w:t>
      </w:r>
    </w:p>
    <w:p w14:paraId="5C159C47" w14:textId="77777777" w:rsidR="0073729E" w:rsidRDefault="0073729E" w:rsidP="00D33C0E">
      <w:pPr>
        <w:pStyle w:val="Heading1"/>
        <w:rPr>
          <w:rStyle w:val="Heading1Char"/>
        </w:rPr>
      </w:pPr>
    </w:p>
    <w:p w14:paraId="1478DC5D" w14:textId="77777777" w:rsidR="0073729E" w:rsidRDefault="0073729E">
      <w:pPr>
        <w:spacing w:after="160" w:line="259" w:lineRule="auto"/>
        <w:rPr>
          <w:rStyle w:val="Heading1Char"/>
        </w:rPr>
      </w:pPr>
      <w:r>
        <w:rPr>
          <w:rStyle w:val="Heading1Char"/>
        </w:rPr>
        <w:br w:type="page"/>
      </w:r>
    </w:p>
    <w:p w14:paraId="0ACF9D75" w14:textId="47F507A1" w:rsidR="00D33C0E" w:rsidRPr="00D33C0E" w:rsidRDefault="00270D64" w:rsidP="00D33C0E">
      <w:pPr>
        <w:pStyle w:val="Heading1"/>
        <w:rPr>
          <w:b/>
        </w:rPr>
      </w:pPr>
      <w:r w:rsidRPr="00D33C0E">
        <w:rPr>
          <w:rStyle w:val="Heading1Char"/>
        </w:rPr>
        <w:lastRenderedPageBreak/>
        <w:t>ABSTRACT</w:t>
      </w:r>
      <w:r w:rsidRPr="00D33C0E">
        <w:rPr>
          <w:b/>
        </w:rPr>
        <w:t xml:space="preserve"> </w:t>
      </w:r>
    </w:p>
    <w:p w14:paraId="3AD1F03C" w14:textId="08E722B8" w:rsidR="00270D64" w:rsidRPr="001C0FB3" w:rsidRDefault="00270D64" w:rsidP="00D33C0E">
      <w:pPr>
        <w:rPr>
          <w:b/>
          <w:bCs/>
          <w:iCs/>
        </w:rPr>
      </w:pPr>
      <w:r w:rsidRPr="001C0FB3">
        <w:rPr>
          <w:b/>
          <w:bCs/>
          <w:iCs/>
        </w:rPr>
        <w:t xml:space="preserve">Introduction </w:t>
      </w:r>
    </w:p>
    <w:p w14:paraId="29927951" w14:textId="5C6967F8" w:rsidR="001C0FB3" w:rsidRPr="001C0FB3" w:rsidRDefault="00D33C0E" w:rsidP="001C0FB3">
      <w:pPr>
        <w:rPr>
          <w:bCs/>
          <w:iCs/>
        </w:rPr>
      </w:pPr>
      <w:r>
        <w:rPr>
          <w:bCs/>
          <w:iCs/>
        </w:rPr>
        <w:t xml:space="preserve">Nurses </w:t>
      </w:r>
      <w:r w:rsidR="00390D0C">
        <w:rPr>
          <w:bCs/>
          <w:iCs/>
        </w:rPr>
        <w:t xml:space="preserve">comprise </w:t>
      </w:r>
      <w:r>
        <w:rPr>
          <w:bCs/>
          <w:iCs/>
        </w:rPr>
        <w:t xml:space="preserve">half the global health workforce. </w:t>
      </w:r>
      <w:r w:rsidR="004A4487">
        <w:rPr>
          <w:bCs/>
          <w:iCs/>
        </w:rPr>
        <w:t xml:space="preserve">A nine million shortage estimated in </w:t>
      </w:r>
      <w:r>
        <w:rPr>
          <w:bCs/>
          <w:iCs/>
        </w:rPr>
        <w:t xml:space="preserve">2014 </w:t>
      </w:r>
      <w:r w:rsidR="004A4487">
        <w:rPr>
          <w:bCs/>
          <w:iCs/>
        </w:rPr>
        <w:t xml:space="preserve">is </w:t>
      </w:r>
      <w:r>
        <w:rPr>
          <w:bCs/>
          <w:iCs/>
        </w:rPr>
        <w:t xml:space="preserve">predicted to </w:t>
      </w:r>
      <w:r w:rsidR="004A4487">
        <w:rPr>
          <w:bCs/>
          <w:iCs/>
        </w:rPr>
        <w:t xml:space="preserve">decrease by two million by </w:t>
      </w:r>
      <w:r>
        <w:rPr>
          <w:bCs/>
          <w:iCs/>
        </w:rPr>
        <w:t xml:space="preserve">2030 </w:t>
      </w:r>
      <w:r w:rsidR="00390D0C">
        <w:rPr>
          <w:bCs/>
          <w:iCs/>
        </w:rPr>
        <w:t xml:space="preserve">but </w:t>
      </w:r>
      <w:r w:rsidR="001C0FB3">
        <w:rPr>
          <w:bCs/>
          <w:iCs/>
        </w:rPr>
        <w:t xml:space="preserve">disproportionality effect regions such as </w:t>
      </w:r>
      <w:r w:rsidR="00F358BA">
        <w:rPr>
          <w:bCs/>
          <w:iCs/>
        </w:rPr>
        <w:t xml:space="preserve">Africa. </w:t>
      </w:r>
      <w:r w:rsidR="001C0FB3" w:rsidRPr="001C0FB3">
        <w:rPr>
          <w:bCs/>
          <w:iCs/>
        </w:rPr>
        <w:t>This scoping review</w:t>
      </w:r>
      <w:r w:rsidR="00390D0C">
        <w:rPr>
          <w:bCs/>
          <w:iCs/>
        </w:rPr>
        <w:t xml:space="preserve"> </w:t>
      </w:r>
      <w:r w:rsidR="004A4487">
        <w:rPr>
          <w:bCs/>
          <w:iCs/>
        </w:rPr>
        <w:t>investigated</w:t>
      </w:r>
      <w:r w:rsidR="00390D0C">
        <w:rPr>
          <w:bCs/>
          <w:iCs/>
        </w:rPr>
        <w:t>:</w:t>
      </w:r>
      <w:r w:rsidR="001C0FB3" w:rsidRPr="001C0FB3">
        <w:rPr>
          <w:bCs/>
          <w:iCs/>
        </w:rPr>
        <w:t xml:space="preserve"> what is known about </w:t>
      </w:r>
      <w:r w:rsidR="004A4487">
        <w:rPr>
          <w:bCs/>
          <w:iCs/>
        </w:rPr>
        <w:t>current nurse</w:t>
      </w:r>
      <w:r w:rsidR="00343F95">
        <w:rPr>
          <w:bCs/>
          <w:iCs/>
        </w:rPr>
        <w:t xml:space="preserve"> workforce</w:t>
      </w:r>
      <w:r w:rsidR="004A4487">
        <w:rPr>
          <w:bCs/>
          <w:iCs/>
        </w:rPr>
        <w:t xml:space="preserve">s and shortages and </w:t>
      </w:r>
      <w:r w:rsidR="00774F4C">
        <w:rPr>
          <w:bCs/>
          <w:iCs/>
        </w:rPr>
        <w:t xml:space="preserve">what </w:t>
      </w:r>
      <w:r w:rsidR="001C0FB3" w:rsidRPr="001C0FB3">
        <w:rPr>
          <w:bCs/>
          <w:iCs/>
        </w:rPr>
        <w:t>can be done to forestall such shortages?</w:t>
      </w:r>
    </w:p>
    <w:p w14:paraId="6E4E5B03" w14:textId="1B807CFE" w:rsidR="00270D64" w:rsidRPr="001C0FB3" w:rsidRDefault="00270D64" w:rsidP="00D33C0E">
      <w:pPr>
        <w:rPr>
          <w:b/>
          <w:bCs/>
          <w:iCs/>
        </w:rPr>
      </w:pPr>
      <w:r w:rsidRPr="001C0FB3">
        <w:rPr>
          <w:b/>
          <w:bCs/>
          <w:iCs/>
        </w:rPr>
        <w:t>Sources of data</w:t>
      </w:r>
    </w:p>
    <w:p w14:paraId="2B47EA46" w14:textId="0D0983CE" w:rsidR="00D33C0E" w:rsidRPr="001C0FB3" w:rsidRDefault="00F358BA" w:rsidP="00D33C0E">
      <w:pPr>
        <w:rPr>
          <w:bCs/>
          <w:iCs/>
        </w:rPr>
      </w:pPr>
      <w:r>
        <w:rPr>
          <w:bCs/>
          <w:iCs/>
        </w:rPr>
        <w:t>P</w:t>
      </w:r>
      <w:r w:rsidR="001C0FB3">
        <w:rPr>
          <w:bCs/>
          <w:iCs/>
        </w:rPr>
        <w:t>ublished documents from i</w:t>
      </w:r>
      <w:r w:rsidR="001C0FB3" w:rsidRPr="001C0FB3">
        <w:rPr>
          <w:bCs/>
          <w:iCs/>
        </w:rPr>
        <w:t xml:space="preserve">nternational </w:t>
      </w:r>
      <w:r w:rsidR="001C0FB3">
        <w:rPr>
          <w:bCs/>
          <w:iCs/>
        </w:rPr>
        <w:t xml:space="preserve">organisations </w:t>
      </w:r>
      <w:r w:rsidR="001C0FB3" w:rsidRPr="001C0FB3">
        <w:rPr>
          <w:bCs/>
          <w:iCs/>
        </w:rPr>
        <w:t>with remits fo</w:t>
      </w:r>
      <w:r w:rsidR="001C0FB3">
        <w:rPr>
          <w:bCs/>
          <w:iCs/>
        </w:rPr>
        <w:t>r nursing workforces</w:t>
      </w:r>
      <w:r w:rsidR="001C0FB3" w:rsidRPr="001C0FB3">
        <w:rPr>
          <w:bCs/>
          <w:iCs/>
        </w:rPr>
        <w:t xml:space="preserve">, published reviews </w:t>
      </w:r>
      <w:r w:rsidR="001C0FB3">
        <w:rPr>
          <w:bCs/>
          <w:iCs/>
        </w:rPr>
        <w:t xml:space="preserve">with forward citation and key author searches. </w:t>
      </w:r>
    </w:p>
    <w:p w14:paraId="4F067448" w14:textId="22FC5EA8" w:rsidR="00270D64" w:rsidRDefault="00270D64" w:rsidP="00D33C0E">
      <w:pPr>
        <w:rPr>
          <w:b/>
          <w:bCs/>
          <w:iCs/>
        </w:rPr>
      </w:pPr>
      <w:r w:rsidRPr="00343F95">
        <w:rPr>
          <w:b/>
          <w:bCs/>
          <w:iCs/>
        </w:rPr>
        <w:t>Areas of agreement</w:t>
      </w:r>
    </w:p>
    <w:p w14:paraId="46C820BB" w14:textId="12BB6370" w:rsidR="00343F95" w:rsidRPr="00343F95" w:rsidRDefault="00F358BA" w:rsidP="00D33C0E">
      <w:pPr>
        <w:rPr>
          <w:bCs/>
          <w:iCs/>
        </w:rPr>
      </w:pPr>
      <w:r>
        <w:rPr>
          <w:bCs/>
          <w:iCs/>
        </w:rPr>
        <w:t>A</w:t>
      </w:r>
      <w:r w:rsidR="00343F95" w:rsidRPr="00343F95">
        <w:rPr>
          <w:bCs/>
          <w:iCs/>
        </w:rPr>
        <w:t xml:space="preserve">ddressing </w:t>
      </w:r>
      <w:r w:rsidRPr="00343F95">
        <w:rPr>
          <w:bCs/>
          <w:iCs/>
        </w:rPr>
        <w:t>nurs</w:t>
      </w:r>
      <w:r>
        <w:rPr>
          <w:bCs/>
          <w:iCs/>
        </w:rPr>
        <w:t xml:space="preserve">e </w:t>
      </w:r>
      <w:r w:rsidR="00343F95" w:rsidRPr="00343F95">
        <w:rPr>
          <w:bCs/>
          <w:iCs/>
        </w:rPr>
        <w:t xml:space="preserve">shortages requires a data informed, country specific model of the routes of </w:t>
      </w:r>
      <w:r w:rsidR="00343F95">
        <w:rPr>
          <w:bCs/>
          <w:iCs/>
        </w:rPr>
        <w:t>supply and demand.</w:t>
      </w:r>
      <w:r w:rsidR="00343F95" w:rsidRPr="00343F95">
        <w:rPr>
          <w:bCs/>
          <w:iCs/>
        </w:rPr>
        <w:t xml:space="preserve">  It requires evidence informed </w:t>
      </w:r>
      <w:r w:rsidR="00343F95">
        <w:rPr>
          <w:bCs/>
          <w:iCs/>
        </w:rPr>
        <w:t xml:space="preserve">policy and resource allocation </w:t>
      </w:r>
      <w:r w:rsidR="00343F95" w:rsidRPr="00343F95">
        <w:rPr>
          <w:bCs/>
          <w:iCs/>
        </w:rPr>
        <w:t>at national, subnational and organisation level</w:t>
      </w:r>
      <w:r>
        <w:rPr>
          <w:bCs/>
          <w:iCs/>
        </w:rPr>
        <w:t>s</w:t>
      </w:r>
      <w:r w:rsidR="00343F95" w:rsidRPr="00343F95">
        <w:rPr>
          <w:bCs/>
          <w:iCs/>
        </w:rPr>
        <w:t xml:space="preserve">. </w:t>
      </w:r>
    </w:p>
    <w:p w14:paraId="45A7C11A" w14:textId="503A8F22" w:rsidR="00270D64" w:rsidRDefault="00270D64" w:rsidP="00D33C0E">
      <w:pPr>
        <w:rPr>
          <w:b/>
          <w:bCs/>
          <w:iCs/>
        </w:rPr>
      </w:pPr>
      <w:r w:rsidRPr="00343F95">
        <w:rPr>
          <w:b/>
          <w:bCs/>
          <w:iCs/>
        </w:rPr>
        <w:t>Areas of controversy</w:t>
      </w:r>
    </w:p>
    <w:p w14:paraId="7191FA51" w14:textId="57F5D153" w:rsidR="00343F95" w:rsidRPr="000F4916" w:rsidRDefault="000F4916" w:rsidP="00D33C0E">
      <w:pPr>
        <w:rPr>
          <w:bCs/>
          <w:iCs/>
        </w:rPr>
      </w:pPr>
      <w:r w:rsidRPr="000F4916">
        <w:rPr>
          <w:bCs/>
          <w:iCs/>
        </w:rPr>
        <w:t xml:space="preserve">The definition </w:t>
      </w:r>
      <w:r>
        <w:rPr>
          <w:bCs/>
          <w:iCs/>
        </w:rPr>
        <w:t>in law</w:t>
      </w:r>
      <w:r w:rsidRPr="000F4916">
        <w:rPr>
          <w:bCs/>
          <w:iCs/>
        </w:rPr>
        <w:t xml:space="preserve">, </w:t>
      </w:r>
      <w:r>
        <w:rPr>
          <w:bCs/>
          <w:iCs/>
        </w:rPr>
        <w:t xml:space="preserve">type of </w:t>
      </w:r>
      <w:r w:rsidRPr="000F4916">
        <w:rPr>
          <w:bCs/>
          <w:iCs/>
        </w:rPr>
        <w:t xml:space="preserve">education, levels and scope of practice of nurses varies between countries raising questions </w:t>
      </w:r>
      <w:r w:rsidR="004A4487">
        <w:rPr>
          <w:bCs/>
          <w:iCs/>
        </w:rPr>
        <w:t xml:space="preserve">of </w:t>
      </w:r>
      <w:r w:rsidRPr="000F4916">
        <w:rPr>
          <w:bCs/>
          <w:iCs/>
        </w:rPr>
        <w:t xml:space="preserve">factors and evidence underpinning such variation. </w:t>
      </w:r>
      <w:r>
        <w:rPr>
          <w:bCs/>
          <w:iCs/>
        </w:rPr>
        <w:t xml:space="preserve">Most policy solutions </w:t>
      </w:r>
      <w:r w:rsidR="004A4487">
        <w:rPr>
          <w:bCs/>
          <w:iCs/>
        </w:rPr>
        <w:t xml:space="preserve">proposed </w:t>
      </w:r>
      <w:r>
        <w:rPr>
          <w:bCs/>
          <w:iCs/>
        </w:rPr>
        <w:t xml:space="preserve">by international bodies draws on data and research </w:t>
      </w:r>
      <w:r w:rsidR="004A4487">
        <w:rPr>
          <w:bCs/>
          <w:iCs/>
        </w:rPr>
        <w:t xml:space="preserve">about </w:t>
      </w:r>
      <w:r>
        <w:rPr>
          <w:bCs/>
          <w:iCs/>
        </w:rPr>
        <w:t xml:space="preserve">the medical workforce and applies that to nurses, despite the different demographic profile, </w:t>
      </w:r>
      <w:r w:rsidR="00390D0C">
        <w:rPr>
          <w:bCs/>
          <w:iCs/>
        </w:rPr>
        <w:t xml:space="preserve">the </w:t>
      </w:r>
      <w:r w:rsidR="004A4487">
        <w:rPr>
          <w:bCs/>
          <w:iCs/>
        </w:rPr>
        <w:t>work,</w:t>
      </w:r>
      <w:r w:rsidR="00390D0C">
        <w:rPr>
          <w:bCs/>
          <w:iCs/>
        </w:rPr>
        <w:t xml:space="preserve"> </w:t>
      </w:r>
      <w:r>
        <w:rPr>
          <w:bCs/>
          <w:iCs/>
        </w:rPr>
        <w:t xml:space="preserve">the career options, the remuneration </w:t>
      </w:r>
      <w:r w:rsidR="00BB4A97">
        <w:rPr>
          <w:bCs/>
          <w:iCs/>
        </w:rPr>
        <w:t xml:space="preserve">and the status. </w:t>
      </w:r>
    </w:p>
    <w:p w14:paraId="4FA7DF35" w14:textId="517E9712" w:rsidR="00270D64" w:rsidRDefault="00270D64" w:rsidP="00D33C0E">
      <w:pPr>
        <w:rPr>
          <w:b/>
          <w:bCs/>
          <w:iCs/>
        </w:rPr>
      </w:pPr>
      <w:r w:rsidRPr="00343F95">
        <w:rPr>
          <w:b/>
          <w:bCs/>
          <w:iCs/>
        </w:rPr>
        <w:t>Growing points</w:t>
      </w:r>
    </w:p>
    <w:p w14:paraId="6241FC8E" w14:textId="1CEEF0F5" w:rsidR="00BB4A97" w:rsidRPr="00BB4A97" w:rsidRDefault="00F358BA" w:rsidP="00D33C0E">
      <w:pPr>
        <w:rPr>
          <w:bCs/>
          <w:iCs/>
        </w:rPr>
      </w:pPr>
      <w:r>
        <w:rPr>
          <w:bCs/>
          <w:iCs/>
        </w:rPr>
        <w:t>D</w:t>
      </w:r>
      <w:r w:rsidR="00BB4A97" w:rsidRPr="00BB4A97">
        <w:rPr>
          <w:bCs/>
          <w:iCs/>
        </w:rPr>
        <w:t xml:space="preserve">emand for nurses is increasing in all countries. </w:t>
      </w:r>
      <w:r w:rsidR="00180D8B">
        <w:rPr>
          <w:bCs/>
          <w:iCs/>
        </w:rPr>
        <w:t>Better workforce planning in nursing is crucial to reduce health inequalities and ensure sustainable health systems</w:t>
      </w:r>
    </w:p>
    <w:p w14:paraId="762AC925" w14:textId="56D8D341" w:rsidR="00270D64" w:rsidRDefault="00270D64" w:rsidP="00D33C0E">
      <w:pPr>
        <w:rPr>
          <w:b/>
          <w:bCs/>
          <w:iCs/>
        </w:rPr>
      </w:pPr>
      <w:r w:rsidRPr="00343F95">
        <w:rPr>
          <w:b/>
          <w:bCs/>
          <w:iCs/>
        </w:rPr>
        <w:t xml:space="preserve">Areas timely for developing research.  </w:t>
      </w:r>
    </w:p>
    <w:p w14:paraId="572D36A9" w14:textId="3D10A606" w:rsidR="00BB4A97" w:rsidRPr="00BB4A97" w:rsidRDefault="00F358BA" w:rsidP="00D33C0E">
      <w:pPr>
        <w:rPr>
          <w:bCs/>
          <w:iCs/>
        </w:rPr>
      </w:pPr>
      <w:r>
        <w:rPr>
          <w:bCs/>
          <w:iCs/>
        </w:rPr>
        <w:t>R</w:t>
      </w:r>
      <w:r w:rsidR="00BB4A97">
        <w:rPr>
          <w:bCs/>
          <w:iCs/>
        </w:rPr>
        <w:t xml:space="preserve">esearch </w:t>
      </w:r>
      <w:r>
        <w:rPr>
          <w:bCs/>
          <w:iCs/>
        </w:rPr>
        <w:t xml:space="preserve">is needed </w:t>
      </w:r>
      <w:r w:rsidR="00BB4A97">
        <w:rPr>
          <w:bCs/>
          <w:iCs/>
        </w:rPr>
        <w:t xml:space="preserve">on: the nursing workforce in low income </w:t>
      </w:r>
      <w:r w:rsidR="00390D0C">
        <w:rPr>
          <w:bCs/>
          <w:iCs/>
        </w:rPr>
        <w:t>countries</w:t>
      </w:r>
      <w:r>
        <w:rPr>
          <w:bCs/>
          <w:iCs/>
        </w:rPr>
        <w:t xml:space="preserve"> and </w:t>
      </w:r>
      <w:r w:rsidR="00BB4A97">
        <w:rPr>
          <w:bCs/>
          <w:iCs/>
        </w:rPr>
        <w:t xml:space="preserve">in rural and remote </w:t>
      </w:r>
      <w:r w:rsidR="00390D0C">
        <w:rPr>
          <w:bCs/>
          <w:iCs/>
        </w:rPr>
        <w:t>areas</w:t>
      </w:r>
      <w:r>
        <w:rPr>
          <w:bCs/>
          <w:iCs/>
        </w:rPr>
        <w:t>;</w:t>
      </w:r>
      <w:r w:rsidR="00BB4A97">
        <w:rPr>
          <w:bCs/>
          <w:iCs/>
        </w:rPr>
        <w:t xml:space="preserve"> on the impact of </w:t>
      </w:r>
      <w:r>
        <w:rPr>
          <w:bCs/>
          <w:iCs/>
        </w:rPr>
        <w:t xml:space="preserve">scope of practice and task-shifting changes; on the impact over time of implementing system wide policies as well as </w:t>
      </w:r>
      <w:r w:rsidR="00BB4A97">
        <w:rPr>
          <w:bCs/>
          <w:iCs/>
        </w:rPr>
        <w:t xml:space="preserve">raising the profile of nursing. </w:t>
      </w:r>
    </w:p>
    <w:p w14:paraId="3A53E7C3" w14:textId="77777777" w:rsidR="00343F95" w:rsidRPr="00BB4A97" w:rsidRDefault="00343F95" w:rsidP="00D33C0E">
      <w:pPr>
        <w:rPr>
          <w:bCs/>
          <w:iCs/>
        </w:rPr>
      </w:pPr>
    </w:p>
    <w:p w14:paraId="627388ED" w14:textId="10256EA4" w:rsidR="00270D64" w:rsidRDefault="00270D64" w:rsidP="00D33C0E">
      <w:r w:rsidRPr="00270D64">
        <w:rPr>
          <w:rStyle w:val="Heading2Char"/>
        </w:rPr>
        <w:t>KEY WORDS</w:t>
      </w:r>
      <w:r>
        <w:rPr>
          <w:b/>
        </w:rPr>
        <w:t xml:space="preserve">:  </w:t>
      </w:r>
    </w:p>
    <w:p w14:paraId="0558C8F0" w14:textId="1E9E1020" w:rsidR="002F0033" w:rsidRPr="00270D64" w:rsidRDefault="002F0033" w:rsidP="00F358BA">
      <w:pPr>
        <w:rPr>
          <w:b/>
        </w:rPr>
      </w:pPr>
      <w:r>
        <w:t xml:space="preserve">Nursing, workforce, shortages, </w:t>
      </w:r>
      <w:r w:rsidR="00762C32">
        <w:t xml:space="preserve">labour market supply and demand, </w:t>
      </w:r>
      <w:r>
        <w:t>scoping review,</w:t>
      </w:r>
      <w:r w:rsidR="00762C32">
        <w:t xml:space="preserve"> evidence gap </w:t>
      </w:r>
      <w:r>
        <w:t xml:space="preserve"> </w:t>
      </w:r>
    </w:p>
    <w:p w14:paraId="5241209B" w14:textId="77090496" w:rsidR="001C0FB3" w:rsidRPr="001C0FB3" w:rsidRDefault="00270D64" w:rsidP="001C0FB3">
      <w:pPr>
        <w:spacing w:after="160" w:line="259" w:lineRule="auto"/>
        <w:rPr>
          <w:rFonts w:ascii="Arial" w:hAnsi="Arial"/>
          <w:b/>
        </w:rPr>
      </w:pPr>
      <w:r>
        <w:rPr>
          <w:rFonts w:ascii="Arial" w:hAnsi="Arial"/>
          <w:b/>
        </w:rPr>
        <w:br w:type="page"/>
      </w:r>
    </w:p>
    <w:p w14:paraId="51C63EC2" w14:textId="77777777" w:rsidR="007759EA" w:rsidRDefault="00AB2233" w:rsidP="002E436F">
      <w:pPr>
        <w:pStyle w:val="Heading2"/>
      </w:pPr>
      <w:r w:rsidRPr="007F3505">
        <w:lastRenderedPageBreak/>
        <w:t xml:space="preserve">Introduction </w:t>
      </w:r>
    </w:p>
    <w:p w14:paraId="3D627C0F" w14:textId="2E6D896B" w:rsidR="009C600C" w:rsidRDefault="009C600C" w:rsidP="0002384A">
      <w:r w:rsidRPr="00F358BA">
        <w:t>Achieving population health, universal health coverage (UHC) and equitable access to health care is dependent on having a health workforce that is of sufficient capacity, capability and quality to meet epidemiological challenges and changing demand</w:t>
      </w:r>
      <w:r w:rsidR="00F358BA" w:rsidRPr="00F358BA">
        <w:rPr>
          <w:vertAlign w:val="superscript"/>
        </w:rPr>
        <w:t>1</w:t>
      </w:r>
      <w:r w:rsidRPr="00F358BA">
        <w:t>.  The World Health Organisation (WHO) predicts increas</w:t>
      </w:r>
      <w:r w:rsidR="000F7C3E" w:rsidRPr="00F358BA">
        <w:t>ed</w:t>
      </w:r>
      <w:r w:rsidRPr="00F358BA">
        <w:t xml:space="preserve"> global demand for health and social care staff with </w:t>
      </w:r>
      <w:r w:rsidR="000F7C3E" w:rsidRPr="00F358BA">
        <w:t xml:space="preserve">the creation of </w:t>
      </w:r>
      <w:r w:rsidRPr="00F358BA">
        <w:t xml:space="preserve">40 million new jobs by 2030. </w:t>
      </w:r>
      <w:r w:rsidRPr="00F358BA">
        <w:rPr>
          <w:vertAlign w:val="superscript"/>
        </w:rPr>
        <w:t>2</w:t>
      </w:r>
      <w:r w:rsidRPr="00F358BA">
        <w:t xml:space="preserve"> Professionally educated nurses are numerically the largest professional group in most countries </w:t>
      </w:r>
      <w:r w:rsidR="00DA4196" w:rsidRPr="00F358BA">
        <w:t xml:space="preserve">and </w:t>
      </w:r>
      <w:r w:rsidR="00B41BD3" w:rsidRPr="00F358BA">
        <w:t xml:space="preserve">comprise about </w:t>
      </w:r>
      <w:r w:rsidRPr="00F358BA">
        <w:t xml:space="preserve">half the global healthcare workforce. </w:t>
      </w:r>
      <w:r w:rsidRPr="00F358BA">
        <w:rPr>
          <w:vertAlign w:val="superscript"/>
        </w:rPr>
        <w:t>2</w:t>
      </w:r>
      <w:r w:rsidRPr="00F358BA">
        <w:t xml:space="preserve">   In 2014</w:t>
      </w:r>
      <w:r w:rsidR="00DA4196" w:rsidRPr="00F358BA">
        <w:t>,</w:t>
      </w:r>
      <w:r w:rsidRPr="00F358BA">
        <w:t xml:space="preserve"> WHO and </w:t>
      </w:r>
      <w:r w:rsidR="000F7C3E" w:rsidRPr="00F358BA">
        <w:t xml:space="preserve">the </w:t>
      </w:r>
      <w:r w:rsidRPr="00F358BA">
        <w:t>World Bank calculated a global shortage</w:t>
      </w:r>
      <w:r w:rsidR="000F7C3E" w:rsidRPr="00F358BA">
        <w:t xml:space="preserve"> of nine million nurses</w:t>
      </w:r>
      <w:r w:rsidR="00237B62" w:rsidRPr="00F358BA">
        <w:t xml:space="preserve"> and midwives. </w:t>
      </w:r>
      <w:r w:rsidR="00F358BA">
        <w:t>T</w:t>
      </w:r>
      <w:r w:rsidR="000F7C3E" w:rsidRPr="00F358BA">
        <w:t>hey predict</w:t>
      </w:r>
      <w:r w:rsidR="00B41BD3" w:rsidRPr="00F358BA">
        <w:t>ed</w:t>
      </w:r>
      <w:r w:rsidR="000F7C3E" w:rsidRPr="00F358BA">
        <w:t xml:space="preserve"> </w:t>
      </w:r>
      <w:r w:rsidR="0002384A">
        <w:t xml:space="preserve">this will reduce </w:t>
      </w:r>
      <w:r w:rsidR="000F7C3E" w:rsidRPr="00F358BA">
        <w:t xml:space="preserve">by 2030 </w:t>
      </w:r>
      <w:r w:rsidR="0002384A">
        <w:t xml:space="preserve">to </w:t>
      </w:r>
      <w:r w:rsidR="0034558B" w:rsidRPr="00F358BA">
        <w:t xml:space="preserve">7.6 </w:t>
      </w:r>
      <w:r w:rsidR="0002384A" w:rsidRPr="00F358BA">
        <w:t xml:space="preserve">million </w:t>
      </w:r>
      <w:r w:rsidR="0002384A">
        <w:t xml:space="preserve">but </w:t>
      </w:r>
      <w:r w:rsidR="000F7C3E" w:rsidRPr="00F358BA">
        <w:t xml:space="preserve">it will </w:t>
      </w:r>
      <w:r w:rsidR="00DA4196" w:rsidRPr="00F358BA">
        <w:t xml:space="preserve">have a </w:t>
      </w:r>
      <w:r w:rsidR="000F7C3E" w:rsidRPr="00F358BA">
        <w:t>disproportionate</w:t>
      </w:r>
      <w:r w:rsidR="00DA4196" w:rsidRPr="00F358BA">
        <w:t xml:space="preserve"> </w:t>
      </w:r>
      <w:r w:rsidR="00237B62" w:rsidRPr="00F358BA">
        <w:t xml:space="preserve">impact </w:t>
      </w:r>
      <w:r w:rsidR="00DA4196" w:rsidRPr="00F358BA">
        <w:t xml:space="preserve">on </w:t>
      </w:r>
      <w:r w:rsidR="00237B62" w:rsidRPr="00F358BA">
        <w:t xml:space="preserve">regions </w:t>
      </w:r>
      <w:r w:rsidR="00FB6773" w:rsidRPr="00F358BA">
        <w:t>such as Africa</w:t>
      </w:r>
      <w:r w:rsidRPr="00F358BA">
        <w:t xml:space="preserve">. </w:t>
      </w:r>
      <w:r w:rsidR="000776AB" w:rsidRPr="00F358BA">
        <w:rPr>
          <w:vertAlign w:val="superscript"/>
        </w:rPr>
        <w:t>3</w:t>
      </w:r>
      <w:r w:rsidRPr="00F358BA">
        <w:t xml:space="preserve">  This scoping review </w:t>
      </w:r>
      <w:r w:rsidR="000776AB" w:rsidRPr="00F358BA">
        <w:rPr>
          <w:vertAlign w:val="superscript"/>
        </w:rPr>
        <w:t>4</w:t>
      </w:r>
      <w:r w:rsidRPr="00F358BA">
        <w:rPr>
          <w:vertAlign w:val="superscript"/>
        </w:rPr>
        <w:t xml:space="preserve"> </w:t>
      </w:r>
      <w:r w:rsidRPr="00F358BA">
        <w:t xml:space="preserve"> addresse</w:t>
      </w:r>
      <w:r w:rsidR="0034558B" w:rsidRPr="00F358BA">
        <w:t>d</w:t>
      </w:r>
      <w:r w:rsidRPr="00F358BA">
        <w:t xml:space="preserve"> the questions: what </w:t>
      </w:r>
      <w:r w:rsidR="002E436F" w:rsidRPr="00F358BA">
        <w:t xml:space="preserve">is known </w:t>
      </w:r>
      <w:r w:rsidRPr="00F358BA">
        <w:t xml:space="preserve">about the current nursing workforce,  how </w:t>
      </w:r>
      <w:r w:rsidR="002E436F" w:rsidRPr="00F358BA">
        <w:t xml:space="preserve">are shortages calculated and why </w:t>
      </w:r>
      <w:r w:rsidRPr="00F358BA">
        <w:t>do shortages of nurses arise , what can be done to forestall such shortages in a national and global context, and wh</w:t>
      </w:r>
      <w:r w:rsidR="0034558B" w:rsidRPr="00F358BA">
        <w:t>ere are the  evidence gaps?</w:t>
      </w:r>
      <w:r w:rsidR="0034558B">
        <w:t xml:space="preserve"> </w:t>
      </w:r>
    </w:p>
    <w:p w14:paraId="063E0E4A" w14:textId="77777777" w:rsidR="002E436F" w:rsidRDefault="002E436F" w:rsidP="002E436F"/>
    <w:p w14:paraId="15B6E143" w14:textId="6C2C9B1C" w:rsidR="007759EA" w:rsidRPr="00FB6773" w:rsidRDefault="006030D3" w:rsidP="0002384A">
      <w:r>
        <w:t>A</w:t>
      </w:r>
      <w:r w:rsidRPr="003C37AF">
        <w:t xml:space="preserve"> scoping review map</w:t>
      </w:r>
      <w:r>
        <w:t xml:space="preserve">s out </w:t>
      </w:r>
      <w:r w:rsidRPr="003C37AF">
        <w:t>the breadth of issues</w:t>
      </w:r>
      <w:r>
        <w:t xml:space="preserve">, identifying areas </w:t>
      </w:r>
      <w:r w:rsidR="00916822">
        <w:t xml:space="preserve">for policy and </w:t>
      </w:r>
      <w:r w:rsidR="00916822" w:rsidRPr="0002384A">
        <w:t>research</w:t>
      </w:r>
      <w:r w:rsidRPr="0002384A">
        <w:t>.</w:t>
      </w:r>
      <w:r w:rsidRPr="0002384A">
        <w:rPr>
          <w:vertAlign w:val="superscript"/>
        </w:rPr>
        <w:t>4</w:t>
      </w:r>
      <w:r>
        <w:rPr>
          <w:vertAlign w:val="superscript"/>
        </w:rPr>
        <w:t xml:space="preserve">    </w:t>
      </w:r>
      <w:r w:rsidR="00AF1552">
        <w:rPr>
          <w:vertAlign w:val="superscript"/>
        </w:rPr>
        <w:t xml:space="preserve"> </w:t>
      </w:r>
      <w:r w:rsidR="002E436F" w:rsidRPr="003C37AF">
        <w:t>The review has drawn on: the publications of international organisations with remits for health workforce (W</w:t>
      </w:r>
      <w:r w:rsidR="00916822">
        <w:t>HO</w:t>
      </w:r>
      <w:r w:rsidR="002E436F" w:rsidRPr="003C37AF">
        <w:t>, Office of Economic Co-operation</w:t>
      </w:r>
      <w:r w:rsidR="00711641">
        <w:t xml:space="preserve"> and Development</w:t>
      </w:r>
      <w:r w:rsidR="00916822">
        <w:t>[OECD]</w:t>
      </w:r>
      <w:r w:rsidR="002E436F" w:rsidRPr="003C37AF">
        <w:t>) and nursing (International Council of Nurses</w:t>
      </w:r>
      <w:r w:rsidR="00916822">
        <w:t>,[ICN]</w:t>
      </w:r>
      <w:r w:rsidR="002E436F" w:rsidRPr="003C37AF">
        <w:t>)</w:t>
      </w:r>
      <w:r w:rsidR="00711641">
        <w:t>;</w:t>
      </w:r>
      <w:r w:rsidR="002E436F" w:rsidRPr="003C37AF">
        <w:t xml:space="preserve"> reviews concerned with nursing workforce and shortages identified through database searches (SCOPUS , Medli</w:t>
      </w:r>
      <w:r w:rsidR="00711641">
        <w:t xml:space="preserve">ne, CINAHL 1-1-2008- 1-12-2018); and </w:t>
      </w:r>
      <w:r w:rsidR="002E436F" w:rsidRPr="003C37AF">
        <w:t xml:space="preserve">follow up of cited literature and key authors. </w:t>
      </w:r>
      <w:r w:rsidR="000B0FCE">
        <w:t xml:space="preserve">The </w:t>
      </w:r>
      <w:r>
        <w:t>review</w:t>
      </w:r>
      <w:r w:rsidR="00916822">
        <w:t xml:space="preserve"> </w:t>
      </w:r>
      <w:r>
        <w:t xml:space="preserve">excluded literature </w:t>
      </w:r>
      <w:r w:rsidR="000B0FCE">
        <w:t xml:space="preserve">concerned </w:t>
      </w:r>
      <w:r w:rsidR="000F2BA2">
        <w:t>with midwives</w:t>
      </w:r>
      <w:r w:rsidR="000B0FCE">
        <w:t xml:space="preserve"> and nurse-midwifes. </w:t>
      </w:r>
    </w:p>
    <w:p w14:paraId="23EC798B" w14:textId="77777777" w:rsidR="00AB2233" w:rsidRDefault="002E436F" w:rsidP="002E436F">
      <w:pPr>
        <w:pStyle w:val="Heading2"/>
      </w:pPr>
      <w:r>
        <w:t xml:space="preserve">The current nursing workforce – what do we know?  </w:t>
      </w:r>
    </w:p>
    <w:p w14:paraId="304982A0" w14:textId="16346999" w:rsidR="00881627" w:rsidRDefault="006030D3" w:rsidP="009C5A0B">
      <w:r w:rsidRPr="0002384A">
        <w:t xml:space="preserve">WHO </w:t>
      </w:r>
      <w:r w:rsidR="00711641" w:rsidRPr="0002384A">
        <w:t>estimated 21 million nurses/midwives</w:t>
      </w:r>
      <w:r w:rsidR="00916822" w:rsidRPr="0002384A">
        <w:t xml:space="preserve"> </w:t>
      </w:r>
      <w:r w:rsidR="00916822" w:rsidRPr="0002384A">
        <w:rPr>
          <w:vertAlign w:val="superscript"/>
        </w:rPr>
        <w:t>2</w:t>
      </w:r>
      <w:r w:rsidR="00916822" w:rsidRPr="0002384A">
        <w:t xml:space="preserve"> </w:t>
      </w:r>
      <w:r w:rsidR="009C5A0B" w:rsidRPr="0002384A">
        <w:t>globally</w:t>
      </w:r>
      <w:r w:rsidRPr="0002384A">
        <w:t xml:space="preserve"> in </w:t>
      </w:r>
      <w:r w:rsidR="00916822" w:rsidRPr="0002384A">
        <w:t>2014,</w:t>
      </w:r>
      <w:r w:rsidRPr="0002384A">
        <w:t xml:space="preserve"> although there are variations in definition and </w:t>
      </w:r>
      <w:r w:rsidR="00916822" w:rsidRPr="0002384A">
        <w:t>deployment, which</w:t>
      </w:r>
      <w:r w:rsidRPr="0002384A">
        <w:t xml:space="preserve"> we explain later in this section. </w:t>
      </w:r>
      <w:r w:rsidR="002C086E" w:rsidRPr="0002384A">
        <w:t xml:space="preserve">Despite the </w:t>
      </w:r>
      <w:r w:rsidRPr="0002384A">
        <w:t xml:space="preserve">2008 </w:t>
      </w:r>
      <w:r w:rsidR="002C086E" w:rsidRPr="0002384A">
        <w:t>global fina</w:t>
      </w:r>
      <w:r w:rsidR="00695334" w:rsidRPr="0002384A">
        <w:t>ncial crisis the number</w:t>
      </w:r>
      <w:r w:rsidR="002C086E" w:rsidRPr="0002384A">
        <w:t xml:space="preserve"> of nurses has grown in many countries</w:t>
      </w:r>
      <w:r w:rsidR="00916822" w:rsidRPr="0002384A">
        <w:t xml:space="preserve"> </w:t>
      </w:r>
      <w:r w:rsidR="00916822" w:rsidRPr="0002384A">
        <w:rPr>
          <w:vertAlign w:val="superscript"/>
        </w:rPr>
        <w:t>5</w:t>
      </w:r>
      <w:r w:rsidR="00916822" w:rsidRPr="0002384A">
        <w:t>.</w:t>
      </w:r>
      <w:r w:rsidR="00916822" w:rsidRPr="0002384A">
        <w:rPr>
          <w:vertAlign w:val="superscript"/>
        </w:rPr>
        <w:t xml:space="preserve"> </w:t>
      </w:r>
      <w:r w:rsidR="00CE0881" w:rsidRPr="0002384A">
        <w:t xml:space="preserve">The absolute numbers </w:t>
      </w:r>
      <w:r w:rsidR="000739E4" w:rsidRPr="0002384A">
        <w:t xml:space="preserve">range from </w:t>
      </w:r>
      <w:r w:rsidR="00450B0A" w:rsidRPr="0002384A">
        <w:t xml:space="preserve">over 3 million nurses in </w:t>
      </w:r>
      <w:r w:rsidR="000739E4" w:rsidRPr="0002384A">
        <w:t xml:space="preserve">large countries such China, India and the United States </w:t>
      </w:r>
      <w:r w:rsidR="00450B0A" w:rsidRPr="0002384A">
        <w:t xml:space="preserve">to under 5,000 in </w:t>
      </w:r>
      <w:r w:rsidR="000739E4" w:rsidRPr="0002384A">
        <w:t>smaller countries such as Guinea, Iceland and Jamaica</w:t>
      </w:r>
      <w:r w:rsidR="0002384A" w:rsidRPr="0002384A">
        <w:rPr>
          <w:vertAlign w:val="superscript"/>
        </w:rPr>
        <w:t>3</w:t>
      </w:r>
      <w:r w:rsidR="000739E4" w:rsidRPr="0002384A">
        <w:t>.</w:t>
      </w:r>
      <w:r w:rsidR="00916822" w:rsidRPr="0002384A">
        <w:t xml:space="preserve"> </w:t>
      </w:r>
      <w:r w:rsidR="00881627">
        <w:t xml:space="preserve">Many countries however have very little data on the distribution, types or trends of their nursing workforce </w:t>
      </w:r>
      <w:r w:rsidR="00A97663">
        <w:t xml:space="preserve">which </w:t>
      </w:r>
      <w:r w:rsidR="00881627">
        <w:t>contrast</w:t>
      </w:r>
      <w:r w:rsidR="00DA4196">
        <w:t>s with information</w:t>
      </w:r>
      <w:r w:rsidR="00881627">
        <w:t xml:space="preserve"> held about the medical workforce</w:t>
      </w:r>
      <w:r w:rsidR="0002384A">
        <w:t xml:space="preserve"> </w:t>
      </w:r>
      <w:r w:rsidR="0002384A" w:rsidRPr="0002384A">
        <w:rPr>
          <w:vertAlign w:val="superscript"/>
        </w:rPr>
        <w:t>2</w:t>
      </w:r>
      <w:r w:rsidR="00881627" w:rsidRPr="0002384A">
        <w:t>.</w:t>
      </w:r>
      <w:r w:rsidR="00916822">
        <w:t xml:space="preserve"> </w:t>
      </w:r>
    </w:p>
    <w:p w14:paraId="4F751512" w14:textId="77777777" w:rsidR="00881627" w:rsidRDefault="00881627" w:rsidP="009C5A0B"/>
    <w:p w14:paraId="41FF97CC" w14:textId="15118B59" w:rsidR="00126D15" w:rsidRDefault="0002384A" w:rsidP="009C5A0B">
      <w:r>
        <w:t>N</w:t>
      </w:r>
      <w:r w:rsidR="00237B62">
        <w:t xml:space="preserve">urse </w:t>
      </w:r>
      <w:r w:rsidR="00AF30D1" w:rsidRPr="00AF30D1">
        <w:t>shortages h</w:t>
      </w:r>
      <w:r>
        <w:t>ave</w:t>
      </w:r>
      <w:r w:rsidR="00AF30D1" w:rsidRPr="00AF30D1">
        <w:t xml:space="preserve"> to be considered </w:t>
      </w:r>
      <w:r w:rsidR="00237B62">
        <w:t xml:space="preserve">in the context of </w:t>
      </w:r>
      <w:r w:rsidR="00AF30D1" w:rsidRPr="00AF30D1">
        <w:t xml:space="preserve">international variation in health system development, </w:t>
      </w:r>
      <w:r w:rsidR="00881627">
        <w:t>size of the economy</w:t>
      </w:r>
      <w:r w:rsidR="00237B62">
        <w:t xml:space="preserve">, the population size </w:t>
      </w:r>
      <w:r w:rsidR="00AF30D1" w:rsidRPr="00AF30D1">
        <w:t xml:space="preserve">as well </w:t>
      </w:r>
      <w:r w:rsidR="00237B62">
        <w:t xml:space="preserve">the presence of </w:t>
      </w:r>
      <w:r w:rsidR="00AF30D1" w:rsidRPr="00AF30D1">
        <w:t>other key health professionals, the most important of which is medicine</w:t>
      </w:r>
      <w:r w:rsidR="00881627">
        <w:t>. The international variation in ratio of nurses to population and doctors is illustrated in table 1.</w:t>
      </w:r>
      <w:r w:rsidR="00AF30D1">
        <w:t xml:space="preserve">   </w:t>
      </w:r>
    </w:p>
    <w:p w14:paraId="7F9ADC03" w14:textId="439A95EE" w:rsidR="00ED7169" w:rsidRDefault="00ED7169">
      <w:pPr>
        <w:spacing w:after="160" w:line="259" w:lineRule="auto"/>
      </w:pPr>
      <w:r>
        <w:br w:type="page"/>
      </w:r>
    </w:p>
    <w:p w14:paraId="1C769604" w14:textId="77777777" w:rsidR="00A84385" w:rsidRDefault="00A84385" w:rsidP="009C5A0B"/>
    <w:p w14:paraId="17F0963D" w14:textId="77777777" w:rsidR="00126D15" w:rsidRDefault="00126D15" w:rsidP="009C5A0B">
      <w:r w:rsidRPr="00126D15">
        <w:t>Table 1</w:t>
      </w:r>
      <w:r w:rsidR="00A76FAD">
        <w:t xml:space="preserve"> </w:t>
      </w:r>
      <w:r w:rsidR="00B41BD3">
        <w:t xml:space="preserve">Examples of </w:t>
      </w:r>
      <w:r w:rsidRPr="00126D15">
        <w:t xml:space="preserve">variation </w:t>
      </w:r>
      <w:r w:rsidR="00B41BD3">
        <w:t xml:space="preserve">by country </w:t>
      </w:r>
      <w:r w:rsidRPr="00126D15">
        <w:t xml:space="preserve">in ratios of nurses to population and </w:t>
      </w:r>
      <w:r>
        <w:t xml:space="preserve">to </w:t>
      </w:r>
      <w:r w:rsidRPr="00126D15">
        <w:t xml:space="preserve">doctors </w:t>
      </w:r>
      <w:r w:rsidR="00B16427">
        <w:t>in 2017 or nearest year data available</w:t>
      </w:r>
      <w:r w:rsidRPr="00126D15">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688"/>
      </w:tblGrid>
      <w:tr w:rsidR="00A84385" w:rsidRPr="00A84385" w14:paraId="2BB243DC" w14:textId="77777777" w:rsidTr="00741A46">
        <w:trPr>
          <w:jc w:val="center"/>
        </w:trPr>
        <w:tc>
          <w:tcPr>
            <w:tcW w:w="1985" w:type="dxa"/>
          </w:tcPr>
          <w:p w14:paraId="03C05D0F" w14:textId="77777777" w:rsidR="00A84385" w:rsidRPr="00A84385" w:rsidRDefault="00A84385" w:rsidP="00A84385">
            <w:pPr>
              <w:spacing w:line="240" w:lineRule="auto"/>
              <w:jc w:val="center"/>
              <w:rPr>
                <w:rFonts w:asciiTheme="minorHAnsi" w:hAnsiTheme="minorHAnsi" w:cstheme="minorHAnsi"/>
                <w:b/>
                <w:sz w:val="20"/>
              </w:rPr>
            </w:pPr>
            <w:r w:rsidRPr="00A84385">
              <w:rPr>
                <w:rFonts w:asciiTheme="minorHAnsi" w:hAnsiTheme="minorHAnsi" w:cstheme="minorHAnsi"/>
                <w:b/>
                <w:sz w:val="20"/>
              </w:rPr>
              <w:t>Country</w:t>
            </w:r>
          </w:p>
        </w:tc>
        <w:tc>
          <w:tcPr>
            <w:tcW w:w="2835" w:type="dxa"/>
          </w:tcPr>
          <w:p w14:paraId="05BEB316" w14:textId="77777777" w:rsidR="00A84385" w:rsidRPr="00A84385" w:rsidRDefault="00A84385" w:rsidP="00A84385">
            <w:pPr>
              <w:spacing w:line="240" w:lineRule="auto"/>
              <w:jc w:val="center"/>
              <w:rPr>
                <w:rFonts w:asciiTheme="minorHAnsi" w:hAnsiTheme="minorHAnsi" w:cstheme="minorHAnsi"/>
                <w:b/>
                <w:sz w:val="20"/>
              </w:rPr>
            </w:pPr>
            <w:r w:rsidRPr="00A84385">
              <w:rPr>
                <w:rFonts w:asciiTheme="minorHAnsi" w:hAnsiTheme="minorHAnsi" w:cstheme="minorHAnsi"/>
                <w:b/>
                <w:sz w:val="20"/>
              </w:rPr>
              <w:t>Ratio of nurses to 1,000 population</w:t>
            </w:r>
          </w:p>
        </w:tc>
        <w:tc>
          <w:tcPr>
            <w:tcW w:w="2688" w:type="dxa"/>
          </w:tcPr>
          <w:p w14:paraId="7FE91407" w14:textId="77777777" w:rsidR="00A84385" w:rsidRPr="00A84385" w:rsidRDefault="00A84385" w:rsidP="00A84385">
            <w:pPr>
              <w:spacing w:line="240" w:lineRule="auto"/>
              <w:jc w:val="center"/>
              <w:rPr>
                <w:rFonts w:asciiTheme="minorHAnsi" w:hAnsiTheme="minorHAnsi" w:cstheme="minorHAnsi"/>
                <w:b/>
                <w:sz w:val="20"/>
              </w:rPr>
            </w:pPr>
            <w:r w:rsidRPr="00A84385">
              <w:rPr>
                <w:rFonts w:asciiTheme="minorHAnsi" w:hAnsiTheme="minorHAnsi" w:cstheme="minorHAnsi"/>
                <w:b/>
                <w:sz w:val="20"/>
              </w:rPr>
              <w:t>Ratio of nurses to 1 doctor</w:t>
            </w:r>
          </w:p>
        </w:tc>
      </w:tr>
      <w:tr w:rsidR="00A84385" w:rsidRPr="00A84385" w14:paraId="7A06701B" w14:textId="77777777" w:rsidTr="00741A46">
        <w:trPr>
          <w:jc w:val="center"/>
        </w:trPr>
        <w:tc>
          <w:tcPr>
            <w:tcW w:w="1985" w:type="dxa"/>
          </w:tcPr>
          <w:p w14:paraId="70E21760" w14:textId="77777777" w:rsidR="00A84385" w:rsidRPr="00A84385" w:rsidRDefault="00A84385" w:rsidP="00A84385">
            <w:pPr>
              <w:spacing w:line="240" w:lineRule="auto"/>
              <w:jc w:val="center"/>
              <w:rPr>
                <w:rFonts w:asciiTheme="minorHAnsi" w:hAnsiTheme="minorHAnsi" w:cstheme="minorHAnsi"/>
                <w:sz w:val="20"/>
              </w:rPr>
            </w:pPr>
          </w:p>
        </w:tc>
        <w:tc>
          <w:tcPr>
            <w:tcW w:w="2835" w:type="dxa"/>
          </w:tcPr>
          <w:p w14:paraId="2CA7B084" w14:textId="77777777" w:rsidR="00A84385" w:rsidRPr="00A84385" w:rsidRDefault="00A84385" w:rsidP="00A84385">
            <w:pPr>
              <w:spacing w:line="240" w:lineRule="auto"/>
              <w:jc w:val="center"/>
              <w:rPr>
                <w:rFonts w:asciiTheme="minorHAnsi" w:hAnsiTheme="minorHAnsi" w:cstheme="minorHAnsi"/>
                <w:sz w:val="20"/>
              </w:rPr>
            </w:pPr>
          </w:p>
        </w:tc>
        <w:tc>
          <w:tcPr>
            <w:tcW w:w="2688" w:type="dxa"/>
          </w:tcPr>
          <w:p w14:paraId="382B8E7F" w14:textId="77777777" w:rsidR="00A84385" w:rsidRPr="00A84385" w:rsidRDefault="00A84385" w:rsidP="00A84385">
            <w:pPr>
              <w:spacing w:line="240" w:lineRule="auto"/>
              <w:jc w:val="center"/>
              <w:rPr>
                <w:rFonts w:asciiTheme="minorHAnsi" w:hAnsiTheme="minorHAnsi" w:cstheme="minorHAnsi"/>
                <w:sz w:val="20"/>
              </w:rPr>
            </w:pPr>
          </w:p>
        </w:tc>
      </w:tr>
      <w:tr w:rsidR="00A84385" w:rsidRPr="00A84385" w14:paraId="7C6FEBF1" w14:textId="77777777" w:rsidTr="00741A46">
        <w:trPr>
          <w:jc w:val="center"/>
        </w:trPr>
        <w:tc>
          <w:tcPr>
            <w:tcW w:w="1985" w:type="dxa"/>
          </w:tcPr>
          <w:p w14:paraId="6407B112"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Norway </w:t>
            </w:r>
          </w:p>
        </w:tc>
        <w:tc>
          <w:tcPr>
            <w:tcW w:w="2835" w:type="dxa"/>
          </w:tcPr>
          <w:p w14:paraId="1620E3B9"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17.5</w:t>
            </w:r>
          </w:p>
        </w:tc>
        <w:tc>
          <w:tcPr>
            <w:tcW w:w="2688" w:type="dxa"/>
          </w:tcPr>
          <w:p w14:paraId="06CCDE11"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3.9</w:t>
            </w:r>
          </w:p>
        </w:tc>
      </w:tr>
      <w:tr w:rsidR="00A84385" w:rsidRPr="00A84385" w14:paraId="76CB5BC2" w14:textId="77777777" w:rsidTr="00741A46">
        <w:trPr>
          <w:jc w:val="center"/>
        </w:trPr>
        <w:tc>
          <w:tcPr>
            <w:tcW w:w="1985" w:type="dxa"/>
          </w:tcPr>
          <w:p w14:paraId="6CBB7E79"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Germany</w:t>
            </w:r>
          </w:p>
        </w:tc>
        <w:tc>
          <w:tcPr>
            <w:tcW w:w="2835" w:type="dxa"/>
          </w:tcPr>
          <w:p w14:paraId="6FEFE6F5"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12.9</w:t>
            </w:r>
          </w:p>
        </w:tc>
        <w:tc>
          <w:tcPr>
            <w:tcW w:w="2688" w:type="dxa"/>
          </w:tcPr>
          <w:p w14:paraId="617C40B5"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3.2</w:t>
            </w:r>
          </w:p>
        </w:tc>
      </w:tr>
      <w:tr w:rsidR="00A84385" w:rsidRPr="00A84385" w14:paraId="4A79CFB5" w14:textId="77777777" w:rsidTr="00741A46">
        <w:trPr>
          <w:jc w:val="center"/>
        </w:trPr>
        <w:tc>
          <w:tcPr>
            <w:tcW w:w="1985" w:type="dxa"/>
          </w:tcPr>
          <w:p w14:paraId="728C12EA"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Australia </w:t>
            </w:r>
          </w:p>
        </w:tc>
        <w:tc>
          <w:tcPr>
            <w:tcW w:w="2835" w:type="dxa"/>
          </w:tcPr>
          <w:p w14:paraId="02BE9B84"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11.6</w:t>
            </w:r>
          </w:p>
        </w:tc>
        <w:tc>
          <w:tcPr>
            <w:tcW w:w="2688" w:type="dxa"/>
          </w:tcPr>
          <w:p w14:paraId="6560B7D8"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3.3</w:t>
            </w:r>
          </w:p>
        </w:tc>
      </w:tr>
      <w:tr w:rsidR="00A84385" w:rsidRPr="00A84385" w14:paraId="22D7824B" w14:textId="77777777" w:rsidTr="00741A46">
        <w:trPr>
          <w:jc w:val="center"/>
        </w:trPr>
        <w:tc>
          <w:tcPr>
            <w:tcW w:w="1985" w:type="dxa"/>
          </w:tcPr>
          <w:p w14:paraId="3E22355C"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Japan </w:t>
            </w:r>
          </w:p>
        </w:tc>
        <w:tc>
          <w:tcPr>
            <w:tcW w:w="2835" w:type="dxa"/>
          </w:tcPr>
          <w:p w14:paraId="4165E5C2"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11.0</w:t>
            </w:r>
          </w:p>
        </w:tc>
        <w:tc>
          <w:tcPr>
            <w:tcW w:w="2688" w:type="dxa"/>
          </w:tcPr>
          <w:p w14:paraId="7D2C2D6C"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4.6</w:t>
            </w:r>
          </w:p>
        </w:tc>
      </w:tr>
      <w:tr w:rsidR="00A84385" w:rsidRPr="00A84385" w14:paraId="73F71627" w14:textId="77777777" w:rsidTr="00741A46">
        <w:trPr>
          <w:jc w:val="center"/>
        </w:trPr>
        <w:tc>
          <w:tcPr>
            <w:tcW w:w="1985" w:type="dxa"/>
          </w:tcPr>
          <w:p w14:paraId="40AE4D0A"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USA </w:t>
            </w:r>
          </w:p>
        </w:tc>
        <w:tc>
          <w:tcPr>
            <w:tcW w:w="2835" w:type="dxa"/>
          </w:tcPr>
          <w:p w14:paraId="79CE51A5"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11.1</w:t>
            </w:r>
          </w:p>
        </w:tc>
        <w:tc>
          <w:tcPr>
            <w:tcW w:w="2688" w:type="dxa"/>
          </w:tcPr>
          <w:p w14:paraId="7B1F1F0C"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4.1</w:t>
            </w:r>
          </w:p>
        </w:tc>
      </w:tr>
      <w:tr w:rsidR="00A84385" w:rsidRPr="00A84385" w14:paraId="2727B5D4" w14:textId="77777777" w:rsidTr="00741A46">
        <w:trPr>
          <w:jc w:val="center"/>
        </w:trPr>
        <w:tc>
          <w:tcPr>
            <w:tcW w:w="1985" w:type="dxa"/>
          </w:tcPr>
          <w:p w14:paraId="6919CDAD"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U</w:t>
            </w:r>
            <w:r>
              <w:rPr>
                <w:rFonts w:asciiTheme="minorHAnsi" w:hAnsiTheme="minorHAnsi" w:cstheme="minorHAnsi"/>
                <w:sz w:val="20"/>
              </w:rPr>
              <w:t>K</w:t>
            </w:r>
          </w:p>
        </w:tc>
        <w:tc>
          <w:tcPr>
            <w:tcW w:w="2835" w:type="dxa"/>
          </w:tcPr>
          <w:p w14:paraId="1DF45B43"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7.9</w:t>
            </w:r>
          </w:p>
        </w:tc>
        <w:tc>
          <w:tcPr>
            <w:tcW w:w="2688" w:type="dxa"/>
          </w:tcPr>
          <w:p w14:paraId="425DE505"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2.8</w:t>
            </w:r>
          </w:p>
        </w:tc>
      </w:tr>
      <w:tr w:rsidR="00450B0A" w:rsidRPr="00A84385" w14:paraId="50B07946" w14:textId="77777777" w:rsidTr="00741A46">
        <w:trPr>
          <w:jc w:val="center"/>
        </w:trPr>
        <w:tc>
          <w:tcPr>
            <w:tcW w:w="1985" w:type="dxa"/>
          </w:tcPr>
          <w:p w14:paraId="397744A8" w14:textId="77777777" w:rsidR="00450B0A" w:rsidRPr="00A84385" w:rsidRDefault="00450B0A" w:rsidP="00AC035A">
            <w:pPr>
              <w:spacing w:line="240" w:lineRule="auto"/>
              <w:jc w:val="center"/>
              <w:rPr>
                <w:rFonts w:asciiTheme="minorHAnsi" w:hAnsiTheme="minorHAnsi" w:cstheme="minorHAnsi"/>
                <w:sz w:val="20"/>
              </w:rPr>
            </w:pPr>
            <w:r>
              <w:rPr>
                <w:rFonts w:asciiTheme="minorHAnsi" w:hAnsiTheme="minorHAnsi" w:cstheme="minorHAnsi"/>
                <w:sz w:val="20"/>
              </w:rPr>
              <w:t>Brazil</w:t>
            </w:r>
          </w:p>
        </w:tc>
        <w:tc>
          <w:tcPr>
            <w:tcW w:w="2835" w:type="dxa"/>
          </w:tcPr>
          <w:p w14:paraId="2F91B52D" w14:textId="77777777" w:rsidR="00450B0A" w:rsidRPr="00A84385" w:rsidRDefault="00450B0A" w:rsidP="00A84385">
            <w:pPr>
              <w:spacing w:line="240" w:lineRule="auto"/>
              <w:jc w:val="center"/>
              <w:rPr>
                <w:rFonts w:asciiTheme="minorHAnsi" w:hAnsiTheme="minorHAnsi" w:cstheme="minorHAnsi"/>
                <w:sz w:val="20"/>
              </w:rPr>
            </w:pPr>
            <w:r>
              <w:rPr>
                <w:rFonts w:asciiTheme="minorHAnsi" w:hAnsiTheme="minorHAnsi" w:cstheme="minorHAnsi"/>
                <w:sz w:val="20"/>
              </w:rPr>
              <w:t>7.4</w:t>
            </w:r>
          </w:p>
        </w:tc>
        <w:tc>
          <w:tcPr>
            <w:tcW w:w="2688" w:type="dxa"/>
          </w:tcPr>
          <w:p w14:paraId="03E05884" w14:textId="77777777" w:rsidR="00450B0A" w:rsidRPr="00A84385" w:rsidRDefault="00741A46" w:rsidP="00A84385">
            <w:pPr>
              <w:spacing w:line="240" w:lineRule="auto"/>
              <w:jc w:val="center"/>
              <w:rPr>
                <w:rFonts w:asciiTheme="minorHAnsi" w:hAnsiTheme="minorHAnsi" w:cstheme="minorHAnsi"/>
                <w:sz w:val="20"/>
              </w:rPr>
            </w:pPr>
            <w:r>
              <w:rPr>
                <w:rFonts w:asciiTheme="minorHAnsi" w:hAnsiTheme="minorHAnsi" w:cstheme="minorHAnsi"/>
                <w:sz w:val="20"/>
              </w:rPr>
              <w:t>0.8</w:t>
            </w:r>
          </w:p>
        </w:tc>
      </w:tr>
      <w:tr w:rsidR="00A84385" w:rsidRPr="00A84385" w14:paraId="78956C48" w14:textId="77777777" w:rsidTr="00741A46">
        <w:trPr>
          <w:jc w:val="center"/>
        </w:trPr>
        <w:tc>
          <w:tcPr>
            <w:tcW w:w="1985" w:type="dxa"/>
          </w:tcPr>
          <w:p w14:paraId="1D294A8C"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Philippines</w:t>
            </w:r>
          </w:p>
        </w:tc>
        <w:tc>
          <w:tcPr>
            <w:tcW w:w="2835" w:type="dxa"/>
          </w:tcPr>
          <w:p w14:paraId="541DA7B6"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6.0</w:t>
            </w:r>
          </w:p>
        </w:tc>
        <w:tc>
          <w:tcPr>
            <w:tcW w:w="2688" w:type="dxa"/>
          </w:tcPr>
          <w:p w14:paraId="10B7DC91"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5.2</w:t>
            </w:r>
          </w:p>
        </w:tc>
      </w:tr>
      <w:tr w:rsidR="00A84385" w:rsidRPr="00A84385" w14:paraId="6DF430D5" w14:textId="77777777" w:rsidTr="00741A46">
        <w:trPr>
          <w:jc w:val="center"/>
        </w:trPr>
        <w:tc>
          <w:tcPr>
            <w:tcW w:w="1985" w:type="dxa"/>
          </w:tcPr>
          <w:p w14:paraId="1767FC8C"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Poland</w:t>
            </w:r>
          </w:p>
        </w:tc>
        <w:tc>
          <w:tcPr>
            <w:tcW w:w="2835" w:type="dxa"/>
          </w:tcPr>
          <w:p w14:paraId="0B503A0A"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5.2</w:t>
            </w:r>
          </w:p>
        </w:tc>
        <w:tc>
          <w:tcPr>
            <w:tcW w:w="2688" w:type="dxa"/>
          </w:tcPr>
          <w:p w14:paraId="1FCF476F"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2.2</w:t>
            </w:r>
          </w:p>
        </w:tc>
      </w:tr>
      <w:tr w:rsidR="00A84385" w:rsidRPr="00A84385" w14:paraId="60699A06" w14:textId="77777777" w:rsidTr="00741A46">
        <w:trPr>
          <w:jc w:val="center"/>
        </w:trPr>
        <w:tc>
          <w:tcPr>
            <w:tcW w:w="1985" w:type="dxa"/>
          </w:tcPr>
          <w:p w14:paraId="4C024E78"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China </w:t>
            </w:r>
          </w:p>
        </w:tc>
        <w:tc>
          <w:tcPr>
            <w:tcW w:w="2835" w:type="dxa"/>
          </w:tcPr>
          <w:p w14:paraId="0F892B70"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2.3</w:t>
            </w:r>
          </w:p>
        </w:tc>
        <w:tc>
          <w:tcPr>
            <w:tcW w:w="2688" w:type="dxa"/>
          </w:tcPr>
          <w:p w14:paraId="1C541300"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1.3</w:t>
            </w:r>
          </w:p>
        </w:tc>
      </w:tr>
      <w:tr w:rsidR="00A84385" w:rsidRPr="00A84385" w14:paraId="282D7616" w14:textId="77777777" w:rsidTr="00741A46">
        <w:trPr>
          <w:jc w:val="center"/>
        </w:trPr>
        <w:tc>
          <w:tcPr>
            <w:tcW w:w="1985" w:type="dxa"/>
          </w:tcPr>
          <w:p w14:paraId="4E46CCC4"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 xml:space="preserve">Thailand </w:t>
            </w:r>
          </w:p>
        </w:tc>
        <w:tc>
          <w:tcPr>
            <w:tcW w:w="2835" w:type="dxa"/>
          </w:tcPr>
          <w:p w14:paraId="0D2A6D53"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2.1</w:t>
            </w:r>
          </w:p>
        </w:tc>
        <w:tc>
          <w:tcPr>
            <w:tcW w:w="2688" w:type="dxa"/>
          </w:tcPr>
          <w:p w14:paraId="2FB0AEC5"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5.3</w:t>
            </w:r>
          </w:p>
        </w:tc>
      </w:tr>
      <w:tr w:rsidR="00A84385" w:rsidRPr="00A84385" w14:paraId="130B5850" w14:textId="77777777" w:rsidTr="00741A46">
        <w:trPr>
          <w:jc w:val="center"/>
        </w:trPr>
        <w:tc>
          <w:tcPr>
            <w:tcW w:w="1985" w:type="dxa"/>
          </w:tcPr>
          <w:p w14:paraId="7317FE82"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Turkey</w:t>
            </w:r>
          </w:p>
        </w:tc>
        <w:tc>
          <w:tcPr>
            <w:tcW w:w="2835" w:type="dxa"/>
          </w:tcPr>
          <w:p w14:paraId="7A8BBD3B"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1.9</w:t>
            </w:r>
          </w:p>
        </w:tc>
        <w:tc>
          <w:tcPr>
            <w:tcW w:w="2688" w:type="dxa"/>
          </w:tcPr>
          <w:p w14:paraId="5DE771F3"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1.2</w:t>
            </w:r>
          </w:p>
        </w:tc>
      </w:tr>
      <w:tr w:rsidR="00A84385" w:rsidRPr="00A84385" w14:paraId="39455D9D" w14:textId="77777777" w:rsidTr="00741A46">
        <w:trPr>
          <w:jc w:val="center"/>
        </w:trPr>
        <w:tc>
          <w:tcPr>
            <w:tcW w:w="1985" w:type="dxa"/>
          </w:tcPr>
          <w:p w14:paraId="3547B128" w14:textId="77777777" w:rsidR="00A84385" w:rsidRPr="00A84385" w:rsidRDefault="00A84385" w:rsidP="00AC035A">
            <w:pPr>
              <w:spacing w:line="240" w:lineRule="auto"/>
              <w:jc w:val="center"/>
              <w:rPr>
                <w:rFonts w:asciiTheme="minorHAnsi" w:hAnsiTheme="minorHAnsi" w:cstheme="minorHAnsi"/>
                <w:sz w:val="20"/>
              </w:rPr>
            </w:pPr>
            <w:r w:rsidRPr="00A84385">
              <w:rPr>
                <w:rFonts w:asciiTheme="minorHAnsi" w:hAnsiTheme="minorHAnsi" w:cstheme="minorHAnsi"/>
                <w:sz w:val="20"/>
              </w:rPr>
              <w:t>India</w:t>
            </w:r>
          </w:p>
        </w:tc>
        <w:tc>
          <w:tcPr>
            <w:tcW w:w="2835" w:type="dxa"/>
          </w:tcPr>
          <w:p w14:paraId="1A6418EF"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1.4</w:t>
            </w:r>
          </w:p>
        </w:tc>
        <w:tc>
          <w:tcPr>
            <w:tcW w:w="2688" w:type="dxa"/>
          </w:tcPr>
          <w:p w14:paraId="0D1D54A8"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1.9</w:t>
            </w:r>
          </w:p>
        </w:tc>
      </w:tr>
      <w:tr w:rsidR="00A84385" w:rsidRPr="00A84385" w14:paraId="6CDE44E1" w14:textId="77777777" w:rsidTr="00741A46">
        <w:trPr>
          <w:jc w:val="center"/>
        </w:trPr>
        <w:tc>
          <w:tcPr>
            <w:tcW w:w="1985" w:type="dxa"/>
          </w:tcPr>
          <w:p w14:paraId="35252CCC" w14:textId="77777777" w:rsidR="00A84385" w:rsidRPr="00A84385" w:rsidRDefault="00AC035A" w:rsidP="00A84385">
            <w:pPr>
              <w:spacing w:line="240" w:lineRule="auto"/>
              <w:jc w:val="center"/>
              <w:rPr>
                <w:rFonts w:asciiTheme="minorHAnsi" w:hAnsiTheme="minorHAnsi" w:cstheme="minorHAnsi"/>
                <w:sz w:val="20"/>
              </w:rPr>
            </w:pPr>
            <w:r>
              <w:rPr>
                <w:rFonts w:asciiTheme="minorHAnsi" w:hAnsiTheme="minorHAnsi" w:cstheme="minorHAnsi"/>
                <w:sz w:val="20"/>
              </w:rPr>
              <w:t>South Africa</w:t>
            </w:r>
          </w:p>
        </w:tc>
        <w:tc>
          <w:tcPr>
            <w:tcW w:w="2835" w:type="dxa"/>
          </w:tcPr>
          <w:p w14:paraId="6E346300"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1.2</w:t>
            </w:r>
          </w:p>
        </w:tc>
        <w:tc>
          <w:tcPr>
            <w:tcW w:w="2688" w:type="dxa"/>
          </w:tcPr>
          <w:p w14:paraId="6AC6EF7B"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1.4</w:t>
            </w:r>
          </w:p>
        </w:tc>
      </w:tr>
      <w:tr w:rsidR="00A84385" w:rsidRPr="00A84385" w14:paraId="5EDECEE0" w14:textId="77777777" w:rsidTr="00741A46">
        <w:trPr>
          <w:jc w:val="center"/>
        </w:trPr>
        <w:tc>
          <w:tcPr>
            <w:tcW w:w="1985" w:type="dxa"/>
            <w:tcBorders>
              <w:bottom w:val="single" w:sz="4" w:space="0" w:color="auto"/>
            </w:tcBorders>
          </w:tcPr>
          <w:p w14:paraId="26056E0A"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Pap</w:t>
            </w:r>
            <w:r w:rsidR="00AC035A">
              <w:rPr>
                <w:rFonts w:asciiTheme="minorHAnsi" w:hAnsiTheme="minorHAnsi" w:cstheme="minorHAnsi"/>
                <w:sz w:val="20"/>
              </w:rPr>
              <w:t xml:space="preserve">ua New Guinea </w:t>
            </w:r>
          </w:p>
        </w:tc>
        <w:tc>
          <w:tcPr>
            <w:tcW w:w="2835" w:type="dxa"/>
            <w:tcBorders>
              <w:bottom w:val="single" w:sz="4" w:space="0" w:color="auto"/>
            </w:tcBorders>
          </w:tcPr>
          <w:p w14:paraId="395B4AAD"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0.6</w:t>
            </w:r>
          </w:p>
        </w:tc>
        <w:tc>
          <w:tcPr>
            <w:tcW w:w="2688" w:type="dxa"/>
            <w:tcBorders>
              <w:bottom w:val="single" w:sz="4" w:space="0" w:color="auto"/>
            </w:tcBorders>
          </w:tcPr>
          <w:p w14:paraId="7E4CAEE7"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9.7</w:t>
            </w:r>
          </w:p>
        </w:tc>
      </w:tr>
      <w:tr w:rsidR="00A84385" w:rsidRPr="00A84385" w14:paraId="6A496161" w14:textId="77777777" w:rsidTr="00741A46">
        <w:trPr>
          <w:jc w:val="center"/>
        </w:trPr>
        <w:tc>
          <w:tcPr>
            <w:tcW w:w="1985" w:type="dxa"/>
            <w:tcBorders>
              <w:top w:val="single" w:sz="4" w:space="0" w:color="auto"/>
              <w:bottom w:val="single" w:sz="4" w:space="0" w:color="auto"/>
            </w:tcBorders>
          </w:tcPr>
          <w:p w14:paraId="24B34410" w14:textId="77777777" w:rsidR="00A84385" w:rsidRPr="00A84385" w:rsidRDefault="00AC035A" w:rsidP="00A84385">
            <w:pPr>
              <w:spacing w:line="240" w:lineRule="auto"/>
              <w:jc w:val="center"/>
              <w:rPr>
                <w:rFonts w:asciiTheme="minorHAnsi" w:hAnsiTheme="minorHAnsi" w:cstheme="minorHAnsi"/>
                <w:sz w:val="20"/>
              </w:rPr>
            </w:pPr>
            <w:r>
              <w:rPr>
                <w:rFonts w:asciiTheme="minorHAnsi" w:hAnsiTheme="minorHAnsi" w:cstheme="minorHAnsi"/>
                <w:sz w:val="20"/>
              </w:rPr>
              <w:t xml:space="preserve">Pakistan </w:t>
            </w:r>
          </w:p>
        </w:tc>
        <w:tc>
          <w:tcPr>
            <w:tcW w:w="2835" w:type="dxa"/>
            <w:tcBorders>
              <w:top w:val="single" w:sz="4" w:space="0" w:color="auto"/>
              <w:bottom w:val="single" w:sz="4" w:space="0" w:color="auto"/>
            </w:tcBorders>
          </w:tcPr>
          <w:p w14:paraId="0C46E7BE"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0.6</w:t>
            </w:r>
          </w:p>
        </w:tc>
        <w:tc>
          <w:tcPr>
            <w:tcW w:w="2688" w:type="dxa"/>
            <w:tcBorders>
              <w:top w:val="single" w:sz="4" w:space="0" w:color="auto"/>
              <w:bottom w:val="single" w:sz="4" w:space="0" w:color="auto"/>
            </w:tcBorders>
          </w:tcPr>
          <w:p w14:paraId="173513E8" w14:textId="77777777" w:rsidR="00A84385" w:rsidRPr="00A84385" w:rsidRDefault="00A84385" w:rsidP="00A84385">
            <w:pPr>
              <w:spacing w:line="240" w:lineRule="auto"/>
              <w:jc w:val="center"/>
              <w:rPr>
                <w:rFonts w:asciiTheme="minorHAnsi" w:hAnsiTheme="minorHAnsi" w:cstheme="minorHAnsi"/>
                <w:sz w:val="20"/>
              </w:rPr>
            </w:pPr>
            <w:r w:rsidRPr="00A84385">
              <w:rPr>
                <w:rFonts w:asciiTheme="minorHAnsi" w:hAnsiTheme="minorHAnsi" w:cstheme="minorHAnsi"/>
                <w:sz w:val="20"/>
              </w:rPr>
              <w:t>0.7</w:t>
            </w:r>
          </w:p>
        </w:tc>
      </w:tr>
    </w:tbl>
    <w:p w14:paraId="1C29A5A0" w14:textId="77777777" w:rsidR="00A84385" w:rsidRDefault="00A84385" w:rsidP="00126D15">
      <w:pPr>
        <w:spacing w:line="240" w:lineRule="auto"/>
        <w:rPr>
          <w:sz w:val="20"/>
        </w:rPr>
      </w:pPr>
    </w:p>
    <w:p w14:paraId="04C3A75F" w14:textId="01B78103" w:rsidR="00B41BD3" w:rsidRPr="00AC035A" w:rsidRDefault="00126D15" w:rsidP="00AC035A">
      <w:pPr>
        <w:rPr>
          <w:sz w:val="20"/>
        </w:rPr>
      </w:pPr>
      <w:r w:rsidRPr="00AC035A">
        <w:rPr>
          <w:sz w:val="20"/>
        </w:rPr>
        <w:t>Data compiled from</w:t>
      </w:r>
      <w:r w:rsidR="00A84385" w:rsidRPr="00AC035A">
        <w:rPr>
          <w:sz w:val="20"/>
        </w:rPr>
        <w:t xml:space="preserve"> </w:t>
      </w:r>
      <w:r w:rsidR="00AC035A">
        <w:rPr>
          <w:sz w:val="20"/>
        </w:rPr>
        <w:t xml:space="preserve">four </w:t>
      </w:r>
      <w:r w:rsidR="00BF3020">
        <w:rPr>
          <w:sz w:val="20"/>
        </w:rPr>
        <w:t xml:space="preserve">OECD </w:t>
      </w:r>
      <w:r w:rsidR="00AC035A">
        <w:rPr>
          <w:sz w:val="20"/>
        </w:rPr>
        <w:t>sources</w:t>
      </w:r>
      <w:r w:rsidR="00BF3020">
        <w:rPr>
          <w:sz w:val="20"/>
        </w:rPr>
        <w:t xml:space="preserve"> </w:t>
      </w:r>
      <w:r w:rsidR="00BF3020" w:rsidRPr="0002384A">
        <w:rPr>
          <w:sz w:val="20"/>
          <w:vertAlign w:val="superscript"/>
        </w:rPr>
        <w:t>5,41,42,43</w:t>
      </w:r>
      <w:r w:rsidR="00BF3020">
        <w:rPr>
          <w:sz w:val="20"/>
        </w:rPr>
        <w:t xml:space="preserve"> </w:t>
      </w:r>
      <w:r w:rsidR="00AC035A">
        <w:rPr>
          <w:sz w:val="20"/>
        </w:rPr>
        <w:t xml:space="preserve">: </w:t>
      </w:r>
    </w:p>
    <w:p w14:paraId="60F89C7C" w14:textId="77777777" w:rsidR="00B41BD3" w:rsidRPr="00AC035A" w:rsidRDefault="00B41BD3" w:rsidP="00AC035A">
      <w:pPr>
        <w:rPr>
          <w:sz w:val="20"/>
        </w:rPr>
      </w:pPr>
    </w:p>
    <w:p w14:paraId="3C982AFF" w14:textId="5648120C" w:rsidR="00624C38" w:rsidRDefault="00126D15" w:rsidP="009C5A0B">
      <w:r>
        <w:t xml:space="preserve">The figures </w:t>
      </w:r>
      <w:r w:rsidR="000F2BA2">
        <w:t xml:space="preserve">in table 1 </w:t>
      </w:r>
      <w:r w:rsidR="00237B62">
        <w:t xml:space="preserve">however </w:t>
      </w:r>
      <w:r>
        <w:t xml:space="preserve">mask </w:t>
      </w:r>
      <w:r w:rsidR="00450B0A">
        <w:t xml:space="preserve">some </w:t>
      </w:r>
      <w:r>
        <w:t>fundamental variations</w:t>
      </w:r>
      <w:r w:rsidR="00FA3A78">
        <w:t xml:space="preserve"> </w:t>
      </w:r>
      <w:r w:rsidR="00E12D23">
        <w:t>as to who counts as a nurse</w:t>
      </w:r>
      <w:r w:rsidR="00971B9F">
        <w:t>;</w:t>
      </w:r>
      <w:r w:rsidR="00237B62">
        <w:t xml:space="preserve"> no</w:t>
      </w:r>
      <w:r w:rsidR="00741A46">
        <w:t xml:space="preserve">t all countries have legislation to </w:t>
      </w:r>
      <w:r w:rsidR="009C5A0B">
        <w:t>protect the title</w:t>
      </w:r>
      <w:r w:rsidR="0002384A">
        <w:t xml:space="preserve"> and education level of ‘nurse’</w:t>
      </w:r>
      <w:r w:rsidR="00101006" w:rsidRPr="0002384A">
        <w:t xml:space="preserve"> </w:t>
      </w:r>
      <w:r w:rsidR="00881DD5" w:rsidRPr="0002384A">
        <w:rPr>
          <w:vertAlign w:val="superscript"/>
        </w:rPr>
        <w:t>6</w:t>
      </w:r>
      <w:r w:rsidR="00971B9F" w:rsidRPr="0002384A">
        <w:t>.</w:t>
      </w:r>
      <w:r w:rsidR="007742DD" w:rsidRPr="0002384A">
        <w:t xml:space="preserve"> </w:t>
      </w:r>
      <w:r w:rsidR="00971B9F">
        <w:t xml:space="preserve"> </w:t>
      </w:r>
      <w:r w:rsidR="00237B62">
        <w:t>Registered nurse (RN)</w:t>
      </w:r>
      <w:r w:rsidR="005F6BF4">
        <w:t xml:space="preserve"> </w:t>
      </w:r>
      <w:r w:rsidR="00237B62">
        <w:t>a</w:t>
      </w:r>
      <w:r w:rsidR="00645FE1">
        <w:t xml:space="preserve">cademic levels </w:t>
      </w:r>
      <w:r w:rsidR="00237B62">
        <w:t xml:space="preserve">also </w:t>
      </w:r>
      <w:r w:rsidR="00645FE1">
        <w:t>vary; f</w:t>
      </w:r>
      <w:r w:rsidR="000F2BA2">
        <w:t>or example, i</w:t>
      </w:r>
      <w:r w:rsidR="00726E7A">
        <w:t xml:space="preserve">n </w:t>
      </w:r>
      <w:r w:rsidR="001903A9">
        <w:t>Europe</w:t>
      </w:r>
      <w:r w:rsidR="000F2BA2">
        <w:t xml:space="preserve"> </w:t>
      </w:r>
      <w:r w:rsidR="00237B62">
        <w:t xml:space="preserve">RN </w:t>
      </w:r>
      <w:r w:rsidR="00237B62" w:rsidRPr="0002384A">
        <w:t xml:space="preserve">education is at diploma level in </w:t>
      </w:r>
      <w:r w:rsidR="00996C90" w:rsidRPr="0002384A">
        <w:t xml:space="preserve">seven countries </w:t>
      </w:r>
      <w:r w:rsidR="00971B9F" w:rsidRPr="0002384A">
        <w:t>e.g. Luxembourg</w:t>
      </w:r>
      <w:r w:rsidR="000F2BA2" w:rsidRPr="0002384A">
        <w:t xml:space="preserve"> </w:t>
      </w:r>
      <w:r w:rsidR="00101006" w:rsidRPr="0002384A">
        <w:t xml:space="preserve">but </w:t>
      </w:r>
      <w:r w:rsidR="00645FE1" w:rsidRPr="0002384A">
        <w:t xml:space="preserve">at </w:t>
      </w:r>
      <w:r w:rsidR="006A6D2C" w:rsidRPr="0002384A">
        <w:t xml:space="preserve">degree level </w:t>
      </w:r>
      <w:r w:rsidR="00645FE1" w:rsidRPr="0002384A">
        <w:t xml:space="preserve">in others </w:t>
      </w:r>
      <w:r w:rsidR="006A6D2C" w:rsidRPr="0002384A">
        <w:t xml:space="preserve">e.g. </w:t>
      </w:r>
      <w:r w:rsidR="001903A9" w:rsidRPr="0002384A">
        <w:t>United Kingdom (UK</w:t>
      </w:r>
      <w:r w:rsidR="00971B9F" w:rsidRPr="0002384A">
        <w:t>)</w:t>
      </w:r>
      <w:r w:rsidR="00881DD5" w:rsidRPr="0002384A">
        <w:t xml:space="preserve"> </w:t>
      </w:r>
      <w:r w:rsidR="00881DD5" w:rsidRPr="0002384A">
        <w:rPr>
          <w:vertAlign w:val="superscript"/>
        </w:rPr>
        <w:t>7</w:t>
      </w:r>
      <w:r w:rsidR="003910A9" w:rsidRPr="0002384A">
        <w:t xml:space="preserve">. </w:t>
      </w:r>
      <w:r w:rsidR="00971B9F" w:rsidRPr="0002384A">
        <w:t xml:space="preserve"> </w:t>
      </w:r>
      <w:r w:rsidR="00971B9F">
        <w:t xml:space="preserve"> </w:t>
      </w:r>
      <w:r w:rsidR="00FB6934">
        <w:t xml:space="preserve">Some countries </w:t>
      </w:r>
      <w:r w:rsidR="00ED2BB0">
        <w:t>reg</w:t>
      </w:r>
      <w:r w:rsidR="00971B9F">
        <w:t xml:space="preserve">ulate </w:t>
      </w:r>
      <w:r w:rsidR="00101006">
        <w:t xml:space="preserve">multiple </w:t>
      </w:r>
      <w:r w:rsidR="00E12D23">
        <w:t xml:space="preserve">levels of nurse, </w:t>
      </w:r>
      <w:r w:rsidR="00645FE1">
        <w:t xml:space="preserve">such as </w:t>
      </w:r>
      <w:r w:rsidR="00F60D13">
        <w:t xml:space="preserve">practical nurses and advanced practice nurses. </w:t>
      </w:r>
      <w:r w:rsidR="00346299">
        <w:t xml:space="preserve"> </w:t>
      </w:r>
      <w:r w:rsidR="000F2BA2">
        <w:t>Regulated practical nurses have different names</w:t>
      </w:r>
      <w:r w:rsidR="00101006">
        <w:t xml:space="preserve">: </w:t>
      </w:r>
      <w:r w:rsidR="000F2BA2" w:rsidRPr="000F2BA2">
        <w:t>enrolled nurse (Zambia), licensed practical nurses (US), nurse assistant (Ghana), and nurse associate (UK).</w:t>
      </w:r>
      <w:r w:rsidR="000F2BA2">
        <w:t xml:space="preserve">  </w:t>
      </w:r>
      <w:r w:rsidR="006A6D2C">
        <w:t xml:space="preserve">Advanced practice roles are those in which </w:t>
      </w:r>
      <w:r w:rsidR="00695334">
        <w:t>RNs, with</w:t>
      </w:r>
      <w:r w:rsidR="006A6D2C">
        <w:t xml:space="preserve"> additional training</w:t>
      </w:r>
      <w:r w:rsidR="00101006">
        <w:t>,</w:t>
      </w:r>
      <w:r w:rsidR="006A6D2C">
        <w:t xml:space="preserve"> undertake </w:t>
      </w:r>
      <w:r w:rsidR="006A6D2C" w:rsidRPr="0076792C">
        <w:t xml:space="preserve">diagnostic and treatment </w:t>
      </w:r>
      <w:r w:rsidR="006A6D2C">
        <w:t xml:space="preserve">roles </w:t>
      </w:r>
      <w:r w:rsidR="006A6D2C" w:rsidRPr="0076792C">
        <w:t>tradit</w:t>
      </w:r>
      <w:r w:rsidR="006A6D2C">
        <w:t xml:space="preserve">ionally the domain of the doctors. </w:t>
      </w:r>
      <w:r w:rsidR="000F2BA2">
        <w:t xml:space="preserve"> </w:t>
      </w:r>
      <w:r w:rsidR="006A6D2C">
        <w:t>Like practical nurses these are variously named</w:t>
      </w:r>
      <w:r w:rsidR="005E034C">
        <w:t>:</w:t>
      </w:r>
      <w:r w:rsidR="000F2BA2" w:rsidRPr="000F2BA2">
        <w:t xml:space="preserve"> nurse clinician </w:t>
      </w:r>
      <w:r w:rsidR="005E034C">
        <w:t>(</w:t>
      </w:r>
      <w:r w:rsidR="000F2BA2" w:rsidRPr="000F2BA2">
        <w:t>Botswana</w:t>
      </w:r>
      <w:r w:rsidR="005E034C">
        <w:t>), nurse officer (</w:t>
      </w:r>
      <w:r w:rsidR="000F2BA2" w:rsidRPr="000F2BA2">
        <w:t>Lesotho</w:t>
      </w:r>
      <w:r w:rsidR="005E034C">
        <w:t>)</w:t>
      </w:r>
      <w:r w:rsidR="00FA3A78">
        <w:t xml:space="preserve">, </w:t>
      </w:r>
      <w:r w:rsidR="00FA3A78" w:rsidRPr="00FA3A78">
        <w:t>nurse practitioner (US)</w:t>
      </w:r>
      <w:r w:rsidR="00FA3A78">
        <w:t xml:space="preserve">. </w:t>
      </w:r>
      <w:r w:rsidR="00AF30D1">
        <w:t xml:space="preserve">Advanced practice roles and </w:t>
      </w:r>
      <w:r w:rsidR="005E034C">
        <w:t xml:space="preserve">education </w:t>
      </w:r>
      <w:r w:rsidR="006A6D2C">
        <w:t>are not always</w:t>
      </w:r>
      <w:r w:rsidR="005E034C">
        <w:t xml:space="preserve"> regulated, </w:t>
      </w:r>
      <w:r w:rsidR="005E034C" w:rsidRPr="0002384A">
        <w:t>for example as in the UK</w:t>
      </w:r>
      <w:r w:rsidR="006A6D2C" w:rsidRPr="0002384A">
        <w:t xml:space="preserve"> </w:t>
      </w:r>
      <w:r w:rsidR="00881DD5" w:rsidRPr="0002384A">
        <w:rPr>
          <w:vertAlign w:val="superscript"/>
        </w:rPr>
        <w:t>8</w:t>
      </w:r>
      <w:r w:rsidR="00971B9F" w:rsidRPr="0002384A">
        <w:rPr>
          <w:vertAlign w:val="superscript"/>
        </w:rPr>
        <w:t xml:space="preserve"> </w:t>
      </w:r>
      <w:r w:rsidR="006A6D2C" w:rsidRPr="0002384A">
        <w:t>.</w:t>
      </w:r>
      <w:r w:rsidR="006A6D2C">
        <w:t xml:space="preserve"> </w:t>
      </w:r>
      <w:r w:rsidR="003805AE">
        <w:t>S</w:t>
      </w:r>
      <w:r w:rsidR="003D006F">
        <w:t xml:space="preserve">ome countries </w:t>
      </w:r>
      <w:r w:rsidR="005E034C">
        <w:t xml:space="preserve">also </w:t>
      </w:r>
      <w:r w:rsidR="003D006F">
        <w:t>have</w:t>
      </w:r>
      <w:r w:rsidR="005E034C">
        <w:t xml:space="preserve"> </w:t>
      </w:r>
      <w:r w:rsidR="003D006F">
        <w:t xml:space="preserve">nurse anaesthetists </w:t>
      </w:r>
      <w:r w:rsidR="005E034C">
        <w:t xml:space="preserve">who are </w:t>
      </w:r>
      <w:r w:rsidR="003D006F">
        <w:t xml:space="preserve">licensed to provide </w:t>
      </w:r>
      <w:r w:rsidR="003D006F" w:rsidRPr="003D006F">
        <w:t xml:space="preserve">general and regional </w:t>
      </w:r>
      <w:r w:rsidR="00190D90" w:rsidRPr="003D006F">
        <w:t>anaesthesia</w:t>
      </w:r>
      <w:r w:rsidR="003D006F" w:rsidRPr="003D006F">
        <w:t xml:space="preserve"> independently</w:t>
      </w:r>
      <w:r w:rsidR="00E12D23">
        <w:t xml:space="preserve">. </w:t>
      </w:r>
      <w:r w:rsidR="0002384A">
        <w:t>C</w:t>
      </w:r>
      <w:r w:rsidR="00E12D23">
        <w:t xml:space="preserve">ountries </w:t>
      </w:r>
      <w:r w:rsidR="00237B62">
        <w:t xml:space="preserve">which have nurse anaesthetists </w:t>
      </w:r>
      <w:r w:rsidR="00E12D23">
        <w:t>include</w:t>
      </w:r>
      <w:r w:rsidR="005E034C">
        <w:t>:</w:t>
      </w:r>
      <w:r w:rsidR="003D006F">
        <w:t xml:space="preserve"> </w:t>
      </w:r>
      <w:r w:rsidR="003D006F" w:rsidRPr="00ED7169">
        <w:t>Sweden,</w:t>
      </w:r>
      <w:r w:rsidR="00971B9F" w:rsidRPr="00ED7169">
        <w:t xml:space="preserve"> </w:t>
      </w:r>
      <w:r w:rsidR="00881DD5" w:rsidRPr="00ED7169">
        <w:rPr>
          <w:vertAlign w:val="superscript"/>
        </w:rPr>
        <w:t>9</w:t>
      </w:r>
      <w:r w:rsidR="006A6D2C" w:rsidRPr="00ED7169">
        <w:t xml:space="preserve">, </w:t>
      </w:r>
      <w:r w:rsidR="00E12D23" w:rsidRPr="00ED7169">
        <w:t xml:space="preserve">the </w:t>
      </w:r>
      <w:r w:rsidR="003D006F" w:rsidRPr="00ED7169">
        <w:t>US</w:t>
      </w:r>
      <w:r w:rsidR="00E12D23" w:rsidRPr="00ED7169">
        <w:t xml:space="preserve"> which has over </w:t>
      </w:r>
      <w:r w:rsidR="00971641" w:rsidRPr="00ED7169">
        <w:t>42,</w:t>
      </w:r>
      <w:r w:rsidR="00E12D23" w:rsidRPr="00ED7169">
        <w:t xml:space="preserve">000 </w:t>
      </w:r>
      <w:r w:rsidR="00971B9F" w:rsidRPr="00ED7169">
        <w:rPr>
          <w:vertAlign w:val="superscript"/>
        </w:rPr>
        <w:t>1</w:t>
      </w:r>
      <w:r w:rsidR="00881DD5" w:rsidRPr="00ED7169">
        <w:rPr>
          <w:vertAlign w:val="superscript"/>
        </w:rPr>
        <w:t>0</w:t>
      </w:r>
      <w:r w:rsidR="005E034C" w:rsidRPr="00ED7169">
        <w:t xml:space="preserve">; </w:t>
      </w:r>
      <w:r w:rsidR="003D006F" w:rsidRPr="00ED7169">
        <w:t>and</w:t>
      </w:r>
      <w:r w:rsidR="003D006F">
        <w:t xml:space="preserve"> Ghana </w:t>
      </w:r>
      <w:r w:rsidR="00971B9F">
        <w:t>where,</w:t>
      </w:r>
      <w:r w:rsidR="003D006F">
        <w:t xml:space="preserve"> regulated by the General Medical Council, there </w:t>
      </w:r>
      <w:r w:rsidR="006A6D2C">
        <w:t xml:space="preserve">are </w:t>
      </w:r>
      <w:r w:rsidR="003D006F">
        <w:t xml:space="preserve">14 nurse anaesthetists to </w:t>
      </w:r>
      <w:r w:rsidR="006A6D2C">
        <w:t xml:space="preserve">every </w:t>
      </w:r>
      <w:r w:rsidR="003D006F">
        <w:t xml:space="preserve">1 doctor </w:t>
      </w:r>
      <w:r w:rsidR="006A6D2C" w:rsidRPr="00ED7169">
        <w:t>anaesthesiologist</w:t>
      </w:r>
      <w:r w:rsidR="003D006F" w:rsidRPr="00ED7169">
        <w:t xml:space="preserve"> </w:t>
      </w:r>
      <w:r w:rsidR="00971B9F" w:rsidRPr="00ED7169">
        <w:rPr>
          <w:vertAlign w:val="superscript"/>
        </w:rPr>
        <w:t>1</w:t>
      </w:r>
      <w:r w:rsidR="00881DD5" w:rsidRPr="00ED7169">
        <w:rPr>
          <w:vertAlign w:val="superscript"/>
        </w:rPr>
        <w:t>1</w:t>
      </w:r>
      <w:r w:rsidR="00D37D70" w:rsidRPr="00ED7169">
        <w:t xml:space="preserve"> </w:t>
      </w:r>
      <w:r w:rsidR="003D006F" w:rsidRPr="00ED7169">
        <w:t>.</w:t>
      </w:r>
      <w:r w:rsidR="003D006F">
        <w:t xml:space="preserve"> </w:t>
      </w:r>
      <w:r w:rsidR="00ED7169">
        <w:t>T</w:t>
      </w:r>
      <w:r w:rsidR="00881627">
        <w:t>he s</w:t>
      </w:r>
      <w:r w:rsidR="00237B62">
        <w:t xml:space="preserve">cope of practice of nurses </w:t>
      </w:r>
      <w:r w:rsidR="00971B9F">
        <w:t xml:space="preserve">also </w:t>
      </w:r>
      <w:r w:rsidR="00237B62">
        <w:t>varies</w:t>
      </w:r>
      <w:r w:rsidR="00971B9F">
        <w:t xml:space="preserve">. </w:t>
      </w:r>
      <w:r w:rsidR="00ED7169">
        <w:t>For example i</w:t>
      </w:r>
      <w:r w:rsidR="00237B62">
        <w:t xml:space="preserve">n some countries RNs </w:t>
      </w:r>
      <w:r w:rsidR="007A1AB1">
        <w:t xml:space="preserve">have legal </w:t>
      </w:r>
      <w:r w:rsidR="00101006">
        <w:t xml:space="preserve">authority </w:t>
      </w:r>
      <w:r w:rsidR="007A1AB1">
        <w:t>to prescribe</w:t>
      </w:r>
      <w:r w:rsidR="00101006">
        <w:t xml:space="preserve"> </w:t>
      </w:r>
      <w:r w:rsidR="000826E3">
        <w:t>pharmaceutical drugs</w:t>
      </w:r>
      <w:r w:rsidR="007A1AB1">
        <w:t xml:space="preserve"> independently although there </w:t>
      </w:r>
      <w:r w:rsidR="00971B9F">
        <w:t xml:space="preserve">are differences </w:t>
      </w:r>
      <w:r w:rsidR="00377C5E">
        <w:t xml:space="preserve">as to </w:t>
      </w:r>
      <w:r w:rsidR="007A1AB1">
        <w:t>which nurses (on registration or with additional educati</w:t>
      </w:r>
      <w:r w:rsidR="00971B9F">
        <w:t xml:space="preserve">on) and which classes of </w:t>
      </w:r>
      <w:r w:rsidR="00971B9F" w:rsidRPr="00ED7169">
        <w:t>drugs</w:t>
      </w:r>
      <w:r w:rsidR="00ED7169" w:rsidRPr="00ED7169">
        <w:rPr>
          <w:vertAlign w:val="superscript"/>
        </w:rPr>
        <w:t>12</w:t>
      </w:r>
      <w:r w:rsidR="00971B9F" w:rsidRPr="00ED7169">
        <w:t>.</w:t>
      </w:r>
      <w:r w:rsidR="00971B9F">
        <w:t xml:space="preserve"> </w:t>
      </w:r>
      <w:r w:rsidR="00835D97">
        <w:t xml:space="preserve">The extent of </w:t>
      </w:r>
      <w:r w:rsidR="00395F60">
        <w:t xml:space="preserve">the scope of practice and </w:t>
      </w:r>
      <w:r w:rsidR="00835D97">
        <w:t>advanced practice roles in any country reflects historical and contemporary issues including shortages or m</w:t>
      </w:r>
      <w:r w:rsidR="00ED7169">
        <w:t>al-</w:t>
      </w:r>
      <w:r w:rsidR="00835D97">
        <w:t xml:space="preserve">distribution of doctors as well as support or otherwise from medical professional bodies. </w:t>
      </w:r>
    </w:p>
    <w:p w14:paraId="34B64C55" w14:textId="77777777" w:rsidR="00624C38" w:rsidRDefault="00624C38" w:rsidP="009C5A0B"/>
    <w:p w14:paraId="509B2E99" w14:textId="7416C3D6" w:rsidR="00950375" w:rsidRPr="009B533A" w:rsidRDefault="00101006" w:rsidP="009B533A">
      <w:r w:rsidRPr="00ED7169">
        <w:t xml:space="preserve">Four </w:t>
      </w:r>
      <w:r w:rsidR="00624C38" w:rsidRPr="00ED7169">
        <w:t xml:space="preserve">further points </w:t>
      </w:r>
      <w:r w:rsidR="00645FE1" w:rsidRPr="00ED7169">
        <w:t xml:space="preserve">are </w:t>
      </w:r>
      <w:r w:rsidR="00881627" w:rsidRPr="00ED7169">
        <w:t xml:space="preserve">relevant in considering </w:t>
      </w:r>
      <w:r w:rsidR="00395F60" w:rsidRPr="00ED7169">
        <w:t xml:space="preserve">the global nursing workforce and </w:t>
      </w:r>
      <w:r w:rsidR="00881627" w:rsidRPr="00ED7169">
        <w:t>shortages</w:t>
      </w:r>
      <w:r w:rsidR="00624C38" w:rsidRPr="00ED7169">
        <w:t>.  Firstly,</w:t>
      </w:r>
      <w:r w:rsidR="00971641" w:rsidRPr="00ED7169">
        <w:t xml:space="preserve"> </w:t>
      </w:r>
      <w:r w:rsidR="006D2150" w:rsidRPr="00ED7169">
        <w:t xml:space="preserve">90% of </w:t>
      </w:r>
      <w:r w:rsidR="00624C38" w:rsidRPr="00ED7169">
        <w:t>nurses are women</w:t>
      </w:r>
      <w:r w:rsidR="00395F60" w:rsidRPr="00ED7169">
        <w:t xml:space="preserve"> </w:t>
      </w:r>
      <w:r w:rsidR="00971641" w:rsidRPr="00ED7169">
        <w:rPr>
          <w:vertAlign w:val="superscript"/>
        </w:rPr>
        <w:t>2</w:t>
      </w:r>
      <w:r w:rsidR="00624C38" w:rsidRPr="00ED7169">
        <w:t xml:space="preserve">. Even in countries where there have been active programmes to increase the recruitment of </w:t>
      </w:r>
      <w:r w:rsidR="00377C5E" w:rsidRPr="00ED7169">
        <w:t>men, such</w:t>
      </w:r>
      <w:r w:rsidR="00624C38" w:rsidRPr="00ED7169">
        <w:t xml:space="preserve"> as the US</w:t>
      </w:r>
      <w:r w:rsidR="00377C5E" w:rsidRPr="00ED7169">
        <w:t>, less</w:t>
      </w:r>
      <w:r w:rsidR="00624C38" w:rsidRPr="00ED7169">
        <w:t xml:space="preserve"> than 10% </w:t>
      </w:r>
      <w:r w:rsidR="00950375" w:rsidRPr="00ED7169">
        <w:t>are male</w:t>
      </w:r>
      <w:r w:rsidR="00395F60" w:rsidRPr="00ED7169">
        <w:t xml:space="preserve"> </w:t>
      </w:r>
      <w:r w:rsidR="00395F60" w:rsidRPr="00ED7169">
        <w:rPr>
          <w:vertAlign w:val="superscript"/>
        </w:rPr>
        <w:t>1</w:t>
      </w:r>
      <w:r w:rsidR="00881DD5" w:rsidRPr="00ED7169">
        <w:rPr>
          <w:vertAlign w:val="superscript"/>
        </w:rPr>
        <w:t>3</w:t>
      </w:r>
      <w:r w:rsidR="008620C0" w:rsidRPr="00ED7169">
        <w:t>.</w:t>
      </w:r>
      <w:r w:rsidR="008620C0">
        <w:t xml:space="preserve"> </w:t>
      </w:r>
      <w:r w:rsidR="00624C38">
        <w:t xml:space="preserve">Secondly, in most countries the majority of nurses earn less than the average wage of </w:t>
      </w:r>
      <w:r w:rsidR="00624C38">
        <w:lastRenderedPageBreak/>
        <w:t xml:space="preserve">that </w:t>
      </w:r>
      <w:r w:rsidR="00624C38" w:rsidRPr="00ED7169">
        <w:t>country</w:t>
      </w:r>
      <w:r w:rsidR="00950375" w:rsidRPr="00ED7169">
        <w:rPr>
          <w:vertAlign w:val="superscript"/>
        </w:rPr>
        <w:t>2</w:t>
      </w:r>
      <w:r w:rsidR="008620C0" w:rsidRPr="00ED7169">
        <w:t xml:space="preserve">. </w:t>
      </w:r>
      <w:r w:rsidR="007676AA" w:rsidRPr="00ED7169">
        <w:t>T</w:t>
      </w:r>
      <w:r w:rsidRPr="00ED7169">
        <w:t>here is s</w:t>
      </w:r>
      <w:r w:rsidR="004D7387" w:rsidRPr="00ED7169">
        <w:t xml:space="preserve">ome </w:t>
      </w:r>
      <w:r w:rsidR="008620C0" w:rsidRPr="00ED7169">
        <w:t xml:space="preserve">evidence that </w:t>
      </w:r>
      <w:r w:rsidR="00950375" w:rsidRPr="00ED7169">
        <w:t xml:space="preserve">male nurses on average earn more than female nurses </w:t>
      </w:r>
      <w:r w:rsidR="00881DD5" w:rsidRPr="00ED7169">
        <w:rPr>
          <w:vertAlign w:val="superscript"/>
        </w:rPr>
        <w:t>13</w:t>
      </w:r>
      <w:r w:rsidR="008620C0" w:rsidRPr="00ED7169">
        <w:t xml:space="preserve"> and that nurses from minority ethnic backgrounds earn less and </w:t>
      </w:r>
      <w:r w:rsidR="003014DE" w:rsidRPr="00ED7169">
        <w:t xml:space="preserve">are </w:t>
      </w:r>
      <w:r w:rsidR="008620C0" w:rsidRPr="00ED7169">
        <w:t xml:space="preserve">under-represented in senior grades than </w:t>
      </w:r>
      <w:r w:rsidRPr="00ED7169">
        <w:t xml:space="preserve">those </w:t>
      </w:r>
      <w:r w:rsidR="008620C0" w:rsidRPr="00ED7169">
        <w:t xml:space="preserve">of majority ethnic </w:t>
      </w:r>
      <w:r w:rsidR="004D7387" w:rsidRPr="00ED7169">
        <w:t>origin</w:t>
      </w:r>
      <w:r w:rsidR="008620C0" w:rsidRPr="00ED7169">
        <w:t xml:space="preserve"> (see for example</w:t>
      </w:r>
      <w:r w:rsidR="009B533A" w:rsidRPr="00ED7169">
        <w:t xml:space="preserve"> evidence from England</w:t>
      </w:r>
      <w:r w:rsidR="003014DE" w:rsidRPr="00ED7169">
        <w:t xml:space="preserve"> </w:t>
      </w:r>
      <w:r w:rsidR="00395F60" w:rsidRPr="00ED7169">
        <w:rPr>
          <w:vertAlign w:val="superscript"/>
        </w:rPr>
        <w:t>1</w:t>
      </w:r>
      <w:r w:rsidR="00881DD5" w:rsidRPr="00ED7169">
        <w:rPr>
          <w:vertAlign w:val="superscript"/>
        </w:rPr>
        <w:t>4</w:t>
      </w:r>
      <w:r w:rsidR="008A3CB0" w:rsidRPr="00ED7169">
        <w:t>).</w:t>
      </w:r>
      <w:r w:rsidR="008A3CB0">
        <w:t xml:space="preserve"> </w:t>
      </w:r>
      <w:r w:rsidR="00950375">
        <w:t xml:space="preserve">Thirdly, the majority of nurses </w:t>
      </w:r>
      <w:r w:rsidR="009B533A">
        <w:t>are employed w</w:t>
      </w:r>
      <w:r w:rsidR="00950375">
        <w:t>ithin hospitals</w:t>
      </w:r>
      <w:r w:rsidR="003014DE">
        <w:t xml:space="preserve"> (see table 2)</w:t>
      </w:r>
      <w:r w:rsidR="00FF3880">
        <w:t xml:space="preserve"> despite broader </w:t>
      </w:r>
      <w:r w:rsidR="00ED7169">
        <w:t xml:space="preserve">international </w:t>
      </w:r>
      <w:r w:rsidR="00FF3880">
        <w:t>policy aims of strengthening primary care</w:t>
      </w:r>
      <w:r w:rsidR="007E662E">
        <w:t xml:space="preserve">. </w:t>
      </w:r>
      <w:r w:rsidR="008A3CB0" w:rsidRPr="008A3CB0">
        <w:t xml:space="preserve">Lastly, the majority of nurses are salaried employees although in a few </w:t>
      </w:r>
      <w:r w:rsidR="008A3CB0" w:rsidRPr="00ED7169">
        <w:t>countries some practice as independent, self-employed professionals as in the infirmiers liberales in France (see table 2)</w:t>
      </w:r>
      <w:r w:rsidR="00395F60" w:rsidRPr="00ED7169">
        <w:t xml:space="preserve"> </w:t>
      </w:r>
      <w:r w:rsidR="00395F60" w:rsidRPr="00ED7169">
        <w:rPr>
          <w:vertAlign w:val="superscript"/>
        </w:rPr>
        <w:t>1</w:t>
      </w:r>
      <w:r w:rsidR="00881DD5" w:rsidRPr="00ED7169">
        <w:rPr>
          <w:vertAlign w:val="superscript"/>
        </w:rPr>
        <w:t>5</w:t>
      </w:r>
      <w:r w:rsidR="008A3CB0" w:rsidRPr="00ED7169">
        <w:t>.</w:t>
      </w:r>
      <w:r w:rsidR="008A3CB0" w:rsidRPr="008A3CB0">
        <w:t xml:space="preserve"> Taking into account these </w:t>
      </w:r>
      <w:r w:rsidR="008A3CB0">
        <w:t xml:space="preserve">similarities </w:t>
      </w:r>
      <w:r w:rsidR="00FF3880">
        <w:t xml:space="preserve">and variations </w:t>
      </w:r>
      <w:r w:rsidR="008A3CB0" w:rsidRPr="008A3CB0">
        <w:t>in the education, deployment and scope of practice of nurses, we turn now to consider shortages of nurses and the causes.</w:t>
      </w:r>
      <w:r w:rsidR="007E662E">
        <w:t xml:space="preserve"> </w:t>
      </w:r>
      <w:r w:rsidR="009B533A">
        <w:t xml:space="preserve"> </w:t>
      </w:r>
    </w:p>
    <w:p w14:paraId="5B300D0A" w14:textId="381E75D5" w:rsidR="00395F60" w:rsidRDefault="00395F60">
      <w:pPr>
        <w:spacing w:after="160" w:line="259" w:lineRule="auto"/>
      </w:pPr>
    </w:p>
    <w:p w14:paraId="7248775A" w14:textId="5CE7A461" w:rsidR="002C3FBB" w:rsidRDefault="002C3FBB" w:rsidP="009C5A0B">
      <w:r>
        <w:t xml:space="preserve">Table </w:t>
      </w:r>
      <w:r w:rsidR="000D32A5">
        <w:t>2</w:t>
      </w:r>
      <w:r>
        <w:t xml:space="preserve">: </w:t>
      </w:r>
      <w:r w:rsidR="00395F60">
        <w:t>Nurse</w:t>
      </w:r>
      <w:r w:rsidR="00ED7169">
        <w:t xml:space="preserve"> </w:t>
      </w:r>
      <w:r w:rsidR="00395F60">
        <w:t xml:space="preserve">employment in </w:t>
      </w:r>
      <w:r w:rsidR="00377C5E">
        <w:t xml:space="preserve">different sectors </w:t>
      </w:r>
      <w:r w:rsidR="00ED7169">
        <w:t xml:space="preserve">from </w:t>
      </w:r>
      <w:r w:rsidR="00377C5E">
        <w:t xml:space="preserve">five exemplar </w:t>
      </w:r>
      <w:r w:rsidR="00AF1552">
        <w:t xml:space="preserve">high income </w:t>
      </w:r>
      <w:r w:rsidR="00377C5E">
        <w:t xml:space="preserve">countries </w:t>
      </w:r>
      <w:r w:rsidR="000B14C3">
        <w:t>in 2018 or nearest year</w:t>
      </w:r>
      <w:r w:rsidR="00F321E4">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09"/>
        <w:gridCol w:w="1834"/>
        <w:gridCol w:w="1205"/>
        <w:gridCol w:w="1417"/>
        <w:gridCol w:w="1418"/>
        <w:gridCol w:w="944"/>
        <w:gridCol w:w="989"/>
      </w:tblGrid>
      <w:tr w:rsidR="0065345D" w14:paraId="53CE0769" w14:textId="77777777" w:rsidTr="0065345D">
        <w:tc>
          <w:tcPr>
            <w:tcW w:w="1209" w:type="dxa"/>
            <w:tcBorders>
              <w:top w:val="single" w:sz="4" w:space="0" w:color="auto"/>
              <w:bottom w:val="single" w:sz="4" w:space="0" w:color="auto"/>
            </w:tcBorders>
          </w:tcPr>
          <w:p w14:paraId="38FEE172" w14:textId="77777777" w:rsidR="0065345D" w:rsidRDefault="0065345D" w:rsidP="0065345D"/>
        </w:tc>
        <w:tc>
          <w:tcPr>
            <w:tcW w:w="1834" w:type="dxa"/>
            <w:tcBorders>
              <w:top w:val="single" w:sz="4" w:space="0" w:color="auto"/>
              <w:bottom w:val="single" w:sz="4" w:space="0" w:color="auto"/>
            </w:tcBorders>
          </w:tcPr>
          <w:p w14:paraId="2D8EE887" w14:textId="099BCC72" w:rsidR="0065345D" w:rsidRDefault="0065345D" w:rsidP="0065345D"/>
        </w:tc>
        <w:tc>
          <w:tcPr>
            <w:tcW w:w="1205" w:type="dxa"/>
            <w:tcBorders>
              <w:top w:val="single" w:sz="4" w:space="0" w:color="auto"/>
              <w:bottom w:val="single" w:sz="4" w:space="0" w:color="auto"/>
            </w:tcBorders>
          </w:tcPr>
          <w:p w14:paraId="5E7B5A55" w14:textId="70A3063E" w:rsidR="0065345D" w:rsidRDefault="0065345D" w:rsidP="0065345D">
            <w:r w:rsidRPr="007676AA">
              <w:rPr>
                <w:b/>
                <w:sz w:val="20"/>
              </w:rPr>
              <w:t>Australia</w:t>
            </w:r>
          </w:p>
        </w:tc>
        <w:tc>
          <w:tcPr>
            <w:tcW w:w="1417" w:type="dxa"/>
            <w:tcBorders>
              <w:top w:val="single" w:sz="4" w:space="0" w:color="auto"/>
              <w:bottom w:val="single" w:sz="4" w:space="0" w:color="auto"/>
            </w:tcBorders>
            <w:shd w:val="clear" w:color="auto" w:fill="auto"/>
          </w:tcPr>
          <w:p w14:paraId="3D45602C" w14:textId="393371FC" w:rsidR="0065345D" w:rsidRDefault="0065345D" w:rsidP="0065345D">
            <w:r w:rsidRPr="007676AA">
              <w:rPr>
                <w:b/>
                <w:sz w:val="20"/>
              </w:rPr>
              <w:t>England*</w:t>
            </w:r>
          </w:p>
        </w:tc>
        <w:tc>
          <w:tcPr>
            <w:tcW w:w="1418" w:type="dxa"/>
            <w:tcBorders>
              <w:top w:val="single" w:sz="4" w:space="0" w:color="auto"/>
              <w:bottom w:val="single" w:sz="4" w:space="0" w:color="auto"/>
            </w:tcBorders>
            <w:shd w:val="clear" w:color="auto" w:fill="auto"/>
          </w:tcPr>
          <w:p w14:paraId="2987440A" w14:textId="05A894F6" w:rsidR="0065345D" w:rsidRDefault="0065345D" w:rsidP="0065345D">
            <w:r w:rsidRPr="007676AA">
              <w:rPr>
                <w:b/>
                <w:sz w:val="20"/>
              </w:rPr>
              <w:t>France</w:t>
            </w:r>
          </w:p>
        </w:tc>
        <w:tc>
          <w:tcPr>
            <w:tcW w:w="944" w:type="dxa"/>
            <w:tcBorders>
              <w:top w:val="single" w:sz="4" w:space="0" w:color="auto"/>
              <w:bottom w:val="single" w:sz="4" w:space="0" w:color="auto"/>
            </w:tcBorders>
          </w:tcPr>
          <w:p w14:paraId="4549F51F" w14:textId="2F674EA0" w:rsidR="0065345D" w:rsidRDefault="0065345D" w:rsidP="0065345D">
            <w:r w:rsidRPr="007676AA">
              <w:rPr>
                <w:b/>
                <w:sz w:val="20"/>
              </w:rPr>
              <w:t>Japan</w:t>
            </w:r>
          </w:p>
        </w:tc>
        <w:tc>
          <w:tcPr>
            <w:tcW w:w="989" w:type="dxa"/>
            <w:tcBorders>
              <w:top w:val="single" w:sz="4" w:space="0" w:color="auto"/>
              <w:bottom w:val="single" w:sz="4" w:space="0" w:color="auto"/>
            </w:tcBorders>
          </w:tcPr>
          <w:p w14:paraId="414D76A9" w14:textId="29401EE0" w:rsidR="0065345D" w:rsidRDefault="0065345D" w:rsidP="0065345D">
            <w:r w:rsidRPr="007676AA">
              <w:rPr>
                <w:b/>
                <w:sz w:val="20"/>
              </w:rPr>
              <w:t>US</w:t>
            </w:r>
          </w:p>
        </w:tc>
      </w:tr>
      <w:tr w:rsidR="0065345D" w14:paraId="152F2A41" w14:textId="77777777" w:rsidTr="0065345D">
        <w:tc>
          <w:tcPr>
            <w:tcW w:w="3043" w:type="dxa"/>
            <w:gridSpan w:val="2"/>
            <w:tcBorders>
              <w:top w:val="single" w:sz="4" w:space="0" w:color="auto"/>
            </w:tcBorders>
          </w:tcPr>
          <w:p w14:paraId="21FF3511" w14:textId="251B9673" w:rsidR="0065345D" w:rsidRDefault="0065345D" w:rsidP="0065345D">
            <w:r w:rsidRPr="007676AA">
              <w:rPr>
                <w:b/>
                <w:sz w:val="20"/>
              </w:rPr>
              <w:t>Employment sector</w:t>
            </w:r>
          </w:p>
        </w:tc>
        <w:tc>
          <w:tcPr>
            <w:tcW w:w="5973" w:type="dxa"/>
            <w:gridSpan w:val="5"/>
            <w:tcBorders>
              <w:top w:val="single" w:sz="4" w:space="0" w:color="auto"/>
            </w:tcBorders>
          </w:tcPr>
          <w:p w14:paraId="651C993A" w14:textId="5A335285" w:rsidR="0065345D" w:rsidRDefault="0065345D" w:rsidP="0065345D">
            <w:pPr>
              <w:jc w:val="center"/>
            </w:pPr>
            <w:r w:rsidRPr="0065345D">
              <w:t>Percentage</w:t>
            </w:r>
          </w:p>
        </w:tc>
      </w:tr>
      <w:tr w:rsidR="0065345D" w14:paraId="5D99E9FB" w14:textId="77777777" w:rsidTr="0065345D">
        <w:tc>
          <w:tcPr>
            <w:tcW w:w="3043" w:type="dxa"/>
            <w:gridSpan w:val="2"/>
          </w:tcPr>
          <w:p w14:paraId="4D74AD78" w14:textId="562F6ABA" w:rsidR="0065345D" w:rsidRDefault="0065345D" w:rsidP="0065345D">
            <w:r w:rsidRPr="007676AA">
              <w:rPr>
                <w:sz w:val="20"/>
              </w:rPr>
              <w:t>Hospitals</w:t>
            </w:r>
          </w:p>
        </w:tc>
        <w:tc>
          <w:tcPr>
            <w:tcW w:w="1205" w:type="dxa"/>
          </w:tcPr>
          <w:p w14:paraId="102FB4BB" w14:textId="1C9703EF" w:rsidR="0065345D" w:rsidRDefault="0065345D" w:rsidP="0065345D">
            <w:pPr>
              <w:jc w:val="center"/>
            </w:pPr>
            <w:r w:rsidRPr="007676AA">
              <w:rPr>
                <w:sz w:val="20"/>
              </w:rPr>
              <w:t>63</w:t>
            </w:r>
          </w:p>
        </w:tc>
        <w:tc>
          <w:tcPr>
            <w:tcW w:w="1417" w:type="dxa"/>
            <w:shd w:val="clear" w:color="auto" w:fill="auto"/>
          </w:tcPr>
          <w:p w14:paraId="11351F23" w14:textId="687EA94F" w:rsidR="0065345D" w:rsidRDefault="0065345D" w:rsidP="0065345D">
            <w:pPr>
              <w:jc w:val="center"/>
            </w:pPr>
            <w:r w:rsidRPr="007676AA">
              <w:rPr>
                <w:sz w:val="20"/>
              </w:rPr>
              <w:t>77</w:t>
            </w:r>
          </w:p>
        </w:tc>
        <w:tc>
          <w:tcPr>
            <w:tcW w:w="1418" w:type="dxa"/>
            <w:shd w:val="clear" w:color="auto" w:fill="auto"/>
          </w:tcPr>
          <w:p w14:paraId="3DF833D8" w14:textId="5E323276" w:rsidR="0065345D" w:rsidRDefault="0065345D" w:rsidP="0065345D">
            <w:pPr>
              <w:jc w:val="center"/>
            </w:pPr>
            <w:r w:rsidRPr="007676AA">
              <w:rPr>
                <w:sz w:val="20"/>
              </w:rPr>
              <w:t>65</w:t>
            </w:r>
          </w:p>
        </w:tc>
        <w:tc>
          <w:tcPr>
            <w:tcW w:w="944" w:type="dxa"/>
          </w:tcPr>
          <w:p w14:paraId="75E9ACCC" w14:textId="46C6AEE3" w:rsidR="0065345D" w:rsidRDefault="0065345D" w:rsidP="0065345D">
            <w:pPr>
              <w:jc w:val="center"/>
            </w:pPr>
            <w:r w:rsidRPr="007676AA">
              <w:rPr>
                <w:sz w:val="20"/>
              </w:rPr>
              <w:t>60</w:t>
            </w:r>
          </w:p>
        </w:tc>
        <w:tc>
          <w:tcPr>
            <w:tcW w:w="989" w:type="dxa"/>
          </w:tcPr>
          <w:p w14:paraId="20970B51" w14:textId="4F300205" w:rsidR="0065345D" w:rsidRDefault="0065345D" w:rsidP="0065345D">
            <w:pPr>
              <w:jc w:val="center"/>
            </w:pPr>
            <w:r w:rsidRPr="007676AA">
              <w:rPr>
                <w:sz w:val="20"/>
              </w:rPr>
              <w:t>61</w:t>
            </w:r>
          </w:p>
        </w:tc>
      </w:tr>
      <w:tr w:rsidR="0065345D" w14:paraId="7FAD9B35" w14:textId="77777777" w:rsidTr="0065345D">
        <w:tc>
          <w:tcPr>
            <w:tcW w:w="3043" w:type="dxa"/>
            <w:gridSpan w:val="2"/>
          </w:tcPr>
          <w:p w14:paraId="74B22DED" w14:textId="46054663" w:rsidR="0065345D" w:rsidRDefault="0065345D" w:rsidP="0065345D">
            <w:r w:rsidRPr="007676AA">
              <w:rPr>
                <w:sz w:val="20"/>
              </w:rPr>
              <w:t xml:space="preserve">Ambulatory healthcare services/community health services </w:t>
            </w:r>
          </w:p>
        </w:tc>
        <w:tc>
          <w:tcPr>
            <w:tcW w:w="1205" w:type="dxa"/>
          </w:tcPr>
          <w:p w14:paraId="7298E4F1" w14:textId="4EE56358" w:rsidR="0065345D" w:rsidRDefault="0065345D" w:rsidP="0065345D">
            <w:pPr>
              <w:jc w:val="center"/>
            </w:pPr>
            <w:r w:rsidRPr="007676AA">
              <w:rPr>
                <w:sz w:val="20"/>
              </w:rPr>
              <w:t>10</w:t>
            </w:r>
          </w:p>
        </w:tc>
        <w:tc>
          <w:tcPr>
            <w:tcW w:w="1417" w:type="dxa"/>
            <w:shd w:val="clear" w:color="auto" w:fill="auto"/>
          </w:tcPr>
          <w:p w14:paraId="6E93D787" w14:textId="51210394" w:rsidR="0065345D" w:rsidRDefault="0065345D" w:rsidP="0065345D">
            <w:pPr>
              <w:jc w:val="center"/>
            </w:pPr>
            <w:r w:rsidRPr="007676AA">
              <w:rPr>
                <w:sz w:val="20"/>
              </w:rPr>
              <w:t>23</w:t>
            </w:r>
          </w:p>
        </w:tc>
        <w:tc>
          <w:tcPr>
            <w:tcW w:w="1418" w:type="dxa"/>
            <w:shd w:val="clear" w:color="auto" w:fill="auto"/>
          </w:tcPr>
          <w:p w14:paraId="38C03820" w14:textId="7A933215" w:rsidR="0065345D" w:rsidRDefault="0065345D" w:rsidP="0065345D">
            <w:pPr>
              <w:jc w:val="center"/>
            </w:pPr>
            <w:r w:rsidRPr="007676AA">
              <w:rPr>
                <w:sz w:val="20"/>
              </w:rPr>
              <w:t>17**</w:t>
            </w:r>
          </w:p>
        </w:tc>
        <w:tc>
          <w:tcPr>
            <w:tcW w:w="944" w:type="dxa"/>
          </w:tcPr>
          <w:p w14:paraId="4135F49F" w14:textId="7BF5505A" w:rsidR="0065345D" w:rsidRDefault="0065345D" w:rsidP="0065345D">
            <w:pPr>
              <w:jc w:val="center"/>
            </w:pPr>
            <w:r w:rsidRPr="007676AA">
              <w:rPr>
                <w:sz w:val="20"/>
              </w:rPr>
              <w:t>24</w:t>
            </w:r>
          </w:p>
        </w:tc>
        <w:tc>
          <w:tcPr>
            <w:tcW w:w="989" w:type="dxa"/>
          </w:tcPr>
          <w:p w14:paraId="4DF65F2A" w14:textId="0D188F4C" w:rsidR="0065345D" w:rsidRDefault="0065345D" w:rsidP="0065345D">
            <w:pPr>
              <w:jc w:val="center"/>
            </w:pPr>
            <w:r w:rsidRPr="007676AA">
              <w:rPr>
                <w:sz w:val="20"/>
              </w:rPr>
              <w:t>18</w:t>
            </w:r>
          </w:p>
        </w:tc>
      </w:tr>
      <w:tr w:rsidR="0065345D" w14:paraId="1B8C41A6" w14:textId="77777777" w:rsidTr="0065345D">
        <w:tc>
          <w:tcPr>
            <w:tcW w:w="3043" w:type="dxa"/>
            <w:gridSpan w:val="2"/>
            <w:tcBorders>
              <w:bottom w:val="single" w:sz="4" w:space="0" w:color="auto"/>
            </w:tcBorders>
          </w:tcPr>
          <w:p w14:paraId="42282F00" w14:textId="28AA3DA6" w:rsidR="0065345D" w:rsidRDefault="0065345D" w:rsidP="0065345D">
            <w:r w:rsidRPr="007676AA">
              <w:rPr>
                <w:sz w:val="20"/>
              </w:rPr>
              <w:t>Nursing home and residential care facilities</w:t>
            </w:r>
          </w:p>
        </w:tc>
        <w:tc>
          <w:tcPr>
            <w:tcW w:w="1205" w:type="dxa"/>
            <w:tcBorders>
              <w:bottom w:val="single" w:sz="4" w:space="0" w:color="auto"/>
            </w:tcBorders>
          </w:tcPr>
          <w:p w14:paraId="1A9FD876" w14:textId="766E8663" w:rsidR="0065345D" w:rsidRDefault="0065345D" w:rsidP="0065345D">
            <w:pPr>
              <w:jc w:val="center"/>
            </w:pPr>
            <w:r w:rsidRPr="007676AA">
              <w:rPr>
                <w:sz w:val="20"/>
              </w:rPr>
              <w:t>11</w:t>
            </w:r>
          </w:p>
        </w:tc>
        <w:tc>
          <w:tcPr>
            <w:tcW w:w="1417" w:type="dxa"/>
            <w:tcBorders>
              <w:bottom w:val="single" w:sz="4" w:space="0" w:color="auto"/>
            </w:tcBorders>
            <w:shd w:val="clear" w:color="auto" w:fill="auto"/>
          </w:tcPr>
          <w:p w14:paraId="013FE8F5" w14:textId="193E5D38" w:rsidR="0065345D" w:rsidRDefault="0065345D" w:rsidP="0065345D">
            <w:pPr>
              <w:jc w:val="center"/>
            </w:pPr>
            <w:r w:rsidRPr="007676AA">
              <w:rPr>
                <w:sz w:val="20"/>
              </w:rPr>
              <w:t>Not available</w:t>
            </w:r>
          </w:p>
        </w:tc>
        <w:tc>
          <w:tcPr>
            <w:tcW w:w="1418" w:type="dxa"/>
            <w:tcBorders>
              <w:bottom w:val="single" w:sz="4" w:space="0" w:color="auto"/>
            </w:tcBorders>
            <w:shd w:val="clear" w:color="auto" w:fill="auto"/>
          </w:tcPr>
          <w:p w14:paraId="0BD8BA6D" w14:textId="223C7EE4" w:rsidR="0065345D" w:rsidRDefault="0065345D" w:rsidP="0065345D">
            <w:pPr>
              <w:jc w:val="center"/>
            </w:pPr>
            <w:r w:rsidRPr="007676AA">
              <w:rPr>
                <w:sz w:val="20"/>
              </w:rPr>
              <w:t>Not available</w:t>
            </w:r>
          </w:p>
        </w:tc>
        <w:tc>
          <w:tcPr>
            <w:tcW w:w="944" w:type="dxa"/>
            <w:tcBorders>
              <w:bottom w:val="single" w:sz="4" w:space="0" w:color="auto"/>
            </w:tcBorders>
          </w:tcPr>
          <w:p w14:paraId="14749CA7" w14:textId="05DCA8BA" w:rsidR="0065345D" w:rsidRDefault="0065345D" w:rsidP="0065345D">
            <w:pPr>
              <w:jc w:val="center"/>
            </w:pPr>
            <w:r w:rsidRPr="007676AA">
              <w:rPr>
                <w:sz w:val="20"/>
              </w:rPr>
              <w:t>7</w:t>
            </w:r>
          </w:p>
        </w:tc>
        <w:tc>
          <w:tcPr>
            <w:tcW w:w="989" w:type="dxa"/>
            <w:tcBorders>
              <w:bottom w:val="single" w:sz="4" w:space="0" w:color="auto"/>
            </w:tcBorders>
          </w:tcPr>
          <w:p w14:paraId="58AA625C" w14:textId="7D41AE60" w:rsidR="0065345D" w:rsidRDefault="0065345D" w:rsidP="0065345D">
            <w:pPr>
              <w:jc w:val="center"/>
            </w:pPr>
            <w:r w:rsidRPr="007676AA">
              <w:rPr>
                <w:sz w:val="20"/>
              </w:rPr>
              <w:t>7</w:t>
            </w:r>
          </w:p>
        </w:tc>
      </w:tr>
      <w:tr w:rsidR="0065345D" w14:paraId="70045C58" w14:textId="77777777" w:rsidTr="0065345D">
        <w:tc>
          <w:tcPr>
            <w:tcW w:w="3043" w:type="dxa"/>
            <w:gridSpan w:val="2"/>
            <w:tcBorders>
              <w:top w:val="single" w:sz="4" w:space="0" w:color="auto"/>
              <w:bottom w:val="single" w:sz="4" w:space="0" w:color="auto"/>
            </w:tcBorders>
          </w:tcPr>
          <w:p w14:paraId="6EBF2D68" w14:textId="2DC8BA23" w:rsidR="0065345D" w:rsidRDefault="0065345D" w:rsidP="0065345D">
            <w:r w:rsidRPr="007676AA">
              <w:rPr>
                <w:sz w:val="20"/>
              </w:rPr>
              <w:t xml:space="preserve">Other </w:t>
            </w:r>
          </w:p>
        </w:tc>
        <w:tc>
          <w:tcPr>
            <w:tcW w:w="1205" w:type="dxa"/>
            <w:tcBorders>
              <w:top w:val="single" w:sz="4" w:space="0" w:color="auto"/>
              <w:bottom w:val="single" w:sz="4" w:space="0" w:color="auto"/>
            </w:tcBorders>
          </w:tcPr>
          <w:p w14:paraId="373DE026" w14:textId="339640DE" w:rsidR="0065345D" w:rsidRDefault="0065345D" w:rsidP="0065345D">
            <w:pPr>
              <w:jc w:val="center"/>
            </w:pPr>
            <w:r w:rsidRPr="007676AA">
              <w:rPr>
                <w:sz w:val="20"/>
              </w:rPr>
              <w:t>16</w:t>
            </w:r>
          </w:p>
        </w:tc>
        <w:tc>
          <w:tcPr>
            <w:tcW w:w="1417" w:type="dxa"/>
            <w:tcBorders>
              <w:top w:val="single" w:sz="4" w:space="0" w:color="auto"/>
              <w:bottom w:val="single" w:sz="4" w:space="0" w:color="auto"/>
            </w:tcBorders>
          </w:tcPr>
          <w:p w14:paraId="5BCCE4E6" w14:textId="26434324" w:rsidR="0065345D" w:rsidRDefault="0065345D" w:rsidP="0065345D">
            <w:pPr>
              <w:jc w:val="center"/>
            </w:pPr>
            <w:r w:rsidRPr="007676AA">
              <w:rPr>
                <w:sz w:val="20"/>
              </w:rPr>
              <w:t>Not available</w:t>
            </w:r>
          </w:p>
        </w:tc>
        <w:tc>
          <w:tcPr>
            <w:tcW w:w="1418" w:type="dxa"/>
            <w:tcBorders>
              <w:top w:val="single" w:sz="4" w:space="0" w:color="auto"/>
              <w:bottom w:val="single" w:sz="4" w:space="0" w:color="auto"/>
            </w:tcBorders>
          </w:tcPr>
          <w:p w14:paraId="5E763640" w14:textId="7D738248" w:rsidR="0065345D" w:rsidRDefault="0065345D" w:rsidP="0065345D">
            <w:pPr>
              <w:jc w:val="center"/>
            </w:pPr>
            <w:r w:rsidRPr="007676AA">
              <w:rPr>
                <w:sz w:val="20"/>
              </w:rPr>
              <w:t>8</w:t>
            </w:r>
          </w:p>
        </w:tc>
        <w:tc>
          <w:tcPr>
            <w:tcW w:w="944" w:type="dxa"/>
            <w:tcBorders>
              <w:top w:val="single" w:sz="4" w:space="0" w:color="auto"/>
              <w:bottom w:val="single" w:sz="4" w:space="0" w:color="auto"/>
            </w:tcBorders>
          </w:tcPr>
          <w:p w14:paraId="780C2843" w14:textId="535A0BED" w:rsidR="0065345D" w:rsidRDefault="0065345D" w:rsidP="0065345D">
            <w:pPr>
              <w:jc w:val="center"/>
            </w:pPr>
            <w:r w:rsidRPr="007676AA">
              <w:rPr>
                <w:sz w:val="20"/>
              </w:rPr>
              <w:t>9</w:t>
            </w:r>
          </w:p>
        </w:tc>
        <w:tc>
          <w:tcPr>
            <w:tcW w:w="989" w:type="dxa"/>
            <w:tcBorders>
              <w:top w:val="single" w:sz="4" w:space="0" w:color="auto"/>
              <w:bottom w:val="single" w:sz="4" w:space="0" w:color="auto"/>
            </w:tcBorders>
          </w:tcPr>
          <w:p w14:paraId="05718B94" w14:textId="40886208" w:rsidR="0065345D" w:rsidRDefault="0065345D" w:rsidP="0065345D">
            <w:pPr>
              <w:jc w:val="center"/>
            </w:pPr>
            <w:r w:rsidRPr="007676AA">
              <w:rPr>
                <w:sz w:val="20"/>
              </w:rPr>
              <w:t>8</w:t>
            </w:r>
          </w:p>
        </w:tc>
      </w:tr>
    </w:tbl>
    <w:p w14:paraId="1AAA33E6" w14:textId="42C7A9B7" w:rsidR="00D33C0E" w:rsidRPr="00ED7169" w:rsidRDefault="002A7DF4" w:rsidP="00742DF0">
      <w:pPr>
        <w:pStyle w:val="ListParagraph"/>
        <w:ind w:left="360"/>
        <w:rPr>
          <w:sz w:val="18"/>
        </w:rPr>
      </w:pPr>
      <w:r w:rsidRPr="002A7DF4">
        <w:rPr>
          <w:sz w:val="18"/>
        </w:rPr>
        <w:t xml:space="preserve">Data </w:t>
      </w:r>
      <w:r w:rsidR="00D33C0E" w:rsidRPr="00ED7169">
        <w:rPr>
          <w:sz w:val="18"/>
        </w:rPr>
        <w:t>Sources US</w:t>
      </w:r>
      <w:r w:rsidR="00C10412" w:rsidRPr="00ED7169">
        <w:rPr>
          <w:sz w:val="18"/>
        </w:rPr>
        <w:t xml:space="preserve"> Bureau of</w:t>
      </w:r>
      <w:r w:rsidR="00D33C0E" w:rsidRPr="00ED7169">
        <w:rPr>
          <w:sz w:val="18"/>
        </w:rPr>
        <w:t xml:space="preserve"> L</w:t>
      </w:r>
      <w:r w:rsidR="00C10412" w:rsidRPr="00ED7169">
        <w:rPr>
          <w:sz w:val="18"/>
        </w:rPr>
        <w:t>abor Statistics</w:t>
      </w:r>
      <w:r w:rsidRPr="00ED7169">
        <w:rPr>
          <w:sz w:val="18"/>
        </w:rPr>
        <w:t xml:space="preserve"> </w:t>
      </w:r>
      <w:r w:rsidR="00D33C0E" w:rsidRPr="00ED7169">
        <w:rPr>
          <w:sz w:val="18"/>
          <w:vertAlign w:val="superscript"/>
        </w:rPr>
        <w:t xml:space="preserve">44 </w:t>
      </w:r>
      <w:r w:rsidR="00D33C0E" w:rsidRPr="00ED7169">
        <w:rPr>
          <w:sz w:val="18"/>
        </w:rPr>
        <w:t>, Australian</w:t>
      </w:r>
      <w:r w:rsidRPr="00ED7169">
        <w:rPr>
          <w:sz w:val="18"/>
        </w:rPr>
        <w:t xml:space="preserve"> Health </w:t>
      </w:r>
      <w:r w:rsidR="00D33C0E" w:rsidRPr="00ED7169">
        <w:rPr>
          <w:sz w:val="18"/>
        </w:rPr>
        <w:t xml:space="preserve">Workforce </w:t>
      </w:r>
      <w:r w:rsidR="00D33C0E" w:rsidRPr="00ED7169">
        <w:rPr>
          <w:sz w:val="18"/>
          <w:vertAlign w:val="superscript"/>
        </w:rPr>
        <w:t>45</w:t>
      </w:r>
      <w:r w:rsidRPr="00ED7169">
        <w:rPr>
          <w:sz w:val="18"/>
        </w:rPr>
        <w:t xml:space="preserve">, NHS Digital </w:t>
      </w:r>
      <w:r w:rsidR="00D33C0E" w:rsidRPr="00ED7169">
        <w:rPr>
          <w:sz w:val="18"/>
        </w:rPr>
        <w:t xml:space="preserve">England </w:t>
      </w:r>
      <w:r w:rsidR="00D33C0E" w:rsidRPr="00ED7169">
        <w:rPr>
          <w:sz w:val="18"/>
          <w:vertAlign w:val="superscript"/>
        </w:rPr>
        <w:t>46</w:t>
      </w:r>
      <w:r w:rsidR="00D33C0E" w:rsidRPr="00ED7169">
        <w:rPr>
          <w:sz w:val="18"/>
        </w:rPr>
        <w:t>, J</w:t>
      </w:r>
      <w:r w:rsidRPr="00ED7169">
        <w:rPr>
          <w:sz w:val="18"/>
        </w:rPr>
        <w:t xml:space="preserve">apan Nursing Association </w:t>
      </w:r>
      <w:r w:rsidR="00D33C0E" w:rsidRPr="00ED7169">
        <w:rPr>
          <w:sz w:val="18"/>
          <w:vertAlign w:val="superscript"/>
        </w:rPr>
        <w:t>47</w:t>
      </w:r>
      <w:r w:rsidRPr="00ED7169">
        <w:rPr>
          <w:sz w:val="18"/>
          <w:vertAlign w:val="superscript"/>
        </w:rPr>
        <w:t>,</w:t>
      </w:r>
      <w:r w:rsidRPr="00ED7169">
        <w:rPr>
          <w:sz w:val="18"/>
        </w:rPr>
        <w:t xml:space="preserve">  , Ministère des Solidarités et de la Santé</w:t>
      </w:r>
      <w:r w:rsidR="00D33C0E" w:rsidRPr="00ED7169">
        <w:rPr>
          <w:sz w:val="18"/>
        </w:rPr>
        <w:t xml:space="preserve"> </w:t>
      </w:r>
      <w:r w:rsidR="00D33C0E" w:rsidRPr="00ED7169">
        <w:rPr>
          <w:sz w:val="18"/>
          <w:vertAlign w:val="superscript"/>
        </w:rPr>
        <w:t>48</w:t>
      </w:r>
      <w:r w:rsidRPr="00ED7169">
        <w:rPr>
          <w:sz w:val="18"/>
          <w:vertAlign w:val="superscript"/>
        </w:rPr>
        <w:t xml:space="preserve"> </w:t>
      </w:r>
      <w:r w:rsidRPr="00ED7169">
        <w:rPr>
          <w:sz w:val="18"/>
        </w:rPr>
        <w:t xml:space="preserve">. </w:t>
      </w:r>
    </w:p>
    <w:p w14:paraId="0CFCD7F8" w14:textId="18B96025" w:rsidR="00752796" w:rsidRDefault="002A7DF4" w:rsidP="00742DF0">
      <w:pPr>
        <w:pStyle w:val="ListParagraph"/>
        <w:ind w:left="360"/>
        <w:rPr>
          <w:sz w:val="18"/>
        </w:rPr>
      </w:pPr>
      <w:r w:rsidRPr="00ED7169">
        <w:rPr>
          <w:sz w:val="18"/>
        </w:rPr>
        <w:t xml:space="preserve"> </w:t>
      </w:r>
      <w:r w:rsidR="00742DF0" w:rsidRPr="00ED7169">
        <w:rPr>
          <w:sz w:val="18"/>
        </w:rPr>
        <w:t>*National Health Service only, ** Infirmiers liberale in primary care.</w:t>
      </w:r>
    </w:p>
    <w:p w14:paraId="5AF5E9F5" w14:textId="77777777" w:rsidR="007676AA" w:rsidRDefault="007676AA" w:rsidP="00742DF0">
      <w:pPr>
        <w:pStyle w:val="ListParagraph"/>
        <w:ind w:left="360"/>
        <w:rPr>
          <w:sz w:val="18"/>
        </w:rPr>
      </w:pPr>
    </w:p>
    <w:p w14:paraId="7C620EE9" w14:textId="77777777" w:rsidR="002E436F" w:rsidRPr="002E436F" w:rsidRDefault="002E436F" w:rsidP="002E436F">
      <w:pPr>
        <w:pStyle w:val="Heading2"/>
      </w:pPr>
      <w:r w:rsidRPr="002E436F">
        <w:t xml:space="preserve">How are shortages calculated and why do shortages of nurses </w:t>
      </w:r>
      <w:r>
        <w:t xml:space="preserve">arise? </w:t>
      </w:r>
    </w:p>
    <w:p w14:paraId="58E2EEF0" w14:textId="77777777" w:rsidR="008326FF" w:rsidRPr="008326FF" w:rsidRDefault="008326FF" w:rsidP="004176A0">
      <w:pPr>
        <w:pStyle w:val="Heading3"/>
        <w:rPr>
          <w:i w:val="0"/>
        </w:rPr>
      </w:pPr>
      <w:r w:rsidRPr="008326FF">
        <w:t xml:space="preserve">Calculating shortages </w:t>
      </w:r>
    </w:p>
    <w:p w14:paraId="14F5556A" w14:textId="13A007B6" w:rsidR="00F75F06" w:rsidRPr="00C64E24" w:rsidRDefault="002E436F" w:rsidP="00C64E24">
      <w:r>
        <w:t xml:space="preserve">Definitions of ‘shortages’ in workforce </w:t>
      </w:r>
      <w:r w:rsidR="00646442">
        <w:t xml:space="preserve">are policy contingent and </w:t>
      </w:r>
      <w:r>
        <w:t>vary between health care systems</w:t>
      </w:r>
      <w:r w:rsidR="00CB657E">
        <w:t xml:space="preserve">. </w:t>
      </w:r>
      <w:r w:rsidR="007676AA">
        <w:t xml:space="preserve">Criteria of </w:t>
      </w:r>
      <w:r w:rsidR="007676AA" w:rsidRPr="00853180">
        <w:rPr>
          <w:i/>
        </w:rPr>
        <w:t xml:space="preserve">hard to fill </w:t>
      </w:r>
      <w:r w:rsidR="00AF1552" w:rsidRPr="00853180">
        <w:rPr>
          <w:i/>
        </w:rPr>
        <w:t>vacancies</w:t>
      </w:r>
      <w:r w:rsidR="00AF1552">
        <w:rPr>
          <w:i/>
        </w:rPr>
        <w:t xml:space="preserve"> </w:t>
      </w:r>
      <w:r w:rsidR="00AF1552" w:rsidRPr="00AF1552">
        <w:t>or</w:t>
      </w:r>
      <w:r w:rsidR="007676AA" w:rsidRPr="00AF1552">
        <w:t xml:space="preserve"> </w:t>
      </w:r>
      <w:r w:rsidR="007676AA" w:rsidRPr="00EA3A79">
        <w:t>trends</w:t>
      </w:r>
      <w:r w:rsidR="007676AA">
        <w:rPr>
          <w:vertAlign w:val="superscript"/>
        </w:rPr>
        <w:t xml:space="preserve"> </w:t>
      </w:r>
      <w:r w:rsidR="007676AA">
        <w:t xml:space="preserve">in </w:t>
      </w:r>
      <w:r w:rsidR="007676AA" w:rsidRPr="00CE674B">
        <w:rPr>
          <w:i/>
        </w:rPr>
        <w:t xml:space="preserve">volume of </w:t>
      </w:r>
      <w:r w:rsidR="007676AA">
        <w:rPr>
          <w:i/>
        </w:rPr>
        <w:t xml:space="preserve">current vacant </w:t>
      </w:r>
      <w:r w:rsidR="007676AA" w:rsidRPr="00CE674B">
        <w:rPr>
          <w:i/>
        </w:rPr>
        <w:t>posts</w:t>
      </w:r>
      <w:r w:rsidR="007676AA">
        <w:rPr>
          <w:i/>
        </w:rPr>
        <w:t xml:space="preserve"> </w:t>
      </w:r>
      <w:r w:rsidR="007676AA" w:rsidRPr="007676AA">
        <w:t xml:space="preserve">are often used to describe </w:t>
      </w:r>
      <w:r w:rsidR="00646442">
        <w:t>health systems experiencing financial and demand pressur</w:t>
      </w:r>
      <w:r w:rsidR="00646442" w:rsidRPr="00ED7169">
        <w:t>es</w:t>
      </w:r>
      <w:r w:rsidR="0065345D" w:rsidRPr="00ED7169">
        <w:rPr>
          <w:vertAlign w:val="superscript"/>
        </w:rPr>
        <w:t>1</w:t>
      </w:r>
      <w:r w:rsidR="00881DD5" w:rsidRPr="00ED7169">
        <w:rPr>
          <w:vertAlign w:val="superscript"/>
        </w:rPr>
        <w:t>6</w:t>
      </w:r>
      <w:r w:rsidR="00377C5E">
        <w:rPr>
          <w:vertAlign w:val="superscript"/>
        </w:rPr>
        <w:t xml:space="preserve"> </w:t>
      </w:r>
      <w:r w:rsidR="007676AA">
        <w:rPr>
          <w:i/>
        </w:rPr>
        <w:t xml:space="preserve">. </w:t>
      </w:r>
      <w:r w:rsidR="000D6D65" w:rsidRPr="00ED7169">
        <w:t xml:space="preserve">The latter </w:t>
      </w:r>
      <w:r w:rsidR="005904FD" w:rsidRPr="00ED7169">
        <w:t xml:space="preserve">measure </w:t>
      </w:r>
      <w:r w:rsidR="007676AA" w:rsidRPr="00ED7169">
        <w:t xml:space="preserve">is </w:t>
      </w:r>
      <w:r w:rsidR="000D6D65" w:rsidRPr="00ED7169">
        <w:t>used</w:t>
      </w:r>
      <w:r w:rsidR="000D6D65" w:rsidRPr="00ED7169">
        <w:rPr>
          <w:i/>
        </w:rPr>
        <w:t xml:space="preserve"> </w:t>
      </w:r>
      <w:r w:rsidR="00CB657E" w:rsidRPr="00ED7169">
        <w:t xml:space="preserve">currently </w:t>
      </w:r>
      <w:r w:rsidR="00FC6AA0" w:rsidRPr="00ED7169">
        <w:t xml:space="preserve">in </w:t>
      </w:r>
      <w:r w:rsidR="005904FD" w:rsidRPr="00ED7169">
        <w:t xml:space="preserve">the National Health Service (NHS) in </w:t>
      </w:r>
      <w:r w:rsidR="000D6D65" w:rsidRPr="00ED7169">
        <w:t xml:space="preserve">England </w:t>
      </w:r>
      <w:r w:rsidR="005904FD" w:rsidRPr="00ED7169">
        <w:t xml:space="preserve">and has been reported to have </w:t>
      </w:r>
      <w:r w:rsidR="00CE674B" w:rsidRPr="00ED7169">
        <w:t>a</w:t>
      </w:r>
      <w:r w:rsidR="007B6AAA" w:rsidRPr="00ED7169">
        <w:t>n upward tr</w:t>
      </w:r>
      <w:r w:rsidR="008F6CB3" w:rsidRPr="00ED7169">
        <w:t xml:space="preserve">end </w:t>
      </w:r>
      <w:r w:rsidR="000D6D65" w:rsidRPr="00ED7169">
        <w:t xml:space="preserve">over the </w:t>
      </w:r>
      <w:r w:rsidR="00794D64" w:rsidRPr="00ED7169">
        <w:t xml:space="preserve">previous three </w:t>
      </w:r>
      <w:r w:rsidR="000D6D65" w:rsidRPr="00ED7169">
        <w:t xml:space="preserve">years </w:t>
      </w:r>
      <w:r w:rsidR="0065345D" w:rsidRPr="00ED7169">
        <w:rPr>
          <w:vertAlign w:val="superscript"/>
        </w:rPr>
        <w:t>1</w:t>
      </w:r>
      <w:r w:rsidR="00881DD5" w:rsidRPr="00ED7169">
        <w:rPr>
          <w:vertAlign w:val="superscript"/>
        </w:rPr>
        <w:t>7</w:t>
      </w:r>
      <w:r w:rsidR="008F6CB3" w:rsidRPr="00ED7169">
        <w:t>.</w:t>
      </w:r>
      <w:r w:rsidR="00F4164E" w:rsidRPr="00ED7169">
        <w:t xml:space="preserve"> </w:t>
      </w:r>
      <w:r w:rsidR="00D75BFB" w:rsidRPr="00ED7169">
        <w:t xml:space="preserve"> </w:t>
      </w:r>
      <w:r w:rsidR="007B6AAA" w:rsidRPr="00ED7169">
        <w:t xml:space="preserve"> A</w:t>
      </w:r>
      <w:r w:rsidR="00AB014C" w:rsidRPr="00ED7169">
        <w:t xml:space="preserve"> </w:t>
      </w:r>
      <w:r w:rsidR="007B6AAA" w:rsidRPr="00ED7169">
        <w:t xml:space="preserve">more prosaic </w:t>
      </w:r>
      <w:r w:rsidR="00AB014C" w:rsidRPr="00ED7169">
        <w:t>definition</w:t>
      </w:r>
      <w:r w:rsidR="000D6D65" w:rsidRPr="00ED7169">
        <w:t xml:space="preserve"> of national shortages</w:t>
      </w:r>
      <w:r w:rsidR="00AB014C" w:rsidRPr="00ED7169">
        <w:t xml:space="preserve"> is whether </w:t>
      </w:r>
      <w:r w:rsidR="000D6D65" w:rsidRPr="00ED7169">
        <w:t>RNs a</w:t>
      </w:r>
      <w:r w:rsidR="00AB014C" w:rsidRPr="00ED7169">
        <w:t xml:space="preserve">re </w:t>
      </w:r>
      <w:r w:rsidR="000D6D65" w:rsidRPr="00ED7169">
        <w:t xml:space="preserve">on a government’s </w:t>
      </w:r>
      <w:r w:rsidR="00AB014C" w:rsidRPr="00ED7169">
        <w:t xml:space="preserve">occupation </w:t>
      </w:r>
      <w:r w:rsidR="007B6AAA" w:rsidRPr="00ED7169">
        <w:t>shortage list for inward migration</w:t>
      </w:r>
      <w:r w:rsidR="000D6D65" w:rsidRPr="00ED7169">
        <w:t xml:space="preserve">, </w:t>
      </w:r>
      <w:r w:rsidR="00AB014C" w:rsidRPr="00ED7169">
        <w:t xml:space="preserve">as </w:t>
      </w:r>
      <w:r w:rsidR="00377C5E" w:rsidRPr="00ED7169">
        <w:t xml:space="preserve">they are </w:t>
      </w:r>
      <w:r w:rsidR="00F75F06" w:rsidRPr="00ED7169">
        <w:t xml:space="preserve">for </w:t>
      </w:r>
      <w:r w:rsidR="000D6D65" w:rsidRPr="00ED7169">
        <w:t xml:space="preserve">Australia </w:t>
      </w:r>
      <w:r w:rsidR="0065345D" w:rsidRPr="00ED7169">
        <w:rPr>
          <w:vertAlign w:val="superscript"/>
        </w:rPr>
        <w:t>1</w:t>
      </w:r>
      <w:r w:rsidR="00881DD5" w:rsidRPr="00ED7169">
        <w:rPr>
          <w:vertAlign w:val="superscript"/>
        </w:rPr>
        <w:t>8</w:t>
      </w:r>
      <w:r w:rsidR="000D6D65" w:rsidRPr="00ED7169">
        <w:t xml:space="preserve"> and </w:t>
      </w:r>
      <w:r w:rsidR="00F75F06" w:rsidRPr="00ED7169">
        <w:t xml:space="preserve">the </w:t>
      </w:r>
      <w:r w:rsidR="00E2614C" w:rsidRPr="00ED7169">
        <w:t xml:space="preserve">UK </w:t>
      </w:r>
      <w:r w:rsidR="00881DD5" w:rsidRPr="00ED7169">
        <w:rPr>
          <w:vertAlign w:val="superscript"/>
        </w:rPr>
        <w:t>19</w:t>
      </w:r>
      <w:r w:rsidR="000D6D65" w:rsidRPr="00ED7169">
        <w:t xml:space="preserve"> </w:t>
      </w:r>
      <w:r w:rsidR="00AB014C" w:rsidRPr="00ED7169">
        <w:t xml:space="preserve">but not </w:t>
      </w:r>
      <w:r w:rsidR="000D6D65" w:rsidRPr="00ED7169">
        <w:t xml:space="preserve">for </w:t>
      </w:r>
      <w:r w:rsidR="00AB014C" w:rsidRPr="00ED7169">
        <w:t xml:space="preserve">the US </w:t>
      </w:r>
      <w:r w:rsidR="0065345D" w:rsidRPr="00ED7169">
        <w:rPr>
          <w:vertAlign w:val="superscript"/>
        </w:rPr>
        <w:t>2</w:t>
      </w:r>
      <w:r w:rsidR="00881DD5" w:rsidRPr="00ED7169">
        <w:rPr>
          <w:vertAlign w:val="superscript"/>
        </w:rPr>
        <w:t>0</w:t>
      </w:r>
      <w:r w:rsidR="00E2614C" w:rsidRPr="00ED7169">
        <w:t>, at the time of writing</w:t>
      </w:r>
      <w:r w:rsidR="00EA3A79" w:rsidRPr="00ED7169">
        <w:t>.</w:t>
      </w:r>
      <w:r w:rsidR="00D75BFB">
        <w:t xml:space="preserve">   </w:t>
      </w:r>
    </w:p>
    <w:p w14:paraId="22DA9063" w14:textId="77777777" w:rsidR="00D75BFB" w:rsidRDefault="00D75BFB" w:rsidP="002E436F"/>
    <w:p w14:paraId="35E1E761" w14:textId="25DF1E67" w:rsidR="00794D64" w:rsidRPr="00ED7169" w:rsidRDefault="005904FD" w:rsidP="002E436F">
      <w:r>
        <w:t xml:space="preserve">In contrast there are those </w:t>
      </w:r>
      <w:r w:rsidR="00F4164E">
        <w:t xml:space="preserve">definitions </w:t>
      </w:r>
      <w:r>
        <w:t xml:space="preserve">of shortages </w:t>
      </w:r>
      <w:r w:rsidR="00F4164E">
        <w:t xml:space="preserve">which </w:t>
      </w:r>
      <w:r w:rsidR="00646442">
        <w:t xml:space="preserve">flow from </w:t>
      </w:r>
      <w:r>
        <w:t xml:space="preserve">staff </w:t>
      </w:r>
      <w:r w:rsidR="00377C5E">
        <w:t xml:space="preserve">planning projections. These </w:t>
      </w:r>
      <w:r w:rsidR="00F4164E">
        <w:t xml:space="preserve">calculate any gap between the numbers of nurses required (demand for) against the future </w:t>
      </w:r>
      <w:r w:rsidR="0065345D">
        <w:t xml:space="preserve">number </w:t>
      </w:r>
      <w:r w:rsidR="00F4164E">
        <w:t xml:space="preserve">available to work (the supply). One such example is from </w:t>
      </w:r>
      <w:r w:rsidR="002E436F">
        <w:t xml:space="preserve">WHO and the World Bank </w:t>
      </w:r>
      <w:r w:rsidR="00F4164E">
        <w:t xml:space="preserve">in which </w:t>
      </w:r>
      <w:r w:rsidR="002E436F">
        <w:t xml:space="preserve">shortages </w:t>
      </w:r>
      <w:r>
        <w:t xml:space="preserve">are defined as </w:t>
      </w:r>
      <w:r w:rsidR="002E436F">
        <w:t>lower than the minimum number of doctors and nurses per he</w:t>
      </w:r>
      <w:r w:rsidR="002E436F" w:rsidRPr="00ED7169">
        <w:t xml:space="preserve">ad of population required to achieve population health targets. </w:t>
      </w:r>
      <w:r w:rsidR="00E2614C" w:rsidRPr="00ED7169">
        <w:rPr>
          <w:vertAlign w:val="superscript"/>
        </w:rPr>
        <w:t>3</w:t>
      </w:r>
      <w:r w:rsidR="002E436F" w:rsidRPr="00ED7169">
        <w:t xml:space="preserve">  The targets </w:t>
      </w:r>
      <w:r w:rsidR="00377C5E" w:rsidRPr="00ED7169">
        <w:t xml:space="preserve">in this case </w:t>
      </w:r>
      <w:r w:rsidR="002E436F" w:rsidRPr="00ED7169">
        <w:t xml:space="preserve">being </w:t>
      </w:r>
      <w:r w:rsidR="00F4164E" w:rsidRPr="00ED7169">
        <w:t>12</w:t>
      </w:r>
      <w:r w:rsidR="002E436F" w:rsidRPr="00ED7169">
        <w:t xml:space="preserve"> </w:t>
      </w:r>
      <w:r w:rsidRPr="00ED7169">
        <w:t xml:space="preserve">of the infectious disease, child and maternal health and non-communicable health </w:t>
      </w:r>
      <w:r w:rsidR="008A7E6D" w:rsidRPr="00ED7169">
        <w:t xml:space="preserve">specified in the </w:t>
      </w:r>
      <w:r w:rsidR="002E436F" w:rsidRPr="00ED7169">
        <w:t xml:space="preserve">Sustainable Development Goals </w:t>
      </w:r>
      <w:r w:rsidR="002E436F" w:rsidRPr="00ED7169">
        <w:rPr>
          <w:vertAlign w:val="superscript"/>
        </w:rPr>
        <w:t xml:space="preserve">3 </w:t>
      </w:r>
      <w:r w:rsidR="002E436F" w:rsidRPr="00ED7169">
        <w:t>.</w:t>
      </w:r>
      <w:r w:rsidR="002E436F">
        <w:t xml:space="preserve">  </w:t>
      </w:r>
      <w:r w:rsidR="008A7E6D">
        <w:t>Using national dat</w:t>
      </w:r>
      <w:r w:rsidR="00377C5E">
        <w:t>a</w:t>
      </w:r>
      <w:r w:rsidR="008A7E6D">
        <w:t xml:space="preserve">, WHO/World Bank </w:t>
      </w:r>
      <w:r>
        <w:t xml:space="preserve">estimated </w:t>
      </w:r>
      <w:r w:rsidR="00377C5E">
        <w:t xml:space="preserve">the </w:t>
      </w:r>
      <w:r w:rsidR="008A7E6D">
        <w:t>7.6 million global shortfall by 2030 w</w:t>
      </w:r>
      <w:r w:rsidR="00377C5E">
        <w:t xml:space="preserve">ith </w:t>
      </w:r>
      <w:r w:rsidR="008A7E6D">
        <w:t xml:space="preserve">disproportionate impact on </w:t>
      </w:r>
      <w:r w:rsidR="00AF1552">
        <w:t>Africa and</w:t>
      </w:r>
      <w:r w:rsidR="00D333B3">
        <w:t xml:space="preserve"> low income countries</w:t>
      </w:r>
      <w:r w:rsidR="003454CE">
        <w:t xml:space="preserve">. </w:t>
      </w:r>
      <w:r>
        <w:t xml:space="preserve">However, </w:t>
      </w:r>
      <w:r w:rsidR="008A7E6D">
        <w:t xml:space="preserve">many health care systems have other developments </w:t>
      </w:r>
      <w:r w:rsidR="00ED7169">
        <w:t xml:space="preserve"> beyond minimum targets </w:t>
      </w:r>
      <w:r w:rsidR="00377C5E">
        <w:t xml:space="preserve">which create </w:t>
      </w:r>
      <w:r w:rsidR="008A7E6D">
        <w:t xml:space="preserve">demand for nurses but few have undertaken nurse staffing </w:t>
      </w:r>
      <w:r w:rsidR="008A7E6D">
        <w:lastRenderedPageBreak/>
        <w:t>planning projections</w:t>
      </w:r>
      <w:r w:rsidR="00377C5E">
        <w:t xml:space="preserve"> at a national </w:t>
      </w:r>
      <w:r w:rsidR="00377C5E" w:rsidRPr="00ED7169">
        <w:t>level</w:t>
      </w:r>
      <w:r w:rsidR="002B42DF" w:rsidRPr="00ED7169">
        <w:t xml:space="preserve">. </w:t>
      </w:r>
      <w:r w:rsidR="007676AA" w:rsidRPr="00ED7169">
        <w:t>On</w:t>
      </w:r>
      <w:r w:rsidR="002B42DF" w:rsidRPr="00ED7169">
        <w:t xml:space="preserve">ly five </w:t>
      </w:r>
      <w:r w:rsidR="003039B1" w:rsidRPr="00ED7169">
        <w:t xml:space="preserve">of 31 </w:t>
      </w:r>
      <w:r w:rsidR="00AF1552" w:rsidRPr="00ED7169">
        <w:t>high-income</w:t>
      </w:r>
      <w:r w:rsidR="003039B1" w:rsidRPr="00ED7169">
        <w:t xml:space="preserve"> </w:t>
      </w:r>
      <w:r w:rsidR="00ED7169" w:rsidRPr="00ED7169">
        <w:t xml:space="preserve">OECD </w:t>
      </w:r>
      <w:r w:rsidR="003039B1" w:rsidRPr="00ED7169">
        <w:t xml:space="preserve">member countries </w:t>
      </w:r>
      <w:r w:rsidR="002B42DF" w:rsidRPr="00ED7169">
        <w:t xml:space="preserve">have modelled their demand </w:t>
      </w:r>
      <w:r w:rsidR="007676AA" w:rsidRPr="00ED7169">
        <w:t xml:space="preserve">for </w:t>
      </w:r>
      <w:r w:rsidR="002B42DF" w:rsidRPr="00ED7169">
        <w:t xml:space="preserve">and supply of nurses </w:t>
      </w:r>
      <w:r w:rsidR="008326FF" w:rsidRPr="00ED7169">
        <w:t>to 2025</w:t>
      </w:r>
      <w:r w:rsidR="008A7E6D" w:rsidRPr="00ED7169">
        <w:t xml:space="preserve">. Of the five, </w:t>
      </w:r>
      <w:r w:rsidR="002B42DF" w:rsidRPr="00ED7169">
        <w:t>f</w:t>
      </w:r>
      <w:r w:rsidR="0033562B" w:rsidRPr="00ED7169">
        <w:t>our (Australia, Canada, Ireland, UK) predict</w:t>
      </w:r>
      <w:r w:rsidR="003039B1" w:rsidRPr="00ED7169">
        <w:t xml:space="preserve">ed shortages </w:t>
      </w:r>
      <w:r w:rsidR="0033562B" w:rsidRPr="00ED7169">
        <w:t xml:space="preserve">and one, the US, predicted a surplus of qualified nurses </w:t>
      </w:r>
      <w:r w:rsidR="00F43B21" w:rsidRPr="00ED7169">
        <w:rPr>
          <w:vertAlign w:val="superscript"/>
        </w:rPr>
        <w:t>2</w:t>
      </w:r>
      <w:r w:rsidR="00881DD5" w:rsidRPr="00ED7169">
        <w:rPr>
          <w:vertAlign w:val="superscript"/>
        </w:rPr>
        <w:t>1</w:t>
      </w:r>
      <w:r w:rsidR="00F43B21" w:rsidRPr="00ED7169">
        <w:t>.</w:t>
      </w:r>
    </w:p>
    <w:p w14:paraId="36763DAB" w14:textId="77777777" w:rsidR="002B43CD" w:rsidRPr="00ED7169" w:rsidRDefault="002B43CD" w:rsidP="002E436F"/>
    <w:p w14:paraId="7128A342" w14:textId="77777777" w:rsidR="008326FF" w:rsidRPr="00ED7169" w:rsidRDefault="008326FF" w:rsidP="004176A0">
      <w:pPr>
        <w:pStyle w:val="Heading3"/>
      </w:pPr>
      <w:r w:rsidRPr="00ED7169">
        <w:t xml:space="preserve">Models of supply of and demand for nurses </w:t>
      </w:r>
    </w:p>
    <w:p w14:paraId="3F0C0886" w14:textId="39BC2198" w:rsidR="008326FF" w:rsidRDefault="008A7E6D" w:rsidP="008326FF">
      <w:r w:rsidRPr="00ED7169">
        <w:t xml:space="preserve">WHO offers a system wide model for the supply </w:t>
      </w:r>
      <w:r w:rsidR="007D0337" w:rsidRPr="00ED7169">
        <w:t xml:space="preserve">and stock </w:t>
      </w:r>
      <w:r w:rsidRPr="00ED7169">
        <w:t xml:space="preserve">of all types of health professionals </w:t>
      </w:r>
      <w:r w:rsidR="00F43B21" w:rsidRPr="00ED7169">
        <w:rPr>
          <w:vertAlign w:val="superscript"/>
        </w:rPr>
        <w:t>2</w:t>
      </w:r>
      <w:r w:rsidR="00F43B21" w:rsidRPr="00ED7169">
        <w:t xml:space="preserve">.  </w:t>
      </w:r>
      <w:r w:rsidRPr="00ED7169">
        <w:t>W</w:t>
      </w:r>
      <w:r w:rsidR="00794D64" w:rsidRPr="00ED7169">
        <w:t xml:space="preserve">e have adapted </w:t>
      </w:r>
      <w:r w:rsidRPr="00ED7169">
        <w:t xml:space="preserve">the model </w:t>
      </w:r>
      <w:r w:rsidR="00794D64" w:rsidRPr="00ED7169">
        <w:t xml:space="preserve">to </w:t>
      </w:r>
      <w:r w:rsidR="001E47C3" w:rsidRPr="00ED7169">
        <w:t xml:space="preserve">focus specifically on the supply and availability </w:t>
      </w:r>
      <w:r w:rsidR="00794D64" w:rsidRPr="00ED7169">
        <w:t>of qualified nurses (figure 1)</w:t>
      </w:r>
      <w:r w:rsidR="00F43B21" w:rsidRPr="00ED7169">
        <w:t xml:space="preserve">. This illustrates </w:t>
      </w:r>
      <w:r w:rsidRPr="00ED7169">
        <w:t xml:space="preserve">the inflows and outflows to the pipeline of supply, to the pool of registered nurses and to stock of nurses available for employment as nurses. The model applies at national </w:t>
      </w:r>
      <w:r w:rsidR="00922833">
        <w:t xml:space="preserve">and </w:t>
      </w:r>
      <w:r w:rsidR="008326FF" w:rsidRPr="00ED7169">
        <w:t xml:space="preserve">sub-national </w:t>
      </w:r>
      <w:r w:rsidR="00922833" w:rsidRPr="00ED7169">
        <w:t>levels,</w:t>
      </w:r>
      <w:r w:rsidR="00922833">
        <w:t xml:space="preserve"> where </w:t>
      </w:r>
      <w:r w:rsidR="009F1B49" w:rsidRPr="00ED7169">
        <w:t xml:space="preserve">other </w:t>
      </w:r>
      <w:r w:rsidR="007D0337" w:rsidRPr="00ED7169">
        <w:t xml:space="preserve">patterns </w:t>
      </w:r>
      <w:r w:rsidR="009F1B49" w:rsidRPr="00ED7169">
        <w:t>become more evident such as i</w:t>
      </w:r>
      <w:r w:rsidR="002D1427" w:rsidRPr="00ED7169">
        <w:t>nternal migration</w:t>
      </w:r>
      <w:r w:rsidR="000E75FA" w:rsidRPr="00ED7169">
        <w:t xml:space="preserve"> from rural to urban </w:t>
      </w:r>
      <w:r w:rsidR="009F1B49" w:rsidRPr="00ED7169">
        <w:t>areas</w:t>
      </w:r>
      <w:r w:rsidR="003039B1" w:rsidRPr="00ED7169">
        <w:t xml:space="preserve">. </w:t>
      </w:r>
      <w:r w:rsidR="009F1B49" w:rsidRPr="00ED7169">
        <w:t>All countries face similar problems in the supply of</w:t>
      </w:r>
      <w:r w:rsidR="009F1B49">
        <w:t xml:space="preserve"> nurses and other health professionals in r</w:t>
      </w:r>
      <w:r w:rsidR="003039B1">
        <w:t xml:space="preserve">emote and rural </w:t>
      </w:r>
      <w:r w:rsidR="003039B1" w:rsidRPr="00922833">
        <w:t>areas</w:t>
      </w:r>
      <w:r w:rsidR="00F43B21" w:rsidRPr="00922833">
        <w:t xml:space="preserve"> </w:t>
      </w:r>
      <w:r w:rsidR="00F43B21" w:rsidRPr="00922833">
        <w:rPr>
          <w:vertAlign w:val="superscript"/>
        </w:rPr>
        <w:t>2</w:t>
      </w:r>
      <w:r w:rsidR="00881DD5" w:rsidRPr="00922833">
        <w:rPr>
          <w:vertAlign w:val="superscript"/>
        </w:rPr>
        <w:t>2</w:t>
      </w:r>
      <w:r w:rsidR="000E75FA" w:rsidRPr="00922833">
        <w:t xml:space="preserve">. </w:t>
      </w:r>
      <w:r w:rsidR="005017F1" w:rsidRPr="00922833">
        <w:t xml:space="preserve">There are some countries, which have an oversupply of nurses e.g. Philippines as part of “export” model – whereby working age women (often with children) enter other countries as migrants and work in the health system, sending money home to support their families </w:t>
      </w:r>
      <w:r w:rsidR="005017F1" w:rsidRPr="00922833">
        <w:rPr>
          <w:vertAlign w:val="superscript"/>
        </w:rPr>
        <w:t>2</w:t>
      </w:r>
      <w:r w:rsidR="00881DD5" w:rsidRPr="00922833">
        <w:rPr>
          <w:vertAlign w:val="superscript"/>
        </w:rPr>
        <w:t>3</w:t>
      </w:r>
      <w:r w:rsidR="005017F1" w:rsidRPr="00922833">
        <w:t xml:space="preserve"> .</w:t>
      </w:r>
      <w:r w:rsidR="005017F1" w:rsidRPr="005017F1">
        <w:t xml:space="preserve">  </w:t>
      </w:r>
    </w:p>
    <w:p w14:paraId="31419AF5" w14:textId="48970D65" w:rsidR="00C53362" w:rsidRDefault="00826BFB" w:rsidP="00826BFB">
      <w:pPr>
        <w:jc w:val="center"/>
      </w:pPr>
      <w:r>
        <w:rPr>
          <w:noProof/>
          <w:lang w:eastAsia="en-GB"/>
        </w:rPr>
        <w:drawing>
          <wp:inline distT="0" distB="0" distL="0" distR="0" wp14:anchorId="65E9C364" wp14:editId="2022FCC4">
            <wp:extent cx="4759960" cy="2677421"/>
            <wp:effectExtent l="19050" t="19050" r="2159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4195" cy="2685428"/>
                    </a:xfrm>
                    <a:prstGeom prst="rect">
                      <a:avLst/>
                    </a:prstGeom>
                    <a:ln>
                      <a:solidFill>
                        <a:schemeClr val="accent1"/>
                      </a:solidFill>
                    </a:ln>
                  </pic:spPr>
                </pic:pic>
              </a:graphicData>
            </a:graphic>
          </wp:inline>
        </w:drawing>
      </w:r>
    </w:p>
    <w:p w14:paraId="3CE284CB" w14:textId="5FCCEB81" w:rsidR="00D20222" w:rsidRDefault="00D20222" w:rsidP="001E47C3">
      <w:pPr>
        <w:jc w:val="center"/>
      </w:pPr>
    </w:p>
    <w:p w14:paraId="590D26C7" w14:textId="381331AF" w:rsidR="00794D64" w:rsidRPr="00A14F19" w:rsidRDefault="00D20222" w:rsidP="001E47C3">
      <w:r w:rsidRPr="00A14F19">
        <w:rPr>
          <w:b/>
        </w:rPr>
        <w:t>Figure 1:</w:t>
      </w:r>
      <w:r w:rsidRPr="00A14F19">
        <w:t xml:space="preserve"> Model of the supply of nurses able and willing to participate in a national nurse labour market </w:t>
      </w:r>
      <w:r w:rsidR="001E47C3" w:rsidRPr="00A14F19">
        <w:t xml:space="preserve">(adapted </w:t>
      </w:r>
      <w:r w:rsidR="001E47C3" w:rsidRPr="00922833">
        <w:t>from W</w:t>
      </w:r>
      <w:r w:rsidR="00D33C0E" w:rsidRPr="00922833">
        <w:t>HO</w:t>
      </w:r>
      <w:r w:rsidR="001E47C3" w:rsidRPr="00922833">
        <w:t xml:space="preserve"> </w:t>
      </w:r>
      <w:r w:rsidR="001E47C3" w:rsidRPr="00922833">
        <w:rPr>
          <w:vertAlign w:val="superscript"/>
        </w:rPr>
        <w:t>2</w:t>
      </w:r>
      <w:r w:rsidR="001E47C3" w:rsidRPr="00922833">
        <w:t>)</w:t>
      </w:r>
    </w:p>
    <w:p w14:paraId="2C93EB3C" w14:textId="77777777" w:rsidR="00377C5E" w:rsidRDefault="00377C5E" w:rsidP="002E3AF6"/>
    <w:p w14:paraId="7BACFBB4" w14:textId="6BC79EFF" w:rsidR="00236F49" w:rsidRDefault="007D0337" w:rsidP="002E3AF6">
      <w:r>
        <w:t xml:space="preserve">Shortages occur when demand for nurses outstrips the numbers of nurses </w:t>
      </w:r>
      <w:r w:rsidR="00E039CE">
        <w:t xml:space="preserve">available </w:t>
      </w:r>
      <w:r>
        <w:t xml:space="preserve">for employment. </w:t>
      </w:r>
      <w:r w:rsidR="008C2704">
        <w:t>An o</w:t>
      </w:r>
      <w:r w:rsidR="0034604F">
        <w:t xml:space="preserve">verarching </w:t>
      </w:r>
      <w:r w:rsidR="008C2704">
        <w:t xml:space="preserve">factor influencing demand is the economy; for example vacant nurse posts were frozen following the 2008 global financial crisis in countries such as </w:t>
      </w:r>
      <w:r w:rsidR="00DE2C23" w:rsidRPr="00922833">
        <w:t>Iceland</w:t>
      </w:r>
      <w:r w:rsidR="00F43B21" w:rsidRPr="00922833">
        <w:t xml:space="preserve"> </w:t>
      </w:r>
      <w:r w:rsidR="00881DD5" w:rsidRPr="00922833">
        <w:rPr>
          <w:vertAlign w:val="superscript"/>
        </w:rPr>
        <w:t>6</w:t>
      </w:r>
      <w:r w:rsidR="00DE2C23" w:rsidRPr="00922833">
        <w:t xml:space="preserve"> and Kenya</w:t>
      </w:r>
      <w:r w:rsidR="00F43B21" w:rsidRPr="00922833">
        <w:t xml:space="preserve"> </w:t>
      </w:r>
      <w:r w:rsidR="00F43B21" w:rsidRPr="00922833">
        <w:rPr>
          <w:vertAlign w:val="superscript"/>
        </w:rPr>
        <w:t>2</w:t>
      </w:r>
      <w:r w:rsidR="00881DD5" w:rsidRPr="00922833">
        <w:rPr>
          <w:vertAlign w:val="superscript"/>
        </w:rPr>
        <w:t>4</w:t>
      </w:r>
      <w:r w:rsidR="0034604F" w:rsidRPr="00922833">
        <w:t>.</w:t>
      </w:r>
      <w:r w:rsidR="0034604F">
        <w:t xml:space="preserve">  </w:t>
      </w:r>
      <w:r w:rsidR="008C2704">
        <w:t xml:space="preserve">Many factors </w:t>
      </w:r>
      <w:r w:rsidR="0033152D">
        <w:t>in</w:t>
      </w:r>
      <w:r w:rsidR="00F43B21">
        <w:t xml:space="preserve">fluence </w:t>
      </w:r>
      <w:r w:rsidR="0033152D">
        <w:t xml:space="preserve">the </w:t>
      </w:r>
      <w:r w:rsidR="008C2704">
        <w:t xml:space="preserve">demand </w:t>
      </w:r>
      <w:r w:rsidR="0033152D">
        <w:t xml:space="preserve">for nurses </w:t>
      </w:r>
      <w:r w:rsidR="008C2704">
        <w:t>and w</w:t>
      </w:r>
      <w:r w:rsidR="002E3AF6">
        <w:t xml:space="preserve">e offer a model of </w:t>
      </w:r>
      <w:r w:rsidR="0033152D">
        <w:t xml:space="preserve">these in Figure 2.  </w:t>
      </w:r>
      <w:r w:rsidR="0033152D" w:rsidRPr="00922833">
        <w:t>However, the</w:t>
      </w:r>
      <w:r w:rsidR="00216752" w:rsidRPr="00922833">
        <w:t xml:space="preserve"> extent </w:t>
      </w:r>
      <w:r w:rsidR="00DE2C23" w:rsidRPr="00922833">
        <w:t xml:space="preserve">of </w:t>
      </w:r>
      <w:r w:rsidR="00AF1552" w:rsidRPr="00922833">
        <w:t xml:space="preserve">the </w:t>
      </w:r>
      <w:r w:rsidR="00216752" w:rsidRPr="00922833">
        <w:t xml:space="preserve">demand </w:t>
      </w:r>
      <w:r w:rsidR="003C13BE" w:rsidRPr="00922833">
        <w:t xml:space="preserve">for nurses </w:t>
      </w:r>
      <w:r w:rsidR="00DE2C23" w:rsidRPr="00922833">
        <w:t xml:space="preserve">is </w:t>
      </w:r>
      <w:r w:rsidR="00216752" w:rsidRPr="00922833">
        <w:t>country and time specific</w:t>
      </w:r>
      <w:r w:rsidR="00AF1552" w:rsidRPr="00922833">
        <w:t xml:space="preserve">. For example there was increased demand </w:t>
      </w:r>
      <w:r w:rsidR="009E025D" w:rsidRPr="00922833">
        <w:t xml:space="preserve">in Thailand in the late eighties when a strong economy was the catalyst for the growth in </w:t>
      </w:r>
      <w:r w:rsidR="00FF3880" w:rsidRPr="00922833">
        <w:t xml:space="preserve">private hospitals </w:t>
      </w:r>
      <w:r w:rsidR="00F43B21" w:rsidRPr="00922833">
        <w:rPr>
          <w:vertAlign w:val="superscript"/>
        </w:rPr>
        <w:t>2</w:t>
      </w:r>
      <w:r w:rsidR="00881DD5" w:rsidRPr="00922833">
        <w:rPr>
          <w:vertAlign w:val="superscript"/>
        </w:rPr>
        <w:t>5</w:t>
      </w:r>
      <w:r w:rsidR="00F43B21" w:rsidRPr="00922833">
        <w:t xml:space="preserve"> </w:t>
      </w:r>
      <w:r w:rsidR="00907F0B" w:rsidRPr="00922833">
        <w:t xml:space="preserve">and </w:t>
      </w:r>
      <w:r w:rsidR="00F43B21" w:rsidRPr="00922833">
        <w:t>currently in</w:t>
      </w:r>
      <w:r w:rsidR="00AF1552" w:rsidRPr="00922833">
        <w:t xml:space="preserve"> the US where </w:t>
      </w:r>
      <w:r w:rsidR="00FF3880" w:rsidRPr="00922833">
        <w:t xml:space="preserve">state </w:t>
      </w:r>
      <w:r w:rsidR="008C2704" w:rsidRPr="00922833">
        <w:t>legislation specifies the ratio of RNs to</w:t>
      </w:r>
      <w:r w:rsidR="0033152D" w:rsidRPr="00922833">
        <w:t xml:space="preserve"> </w:t>
      </w:r>
      <w:r w:rsidR="00AF1552" w:rsidRPr="00922833">
        <w:t>in-</w:t>
      </w:r>
      <w:r w:rsidR="0033152D" w:rsidRPr="00922833">
        <w:t>patients</w:t>
      </w:r>
      <w:r w:rsidR="00F43B21" w:rsidRPr="00922833">
        <w:t xml:space="preserve"> </w:t>
      </w:r>
      <w:r w:rsidR="00F43B21" w:rsidRPr="00922833">
        <w:rPr>
          <w:vertAlign w:val="superscript"/>
        </w:rPr>
        <w:t>2</w:t>
      </w:r>
      <w:r w:rsidR="00881DD5" w:rsidRPr="00922833">
        <w:rPr>
          <w:vertAlign w:val="superscript"/>
        </w:rPr>
        <w:t>6</w:t>
      </w:r>
      <w:r w:rsidR="00B33D4D" w:rsidRPr="00922833">
        <w:t>.</w:t>
      </w:r>
      <w:r w:rsidR="00B33D4D">
        <w:t xml:space="preserve"> </w:t>
      </w:r>
      <w:r w:rsidR="004D2880" w:rsidRPr="004D2880">
        <w:t xml:space="preserve">The volume of internationally educated nurses </w:t>
      </w:r>
      <w:r w:rsidR="00E036E1">
        <w:t xml:space="preserve">in a country </w:t>
      </w:r>
      <w:r w:rsidR="004D2880" w:rsidRPr="004D2880">
        <w:t xml:space="preserve">maybe an indicator of </w:t>
      </w:r>
      <w:r w:rsidR="00922833">
        <w:t xml:space="preserve">a </w:t>
      </w:r>
      <w:r w:rsidR="004D2880" w:rsidRPr="004D2880">
        <w:t xml:space="preserve">shortfall </w:t>
      </w:r>
      <w:r w:rsidR="004D2880">
        <w:t xml:space="preserve">against demand or </w:t>
      </w:r>
      <w:r w:rsidR="00AF1552">
        <w:t xml:space="preserve">may be the </w:t>
      </w:r>
      <w:r w:rsidR="004D2880">
        <w:t>custom and practice</w:t>
      </w:r>
      <w:r w:rsidR="00E036E1">
        <w:t xml:space="preserve"> for the supply of nurses</w:t>
      </w:r>
      <w:r w:rsidR="004D2880">
        <w:t xml:space="preserve">. </w:t>
      </w:r>
      <w:r w:rsidR="004D2880" w:rsidRPr="00922833">
        <w:t xml:space="preserve">For example </w:t>
      </w:r>
      <w:r w:rsidR="00236F49" w:rsidRPr="00922833">
        <w:t xml:space="preserve">the Netherlands has had less than 1% foreign trained nurses </w:t>
      </w:r>
      <w:r w:rsidR="00B33D4D" w:rsidRPr="00922833">
        <w:t xml:space="preserve">in its workforce </w:t>
      </w:r>
      <w:r w:rsidR="00236F49" w:rsidRPr="00922833">
        <w:t xml:space="preserve">consistently over the past 15 years while </w:t>
      </w:r>
      <w:r w:rsidR="00B33D4D" w:rsidRPr="00922833">
        <w:t xml:space="preserve">others such as the </w:t>
      </w:r>
      <w:r w:rsidR="00922833" w:rsidRPr="00922833">
        <w:t>UK,</w:t>
      </w:r>
      <w:r w:rsidR="00B33D4D" w:rsidRPr="00922833">
        <w:t xml:space="preserve"> Australia and New Zealand </w:t>
      </w:r>
      <w:r w:rsidR="004D2880" w:rsidRPr="00922833">
        <w:t xml:space="preserve">have </w:t>
      </w:r>
      <w:r w:rsidR="00B33D4D" w:rsidRPr="00922833">
        <w:t xml:space="preserve">consistently had over </w:t>
      </w:r>
      <w:r w:rsidR="00236F49" w:rsidRPr="00922833">
        <w:t>14% in the same period</w:t>
      </w:r>
      <w:r w:rsidR="00E036E1" w:rsidRPr="00922833">
        <w:t xml:space="preserve"> </w:t>
      </w:r>
      <w:r w:rsidR="00E036E1" w:rsidRPr="00922833">
        <w:rPr>
          <w:vertAlign w:val="superscript"/>
        </w:rPr>
        <w:t>5</w:t>
      </w:r>
      <w:r w:rsidR="00E036E1" w:rsidRPr="00922833">
        <w:t>.</w:t>
      </w:r>
    </w:p>
    <w:p w14:paraId="443177CE" w14:textId="18E30A23" w:rsidR="008C2704" w:rsidRDefault="00826BFB" w:rsidP="002E3AF6">
      <w:r>
        <w:rPr>
          <w:b/>
          <w:noProof/>
          <w:lang w:eastAsia="en-GB"/>
        </w:rPr>
        <w:lastRenderedPageBreak/>
        <w:drawing>
          <wp:anchor distT="0" distB="0" distL="114300" distR="114300" simplePos="0" relativeHeight="251658240" behindDoc="0" locked="0" layoutInCell="1" allowOverlap="1" wp14:anchorId="365CDC2C" wp14:editId="36871DF3">
            <wp:simplePos x="0" y="0"/>
            <wp:positionH relativeFrom="margin">
              <wp:posOffset>1313815</wp:posOffset>
            </wp:positionH>
            <wp:positionV relativeFrom="paragraph">
              <wp:posOffset>400050</wp:posOffset>
            </wp:positionV>
            <wp:extent cx="4257675" cy="2394585"/>
            <wp:effectExtent l="19050" t="19050" r="28575" b="247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7675" cy="23945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B3BE8A3" w14:textId="725A9A6C" w:rsidR="00216752" w:rsidRDefault="00216752" w:rsidP="002E3AF6"/>
    <w:p w14:paraId="3458828B" w14:textId="307533DB" w:rsidR="00216752" w:rsidRDefault="001247B0" w:rsidP="00826BFB">
      <w:pPr>
        <w:jc w:val="center"/>
      </w:pPr>
      <w:r w:rsidRPr="001247B0">
        <w:rPr>
          <w:b/>
        </w:rPr>
        <w:t xml:space="preserve">Figure 2 </w:t>
      </w:r>
      <w:r>
        <w:t>Model of factors increasing and decreasing the demand for nurses</w:t>
      </w:r>
    </w:p>
    <w:p w14:paraId="4294D35B" w14:textId="77777777" w:rsidR="00E81EF1" w:rsidRDefault="00E81EF1" w:rsidP="00A14F19"/>
    <w:p w14:paraId="627D2120" w14:textId="46AC55B4" w:rsidR="005E50D9" w:rsidRDefault="00663D09" w:rsidP="005E50D9">
      <w:pPr>
        <w:pStyle w:val="Heading3"/>
      </w:pPr>
      <w:r>
        <w:t xml:space="preserve">What attracts nurses to jobs and why do they </w:t>
      </w:r>
      <w:r w:rsidR="00532621">
        <w:t>leave?</w:t>
      </w:r>
      <w:r w:rsidR="006B47B8">
        <w:t xml:space="preserve"> </w:t>
      </w:r>
      <w:r w:rsidR="005E50D9">
        <w:t xml:space="preserve"> </w:t>
      </w:r>
    </w:p>
    <w:p w14:paraId="2598C0AA" w14:textId="249E430E" w:rsidR="00546183" w:rsidRDefault="005357FE" w:rsidP="001A7811">
      <w:r>
        <w:t xml:space="preserve">The </w:t>
      </w:r>
      <w:r w:rsidR="0033152D">
        <w:t xml:space="preserve">state of the </w:t>
      </w:r>
      <w:r>
        <w:t>wider labour market influence</w:t>
      </w:r>
      <w:r w:rsidR="00E904D2">
        <w:t>s</w:t>
      </w:r>
      <w:r>
        <w:t xml:space="preserve"> nurses’</w:t>
      </w:r>
      <w:r w:rsidR="0033152D">
        <w:t xml:space="preserve"> choices about their employment</w:t>
      </w:r>
      <w:r>
        <w:t xml:space="preserve">. </w:t>
      </w:r>
      <w:r w:rsidR="004176A0">
        <w:t>On</w:t>
      </w:r>
      <w:r w:rsidR="005E50D9">
        <w:t xml:space="preserve">e </w:t>
      </w:r>
      <w:r w:rsidR="004176A0">
        <w:t xml:space="preserve">consequence of high levels of demand </w:t>
      </w:r>
      <w:r w:rsidR="005E50D9">
        <w:t xml:space="preserve">or shortages </w:t>
      </w:r>
      <w:r w:rsidR="004176A0">
        <w:t xml:space="preserve">is that </w:t>
      </w:r>
      <w:r w:rsidR="005E50D9">
        <w:t xml:space="preserve">the </w:t>
      </w:r>
      <w:r w:rsidR="004176A0">
        <w:t xml:space="preserve">nurses have choices in </w:t>
      </w:r>
      <w:r w:rsidR="00E904D2">
        <w:t xml:space="preserve">jobs </w:t>
      </w:r>
      <w:r w:rsidR="0033152D">
        <w:t xml:space="preserve">within their own country and </w:t>
      </w:r>
      <w:r w:rsidR="003A03C3">
        <w:t xml:space="preserve">also </w:t>
      </w:r>
      <w:r w:rsidR="0033152D">
        <w:t xml:space="preserve">abroad. </w:t>
      </w:r>
      <w:r w:rsidR="005E50D9">
        <w:t xml:space="preserve">An RN qualification is an international passport to work (albeit with rules as to transferability). </w:t>
      </w:r>
      <w:r w:rsidR="006B47B8">
        <w:t xml:space="preserve"> </w:t>
      </w:r>
      <w:r w:rsidR="003955A3">
        <w:t xml:space="preserve">Classic economic theory </w:t>
      </w:r>
      <w:r w:rsidR="00567A2F">
        <w:t>argue</w:t>
      </w:r>
      <w:r w:rsidR="003955A3">
        <w:t>s</w:t>
      </w:r>
      <w:r w:rsidR="00567A2F">
        <w:t xml:space="preserve"> that </w:t>
      </w:r>
      <w:r w:rsidR="003955A3">
        <w:t xml:space="preserve">income level is the most </w:t>
      </w:r>
      <w:r w:rsidR="00567A2F">
        <w:t xml:space="preserve">significant </w:t>
      </w:r>
      <w:r w:rsidR="003955A3">
        <w:t xml:space="preserve">factor in </w:t>
      </w:r>
      <w:r w:rsidR="00663D09">
        <w:t>attracting (</w:t>
      </w:r>
      <w:r w:rsidR="00567A2F">
        <w:t>pull</w:t>
      </w:r>
      <w:r w:rsidR="003955A3">
        <w:t>ing</w:t>
      </w:r>
      <w:r w:rsidR="00663D09">
        <w:t>)</w:t>
      </w:r>
      <w:r w:rsidR="00567A2F">
        <w:t xml:space="preserve"> or push</w:t>
      </w:r>
      <w:r w:rsidR="003955A3">
        <w:t xml:space="preserve">ing </w:t>
      </w:r>
      <w:r w:rsidR="00567A2F">
        <w:t>individuals from one job to another</w:t>
      </w:r>
      <w:r w:rsidR="00E904D2">
        <w:t xml:space="preserve"> and from one job market to another</w:t>
      </w:r>
      <w:r w:rsidR="003955A3">
        <w:t xml:space="preserve">. However, others </w:t>
      </w:r>
      <w:r w:rsidR="0033152D">
        <w:t xml:space="preserve">have </w:t>
      </w:r>
      <w:r w:rsidR="003955A3">
        <w:t>argue</w:t>
      </w:r>
      <w:r w:rsidR="0033152D">
        <w:t>d</w:t>
      </w:r>
      <w:r w:rsidR="003955A3">
        <w:t xml:space="preserve"> that the </w:t>
      </w:r>
      <w:r w:rsidR="00A84C6E">
        <w:t xml:space="preserve">individual’s </w:t>
      </w:r>
      <w:r w:rsidR="00567A2F">
        <w:t>decision</w:t>
      </w:r>
      <w:r w:rsidR="00A84C6E">
        <w:t xml:space="preserve"> </w:t>
      </w:r>
      <w:r w:rsidR="00E904D2">
        <w:t xml:space="preserve">about a job </w:t>
      </w:r>
      <w:r w:rsidR="00A84C6E">
        <w:t xml:space="preserve">is taken not just on </w:t>
      </w:r>
      <w:r w:rsidR="008B28D7">
        <w:t xml:space="preserve">the </w:t>
      </w:r>
      <w:r w:rsidR="003955A3">
        <w:t>wage</w:t>
      </w:r>
      <w:r w:rsidR="00E904D2">
        <w:t xml:space="preserve"> level </w:t>
      </w:r>
      <w:r w:rsidR="0033152D">
        <w:t>but is based on</w:t>
      </w:r>
      <w:r w:rsidR="00D908E4">
        <w:t xml:space="preserve"> the perceived </w:t>
      </w:r>
      <w:r w:rsidR="00567A2F" w:rsidRPr="00546183">
        <w:rPr>
          <w:i/>
        </w:rPr>
        <w:t xml:space="preserve">net </w:t>
      </w:r>
      <w:r w:rsidR="00567A2F">
        <w:t>advantage or disadvantage of multiple factors</w:t>
      </w:r>
      <w:r w:rsidR="00E904D2">
        <w:t xml:space="preserve"> associated with a </w:t>
      </w:r>
      <w:r w:rsidR="00E904D2" w:rsidRPr="00922833">
        <w:t>job</w:t>
      </w:r>
      <w:r w:rsidR="00E036E1" w:rsidRPr="00922833">
        <w:t xml:space="preserve"> </w:t>
      </w:r>
      <w:r w:rsidR="00E036E1" w:rsidRPr="00922833">
        <w:rPr>
          <w:vertAlign w:val="superscript"/>
        </w:rPr>
        <w:t>2</w:t>
      </w:r>
      <w:r w:rsidR="00881DD5" w:rsidRPr="00922833">
        <w:rPr>
          <w:vertAlign w:val="superscript"/>
        </w:rPr>
        <w:t>7</w:t>
      </w:r>
      <w:r w:rsidR="00A84C6E" w:rsidRPr="00922833">
        <w:t>.</w:t>
      </w:r>
      <w:r w:rsidR="00A84C6E">
        <w:t xml:space="preserve"> </w:t>
      </w:r>
      <w:r w:rsidR="00546183">
        <w:t>The types of factors influential in this decision making include:</w:t>
      </w:r>
    </w:p>
    <w:p w14:paraId="4B8E33BD" w14:textId="1F018A95" w:rsidR="00546183" w:rsidRDefault="00513D64" w:rsidP="00546183">
      <w:pPr>
        <w:pStyle w:val="ListParagraph"/>
        <w:numPr>
          <w:ilvl w:val="0"/>
          <w:numId w:val="28"/>
        </w:numPr>
      </w:pPr>
      <w:r>
        <w:rPr>
          <w:i/>
        </w:rPr>
        <w:t>Individual</w:t>
      </w:r>
      <w:r w:rsidR="00546183">
        <w:t>: skills and interests, career plans, caring/family responsibilities,</w:t>
      </w:r>
      <w:r w:rsidR="007311DF">
        <w:t xml:space="preserve"> financial responsibilities,</w:t>
      </w:r>
    </w:p>
    <w:p w14:paraId="372D36DA" w14:textId="70D4483B" w:rsidR="00546183" w:rsidRDefault="00546183" w:rsidP="00546183">
      <w:pPr>
        <w:pStyle w:val="ListParagraph"/>
        <w:numPr>
          <w:ilvl w:val="0"/>
          <w:numId w:val="28"/>
        </w:numPr>
      </w:pPr>
      <w:r w:rsidRPr="008643E3">
        <w:rPr>
          <w:i/>
        </w:rPr>
        <w:t>Job characteristics</w:t>
      </w:r>
      <w:r>
        <w:t>: remuneration</w:t>
      </w:r>
      <w:r w:rsidR="007311DF">
        <w:t xml:space="preserve">, other financial benefits </w:t>
      </w:r>
      <w:r w:rsidR="008643E3">
        <w:t>(</w:t>
      </w:r>
      <w:r w:rsidR="007311DF">
        <w:t>e.g. health insurance , pension</w:t>
      </w:r>
      <w:r w:rsidR="008643E3">
        <w:t>)</w:t>
      </w:r>
      <w:r>
        <w:t xml:space="preserve">, hours and pattern of working, type </w:t>
      </w:r>
      <w:r w:rsidR="008643E3">
        <w:t xml:space="preserve">and </w:t>
      </w:r>
      <w:r w:rsidR="00513D64">
        <w:t>volume</w:t>
      </w:r>
      <w:r w:rsidR="008643E3">
        <w:t xml:space="preserve"> </w:t>
      </w:r>
      <w:r>
        <w:t>of work, physical and</w:t>
      </w:r>
      <w:r w:rsidR="007311DF">
        <w:t>/or</w:t>
      </w:r>
      <w:r>
        <w:t xml:space="preserve"> emotional intensity of work , variety of work , team working, level of </w:t>
      </w:r>
      <w:r w:rsidR="007311DF">
        <w:t>responsibility/</w:t>
      </w:r>
      <w:r>
        <w:t>autonomy, clinical and managerial support</w:t>
      </w:r>
      <w:r w:rsidR="007311DF">
        <w:t xml:space="preserve">, </w:t>
      </w:r>
      <w:r>
        <w:t xml:space="preserve"> professional support, </w:t>
      </w:r>
    </w:p>
    <w:p w14:paraId="1B0DE49E" w14:textId="4CD30FB4" w:rsidR="00546183" w:rsidRDefault="00546183" w:rsidP="008643E3">
      <w:pPr>
        <w:pStyle w:val="ListParagraph"/>
        <w:numPr>
          <w:ilvl w:val="0"/>
          <w:numId w:val="28"/>
        </w:numPr>
      </w:pPr>
      <w:r w:rsidRPr="008643E3">
        <w:rPr>
          <w:i/>
        </w:rPr>
        <w:t>Organisation</w:t>
      </w:r>
      <w:r>
        <w:t xml:space="preserve">: </w:t>
      </w:r>
      <w:r w:rsidR="008643E3">
        <w:t>clinical and employer reputation, type (</w:t>
      </w:r>
      <w:r w:rsidR="00513D64">
        <w:t xml:space="preserve">e.g. </w:t>
      </w:r>
      <w:r w:rsidR="008643E3">
        <w:t>private, public), size of organisation, si</w:t>
      </w:r>
      <w:r w:rsidR="00513D64">
        <w:t>z</w:t>
      </w:r>
      <w:r w:rsidR="008643E3">
        <w:t>e of specialt</w:t>
      </w:r>
      <w:r w:rsidR="00513D64">
        <w:t>ies</w:t>
      </w:r>
      <w:r w:rsidR="008643E3">
        <w:t xml:space="preserve"> within an organisation, infrastructure to support employees (e.g. child care facilities,</w:t>
      </w:r>
      <w:r w:rsidR="008643E3" w:rsidRPr="008643E3">
        <w:t xml:space="preserve"> </w:t>
      </w:r>
      <w:r w:rsidR="008643E3">
        <w:t>meal and social facilities), access to professional and career development activities and/or funding for</w:t>
      </w:r>
      <w:r w:rsidR="0012746F">
        <w:t xml:space="preserve"> these</w:t>
      </w:r>
      <w:r w:rsidR="008643E3">
        <w:t xml:space="preserve">,  </w:t>
      </w:r>
    </w:p>
    <w:p w14:paraId="4A1B3E56" w14:textId="4597C111" w:rsidR="00546183" w:rsidRDefault="00546183" w:rsidP="00546183">
      <w:pPr>
        <w:pStyle w:val="ListParagraph"/>
        <w:numPr>
          <w:ilvl w:val="0"/>
          <w:numId w:val="28"/>
        </w:numPr>
      </w:pPr>
      <w:r w:rsidRPr="008643E3">
        <w:rPr>
          <w:i/>
        </w:rPr>
        <w:t>Location</w:t>
      </w:r>
      <w:r>
        <w:t xml:space="preserve">: </w:t>
      </w:r>
      <w:r w:rsidR="008643E3">
        <w:t xml:space="preserve">urban, sub-urban, rural, proximity to </w:t>
      </w:r>
      <w:r w:rsidR="0012746F">
        <w:t xml:space="preserve">family and/or </w:t>
      </w:r>
      <w:r w:rsidR="008643E3">
        <w:t>other services such as schools for chi</w:t>
      </w:r>
      <w:r w:rsidR="007A53B9">
        <w:t>ldren.</w:t>
      </w:r>
    </w:p>
    <w:p w14:paraId="01FB02F6" w14:textId="77777777" w:rsidR="00922833" w:rsidRDefault="00922833" w:rsidP="008F3387">
      <w:pPr>
        <w:ind w:left="360"/>
      </w:pPr>
    </w:p>
    <w:p w14:paraId="0DDD90F7" w14:textId="36B612C6" w:rsidR="00000CB9" w:rsidRDefault="009057DF" w:rsidP="008F3387">
      <w:pPr>
        <w:ind w:left="360"/>
      </w:pPr>
      <w:r>
        <w:t xml:space="preserve">Factors that attract nurses to remote and rural jobs illustrate the types of net assessment made. </w:t>
      </w:r>
      <w:r w:rsidR="005F6BF4">
        <w:t>A</w:t>
      </w:r>
      <w:r>
        <w:t xml:space="preserve"> systematic review </w:t>
      </w:r>
      <w:r w:rsidR="0012746F">
        <w:t>investigating the decisions of n</w:t>
      </w:r>
      <w:r>
        <w:t xml:space="preserve">ewly qualified nurses taking up remote or rural </w:t>
      </w:r>
      <w:r w:rsidR="0012746F">
        <w:t xml:space="preserve">posts </w:t>
      </w:r>
      <w:r>
        <w:t xml:space="preserve">found that </w:t>
      </w:r>
      <w:r w:rsidR="00A85862">
        <w:t xml:space="preserve">at </w:t>
      </w:r>
      <w:r>
        <w:t>a personal level they had backgrounds of being educated in such areas</w:t>
      </w:r>
      <w:r w:rsidR="003F4ADB">
        <w:t xml:space="preserve"> and </w:t>
      </w:r>
      <w:r>
        <w:t xml:space="preserve">having family and/or spouses already in </w:t>
      </w:r>
      <w:r w:rsidRPr="00922833">
        <w:t xml:space="preserve">such areas. At an organisational level </w:t>
      </w:r>
      <w:r w:rsidR="00532621" w:rsidRPr="00922833">
        <w:t>financial incentives were reported as important</w:t>
      </w:r>
      <w:r w:rsidR="00015BFA" w:rsidRPr="00922833">
        <w:t xml:space="preserve"> (</w:t>
      </w:r>
      <w:r w:rsidR="00532621" w:rsidRPr="00922833">
        <w:t>such as student education loan repayment, health insurance and higher wage potential</w:t>
      </w:r>
      <w:r w:rsidR="00015BFA" w:rsidRPr="00922833">
        <w:t xml:space="preserve">) </w:t>
      </w:r>
      <w:r w:rsidR="00532621" w:rsidRPr="00922833">
        <w:t xml:space="preserve">but just as important </w:t>
      </w:r>
      <w:r w:rsidR="00015BFA" w:rsidRPr="00922833">
        <w:t xml:space="preserve">was </w:t>
      </w:r>
      <w:r w:rsidR="00532621" w:rsidRPr="00922833">
        <w:t xml:space="preserve">the presence of </w:t>
      </w:r>
      <w:r w:rsidR="0012746F" w:rsidRPr="00922833">
        <w:t>peer</w:t>
      </w:r>
      <w:r w:rsidRPr="00922833">
        <w:t xml:space="preserve"> support </w:t>
      </w:r>
      <w:r w:rsidR="0012746F" w:rsidRPr="00922833">
        <w:t xml:space="preserve">and </w:t>
      </w:r>
      <w:r w:rsidR="00532621" w:rsidRPr="00922833">
        <w:t xml:space="preserve">a good working </w:t>
      </w:r>
      <w:r w:rsidR="0012746F" w:rsidRPr="00922833">
        <w:t>environment</w:t>
      </w:r>
      <w:r w:rsidR="00E036E1" w:rsidRPr="00922833">
        <w:t xml:space="preserve"> </w:t>
      </w:r>
      <w:r w:rsidR="00E036E1" w:rsidRPr="00922833">
        <w:rPr>
          <w:vertAlign w:val="superscript"/>
        </w:rPr>
        <w:t>2</w:t>
      </w:r>
      <w:r w:rsidR="00881DD5" w:rsidRPr="00922833">
        <w:rPr>
          <w:vertAlign w:val="superscript"/>
        </w:rPr>
        <w:t>8</w:t>
      </w:r>
      <w:r w:rsidRPr="00922833">
        <w:t>.</w:t>
      </w:r>
      <w:r>
        <w:t xml:space="preserve"> </w:t>
      </w:r>
      <w:r w:rsidR="00E036E1" w:rsidRPr="00922833">
        <w:t xml:space="preserve">However it is of note that there is very limited evidence concerning recruitment and retention of nurses to remote and rural posts (most evidence concerns doctors) and what there is </w:t>
      </w:r>
      <w:r w:rsidR="00E036E1" w:rsidRPr="00922833">
        <w:lastRenderedPageBreak/>
        <w:t xml:space="preserve">derives from a few high income countries (Australia, Canada and US) </w:t>
      </w:r>
      <w:r w:rsidR="00881DD5" w:rsidRPr="00922833">
        <w:rPr>
          <w:vertAlign w:val="superscript"/>
        </w:rPr>
        <w:t>29</w:t>
      </w:r>
      <w:r w:rsidR="00E036E1" w:rsidRPr="00922833">
        <w:t xml:space="preserve">.  </w:t>
      </w:r>
      <w:r w:rsidR="0020775E" w:rsidRPr="00922833">
        <w:t xml:space="preserve">Reviews of </w:t>
      </w:r>
      <w:r w:rsidR="008F3387" w:rsidRPr="00922833">
        <w:t xml:space="preserve">evidence as to why nurses </w:t>
      </w:r>
      <w:r w:rsidR="00000CB9" w:rsidRPr="00922833">
        <w:t>migrate to o</w:t>
      </w:r>
      <w:r w:rsidR="008F3387" w:rsidRPr="00922833">
        <w:t xml:space="preserve">ther countries </w:t>
      </w:r>
      <w:r w:rsidR="00532621" w:rsidRPr="00922833">
        <w:t xml:space="preserve">also illustrate the </w:t>
      </w:r>
      <w:r w:rsidR="008F3387" w:rsidRPr="00922833">
        <w:t>multiplicity of factors</w:t>
      </w:r>
      <w:r w:rsidR="00000CB9" w:rsidRPr="00922833">
        <w:t xml:space="preserve"> </w:t>
      </w:r>
      <w:r w:rsidR="00532621" w:rsidRPr="00922833">
        <w:t xml:space="preserve">in decision making </w:t>
      </w:r>
      <w:r w:rsidR="00E036E1" w:rsidRPr="00922833">
        <w:rPr>
          <w:vertAlign w:val="superscript"/>
        </w:rPr>
        <w:t>3</w:t>
      </w:r>
      <w:r w:rsidR="00881DD5" w:rsidRPr="00922833">
        <w:rPr>
          <w:vertAlign w:val="superscript"/>
        </w:rPr>
        <w:t>0</w:t>
      </w:r>
      <w:r w:rsidR="00E036E1" w:rsidRPr="00922833">
        <w:t xml:space="preserve"> </w:t>
      </w:r>
      <w:r w:rsidR="00000CB9" w:rsidRPr="00922833">
        <w:t>including:</w:t>
      </w:r>
    </w:p>
    <w:p w14:paraId="59FB1FF5" w14:textId="6D5382FA" w:rsidR="00000CB9" w:rsidRDefault="00000CB9" w:rsidP="00000CB9">
      <w:pPr>
        <w:pStyle w:val="ListParagraph"/>
        <w:numPr>
          <w:ilvl w:val="0"/>
          <w:numId w:val="29"/>
        </w:numPr>
      </w:pPr>
      <w:r w:rsidRPr="00015BFA">
        <w:rPr>
          <w:i/>
        </w:rPr>
        <w:t xml:space="preserve">Macro </w:t>
      </w:r>
      <w:r w:rsidR="007E0980" w:rsidRPr="00015BFA">
        <w:rPr>
          <w:i/>
        </w:rPr>
        <w:t xml:space="preserve">and meso level </w:t>
      </w:r>
      <w:r w:rsidRPr="00015BFA">
        <w:rPr>
          <w:i/>
        </w:rPr>
        <w:t>factors</w:t>
      </w:r>
      <w:r w:rsidR="007E0980" w:rsidRPr="00015BFA">
        <w:rPr>
          <w:i/>
        </w:rPr>
        <w:t xml:space="preserve"> in </w:t>
      </w:r>
      <w:r w:rsidR="00015BFA">
        <w:rPr>
          <w:i/>
        </w:rPr>
        <w:t xml:space="preserve">the </w:t>
      </w:r>
      <w:r w:rsidR="007E0980" w:rsidRPr="00015BFA">
        <w:rPr>
          <w:i/>
        </w:rPr>
        <w:t>home country</w:t>
      </w:r>
      <w:r w:rsidR="00015BFA">
        <w:rPr>
          <w:i/>
        </w:rPr>
        <w:t xml:space="preserve"> with the perceived converse in the country of destination</w:t>
      </w:r>
      <w:r w:rsidR="007E0980">
        <w:t>:</w:t>
      </w:r>
      <w:r>
        <w:t xml:space="preserve"> </w:t>
      </w:r>
      <w:r w:rsidR="007E0980">
        <w:t>weak economy, political instability</w:t>
      </w:r>
      <w:r w:rsidR="00015BFA">
        <w:t xml:space="preserve"> and/or civil unrest</w:t>
      </w:r>
      <w:r>
        <w:t>, unemployment of nurses, low status of nurses, poor working conditions, few opportunities</w:t>
      </w:r>
      <w:r w:rsidR="007E0980">
        <w:t xml:space="preserve"> for nurses for career progression</w:t>
      </w:r>
      <w:r>
        <w:t xml:space="preserve">, </w:t>
      </w:r>
    </w:p>
    <w:p w14:paraId="274FCFB8" w14:textId="6F025C0D" w:rsidR="007E0980" w:rsidRDefault="007E0980" w:rsidP="007E0980">
      <w:pPr>
        <w:pStyle w:val="ListParagraph"/>
        <w:numPr>
          <w:ilvl w:val="0"/>
          <w:numId w:val="29"/>
        </w:numPr>
      </w:pPr>
      <w:r w:rsidRPr="00015BFA">
        <w:rPr>
          <w:i/>
        </w:rPr>
        <w:t>Personnel level factors</w:t>
      </w:r>
      <w:r>
        <w:t>: desire for different cultu</w:t>
      </w:r>
      <w:r w:rsidR="00687B87">
        <w:t>ral</w:t>
      </w:r>
      <w:r w:rsidR="00015BFA">
        <w:t xml:space="preserve">, life </w:t>
      </w:r>
      <w:r>
        <w:t>and</w:t>
      </w:r>
      <w:r w:rsidR="00C70765">
        <w:t>/or</w:t>
      </w:r>
      <w:r>
        <w:t xml:space="preserve"> health </w:t>
      </w:r>
      <w:r w:rsidR="00E036E1">
        <w:t>system experience</w:t>
      </w:r>
      <w:r>
        <w:t xml:space="preserve">, perceived opportunity for better </w:t>
      </w:r>
      <w:r w:rsidR="00C70765">
        <w:t xml:space="preserve">financial </w:t>
      </w:r>
      <w:r w:rsidR="00015BFA">
        <w:t>rewards,</w:t>
      </w:r>
      <w:r w:rsidR="00C70765">
        <w:t xml:space="preserve"> perceived opportunity for improved </w:t>
      </w:r>
      <w:r>
        <w:t xml:space="preserve">quality of life for family and children, following </w:t>
      </w:r>
      <w:r w:rsidR="00C70765">
        <w:t xml:space="preserve">already established </w:t>
      </w:r>
      <w:r>
        <w:t xml:space="preserve">partner or family network in </w:t>
      </w:r>
      <w:r w:rsidR="00015BFA">
        <w:t xml:space="preserve">the destination </w:t>
      </w:r>
      <w:r>
        <w:t>count</w:t>
      </w:r>
      <w:r w:rsidR="00C70765">
        <w:t>r</w:t>
      </w:r>
      <w:r>
        <w:t>y</w:t>
      </w:r>
      <w:r w:rsidR="00C70765">
        <w:t>, opportunity</w:t>
      </w:r>
      <w:r>
        <w:t xml:space="preserve"> for career advancement </w:t>
      </w:r>
      <w:r w:rsidR="00C70765">
        <w:t xml:space="preserve">and/or education. </w:t>
      </w:r>
    </w:p>
    <w:p w14:paraId="3CBC4E08" w14:textId="77777777" w:rsidR="009057DF" w:rsidRPr="00663D09" w:rsidRDefault="009057DF" w:rsidP="00663D09">
      <w:pPr>
        <w:pStyle w:val="ListParagraph"/>
        <w:ind w:left="0"/>
      </w:pPr>
    </w:p>
    <w:p w14:paraId="2236A57D" w14:textId="31A85178" w:rsidR="001A7811" w:rsidRDefault="00663D09" w:rsidP="0012746F">
      <w:pPr>
        <w:pStyle w:val="ListParagraph"/>
        <w:ind w:left="0"/>
      </w:pPr>
      <w:r>
        <w:t>Trying to understand why nurses leave and what retain</w:t>
      </w:r>
      <w:r w:rsidR="00922833">
        <w:t>s</w:t>
      </w:r>
      <w:r>
        <w:t xml:space="preserve"> nurses in their job</w:t>
      </w:r>
      <w:r w:rsidR="0012746F">
        <w:t xml:space="preserve">s has been a perennial question; </w:t>
      </w:r>
      <w:r>
        <w:t>the first Lancet Commission into shorta</w:t>
      </w:r>
      <w:r w:rsidRPr="00922833">
        <w:t xml:space="preserve">ges of nurses in the UK </w:t>
      </w:r>
      <w:r w:rsidR="0012746F" w:rsidRPr="00922833">
        <w:t xml:space="preserve">was </w:t>
      </w:r>
      <w:r w:rsidRPr="00922833">
        <w:t>published in 1933</w:t>
      </w:r>
      <w:r w:rsidR="00E036E1" w:rsidRPr="00922833">
        <w:t xml:space="preserve"> </w:t>
      </w:r>
      <w:r w:rsidR="00E036E1" w:rsidRPr="00922833">
        <w:rPr>
          <w:vertAlign w:val="superscript"/>
        </w:rPr>
        <w:t>3</w:t>
      </w:r>
      <w:r w:rsidR="00881DD5" w:rsidRPr="00922833">
        <w:rPr>
          <w:vertAlign w:val="superscript"/>
        </w:rPr>
        <w:t>1</w:t>
      </w:r>
      <w:r w:rsidR="00E036E1" w:rsidRPr="00922833">
        <w:t xml:space="preserve"> . </w:t>
      </w:r>
      <w:r w:rsidRPr="00922833">
        <w:t xml:space="preserve"> Innumerable literature reviews on the subject in the intervening years demonstrate the interlocking range of factors at individual, organisational and the broader socio-economic level</w:t>
      </w:r>
      <w:r w:rsidR="00E036E1" w:rsidRPr="00922833">
        <w:t xml:space="preserve"> </w:t>
      </w:r>
      <w:r w:rsidR="00E036E1" w:rsidRPr="00922833">
        <w:rPr>
          <w:vertAlign w:val="superscript"/>
        </w:rPr>
        <w:t>3</w:t>
      </w:r>
      <w:r w:rsidR="00881DD5" w:rsidRPr="00922833">
        <w:rPr>
          <w:vertAlign w:val="superscript"/>
        </w:rPr>
        <w:t>2</w:t>
      </w:r>
      <w:r w:rsidR="00E036E1" w:rsidRPr="00922833">
        <w:t xml:space="preserve">. </w:t>
      </w:r>
      <w:r w:rsidR="00A84C6E" w:rsidRPr="00922833">
        <w:t>A</w:t>
      </w:r>
      <w:r w:rsidR="00A84C6E">
        <w:t xml:space="preserve"> recent </w:t>
      </w:r>
      <w:r w:rsidR="00922833">
        <w:t xml:space="preserve">umbrella </w:t>
      </w:r>
      <w:r w:rsidR="00A84C6E">
        <w:t xml:space="preserve">review </w:t>
      </w:r>
      <w:r w:rsidR="00922833">
        <w:t xml:space="preserve">of </w:t>
      </w:r>
      <w:r w:rsidR="00A84C6E">
        <w:t xml:space="preserve">systematic reviews </w:t>
      </w:r>
      <w:r w:rsidR="00922833">
        <w:t xml:space="preserve">investigating </w:t>
      </w:r>
      <w:r w:rsidR="003955A3">
        <w:t xml:space="preserve">the </w:t>
      </w:r>
      <w:r w:rsidR="00922833">
        <w:t xml:space="preserve">determinants of </w:t>
      </w:r>
      <w:r w:rsidR="00A84C6E">
        <w:t xml:space="preserve">nurse turnover (leaving their jobs) </w:t>
      </w:r>
      <w:r w:rsidR="006F212D">
        <w:t xml:space="preserve">in high income countries </w:t>
      </w:r>
      <w:r w:rsidR="00A84C6E">
        <w:t xml:space="preserve">reported </w:t>
      </w:r>
      <w:r w:rsidR="00C02739">
        <w:t xml:space="preserve">that </w:t>
      </w:r>
      <w:r w:rsidR="00F923B1">
        <w:t xml:space="preserve">most studies focused </w:t>
      </w:r>
      <w:r w:rsidR="00D908E4">
        <w:t xml:space="preserve">on </w:t>
      </w:r>
      <w:r w:rsidR="00EB4C56" w:rsidRPr="00770C43">
        <w:rPr>
          <w:i/>
        </w:rPr>
        <w:t>individual</w:t>
      </w:r>
      <w:r w:rsidR="00EB4C56">
        <w:t xml:space="preserve"> factors influencing </w:t>
      </w:r>
      <w:r w:rsidR="00EB4C56" w:rsidRPr="00770C43">
        <w:rPr>
          <w:i/>
        </w:rPr>
        <w:t>intention to leave</w:t>
      </w:r>
      <w:r w:rsidR="00D908E4">
        <w:t xml:space="preserve"> </w:t>
      </w:r>
      <w:r w:rsidR="003A03C3">
        <w:t xml:space="preserve">i.e. plans </w:t>
      </w:r>
      <w:r w:rsidR="00EB4C56">
        <w:t>rather than actual</w:t>
      </w:r>
      <w:r w:rsidR="003A03C3">
        <w:t xml:space="preserve"> </w:t>
      </w:r>
      <w:r w:rsidR="003A03C3" w:rsidRPr="00922833">
        <w:t>leaving</w:t>
      </w:r>
      <w:r w:rsidR="00D36379" w:rsidRPr="00922833">
        <w:t xml:space="preserve"> </w:t>
      </w:r>
      <w:r w:rsidR="00D36379" w:rsidRPr="00922833">
        <w:rPr>
          <w:vertAlign w:val="superscript"/>
        </w:rPr>
        <w:t>3</w:t>
      </w:r>
      <w:r w:rsidR="00881DD5" w:rsidRPr="00922833">
        <w:rPr>
          <w:vertAlign w:val="superscript"/>
        </w:rPr>
        <w:t>3</w:t>
      </w:r>
      <w:r w:rsidR="00C02739" w:rsidRPr="00922833">
        <w:t>.</w:t>
      </w:r>
      <w:r w:rsidR="00C02739">
        <w:t xml:space="preserve">  </w:t>
      </w:r>
      <w:r w:rsidR="00F923B1">
        <w:t xml:space="preserve"> </w:t>
      </w:r>
      <w:r w:rsidR="00513D64">
        <w:t xml:space="preserve">Most of the evidence </w:t>
      </w:r>
      <w:r w:rsidR="00377C5E">
        <w:t xml:space="preserve">reported </w:t>
      </w:r>
      <w:r w:rsidR="00513D64">
        <w:t xml:space="preserve">was at the </w:t>
      </w:r>
      <w:r w:rsidR="00377C5E">
        <w:t>individual level</w:t>
      </w:r>
      <w:r w:rsidR="00922833">
        <w:t>;</w:t>
      </w:r>
      <w:r w:rsidR="00377C5E">
        <w:t xml:space="preserve"> high levels of stress and burnout, job dissatisfaction </w:t>
      </w:r>
      <w:r w:rsidR="00377C5E" w:rsidRPr="00AF1297">
        <w:t xml:space="preserve">and </w:t>
      </w:r>
      <w:r w:rsidR="00377C5E">
        <w:t xml:space="preserve">low </w:t>
      </w:r>
      <w:r w:rsidR="00377C5E" w:rsidRPr="00AF1297">
        <w:t>commitment</w:t>
      </w:r>
      <w:r w:rsidR="00377C5E">
        <w:t xml:space="preserve"> was associated with </w:t>
      </w:r>
      <w:r w:rsidR="00513D64">
        <w:t>in</w:t>
      </w:r>
      <w:r w:rsidR="000B4B0C">
        <w:t>tention to leave</w:t>
      </w:r>
      <w:r w:rsidR="00513D64">
        <w:t xml:space="preserve">. </w:t>
      </w:r>
      <w:r w:rsidR="00922833">
        <w:t>T</w:t>
      </w:r>
      <w:r w:rsidR="009B7AF3">
        <w:t xml:space="preserve">he few studies looking at intentions </w:t>
      </w:r>
      <w:r w:rsidR="00E904D2">
        <w:t xml:space="preserve">to </w:t>
      </w:r>
      <w:r w:rsidR="000B4B0C">
        <w:t xml:space="preserve">remain </w:t>
      </w:r>
      <w:r w:rsidR="009B7AF3">
        <w:t xml:space="preserve">found </w:t>
      </w:r>
      <w:r w:rsidR="00922833">
        <w:t xml:space="preserve">this had a </w:t>
      </w:r>
      <w:r w:rsidR="009B7AF3">
        <w:t xml:space="preserve">strong </w:t>
      </w:r>
      <w:r w:rsidR="003171E9">
        <w:t xml:space="preserve">association with </w:t>
      </w:r>
      <w:r w:rsidR="000B4B0C">
        <w:t>good supervisor support</w:t>
      </w:r>
      <w:r w:rsidR="00D36379">
        <w:t xml:space="preserve"> </w:t>
      </w:r>
      <w:r w:rsidR="00D36379" w:rsidRPr="00922833">
        <w:rPr>
          <w:vertAlign w:val="superscript"/>
        </w:rPr>
        <w:t>3</w:t>
      </w:r>
      <w:r w:rsidR="00881DD5" w:rsidRPr="00922833">
        <w:rPr>
          <w:vertAlign w:val="superscript"/>
        </w:rPr>
        <w:t>3</w:t>
      </w:r>
      <w:r w:rsidR="00513D64">
        <w:t>.</w:t>
      </w:r>
      <w:r w:rsidR="000B4B0C">
        <w:t xml:space="preserve"> </w:t>
      </w:r>
      <w:r w:rsidR="00A26FED">
        <w:t xml:space="preserve">However, </w:t>
      </w:r>
      <w:r w:rsidR="009B7AF3">
        <w:t>there was an absence of studies that considered the i</w:t>
      </w:r>
      <w:r w:rsidR="00532621">
        <w:t xml:space="preserve">nterplay </w:t>
      </w:r>
      <w:r w:rsidR="009B7AF3">
        <w:t xml:space="preserve">of factors at multiple levels </w:t>
      </w:r>
      <w:r w:rsidR="000B4B0C">
        <w:t xml:space="preserve">(e.g. </w:t>
      </w:r>
      <w:r w:rsidR="00513D64">
        <w:t xml:space="preserve">individual, job </w:t>
      </w:r>
      <w:r w:rsidR="00922833">
        <w:t>characteristics, organisational</w:t>
      </w:r>
      <w:r w:rsidR="00513D64">
        <w:t xml:space="preserve"> characteristics, </w:t>
      </w:r>
      <w:r w:rsidR="00770C43">
        <w:t xml:space="preserve">and </w:t>
      </w:r>
      <w:r w:rsidR="00513D64">
        <w:t xml:space="preserve">the wider labour market) </w:t>
      </w:r>
      <w:r w:rsidR="00C02739">
        <w:t xml:space="preserve">on actual leaving rates </w:t>
      </w:r>
      <w:r w:rsidR="00513D64">
        <w:t xml:space="preserve">of RNs or </w:t>
      </w:r>
      <w:r w:rsidR="009B7AF3">
        <w:t xml:space="preserve">on any </w:t>
      </w:r>
      <w:r w:rsidR="00922833">
        <w:t xml:space="preserve">subgroups, </w:t>
      </w:r>
      <w:r w:rsidR="00513D64">
        <w:t xml:space="preserve">such as those with </w:t>
      </w:r>
      <w:r w:rsidR="003A03C3">
        <w:t>caring responsibilities</w:t>
      </w:r>
      <w:r w:rsidR="00D36379" w:rsidRPr="00922833">
        <w:rPr>
          <w:vertAlign w:val="superscript"/>
        </w:rPr>
        <w:t>3</w:t>
      </w:r>
      <w:r w:rsidR="00881DD5" w:rsidRPr="00922833">
        <w:rPr>
          <w:vertAlign w:val="superscript"/>
        </w:rPr>
        <w:t>3</w:t>
      </w:r>
      <w:r w:rsidR="00C02739" w:rsidRPr="00922833">
        <w:t>.</w:t>
      </w:r>
      <w:r w:rsidR="00C02739">
        <w:t xml:space="preserve"> </w:t>
      </w:r>
      <w:r w:rsidR="006F212D">
        <w:t xml:space="preserve">The International Council of Nurses has </w:t>
      </w:r>
      <w:r w:rsidR="006D1992">
        <w:t xml:space="preserve">also </w:t>
      </w:r>
      <w:r w:rsidR="006F212D">
        <w:t>noted the</w:t>
      </w:r>
      <w:r w:rsidR="00015BFA">
        <w:t xml:space="preserve">re </w:t>
      </w:r>
      <w:r w:rsidR="00A85862">
        <w:t>is</w:t>
      </w:r>
      <w:r w:rsidR="00015BFA">
        <w:t xml:space="preserve"> a </w:t>
      </w:r>
      <w:r w:rsidR="006F212D">
        <w:t xml:space="preserve">paucity of evidence </w:t>
      </w:r>
      <w:r w:rsidR="00015BFA">
        <w:t>which ha</w:t>
      </w:r>
      <w:r w:rsidR="00A85862">
        <w:t>s</w:t>
      </w:r>
      <w:r w:rsidR="00015BFA">
        <w:t xml:space="preserve"> considered </w:t>
      </w:r>
      <w:r w:rsidR="00687B87">
        <w:t>turnover</w:t>
      </w:r>
      <w:r w:rsidR="006D1992">
        <w:t xml:space="preserve"> </w:t>
      </w:r>
      <w:r w:rsidR="00687B87">
        <w:t xml:space="preserve">and retention </w:t>
      </w:r>
      <w:r w:rsidR="006D1992">
        <w:t xml:space="preserve">of </w:t>
      </w:r>
      <w:r w:rsidR="006F212D">
        <w:t xml:space="preserve">nurses in low income </w:t>
      </w:r>
      <w:r w:rsidR="006F212D" w:rsidRPr="00922833">
        <w:t>count</w:t>
      </w:r>
      <w:r w:rsidR="006D1992" w:rsidRPr="00922833">
        <w:t>r</w:t>
      </w:r>
      <w:r w:rsidR="006F212D" w:rsidRPr="00922833">
        <w:t>ies</w:t>
      </w:r>
      <w:r w:rsidR="00D36379" w:rsidRPr="00922833">
        <w:rPr>
          <w:vertAlign w:val="superscript"/>
        </w:rPr>
        <w:t>3</w:t>
      </w:r>
      <w:r w:rsidR="00881DD5" w:rsidRPr="00922833">
        <w:rPr>
          <w:vertAlign w:val="superscript"/>
        </w:rPr>
        <w:t>4</w:t>
      </w:r>
      <w:r w:rsidR="006F212D" w:rsidRPr="00922833">
        <w:t>.</w:t>
      </w:r>
      <w:r w:rsidR="006F212D">
        <w:t xml:space="preserve"> </w:t>
      </w:r>
      <w:r w:rsidR="00687B87">
        <w:t xml:space="preserve">We turn now to consider the evidence for action to solve the </w:t>
      </w:r>
      <w:r w:rsidR="00770C43">
        <w:t>shortages and mal-distribution.</w:t>
      </w:r>
      <w:r w:rsidR="00687B87">
        <w:t xml:space="preserve"> </w:t>
      </w:r>
    </w:p>
    <w:p w14:paraId="73BA4B03" w14:textId="234F83A0" w:rsidR="00C0136D" w:rsidRDefault="00C0136D" w:rsidP="0012746F">
      <w:pPr>
        <w:pStyle w:val="ListParagraph"/>
        <w:ind w:left="0"/>
      </w:pPr>
    </w:p>
    <w:p w14:paraId="7CC61F1D" w14:textId="3196B217" w:rsidR="00A85862" w:rsidRPr="00AF1552" w:rsidRDefault="00A85862" w:rsidP="00C52B82">
      <w:pPr>
        <w:pStyle w:val="Heading2"/>
        <w:rPr>
          <w:rFonts w:ascii="Times New Roman" w:eastAsia="Times New Roman" w:hAnsi="Times New Roman" w:cs="Times New Roman"/>
          <w:szCs w:val="20"/>
        </w:rPr>
      </w:pPr>
      <w:r>
        <w:t>How can nurse shortages be reduced?</w:t>
      </w:r>
    </w:p>
    <w:p w14:paraId="50768A6D" w14:textId="1023C24B" w:rsidR="009449BD" w:rsidRDefault="00F80C4F" w:rsidP="002B5EA6">
      <w:r>
        <w:t xml:space="preserve">The </w:t>
      </w:r>
      <w:r w:rsidR="00B423ED">
        <w:t xml:space="preserve">WHO calls for greater investment in </w:t>
      </w:r>
      <w:r w:rsidR="00835D97">
        <w:t xml:space="preserve">all </w:t>
      </w:r>
      <w:r w:rsidR="00B423ED">
        <w:t>human resources for health</w:t>
      </w:r>
      <w:r w:rsidR="00CC0948">
        <w:t xml:space="preserve"> and a</w:t>
      </w:r>
      <w:r>
        <w:t xml:space="preserve">dvocates </w:t>
      </w:r>
      <w:r w:rsidR="00CC0948">
        <w:t xml:space="preserve">for </w:t>
      </w:r>
      <w:r w:rsidR="001E1FF0">
        <w:t xml:space="preserve">policy attention across the </w:t>
      </w:r>
      <w:r>
        <w:t>system</w:t>
      </w:r>
      <w:r w:rsidR="001E1FF0">
        <w:t xml:space="preserve"> of production, regulation and </w:t>
      </w:r>
      <w:r w:rsidR="001E1FF0" w:rsidRPr="00922833">
        <w:t>employment</w:t>
      </w:r>
      <w:r w:rsidR="00D36379" w:rsidRPr="00922833">
        <w:t xml:space="preserve"> </w:t>
      </w:r>
      <w:r w:rsidR="00D36379" w:rsidRPr="00922833">
        <w:rPr>
          <w:vertAlign w:val="superscript"/>
        </w:rPr>
        <w:t>2</w:t>
      </w:r>
      <w:r w:rsidR="00D36379" w:rsidRPr="00922833">
        <w:t>.</w:t>
      </w:r>
      <w:r w:rsidR="00D36379">
        <w:t xml:space="preserve"> </w:t>
      </w:r>
      <w:r w:rsidR="00CC0948">
        <w:t xml:space="preserve">Most commentators on nursing shortages </w:t>
      </w:r>
      <w:r w:rsidR="00510877">
        <w:t>make similar arguments</w:t>
      </w:r>
      <w:r w:rsidR="001E13C3">
        <w:t>;</w:t>
      </w:r>
      <w:r w:rsidR="001E1FF0">
        <w:t xml:space="preserve"> that </w:t>
      </w:r>
      <w:r w:rsidR="00730282">
        <w:t xml:space="preserve">policy </w:t>
      </w:r>
      <w:r w:rsidR="001E1FF0">
        <w:t>attention needs to be paid to all elements</w:t>
      </w:r>
      <w:r w:rsidR="001C37B5">
        <w:t xml:space="preserve"> (known as policy bundles)</w:t>
      </w:r>
      <w:r w:rsidR="00510877">
        <w:t xml:space="preserve"> and avoid policy making that relies on oversimplified linear thinking</w:t>
      </w:r>
      <w:r w:rsidR="001E1FF0">
        <w:t xml:space="preserve">. The evidence to support </w:t>
      </w:r>
      <w:r w:rsidR="00205FE6">
        <w:t xml:space="preserve">this </w:t>
      </w:r>
      <w:r w:rsidR="005C0904">
        <w:t xml:space="preserve">comes </w:t>
      </w:r>
      <w:r w:rsidR="00510877">
        <w:t xml:space="preserve">from </w:t>
      </w:r>
      <w:r w:rsidR="00CC0948">
        <w:t>high and low income countries where programmes</w:t>
      </w:r>
      <w:r w:rsidR="001E13C3">
        <w:t xml:space="preserve"> that </w:t>
      </w:r>
      <w:r w:rsidR="00CC0948">
        <w:t xml:space="preserve">focused only on </w:t>
      </w:r>
      <w:r w:rsidR="00205FE6">
        <w:t>increasing the</w:t>
      </w:r>
      <w:r w:rsidR="00E710B6">
        <w:t xml:space="preserve"> numbers entering nurse training</w:t>
      </w:r>
      <w:r w:rsidR="00D36379">
        <w:t>,</w:t>
      </w:r>
      <w:r w:rsidR="00E710B6">
        <w:t xml:space="preserve"> have </w:t>
      </w:r>
      <w:r w:rsidR="00510877">
        <w:t xml:space="preserve">failed to make an impact on increasing </w:t>
      </w:r>
      <w:r w:rsidR="00E710B6">
        <w:t xml:space="preserve">numbers entering the workplace or </w:t>
      </w:r>
      <w:r w:rsidR="00510877">
        <w:t xml:space="preserve">reducing gaps in priority areas with a history of </w:t>
      </w:r>
      <w:r w:rsidR="00E710B6">
        <w:t>shortage</w:t>
      </w:r>
      <w:r w:rsidR="00510877">
        <w:t>s</w:t>
      </w:r>
      <w:r w:rsidR="00E710B6">
        <w:t xml:space="preserve">. </w:t>
      </w:r>
      <w:r w:rsidR="00CC0948">
        <w:t xml:space="preserve">Subsequent analysis has identified </w:t>
      </w:r>
      <w:r w:rsidR="00532F07">
        <w:t xml:space="preserve">multiple </w:t>
      </w:r>
      <w:r w:rsidR="00CC0948">
        <w:t xml:space="preserve">reasons for this </w:t>
      </w:r>
      <w:r w:rsidR="00532F07">
        <w:t>failure including</w:t>
      </w:r>
      <w:r w:rsidR="00E710B6">
        <w:t>:</w:t>
      </w:r>
      <w:r w:rsidR="00532F07">
        <w:t xml:space="preserve"> </w:t>
      </w:r>
      <w:r w:rsidR="00E710B6">
        <w:t xml:space="preserve"> insufficient </w:t>
      </w:r>
      <w:r w:rsidR="00CC0948">
        <w:t xml:space="preserve">infrastructure for clinical education, </w:t>
      </w:r>
      <w:r w:rsidR="00E710B6">
        <w:t>weak r</w:t>
      </w:r>
      <w:r w:rsidR="00CC0948">
        <w:t xml:space="preserve">egulation of education standards and </w:t>
      </w:r>
      <w:r w:rsidR="00E710B6">
        <w:t xml:space="preserve">few </w:t>
      </w:r>
      <w:r w:rsidR="00CC0948">
        <w:t>pos</w:t>
      </w:r>
      <w:r w:rsidR="00D36379">
        <w:t xml:space="preserve">ts to apply for; see for example the review from Sub-Saharan African </w:t>
      </w:r>
      <w:r w:rsidR="00D36379" w:rsidRPr="001E13C3">
        <w:t xml:space="preserve">countries </w:t>
      </w:r>
      <w:r w:rsidR="00D36379" w:rsidRPr="001E13C3">
        <w:rPr>
          <w:vertAlign w:val="superscript"/>
        </w:rPr>
        <w:t>3</w:t>
      </w:r>
      <w:r w:rsidR="00881DD5" w:rsidRPr="001E13C3">
        <w:rPr>
          <w:vertAlign w:val="superscript"/>
        </w:rPr>
        <w:t>5</w:t>
      </w:r>
      <w:r w:rsidR="00D36379" w:rsidRPr="001E13C3">
        <w:rPr>
          <w:vertAlign w:val="superscript"/>
        </w:rPr>
        <w:t>.</w:t>
      </w:r>
      <w:r w:rsidR="00CC0948" w:rsidRPr="001E13C3">
        <w:t>.</w:t>
      </w:r>
      <w:r w:rsidR="00CC0948" w:rsidRPr="003454CE">
        <w:t xml:space="preserve"> </w:t>
      </w:r>
      <w:r w:rsidR="00205FE6">
        <w:t>This is not to argue that increasing numbers entering nurse training is inappropriate</w:t>
      </w:r>
      <w:r w:rsidR="00510877">
        <w:t>, but should be seen as one lever amongst a policy bundle, including for example retention measures</w:t>
      </w:r>
      <w:r w:rsidR="001C37B5">
        <w:t>. England a</w:t>
      </w:r>
      <w:r w:rsidR="00250D54">
        <w:t xml:space="preserve">nd </w:t>
      </w:r>
      <w:r w:rsidR="001C37B5">
        <w:t xml:space="preserve">the </w:t>
      </w:r>
      <w:r w:rsidR="00250D54">
        <w:t>US provide interesting comparison</w:t>
      </w:r>
      <w:r w:rsidR="00510877">
        <w:t>s,</w:t>
      </w:r>
      <w:r w:rsidR="001C37B5">
        <w:t xml:space="preserve"> </w:t>
      </w:r>
      <w:r w:rsidR="00250D54">
        <w:t>in that one (</w:t>
      </w:r>
      <w:r w:rsidR="001C37B5">
        <w:t>England</w:t>
      </w:r>
      <w:r w:rsidR="00250D54">
        <w:t xml:space="preserve">) has reduced nurse training numbers over the past fifteen </w:t>
      </w:r>
      <w:r w:rsidR="00730282">
        <w:t>years,</w:t>
      </w:r>
      <w:r w:rsidR="001C37B5">
        <w:t xml:space="preserve"> </w:t>
      </w:r>
      <w:r w:rsidR="00250D54">
        <w:t>has significant numbers of vacancies</w:t>
      </w:r>
      <w:r w:rsidR="001C37B5">
        <w:t xml:space="preserve"> and plans to rely on internationally trained nurses over the next few years; </w:t>
      </w:r>
      <w:r w:rsidR="00250D54">
        <w:t xml:space="preserve">while </w:t>
      </w:r>
      <w:r w:rsidR="00250D54">
        <w:lastRenderedPageBreak/>
        <w:t xml:space="preserve">the other (the US) has significantly increased nurse graduates </w:t>
      </w:r>
      <w:r w:rsidR="001C37B5">
        <w:t xml:space="preserve">over the past 15 years and </w:t>
      </w:r>
      <w:r w:rsidR="00250D54">
        <w:t xml:space="preserve">does not </w:t>
      </w:r>
      <w:r w:rsidR="001C37B5">
        <w:t xml:space="preserve">count nursing as a shortage </w:t>
      </w:r>
      <w:r w:rsidR="001C37B5" w:rsidRPr="001E13C3">
        <w:t>occupation</w:t>
      </w:r>
      <w:r w:rsidR="00D36379" w:rsidRPr="001E13C3">
        <w:rPr>
          <w:vertAlign w:val="superscript"/>
        </w:rPr>
        <w:t>3</w:t>
      </w:r>
      <w:r w:rsidR="00881DD5" w:rsidRPr="001E13C3">
        <w:rPr>
          <w:vertAlign w:val="superscript"/>
        </w:rPr>
        <w:t>6</w:t>
      </w:r>
      <w:r w:rsidR="005017F1" w:rsidRPr="001E13C3">
        <w:t>.</w:t>
      </w:r>
      <w:r w:rsidR="00734B39" w:rsidRPr="005017F1">
        <w:t xml:space="preserve">  </w:t>
      </w:r>
    </w:p>
    <w:p w14:paraId="42FECE41" w14:textId="77777777" w:rsidR="009449BD" w:rsidRDefault="009449BD" w:rsidP="002B5EA6"/>
    <w:p w14:paraId="37E7DA8F" w14:textId="07F8370D" w:rsidR="00FC3BDE" w:rsidRDefault="00730282" w:rsidP="000D4D98">
      <w:r>
        <w:t xml:space="preserve">Drawing on commentaries and WHO strategic direction statements for </w:t>
      </w:r>
      <w:r w:rsidR="00A75B9D">
        <w:t>strengthen</w:t>
      </w:r>
      <w:r>
        <w:t xml:space="preserve">ing </w:t>
      </w:r>
      <w:r w:rsidR="00A75B9D">
        <w:t>the nursing</w:t>
      </w:r>
      <w:r>
        <w:t xml:space="preserve"> and midwifery contribution </w:t>
      </w:r>
      <w:r w:rsidR="000B22C4">
        <w:t>t</w:t>
      </w:r>
      <w:r w:rsidR="00734B39">
        <w:t xml:space="preserve">able 5 </w:t>
      </w:r>
      <w:r>
        <w:t>describes policy actions to s</w:t>
      </w:r>
      <w:r w:rsidR="000B22C4">
        <w:t>cale up and su</w:t>
      </w:r>
      <w:r>
        <w:t xml:space="preserve">stain the nursing workforce </w:t>
      </w:r>
      <w:r w:rsidR="00734B39">
        <w:t>at different levels of the health care system</w:t>
      </w:r>
      <w:r>
        <w:t xml:space="preserve">. </w:t>
      </w:r>
    </w:p>
    <w:p w14:paraId="1BCAA750" w14:textId="1CAD9812" w:rsidR="00ED742A" w:rsidRDefault="00ED742A" w:rsidP="000B736B"/>
    <w:p w14:paraId="76BFEC45" w14:textId="77777777" w:rsidR="00835D97" w:rsidRDefault="00835D97" w:rsidP="000A0117">
      <w:pPr>
        <w:sectPr w:rsidR="00835D97" w:rsidSect="005239BC">
          <w:footerReference w:type="default" r:id="rId13"/>
          <w:pgSz w:w="11906" w:h="16838"/>
          <w:pgMar w:top="720" w:right="720" w:bottom="720" w:left="720" w:header="708" w:footer="708" w:gutter="0"/>
          <w:cols w:space="708"/>
          <w:docGrid w:linePitch="360"/>
        </w:sectPr>
      </w:pPr>
    </w:p>
    <w:tbl>
      <w:tblPr>
        <w:tblStyle w:val="TableGrid"/>
        <w:tblW w:w="147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4"/>
        <w:gridCol w:w="6521"/>
        <w:gridCol w:w="7087"/>
      </w:tblGrid>
      <w:tr w:rsidR="00835D97" w:rsidRPr="00706274" w14:paraId="1B06D07B" w14:textId="51EE2CCA" w:rsidTr="00C52B82">
        <w:tc>
          <w:tcPr>
            <w:tcW w:w="1134" w:type="dxa"/>
          </w:tcPr>
          <w:p w14:paraId="58B6BEAF" w14:textId="77777777" w:rsidR="00835D97" w:rsidRPr="00706274" w:rsidRDefault="00835D97" w:rsidP="003454CE">
            <w:pPr>
              <w:spacing w:line="240" w:lineRule="auto"/>
              <w:rPr>
                <w:sz w:val="20"/>
              </w:rPr>
            </w:pPr>
          </w:p>
        </w:tc>
        <w:tc>
          <w:tcPr>
            <w:tcW w:w="6521" w:type="dxa"/>
          </w:tcPr>
          <w:p w14:paraId="75BE27B9" w14:textId="3570DA1A" w:rsidR="00835D97" w:rsidRPr="003454CE" w:rsidRDefault="00835D97" w:rsidP="00835D97">
            <w:pPr>
              <w:spacing w:line="240" w:lineRule="auto"/>
              <w:rPr>
                <w:b/>
                <w:sz w:val="20"/>
              </w:rPr>
            </w:pPr>
            <w:r>
              <w:rPr>
                <w:b/>
                <w:sz w:val="20"/>
              </w:rPr>
              <w:t xml:space="preserve">At the macro/meso level </w:t>
            </w:r>
            <w:r w:rsidR="00730282">
              <w:rPr>
                <w:b/>
                <w:sz w:val="20"/>
              </w:rPr>
              <w:t xml:space="preserve">(national and sub-national) </w:t>
            </w:r>
          </w:p>
        </w:tc>
        <w:tc>
          <w:tcPr>
            <w:tcW w:w="7087" w:type="dxa"/>
          </w:tcPr>
          <w:p w14:paraId="39392B68" w14:textId="62DB4113" w:rsidR="00835D97" w:rsidRPr="003454CE" w:rsidRDefault="00835D97" w:rsidP="00730282">
            <w:pPr>
              <w:spacing w:line="240" w:lineRule="auto"/>
              <w:rPr>
                <w:b/>
                <w:sz w:val="20"/>
              </w:rPr>
            </w:pPr>
            <w:r>
              <w:rPr>
                <w:b/>
                <w:sz w:val="20"/>
              </w:rPr>
              <w:t xml:space="preserve">At the micro level  </w:t>
            </w:r>
            <w:r w:rsidR="00730282">
              <w:rPr>
                <w:b/>
                <w:sz w:val="20"/>
              </w:rPr>
              <w:t>(</w:t>
            </w:r>
            <w:r w:rsidR="00C52B82">
              <w:rPr>
                <w:b/>
                <w:sz w:val="20"/>
              </w:rPr>
              <w:t>organisation</w:t>
            </w:r>
            <w:r w:rsidR="00730282">
              <w:rPr>
                <w:b/>
                <w:sz w:val="20"/>
              </w:rPr>
              <w:t xml:space="preserve"> , service and team )</w:t>
            </w:r>
            <w:bookmarkStart w:id="0" w:name="_GoBack"/>
            <w:bookmarkEnd w:id="0"/>
          </w:p>
        </w:tc>
      </w:tr>
      <w:tr w:rsidR="00835D97" w:rsidRPr="00706274" w14:paraId="4EA58FF0" w14:textId="61430F71" w:rsidTr="00C52B82">
        <w:tc>
          <w:tcPr>
            <w:tcW w:w="1134" w:type="dxa"/>
            <w:vMerge w:val="restart"/>
            <w:textDirection w:val="btLr"/>
          </w:tcPr>
          <w:p w14:paraId="20E15BB3" w14:textId="51E9042B" w:rsidR="00835D97" w:rsidRPr="00706274" w:rsidRDefault="00835D97" w:rsidP="003454CE">
            <w:pPr>
              <w:spacing w:line="240" w:lineRule="auto"/>
              <w:ind w:left="113" w:right="113"/>
              <w:rPr>
                <w:sz w:val="20"/>
              </w:rPr>
            </w:pPr>
            <w:r w:rsidRPr="00706274">
              <w:rPr>
                <w:sz w:val="20"/>
              </w:rPr>
              <w:t>Policies addressing the pipeline via nurse education, including:</w:t>
            </w:r>
          </w:p>
          <w:p w14:paraId="21F5F56D" w14:textId="77777777" w:rsidR="00835D97" w:rsidRPr="00706274" w:rsidRDefault="00835D97" w:rsidP="003454CE">
            <w:pPr>
              <w:spacing w:line="240" w:lineRule="auto"/>
              <w:ind w:left="113" w:right="113"/>
              <w:rPr>
                <w:sz w:val="20"/>
              </w:rPr>
            </w:pPr>
          </w:p>
        </w:tc>
        <w:tc>
          <w:tcPr>
            <w:tcW w:w="6521" w:type="dxa"/>
          </w:tcPr>
          <w:p w14:paraId="73D5081F" w14:textId="6CCA7602" w:rsidR="00835D97" w:rsidRPr="00706274" w:rsidRDefault="00835D97">
            <w:pPr>
              <w:spacing w:line="240" w:lineRule="auto"/>
              <w:rPr>
                <w:sz w:val="20"/>
              </w:rPr>
            </w:pPr>
            <w:r w:rsidRPr="00706274">
              <w:rPr>
                <w:sz w:val="20"/>
              </w:rPr>
              <w:t xml:space="preserve">Promotion of a </w:t>
            </w:r>
            <w:r w:rsidR="002B786B">
              <w:rPr>
                <w:sz w:val="20"/>
              </w:rPr>
              <w:t xml:space="preserve">positive image of </w:t>
            </w:r>
            <w:r w:rsidRPr="00706274">
              <w:rPr>
                <w:sz w:val="20"/>
              </w:rPr>
              <w:t xml:space="preserve">nursing </w:t>
            </w:r>
            <w:r w:rsidR="002B786B">
              <w:rPr>
                <w:sz w:val="20"/>
              </w:rPr>
              <w:t xml:space="preserve">as a </w:t>
            </w:r>
            <w:r w:rsidRPr="00706274">
              <w:rPr>
                <w:sz w:val="20"/>
              </w:rPr>
              <w:t>career</w:t>
            </w:r>
            <w:r w:rsidR="002B786B">
              <w:rPr>
                <w:sz w:val="20"/>
              </w:rPr>
              <w:t xml:space="preserve"> for men and women</w:t>
            </w:r>
            <w:r w:rsidRPr="00706274">
              <w:rPr>
                <w:sz w:val="20"/>
              </w:rPr>
              <w:t>,</w:t>
            </w:r>
          </w:p>
        </w:tc>
        <w:tc>
          <w:tcPr>
            <w:tcW w:w="7087" w:type="dxa"/>
          </w:tcPr>
          <w:p w14:paraId="64B45A02" w14:textId="6C4F2641" w:rsidR="00835D97" w:rsidRPr="00706274" w:rsidRDefault="00B6371C">
            <w:pPr>
              <w:spacing w:line="240" w:lineRule="auto"/>
              <w:rPr>
                <w:sz w:val="20"/>
              </w:rPr>
            </w:pPr>
            <w:r>
              <w:rPr>
                <w:sz w:val="20"/>
              </w:rPr>
              <w:t>Support of employees</w:t>
            </w:r>
            <w:r w:rsidR="001C37B5">
              <w:rPr>
                <w:sz w:val="20"/>
              </w:rPr>
              <w:t xml:space="preserve"> such as assistants or auxiliaries </w:t>
            </w:r>
            <w:r w:rsidR="0040290D">
              <w:rPr>
                <w:sz w:val="20"/>
              </w:rPr>
              <w:t>for workplace training</w:t>
            </w:r>
            <w:r>
              <w:rPr>
                <w:sz w:val="20"/>
              </w:rPr>
              <w:t xml:space="preserve"> to</w:t>
            </w:r>
            <w:r w:rsidR="0040290D">
              <w:rPr>
                <w:sz w:val="20"/>
              </w:rPr>
              <w:t xml:space="preserve"> become</w:t>
            </w:r>
            <w:r>
              <w:rPr>
                <w:sz w:val="20"/>
              </w:rPr>
              <w:t xml:space="preserve"> RNs </w:t>
            </w:r>
          </w:p>
        </w:tc>
      </w:tr>
      <w:tr w:rsidR="00B6371C" w:rsidRPr="00706274" w14:paraId="4FD94D9D" w14:textId="75EDF782" w:rsidTr="00C52B82">
        <w:tc>
          <w:tcPr>
            <w:tcW w:w="1134" w:type="dxa"/>
            <w:vMerge/>
          </w:tcPr>
          <w:p w14:paraId="408FBBA3" w14:textId="77777777" w:rsidR="00B6371C" w:rsidRPr="00706274" w:rsidRDefault="00B6371C" w:rsidP="00B6371C">
            <w:pPr>
              <w:spacing w:line="240" w:lineRule="auto"/>
              <w:rPr>
                <w:sz w:val="20"/>
              </w:rPr>
            </w:pPr>
          </w:p>
        </w:tc>
        <w:tc>
          <w:tcPr>
            <w:tcW w:w="6521" w:type="dxa"/>
          </w:tcPr>
          <w:p w14:paraId="651E20B3" w14:textId="3ECDE8B7" w:rsidR="00B6371C" w:rsidRPr="00706274" w:rsidRDefault="002B786B">
            <w:pPr>
              <w:spacing w:line="240" w:lineRule="auto"/>
              <w:rPr>
                <w:sz w:val="20"/>
              </w:rPr>
            </w:pPr>
            <w:r>
              <w:rPr>
                <w:sz w:val="20"/>
              </w:rPr>
              <w:t>Building strategic partnerships between education and clinical organisations</w:t>
            </w:r>
            <w:r w:rsidR="00B6371C" w:rsidRPr="00706274">
              <w:rPr>
                <w:sz w:val="20"/>
              </w:rPr>
              <w:t>,</w:t>
            </w:r>
          </w:p>
        </w:tc>
        <w:tc>
          <w:tcPr>
            <w:tcW w:w="7087" w:type="dxa"/>
          </w:tcPr>
          <w:p w14:paraId="453D2EF0" w14:textId="44568CBF" w:rsidR="00B6371C" w:rsidRPr="00706274" w:rsidRDefault="00B6371C" w:rsidP="00B6371C">
            <w:pPr>
              <w:spacing w:line="240" w:lineRule="auto"/>
              <w:rPr>
                <w:sz w:val="20"/>
              </w:rPr>
            </w:pPr>
            <w:r w:rsidRPr="00706274">
              <w:rPr>
                <w:sz w:val="20"/>
              </w:rPr>
              <w:t>Development nurse education infrastructure in clinical settings</w:t>
            </w:r>
          </w:p>
        </w:tc>
      </w:tr>
      <w:tr w:rsidR="00B6371C" w:rsidRPr="00706274" w14:paraId="0D6E4DF8" w14:textId="573E78A4" w:rsidTr="00C52B82">
        <w:tc>
          <w:tcPr>
            <w:tcW w:w="1134" w:type="dxa"/>
            <w:vMerge/>
          </w:tcPr>
          <w:p w14:paraId="5E837107" w14:textId="77777777" w:rsidR="00B6371C" w:rsidRPr="00706274" w:rsidRDefault="00B6371C" w:rsidP="00B6371C">
            <w:pPr>
              <w:spacing w:line="240" w:lineRule="auto"/>
              <w:rPr>
                <w:sz w:val="20"/>
              </w:rPr>
            </w:pPr>
          </w:p>
        </w:tc>
        <w:tc>
          <w:tcPr>
            <w:tcW w:w="6521" w:type="dxa"/>
          </w:tcPr>
          <w:p w14:paraId="7393F015" w14:textId="67BEDCFB" w:rsidR="00B6371C" w:rsidRPr="00706274" w:rsidRDefault="00B6371C" w:rsidP="00B6371C">
            <w:pPr>
              <w:spacing w:line="240" w:lineRule="auto"/>
              <w:rPr>
                <w:sz w:val="20"/>
              </w:rPr>
            </w:pPr>
            <w:r w:rsidRPr="00706274">
              <w:rPr>
                <w:sz w:val="20"/>
              </w:rPr>
              <w:t>Attracting and retaining RNs (and other types of specialities and levels) to work as academic (faculty) staff ,</w:t>
            </w:r>
          </w:p>
        </w:tc>
        <w:tc>
          <w:tcPr>
            <w:tcW w:w="7087" w:type="dxa"/>
          </w:tcPr>
          <w:p w14:paraId="12A7020C" w14:textId="09A6C2C3" w:rsidR="00B6371C" w:rsidRPr="00706274" w:rsidRDefault="00B6371C" w:rsidP="00532F07">
            <w:pPr>
              <w:spacing w:line="240" w:lineRule="auto"/>
              <w:rPr>
                <w:sz w:val="20"/>
              </w:rPr>
            </w:pPr>
            <w:r w:rsidRPr="00706274">
              <w:rPr>
                <w:sz w:val="20"/>
              </w:rPr>
              <w:t xml:space="preserve">Attracting and retaining RNs (and other types of specialities and levels) to work as </w:t>
            </w:r>
            <w:r w:rsidR="00532F07">
              <w:rPr>
                <w:sz w:val="20"/>
              </w:rPr>
              <w:t xml:space="preserve">clinical educators of  nurses in training </w:t>
            </w:r>
            <w:r w:rsidRPr="00706274">
              <w:rPr>
                <w:sz w:val="20"/>
              </w:rPr>
              <w:t>,</w:t>
            </w:r>
          </w:p>
        </w:tc>
      </w:tr>
      <w:tr w:rsidR="00B6371C" w:rsidRPr="00706274" w14:paraId="0A492FA5" w14:textId="2C06515D" w:rsidTr="00C52B82">
        <w:tc>
          <w:tcPr>
            <w:tcW w:w="1134" w:type="dxa"/>
            <w:vMerge/>
          </w:tcPr>
          <w:p w14:paraId="67B15F40" w14:textId="77777777" w:rsidR="00B6371C" w:rsidRPr="00706274" w:rsidRDefault="00B6371C" w:rsidP="00B6371C">
            <w:pPr>
              <w:spacing w:line="240" w:lineRule="auto"/>
              <w:rPr>
                <w:sz w:val="20"/>
              </w:rPr>
            </w:pPr>
          </w:p>
        </w:tc>
        <w:tc>
          <w:tcPr>
            <w:tcW w:w="6521" w:type="dxa"/>
          </w:tcPr>
          <w:p w14:paraId="1AA014C3" w14:textId="78F0D22D" w:rsidR="00B6371C" w:rsidRPr="00706274" w:rsidRDefault="002B786B">
            <w:pPr>
              <w:spacing w:line="240" w:lineRule="auto"/>
              <w:rPr>
                <w:sz w:val="20"/>
              </w:rPr>
            </w:pPr>
            <w:r>
              <w:rPr>
                <w:sz w:val="20"/>
              </w:rPr>
              <w:t xml:space="preserve">Fair and proportionate financial support for students in </w:t>
            </w:r>
            <w:r w:rsidR="00532F07">
              <w:rPr>
                <w:sz w:val="20"/>
              </w:rPr>
              <w:t xml:space="preserve">nurse education </w:t>
            </w:r>
          </w:p>
        </w:tc>
        <w:tc>
          <w:tcPr>
            <w:tcW w:w="7087" w:type="dxa"/>
          </w:tcPr>
          <w:p w14:paraId="096C2FCF" w14:textId="3EBA9223" w:rsidR="00B6371C" w:rsidRPr="00706274" w:rsidRDefault="00B6371C">
            <w:pPr>
              <w:spacing w:line="240" w:lineRule="auto"/>
              <w:rPr>
                <w:sz w:val="20"/>
              </w:rPr>
            </w:pPr>
            <w:r>
              <w:rPr>
                <w:sz w:val="20"/>
              </w:rPr>
              <w:t>Sponsorship and/or financial support</w:t>
            </w:r>
            <w:r w:rsidR="003A1B02">
              <w:rPr>
                <w:sz w:val="20"/>
              </w:rPr>
              <w:t>/ maintenance grants</w:t>
            </w:r>
            <w:r>
              <w:rPr>
                <w:sz w:val="20"/>
              </w:rPr>
              <w:t xml:space="preserve"> </w:t>
            </w:r>
            <w:r w:rsidR="0040290D">
              <w:rPr>
                <w:sz w:val="20"/>
              </w:rPr>
              <w:t>for</w:t>
            </w:r>
            <w:r>
              <w:rPr>
                <w:sz w:val="20"/>
              </w:rPr>
              <w:t xml:space="preserve"> student nurses </w:t>
            </w:r>
          </w:p>
        </w:tc>
      </w:tr>
      <w:tr w:rsidR="00B6371C" w:rsidRPr="00706274" w14:paraId="7694CEC3" w14:textId="1672D591" w:rsidTr="00C52B82">
        <w:tc>
          <w:tcPr>
            <w:tcW w:w="1134" w:type="dxa"/>
            <w:vMerge/>
          </w:tcPr>
          <w:p w14:paraId="077DC582" w14:textId="77777777" w:rsidR="00B6371C" w:rsidRPr="00706274" w:rsidRDefault="00B6371C" w:rsidP="00B6371C">
            <w:pPr>
              <w:spacing w:line="240" w:lineRule="auto"/>
              <w:rPr>
                <w:sz w:val="20"/>
              </w:rPr>
            </w:pPr>
          </w:p>
        </w:tc>
        <w:tc>
          <w:tcPr>
            <w:tcW w:w="6521" w:type="dxa"/>
          </w:tcPr>
          <w:p w14:paraId="7F0ED1D5" w14:textId="78AD3636" w:rsidR="00B6371C" w:rsidRPr="00706274" w:rsidRDefault="00B6371C" w:rsidP="00B6371C">
            <w:pPr>
              <w:spacing w:line="240" w:lineRule="auto"/>
              <w:rPr>
                <w:sz w:val="20"/>
              </w:rPr>
            </w:pPr>
            <w:r w:rsidRPr="00706274">
              <w:rPr>
                <w:sz w:val="20"/>
              </w:rPr>
              <w:t xml:space="preserve">Agreed educational standards for nurse curricula </w:t>
            </w:r>
            <w:r w:rsidR="001C37B5">
              <w:rPr>
                <w:sz w:val="20"/>
              </w:rPr>
              <w:t xml:space="preserve">and nurse educators </w:t>
            </w:r>
            <w:r w:rsidRPr="00706274">
              <w:rPr>
                <w:sz w:val="20"/>
              </w:rPr>
              <w:t xml:space="preserve">with quality assurance mechanisms overseen by a regulatory body.  </w:t>
            </w:r>
          </w:p>
        </w:tc>
        <w:tc>
          <w:tcPr>
            <w:tcW w:w="7087" w:type="dxa"/>
          </w:tcPr>
          <w:p w14:paraId="4E77EC73" w14:textId="7C2ECA37" w:rsidR="00B6371C" w:rsidRPr="00706274" w:rsidRDefault="0040290D" w:rsidP="00B6371C">
            <w:pPr>
              <w:spacing w:line="240" w:lineRule="auto"/>
              <w:rPr>
                <w:sz w:val="20"/>
              </w:rPr>
            </w:pPr>
            <w:r>
              <w:rPr>
                <w:sz w:val="20"/>
              </w:rPr>
              <w:t xml:space="preserve">Sharing good practice of standard setting between education providers and health organisations </w:t>
            </w:r>
          </w:p>
        </w:tc>
      </w:tr>
      <w:tr w:rsidR="00B6371C" w:rsidRPr="00706274" w14:paraId="658176FE" w14:textId="69B6CA45" w:rsidTr="00C52B82">
        <w:tc>
          <w:tcPr>
            <w:tcW w:w="1134" w:type="dxa"/>
            <w:textDirection w:val="btLr"/>
          </w:tcPr>
          <w:p w14:paraId="2EE096F7" w14:textId="77777777" w:rsidR="00B6371C" w:rsidRPr="00706274" w:rsidRDefault="00B6371C" w:rsidP="00B6371C">
            <w:pPr>
              <w:pStyle w:val="ListParagraph"/>
              <w:spacing w:line="240" w:lineRule="auto"/>
              <w:ind w:left="113" w:right="113"/>
              <w:rPr>
                <w:sz w:val="20"/>
              </w:rPr>
            </w:pPr>
          </w:p>
        </w:tc>
        <w:tc>
          <w:tcPr>
            <w:tcW w:w="6521" w:type="dxa"/>
          </w:tcPr>
          <w:p w14:paraId="790C3CB2" w14:textId="77777777" w:rsidR="00B6371C" w:rsidRDefault="00B6371C" w:rsidP="00B6371C">
            <w:pPr>
              <w:spacing w:line="240" w:lineRule="auto"/>
              <w:rPr>
                <w:sz w:val="20"/>
              </w:rPr>
            </w:pPr>
          </w:p>
        </w:tc>
        <w:tc>
          <w:tcPr>
            <w:tcW w:w="7087" w:type="dxa"/>
          </w:tcPr>
          <w:p w14:paraId="247AB8BF" w14:textId="77777777" w:rsidR="00B6371C" w:rsidRDefault="00B6371C" w:rsidP="00B6371C">
            <w:pPr>
              <w:spacing w:line="240" w:lineRule="auto"/>
              <w:rPr>
                <w:sz w:val="20"/>
              </w:rPr>
            </w:pPr>
          </w:p>
        </w:tc>
      </w:tr>
      <w:tr w:rsidR="00B6371C" w:rsidRPr="00706274" w14:paraId="4054AD68" w14:textId="130E3EA6" w:rsidTr="00C52B82">
        <w:tc>
          <w:tcPr>
            <w:tcW w:w="1134" w:type="dxa"/>
            <w:vMerge w:val="restart"/>
            <w:textDirection w:val="btLr"/>
          </w:tcPr>
          <w:p w14:paraId="06D022C4" w14:textId="77777777" w:rsidR="00B6371C" w:rsidRPr="00706274" w:rsidRDefault="00B6371C" w:rsidP="00B6371C">
            <w:pPr>
              <w:pStyle w:val="ListParagraph"/>
              <w:spacing w:line="240" w:lineRule="auto"/>
              <w:ind w:left="113" w:right="113"/>
              <w:rPr>
                <w:sz w:val="20"/>
              </w:rPr>
            </w:pPr>
            <w:r w:rsidRPr="00706274">
              <w:rPr>
                <w:sz w:val="20"/>
              </w:rPr>
              <w:t>Policies addressing the pool of registered or licensed nurses:</w:t>
            </w:r>
          </w:p>
          <w:p w14:paraId="43323345" w14:textId="77777777" w:rsidR="00B6371C" w:rsidRPr="00706274" w:rsidRDefault="00B6371C" w:rsidP="00B6371C">
            <w:pPr>
              <w:spacing w:line="240" w:lineRule="auto"/>
              <w:ind w:left="113" w:right="113"/>
              <w:rPr>
                <w:sz w:val="20"/>
              </w:rPr>
            </w:pPr>
          </w:p>
        </w:tc>
        <w:tc>
          <w:tcPr>
            <w:tcW w:w="6521" w:type="dxa"/>
          </w:tcPr>
          <w:p w14:paraId="77E5A76B" w14:textId="78E71A13" w:rsidR="00B6371C" w:rsidRPr="00706274" w:rsidRDefault="00B6371C" w:rsidP="0067602A">
            <w:pPr>
              <w:spacing w:line="240" w:lineRule="auto"/>
              <w:rPr>
                <w:sz w:val="20"/>
              </w:rPr>
            </w:pPr>
            <w:r>
              <w:rPr>
                <w:sz w:val="20"/>
              </w:rPr>
              <w:t xml:space="preserve">Legislative frameworks for the regulation of the title registered nurse </w:t>
            </w:r>
            <w:r w:rsidRPr="00706274">
              <w:rPr>
                <w:sz w:val="20"/>
              </w:rPr>
              <w:t xml:space="preserve"> </w:t>
            </w:r>
            <w:r w:rsidR="0067602A">
              <w:rPr>
                <w:sz w:val="20"/>
              </w:rPr>
              <w:t>(</w:t>
            </w:r>
            <w:r>
              <w:rPr>
                <w:sz w:val="20"/>
              </w:rPr>
              <w:t>and other levels)</w:t>
            </w:r>
          </w:p>
        </w:tc>
        <w:tc>
          <w:tcPr>
            <w:tcW w:w="7087" w:type="dxa"/>
          </w:tcPr>
          <w:p w14:paraId="24860FD1" w14:textId="5A2E182E" w:rsidR="00B6371C" w:rsidRDefault="00702E28" w:rsidP="001E48C8">
            <w:pPr>
              <w:spacing w:line="240" w:lineRule="auto"/>
              <w:rPr>
                <w:sz w:val="20"/>
              </w:rPr>
            </w:pPr>
            <w:r w:rsidRPr="00702E28">
              <w:rPr>
                <w:sz w:val="20"/>
              </w:rPr>
              <w:t>Good human resource management policies and practice</w:t>
            </w:r>
            <w:r>
              <w:rPr>
                <w:sz w:val="20"/>
              </w:rPr>
              <w:t xml:space="preserve"> which </w:t>
            </w:r>
            <w:r w:rsidR="001E48C8">
              <w:rPr>
                <w:sz w:val="20"/>
              </w:rPr>
              <w:t xml:space="preserve">include registration </w:t>
            </w:r>
            <w:r>
              <w:rPr>
                <w:sz w:val="20"/>
              </w:rPr>
              <w:t xml:space="preserve">checking and due process for dealing with those whose practice does not meet agreed standards  </w:t>
            </w:r>
          </w:p>
        </w:tc>
      </w:tr>
      <w:tr w:rsidR="00B6371C" w:rsidRPr="00706274" w14:paraId="42E5D927" w14:textId="46199087" w:rsidTr="00C52B82">
        <w:tc>
          <w:tcPr>
            <w:tcW w:w="1134" w:type="dxa"/>
            <w:vMerge/>
          </w:tcPr>
          <w:p w14:paraId="2F96F673" w14:textId="77777777" w:rsidR="00B6371C" w:rsidRPr="00706274" w:rsidRDefault="00B6371C" w:rsidP="00B6371C">
            <w:pPr>
              <w:spacing w:line="240" w:lineRule="auto"/>
              <w:rPr>
                <w:sz w:val="20"/>
              </w:rPr>
            </w:pPr>
          </w:p>
        </w:tc>
        <w:tc>
          <w:tcPr>
            <w:tcW w:w="6521" w:type="dxa"/>
          </w:tcPr>
          <w:p w14:paraId="4D795605" w14:textId="0858E116" w:rsidR="00B6371C" w:rsidRPr="00706274" w:rsidRDefault="0067602A" w:rsidP="0067602A">
            <w:pPr>
              <w:spacing w:line="240" w:lineRule="auto"/>
              <w:rPr>
                <w:sz w:val="20"/>
              </w:rPr>
            </w:pPr>
            <w:r>
              <w:rPr>
                <w:sz w:val="20"/>
              </w:rPr>
              <w:t>Agreement of capable r</w:t>
            </w:r>
            <w:r w:rsidR="00B6371C" w:rsidRPr="00706274">
              <w:rPr>
                <w:sz w:val="20"/>
              </w:rPr>
              <w:t xml:space="preserve">egulatory bodies, </w:t>
            </w:r>
            <w:r>
              <w:rPr>
                <w:sz w:val="20"/>
              </w:rPr>
              <w:t xml:space="preserve">with </w:t>
            </w:r>
            <w:r w:rsidR="00B6371C" w:rsidRPr="00706274">
              <w:rPr>
                <w:sz w:val="20"/>
              </w:rPr>
              <w:t xml:space="preserve">strong linkages </w:t>
            </w:r>
            <w:r>
              <w:rPr>
                <w:sz w:val="20"/>
              </w:rPr>
              <w:t xml:space="preserve">to </w:t>
            </w:r>
            <w:r w:rsidR="00B6371C" w:rsidRPr="00706274">
              <w:rPr>
                <w:sz w:val="20"/>
              </w:rPr>
              <w:t xml:space="preserve">education institutions, </w:t>
            </w:r>
          </w:p>
        </w:tc>
        <w:tc>
          <w:tcPr>
            <w:tcW w:w="7087" w:type="dxa"/>
          </w:tcPr>
          <w:p w14:paraId="5DCA6F72" w14:textId="53B2257D" w:rsidR="00B6371C" w:rsidRDefault="003C1DF0">
            <w:pPr>
              <w:spacing w:line="240" w:lineRule="auto"/>
              <w:rPr>
                <w:sz w:val="20"/>
              </w:rPr>
            </w:pPr>
            <w:r>
              <w:rPr>
                <w:sz w:val="20"/>
              </w:rPr>
              <w:t>Strategic partnership arrangements in place between regulators, education providers and health care organisations to ensure quality assurance</w:t>
            </w:r>
          </w:p>
        </w:tc>
      </w:tr>
      <w:tr w:rsidR="00B6371C" w:rsidRPr="00706274" w14:paraId="6AEBA21C" w14:textId="3A22518A" w:rsidTr="00C52B82">
        <w:tc>
          <w:tcPr>
            <w:tcW w:w="1134" w:type="dxa"/>
            <w:vMerge/>
          </w:tcPr>
          <w:p w14:paraId="20935551" w14:textId="77777777" w:rsidR="00B6371C" w:rsidRPr="00706274" w:rsidRDefault="00B6371C" w:rsidP="00B6371C">
            <w:pPr>
              <w:spacing w:line="240" w:lineRule="auto"/>
              <w:rPr>
                <w:sz w:val="20"/>
              </w:rPr>
            </w:pPr>
          </w:p>
        </w:tc>
        <w:tc>
          <w:tcPr>
            <w:tcW w:w="6521" w:type="dxa"/>
          </w:tcPr>
          <w:p w14:paraId="4F3CCF5A" w14:textId="4251A4C6" w:rsidR="00B6371C" w:rsidRPr="00706274" w:rsidRDefault="00B6371C" w:rsidP="00532F07">
            <w:pPr>
              <w:spacing w:line="240" w:lineRule="auto"/>
              <w:rPr>
                <w:sz w:val="20"/>
              </w:rPr>
            </w:pPr>
            <w:r>
              <w:rPr>
                <w:sz w:val="20"/>
              </w:rPr>
              <w:t>A</w:t>
            </w:r>
            <w:r w:rsidRPr="00706274">
              <w:rPr>
                <w:sz w:val="20"/>
              </w:rPr>
              <w:t xml:space="preserve">dherence to the </w:t>
            </w:r>
            <w:r w:rsidR="00532F07" w:rsidRPr="00532F07">
              <w:rPr>
                <w:sz w:val="20"/>
              </w:rPr>
              <w:t>WHO Code of practice on the International Recruitment of Health Personnel</w:t>
            </w:r>
            <w:r w:rsidR="00532F07">
              <w:rPr>
                <w:sz w:val="20"/>
              </w:rPr>
              <w:t xml:space="preserve"> and WHO resolution to </w:t>
            </w:r>
            <w:r w:rsidRPr="00706274">
              <w:rPr>
                <w:sz w:val="20"/>
              </w:rPr>
              <w:t xml:space="preserve">reduce reliance on foreign trained nurses and others, </w:t>
            </w:r>
          </w:p>
        </w:tc>
        <w:tc>
          <w:tcPr>
            <w:tcW w:w="7087" w:type="dxa"/>
          </w:tcPr>
          <w:p w14:paraId="519EEEE7" w14:textId="392541A0" w:rsidR="00B6371C" w:rsidRDefault="00B6371C" w:rsidP="00532F07">
            <w:pPr>
              <w:spacing w:line="240" w:lineRule="auto"/>
              <w:rPr>
                <w:sz w:val="20"/>
              </w:rPr>
            </w:pPr>
            <w:r w:rsidRPr="00B6371C">
              <w:rPr>
                <w:sz w:val="20"/>
              </w:rPr>
              <w:t xml:space="preserve">Adherence to the WHO </w:t>
            </w:r>
            <w:r w:rsidR="00532F07" w:rsidRPr="00532F07">
              <w:rPr>
                <w:sz w:val="20"/>
              </w:rPr>
              <w:t>Code of practice on the International Recruitment of Health Personnel</w:t>
            </w:r>
          </w:p>
        </w:tc>
      </w:tr>
      <w:tr w:rsidR="00B6371C" w:rsidRPr="00706274" w14:paraId="2565A0E1" w14:textId="593FF09A" w:rsidTr="00C52B82">
        <w:tc>
          <w:tcPr>
            <w:tcW w:w="1134" w:type="dxa"/>
            <w:vMerge/>
          </w:tcPr>
          <w:p w14:paraId="7F913DC3" w14:textId="77777777" w:rsidR="00B6371C" w:rsidRPr="00706274" w:rsidRDefault="00B6371C" w:rsidP="00B6371C">
            <w:pPr>
              <w:spacing w:line="240" w:lineRule="auto"/>
              <w:rPr>
                <w:sz w:val="20"/>
              </w:rPr>
            </w:pPr>
          </w:p>
        </w:tc>
        <w:tc>
          <w:tcPr>
            <w:tcW w:w="6521" w:type="dxa"/>
          </w:tcPr>
          <w:p w14:paraId="01FB6BDD" w14:textId="42552100" w:rsidR="00B6371C" w:rsidRPr="00706274" w:rsidRDefault="00B6371C" w:rsidP="00B6371C">
            <w:pPr>
              <w:spacing w:line="240" w:lineRule="auto"/>
              <w:rPr>
                <w:sz w:val="20"/>
              </w:rPr>
            </w:pPr>
            <w:r>
              <w:rPr>
                <w:sz w:val="20"/>
              </w:rPr>
              <w:t>Regulation of re-validation of registration and r</w:t>
            </w:r>
            <w:r w:rsidRPr="00706274">
              <w:rPr>
                <w:sz w:val="20"/>
              </w:rPr>
              <w:t xml:space="preserve">outes for nurses </w:t>
            </w:r>
            <w:r>
              <w:rPr>
                <w:sz w:val="20"/>
              </w:rPr>
              <w:t xml:space="preserve">whose registration has lapsed to </w:t>
            </w:r>
            <w:r w:rsidRPr="00706274">
              <w:rPr>
                <w:sz w:val="20"/>
              </w:rPr>
              <w:t xml:space="preserve">re-register  </w:t>
            </w:r>
          </w:p>
        </w:tc>
        <w:tc>
          <w:tcPr>
            <w:tcW w:w="7087" w:type="dxa"/>
          </w:tcPr>
          <w:p w14:paraId="04FE383D" w14:textId="7CF872E4" w:rsidR="00B6371C" w:rsidRPr="00706274" w:rsidRDefault="00B6371C" w:rsidP="00B6371C">
            <w:pPr>
              <w:spacing w:line="240" w:lineRule="auto"/>
              <w:rPr>
                <w:sz w:val="20"/>
              </w:rPr>
            </w:pPr>
            <w:r>
              <w:rPr>
                <w:sz w:val="20"/>
              </w:rPr>
              <w:t xml:space="preserve">Support to RNs for continuing professional development in order to meet re-validation requirements </w:t>
            </w:r>
          </w:p>
        </w:tc>
      </w:tr>
      <w:tr w:rsidR="00B6371C" w:rsidRPr="00706274" w14:paraId="38EAB048" w14:textId="27C02C0B" w:rsidTr="00C52B82">
        <w:tc>
          <w:tcPr>
            <w:tcW w:w="1134" w:type="dxa"/>
          </w:tcPr>
          <w:p w14:paraId="17F119B0" w14:textId="77777777" w:rsidR="00B6371C" w:rsidRPr="00706274" w:rsidRDefault="00B6371C" w:rsidP="00B6371C">
            <w:pPr>
              <w:spacing w:line="240" w:lineRule="auto"/>
              <w:rPr>
                <w:sz w:val="20"/>
              </w:rPr>
            </w:pPr>
          </w:p>
        </w:tc>
        <w:tc>
          <w:tcPr>
            <w:tcW w:w="6521" w:type="dxa"/>
          </w:tcPr>
          <w:p w14:paraId="17732F4F" w14:textId="77777777" w:rsidR="00B6371C" w:rsidRPr="00706274" w:rsidRDefault="00B6371C" w:rsidP="00B6371C">
            <w:pPr>
              <w:spacing w:line="240" w:lineRule="auto"/>
              <w:rPr>
                <w:sz w:val="20"/>
              </w:rPr>
            </w:pPr>
          </w:p>
        </w:tc>
        <w:tc>
          <w:tcPr>
            <w:tcW w:w="7087" w:type="dxa"/>
          </w:tcPr>
          <w:p w14:paraId="12665819" w14:textId="77777777" w:rsidR="00B6371C" w:rsidRPr="00706274" w:rsidRDefault="00B6371C" w:rsidP="00B6371C">
            <w:pPr>
              <w:spacing w:line="240" w:lineRule="auto"/>
              <w:rPr>
                <w:sz w:val="20"/>
              </w:rPr>
            </w:pPr>
          </w:p>
        </w:tc>
      </w:tr>
      <w:tr w:rsidR="00B6371C" w:rsidRPr="00706274" w14:paraId="199A1E08" w14:textId="7B4E7019" w:rsidTr="00C52B82">
        <w:tc>
          <w:tcPr>
            <w:tcW w:w="1134" w:type="dxa"/>
            <w:vMerge w:val="restart"/>
            <w:textDirection w:val="btLr"/>
          </w:tcPr>
          <w:p w14:paraId="1018BC32" w14:textId="7351CC7F" w:rsidR="00B6371C" w:rsidRPr="00706274" w:rsidRDefault="00B6371C" w:rsidP="00B6371C">
            <w:pPr>
              <w:spacing w:line="240" w:lineRule="auto"/>
              <w:ind w:left="113" w:right="113"/>
              <w:rPr>
                <w:sz w:val="20"/>
              </w:rPr>
            </w:pPr>
            <w:r w:rsidRPr="00706274">
              <w:rPr>
                <w:sz w:val="20"/>
              </w:rPr>
              <w:t>Policies addressing the participation and retention of nurses in the labour market</w:t>
            </w:r>
          </w:p>
        </w:tc>
        <w:tc>
          <w:tcPr>
            <w:tcW w:w="6521" w:type="dxa"/>
          </w:tcPr>
          <w:p w14:paraId="1FF87480" w14:textId="75A6A7AE" w:rsidR="00B6371C" w:rsidRPr="00706274" w:rsidRDefault="00B6371C" w:rsidP="00B6371C">
            <w:pPr>
              <w:spacing w:line="240" w:lineRule="auto"/>
              <w:rPr>
                <w:sz w:val="20"/>
              </w:rPr>
            </w:pPr>
            <w:r>
              <w:rPr>
                <w:sz w:val="20"/>
              </w:rPr>
              <w:t xml:space="preserve">Legislation,  regulation and assurance mechanisms of public and private health care providers to ensure clinical effective, safe services and working environments </w:t>
            </w:r>
          </w:p>
        </w:tc>
        <w:tc>
          <w:tcPr>
            <w:tcW w:w="7087" w:type="dxa"/>
          </w:tcPr>
          <w:p w14:paraId="0B2F780E" w14:textId="191CA823" w:rsidR="00B6371C" w:rsidRDefault="00346914" w:rsidP="00346914">
            <w:pPr>
              <w:spacing w:line="240" w:lineRule="auto"/>
              <w:rPr>
                <w:sz w:val="20"/>
              </w:rPr>
            </w:pPr>
            <w:r>
              <w:rPr>
                <w:sz w:val="20"/>
              </w:rPr>
              <w:t xml:space="preserve">Compliance with </w:t>
            </w:r>
            <w:r w:rsidR="00AC4C7F">
              <w:rPr>
                <w:sz w:val="20"/>
              </w:rPr>
              <w:t>legislation and quality standards for clinically effective</w:t>
            </w:r>
            <w:r>
              <w:rPr>
                <w:sz w:val="20"/>
              </w:rPr>
              <w:t xml:space="preserve">, safe and supportive </w:t>
            </w:r>
            <w:r w:rsidR="00AC4C7F">
              <w:rPr>
                <w:sz w:val="20"/>
              </w:rPr>
              <w:t xml:space="preserve">working environments.  </w:t>
            </w:r>
          </w:p>
        </w:tc>
      </w:tr>
      <w:tr w:rsidR="00B6371C" w:rsidRPr="00706274" w14:paraId="2D45AA03" w14:textId="371D6610" w:rsidTr="00C52B82">
        <w:tc>
          <w:tcPr>
            <w:tcW w:w="1134" w:type="dxa"/>
            <w:vMerge/>
          </w:tcPr>
          <w:p w14:paraId="7D38B1E2" w14:textId="77777777" w:rsidR="00B6371C" w:rsidRPr="00706274" w:rsidRDefault="00B6371C" w:rsidP="00B6371C">
            <w:pPr>
              <w:spacing w:line="240" w:lineRule="auto"/>
              <w:jc w:val="center"/>
              <w:rPr>
                <w:sz w:val="20"/>
              </w:rPr>
            </w:pPr>
          </w:p>
        </w:tc>
        <w:tc>
          <w:tcPr>
            <w:tcW w:w="6521" w:type="dxa"/>
          </w:tcPr>
          <w:p w14:paraId="030D38B8" w14:textId="151E03E3" w:rsidR="00B6371C" w:rsidRPr="00706274" w:rsidRDefault="0067602A" w:rsidP="0067602A">
            <w:pPr>
              <w:spacing w:line="240" w:lineRule="auto"/>
              <w:rPr>
                <w:sz w:val="20"/>
              </w:rPr>
            </w:pPr>
            <w:r>
              <w:rPr>
                <w:sz w:val="20"/>
              </w:rPr>
              <w:t xml:space="preserve">Frameworks to guide RN salary scales and benefits linked to career progression </w:t>
            </w:r>
          </w:p>
        </w:tc>
        <w:tc>
          <w:tcPr>
            <w:tcW w:w="7087" w:type="dxa"/>
          </w:tcPr>
          <w:p w14:paraId="7DE13765" w14:textId="61C0C64D" w:rsidR="00B6371C" w:rsidRPr="00706274" w:rsidRDefault="00702E28" w:rsidP="00702E28">
            <w:pPr>
              <w:spacing w:line="240" w:lineRule="auto"/>
              <w:rPr>
                <w:sz w:val="20"/>
              </w:rPr>
            </w:pPr>
            <w:r>
              <w:rPr>
                <w:sz w:val="20"/>
              </w:rPr>
              <w:t>A</w:t>
            </w:r>
            <w:r w:rsidR="00AC4C7F">
              <w:rPr>
                <w:sz w:val="20"/>
              </w:rPr>
              <w:t>ttractive s</w:t>
            </w:r>
            <w:r w:rsidR="00B6371C" w:rsidRPr="00706274">
              <w:rPr>
                <w:sz w:val="20"/>
              </w:rPr>
              <w:t>alary</w:t>
            </w:r>
            <w:r>
              <w:rPr>
                <w:sz w:val="20"/>
              </w:rPr>
              <w:t xml:space="preserve"> scales </w:t>
            </w:r>
            <w:r w:rsidR="00B6371C" w:rsidRPr="00706274">
              <w:rPr>
                <w:sz w:val="20"/>
              </w:rPr>
              <w:t>and other benefits e.g. access to affordable housing</w:t>
            </w:r>
          </w:p>
        </w:tc>
      </w:tr>
      <w:tr w:rsidR="00AC4C7F" w:rsidRPr="00706274" w14:paraId="213D82AD" w14:textId="77777777" w:rsidTr="00C52B82">
        <w:tc>
          <w:tcPr>
            <w:tcW w:w="1134" w:type="dxa"/>
            <w:vMerge/>
          </w:tcPr>
          <w:p w14:paraId="3B2ADF30" w14:textId="77777777" w:rsidR="00AC4C7F" w:rsidRPr="00706274" w:rsidRDefault="00AC4C7F" w:rsidP="00AC4C7F">
            <w:pPr>
              <w:spacing w:line="240" w:lineRule="auto"/>
              <w:jc w:val="center"/>
              <w:rPr>
                <w:sz w:val="20"/>
              </w:rPr>
            </w:pPr>
          </w:p>
        </w:tc>
        <w:tc>
          <w:tcPr>
            <w:tcW w:w="6521" w:type="dxa"/>
          </w:tcPr>
          <w:p w14:paraId="76C10402" w14:textId="7455130F" w:rsidR="00AC4C7F" w:rsidRPr="00706274" w:rsidRDefault="0067602A" w:rsidP="00AC4C7F">
            <w:pPr>
              <w:spacing w:line="240" w:lineRule="auto"/>
              <w:rPr>
                <w:sz w:val="20"/>
              </w:rPr>
            </w:pPr>
            <w:r>
              <w:rPr>
                <w:sz w:val="20"/>
              </w:rPr>
              <w:t xml:space="preserve">Frameworks to support good human resource management practices </w:t>
            </w:r>
            <w:r w:rsidR="003C1DF0">
              <w:rPr>
                <w:sz w:val="20"/>
              </w:rPr>
              <w:t xml:space="preserve">and equality standards </w:t>
            </w:r>
            <w:r>
              <w:rPr>
                <w:sz w:val="20"/>
              </w:rPr>
              <w:t xml:space="preserve">by provider organisations </w:t>
            </w:r>
          </w:p>
        </w:tc>
        <w:tc>
          <w:tcPr>
            <w:tcW w:w="7087" w:type="dxa"/>
          </w:tcPr>
          <w:p w14:paraId="65C3BD2E" w14:textId="5A683D00" w:rsidR="00AC4C7F" w:rsidRDefault="00AC4C7F" w:rsidP="00AC4C7F">
            <w:pPr>
              <w:spacing w:line="240" w:lineRule="auto"/>
              <w:rPr>
                <w:sz w:val="20"/>
              </w:rPr>
            </w:pPr>
            <w:r>
              <w:rPr>
                <w:sz w:val="20"/>
              </w:rPr>
              <w:t xml:space="preserve">Good human resource management policies and practice </w:t>
            </w:r>
          </w:p>
        </w:tc>
      </w:tr>
      <w:tr w:rsidR="002C178F" w:rsidRPr="00706274" w14:paraId="10EC9951" w14:textId="77777777" w:rsidTr="00C52B82">
        <w:tc>
          <w:tcPr>
            <w:tcW w:w="1134" w:type="dxa"/>
            <w:vMerge/>
          </w:tcPr>
          <w:p w14:paraId="43F138B0" w14:textId="77777777" w:rsidR="002C178F" w:rsidRPr="00706274" w:rsidRDefault="002C178F" w:rsidP="00AC4C7F">
            <w:pPr>
              <w:spacing w:line="240" w:lineRule="auto"/>
              <w:jc w:val="center"/>
              <w:rPr>
                <w:sz w:val="20"/>
              </w:rPr>
            </w:pPr>
          </w:p>
        </w:tc>
        <w:tc>
          <w:tcPr>
            <w:tcW w:w="6521" w:type="dxa"/>
          </w:tcPr>
          <w:p w14:paraId="181899DF" w14:textId="04FC7082" w:rsidR="002C178F" w:rsidRDefault="003C1DF0" w:rsidP="00AC4C7F">
            <w:pPr>
              <w:spacing w:line="240" w:lineRule="auto"/>
              <w:rPr>
                <w:sz w:val="20"/>
              </w:rPr>
            </w:pPr>
            <w:r>
              <w:rPr>
                <w:sz w:val="20"/>
              </w:rPr>
              <w:t>Equality and diversity policies setting workplace opportunity standards</w:t>
            </w:r>
          </w:p>
        </w:tc>
        <w:tc>
          <w:tcPr>
            <w:tcW w:w="7087" w:type="dxa"/>
          </w:tcPr>
          <w:p w14:paraId="02D3C300" w14:textId="3C3F4424" w:rsidR="002C178F" w:rsidRDefault="002C178F" w:rsidP="002C178F">
            <w:pPr>
              <w:spacing w:line="240" w:lineRule="auto"/>
              <w:rPr>
                <w:sz w:val="20"/>
              </w:rPr>
            </w:pPr>
            <w:r>
              <w:rPr>
                <w:sz w:val="20"/>
              </w:rPr>
              <w:t>Create p</w:t>
            </w:r>
            <w:r w:rsidRPr="002C178F">
              <w:rPr>
                <w:sz w:val="20"/>
              </w:rPr>
              <w:t>ositive work environments that maximize the</w:t>
            </w:r>
            <w:r>
              <w:rPr>
                <w:sz w:val="20"/>
              </w:rPr>
              <w:t xml:space="preserve"> </w:t>
            </w:r>
            <w:r w:rsidRPr="002C178F">
              <w:rPr>
                <w:sz w:val="20"/>
              </w:rPr>
              <w:t xml:space="preserve">health, safety and well-being of </w:t>
            </w:r>
            <w:r>
              <w:rPr>
                <w:sz w:val="20"/>
              </w:rPr>
              <w:t xml:space="preserve">nurses </w:t>
            </w:r>
            <w:r w:rsidRPr="002C178F">
              <w:rPr>
                <w:sz w:val="20"/>
              </w:rPr>
              <w:t>and improve and/or sustain their motivation</w:t>
            </w:r>
          </w:p>
        </w:tc>
      </w:tr>
      <w:tr w:rsidR="00702E28" w:rsidRPr="00706274" w14:paraId="0E6EA92C" w14:textId="77777777" w:rsidTr="00C52B82">
        <w:tc>
          <w:tcPr>
            <w:tcW w:w="1134" w:type="dxa"/>
            <w:vMerge/>
          </w:tcPr>
          <w:p w14:paraId="519AB35C" w14:textId="77777777" w:rsidR="00702E28" w:rsidRPr="00706274" w:rsidRDefault="00702E28" w:rsidP="00AC4C7F">
            <w:pPr>
              <w:spacing w:line="240" w:lineRule="auto"/>
              <w:jc w:val="center"/>
              <w:rPr>
                <w:sz w:val="20"/>
              </w:rPr>
            </w:pPr>
          </w:p>
        </w:tc>
        <w:tc>
          <w:tcPr>
            <w:tcW w:w="6521" w:type="dxa"/>
          </w:tcPr>
          <w:p w14:paraId="36DFAB29" w14:textId="295E4EBD" w:rsidR="00702E28" w:rsidRDefault="003C1DF0" w:rsidP="00AC4C7F">
            <w:pPr>
              <w:spacing w:line="240" w:lineRule="auto"/>
              <w:rPr>
                <w:sz w:val="20"/>
              </w:rPr>
            </w:pPr>
            <w:r>
              <w:rPr>
                <w:sz w:val="20"/>
              </w:rPr>
              <w:t xml:space="preserve">Interprofessional </w:t>
            </w:r>
            <w:r w:rsidR="00FC347C">
              <w:rPr>
                <w:sz w:val="20"/>
              </w:rPr>
              <w:t>standards for collaborative and teamwork practice</w:t>
            </w:r>
          </w:p>
        </w:tc>
        <w:tc>
          <w:tcPr>
            <w:tcW w:w="7087" w:type="dxa"/>
          </w:tcPr>
          <w:p w14:paraId="3DB61C76" w14:textId="1BF432A1" w:rsidR="00702E28" w:rsidRDefault="00702E28" w:rsidP="00702E28">
            <w:pPr>
              <w:spacing w:line="240" w:lineRule="auto"/>
              <w:rPr>
                <w:sz w:val="20"/>
              </w:rPr>
            </w:pPr>
            <w:r>
              <w:rPr>
                <w:sz w:val="20"/>
              </w:rPr>
              <w:t xml:space="preserve">Support for multi-professional teams in which RNs are able to work to the full extent of their scope of practice  </w:t>
            </w:r>
          </w:p>
        </w:tc>
      </w:tr>
      <w:tr w:rsidR="00AC4C7F" w:rsidRPr="00706274" w14:paraId="56D82EA3" w14:textId="441717C0" w:rsidTr="00C52B82">
        <w:tc>
          <w:tcPr>
            <w:tcW w:w="1134" w:type="dxa"/>
            <w:vMerge/>
          </w:tcPr>
          <w:p w14:paraId="457A234A" w14:textId="77777777" w:rsidR="00AC4C7F" w:rsidRPr="00706274" w:rsidRDefault="00AC4C7F" w:rsidP="00AC4C7F">
            <w:pPr>
              <w:spacing w:line="240" w:lineRule="auto"/>
              <w:jc w:val="center"/>
              <w:rPr>
                <w:sz w:val="20"/>
              </w:rPr>
            </w:pPr>
          </w:p>
        </w:tc>
        <w:tc>
          <w:tcPr>
            <w:tcW w:w="6521" w:type="dxa"/>
          </w:tcPr>
          <w:p w14:paraId="79A8ABEA" w14:textId="32F02B98" w:rsidR="00AC4C7F" w:rsidRPr="00706274" w:rsidRDefault="0067602A" w:rsidP="0067602A">
            <w:pPr>
              <w:spacing w:line="240" w:lineRule="auto"/>
              <w:rPr>
                <w:sz w:val="20"/>
              </w:rPr>
            </w:pPr>
            <w:r>
              <w:rPr>
                <w:sz w:val="20"/>
              </w:rPr>
              <w:t>Frameworks to support r</w:t>
            </w:r>
            <w:r w:rsidR="00AC4C7F">
              <w:rPr>
                <w:sz w:val="20"/>
              </w:rPr>
              <w:t xml:space="preserve">ecruitment and retention of nurses to underserved areas </w:t>
            </w:r>
          </w:p>
        </w:tc>
        <w:tc>
          <w:tcPr>
            <w:tcW w:w="7087" w:type="dxa"/>
          </w:tcPr>
          <w:p w14:paraId="44F6F68B" w14:textId="55F65BAE" w:rsidR="00AC4C7F" w:rsidRDefault="00702E28" w:rsidP="00AC4C7F">
            <w:pPr>
              <w:spacing w:line="240" w:lineRule="auto"/>
              <w:rPr>
                <w:sz w:val="20"/>
              </w:rPr>
            </w:pPr>
            <w:r>
              <w:rPr>
                <w:sz w:val="20"/>
              </w:rPr>
              <w:t xml:space="preserve">Support to continuing professional development and routes for career progression </w:t>
            </w:r>
          </w:p>
        </w:tc>
      </w:tr>
      <w:tr w:rsidR="00AC4C7F" w:rsidRPr="00706274" w14:paraId="164F0192" w14:textId="515D0B83" w:rsidTr="00C52B82">
        <w:tc>
          <w:tcPr>
            <w:tcW w:w="1134" w:type="dxa"/>
            <w:vMerge/>
          </w:tcPr>
          <w:p w14:paraId="395EDC2E" w14:textId="77777777" w:rsidR="00AC4C7F" w:rsidRPr="00706274" w:rsidRDefault="00AC4C7F" w:rsidP="00AC4C7F">
            <w:pPr>
              <w:spacing w:line="240" w:lineRule="auto"/>
              <w:jc w:val="center"/>
              <w:rPr>
                <w:sz w:val="20"/>
              </w:rPr>
            </w:pPr>
          </w:p>
        </w:tc>
        <w:tc>
          <w:tcPr>
            <w:tcW w:w="6521" w:type="dxa"/>
          </w:tcPr>
          <w:p w14:paraId="1D34F907" w14:textId="77777777" w:rsidR="00AC4C7F" w:rsidRDefault="00AC4C7F" w:rsidP="00AC4C7F">
            <w:pPr>
              <w:spacing w:line="240" w:lineRule="auto"/>
              <w:rPr>
                <w:sz w:val="20"/>
              </w:rPr>
            </w:pPr>
            <w:r>
              <w:rPr>
                <w:sz w:val="20"/>
              </w:rPr>
              <w:t xml:space="preserve">Routes to support nurses to re-enter the nursing workforce </w:t>
            </w:r>
          </w:p>
          <w:p w14:paraId="0731A336" w14:textId="6EF3E214" w:rsidR="00AC4C7F" w:rsidRPr="00706274" w:rsidRDefault="00AC4C7F" w:rsidP="00AC4C7F">
            <w:pPr>
              <w:spacing w:line="240" w:lineRule="auto"/>
              <w:rPr>
                <w:sz w:val="20"/>
              </w:rPr>
            </w:pPr>
          </w:p>
        </w:tc>
        <w:tc>
          <w:tcPr>
            <w:tcW w:w="7087" w:type="dxa"/>
          </w:tcPr>
          <w:p w14:paraId="798F7255" w14:textId="0B4339C7" w:rsidR="00AC4C7F" w:rsidRDefault="00AC4C7F" w:rsidP="00AC4C7F">
            <w:pPr>
              <w:spacing w:line="240" w:lineRule="auto"/>
              <w:rPr>
                <w:sz w:val="20"/>
              </w:rPr>
            </w:pPr>
            <w:r>
              <w:rPr>
                <w:sz w:val="20"/>
              </w:rPr>
              <w:t>S</w:t>
            </w:r>
            <w:r w:rsidRPr="00B6371C">
              <w:rPr>
                <w:sz w:val="20"/>
              </w:rPr>
              <w:t>upport nurses to re-enter the nursing workforce</w:t>
            </w:r>
          </w:p>
        </w:tc>
      </w:tr>
    </w:tbl>
    <w:p w14:paraId="6DCDEB96" w14:textId="1B1EE285" w:rsidR="00835D97" w:rsidRDefault="003454CE" w:rsidP="00706274">
      <w:pPr>
        <w:sectPr w:rsidR="00835D97" w:rsidSect="00835D97">
          <w:pgSz w:w="16838" w:h="11906" w:orient="landscape"/>
          <w:pgMar w:top="1440" w:right="1440" w:bottom="1440" w:left="1440" w:header="708" w:footer="708" w:gutter="0"/>
          <w:cols w:space="708"/>
          <w:docGrid w:linePitch="360"/>
        </w:sectPr>
      </w:pPr>
      <w:r>
        <w:t xml:space="preserve">Table 3 </w:t>
      </w:r>
      <w:r w:rsidR="0067602A">
        <w:t xml:space="preserve">Exemplars </w:t>
      </w:r>
      <w:r w:rsidR="00702E28">
        <w:t>of polic</w:t>
      </w:r>
      <w:r w:rsidR="002C178F">
        <w:t xml:space="preserve">y areas </w:t>
      </w:r>
      <w:r w:rsidR="0067602A">
        <w:t xml:space="preserve">to address </w:t>
      </w:r>
      <w:r w:rsidR="001E48C8">
        <w:t xml:space="preserve">improved supply, retention and productivity </w:t>
      </w:r>
      <w:r w:rsidR="00702E28">
        <w:t xml:space="preserve">of nurses </w:t>
      </w:r>
    </w:p>
    <w:p w14:paraId="113CAB3E" w14:textId="38FF38C9" w:rsidR="000D4D98" w:rsidRPr="00EF1215" w:rsidRDefault="000D4D98" w:rsidP="00EF1215">
      <w:r>
        <w:lastRenderedPageBreak/>
        <w:t xml:space="preserve">The policy solutions have to attend to the demand as well as the supply side i.e. to increase RN productivity (for example working to the full extent of their license, task shifting to assistants, </w:t>
      </w:r>
      <w:r w:rsidR="001E13C3">
        <w:t xml:space="preserve">using </w:t>
      </w:r>
      <w:r>
        <w:t xml:space="preserve">technologies and community health workers) as well as to produce more and retain more RNs. However, documented evaluations of the impact of the implementation of policy bundles on the nursing workforce are rare not least because of the inter-sectoral nature of enactment and the relatively long period between policy decisions, implementation and outcome. </w:t>
      </w:r>
      <w:r w:rsidR="00EF1215">
        <w:t xml:space="preserve"> Even where there are evaluations of implementation of policy actions to address shortages, such as the WHO strategy for remote and rural areas</w:t>
      </w:r>
      <w:r w:rsidR="00FC347C">
        <w:t>,</w:t>
      </w:r>
      <w:r w:rsidR="00EF1215">
        <w:t xml:space="preserve"> these focus on the medical profession</w:t>
      </w:r>
      <w:r w:rsidR="00C10D87">
        <w:t xml:space="preserve"> not </w:t>
      </w:r>
      <w:r w:rsidR="00C10D87" w:rsidRPr="001E13C3">
        <w:t>nurses</w:t>
      </w:r>
      <w:r w:rsidR="00D36379" w:rsidRPr="001E13C3">
        <w:t xml:space="preserve"> </w:t>
      </w:r>
      <w:r w:rsidR="00D36379" w:rsidRPr="001E13C3">
        <w:rPr>
          <w:vertAlign w:val="superscript"/>
        </w:rPr>
        <w:t>3</w:t>
      </w:r>
      <w:r w:rsidR="00881DD5" w:rsidRPr="001E13C3">
        <w:rPr>
          <w:vertAlign w:val="superscript"/>
        </w:rPr>
        <w:t>7</w:t>
      </w:r>
      <w:r w:rsidR="00EF1215" w:rsidRPr="001E13C3">
        <w:t>.</w:t>
      </w:r>
      <w:r w:rsidR="00EF1215">
        <w:t xml:space="preserve"> </w:t>
      </w:r>
    </w:p>
    <w:p w14:paraId="5F8215F4" w14:textId="77777777" w:rsidR="000D4D98" w:rsidRDefault="000D4D98" w:rsidP="000D4D98"/>
    <w:p w14:paraId="1C9126D5" w14:textId="4E700262" w:rsidR="000D4D98" w:rsidRDefault="000D4D98" w:rsidP="000D4D98">
      <w:r w:rsidRPr="001E13C3">
        <w:t xml:space="preserve">At the micro level (organisation /service delivery level) good human resource management practices are known to reduce the rates of voluntary turnover in all industries </w:t>
      </w:r>
      <w:r w:rsidR="00D36379" w:rsidRPr="001E13C3">
        <w:rPr>
          <w:vertAlign w:val="superscript"/>
        </w:rPr>
        <w:t>3</w:t>
      </w:r>
      <w:r w:rsidR="00881DD5" w:rsidRPr="001E13C3">
        <w:rPr>
          <w:vertAlign w:val="superscript"/>
        </w:rPr>
        <w:t>8</w:t>
      </w:r>
      <w:r w:rsidRPr="001E13C3">
        <w:t>.</w:t>
      </w:r>
      <w:r w:rsidRPr="000B22C4">
        <w:t xml:space="preserve">  </w:t>
      </w:r>
      <w:r>
        <w:t xml:space="preserve">An umbrella systematic review considered interventions to reduce turnover rates of nurses (i.e. to retain them in their posts) in </w:t>
      </w:r>
      <w:r w:rsidR="00C52B82">
        <w:t>high-income</w:t>
      </w:r>
      <w:r>
        <w:t xml:space="preserve"> </w:t>
      </w:r>
      <w:r w:rsidRPr="001E13C3">
        <w:t>countries</w:t>
      </w:r>
      <w:r w:rsidR="00D36379" w:rsidRPr="001E13C3">
        <w:t xml:space="preserve"> </w:t>
      </w:r>
      <w:r w:rsidR="00881DD5" w:rsidRPr="001E13C3">
        <w:rPr>
          <w:vertAlign w:val="superscript"/>
        </w:rPr>
        <w:t>39</w:t>
      </w:r>
      <w:r w:rsidRPr="001E13C3">
        <w:t xml:space="preserve"> </w:t>
      </w:r>
      <w:r>
        <w:t xml:space="preserve">This review found relatively weak evidence for most interventions but there was strong evidence of positive </w:t>
      </w:r>
      <w:r w:rsidRPr="00462F7B">
        <w:t xml:space="preserve">impact </w:t>
      </w:r>
      <w:r>
        <w:t xml:space="preserve">for </w:t>
      </w:r>
      <w:r w:rsidRPr="00462F7B">
        <w:t xml:space="preserve">transition programmes </w:t>
      </w:r>
      <w:r>
        <w:t xml:space="preserve">and support </w:t>
      </w:r>
      <w:r w:rsidRPr="00462F7B">
        <w:t xml:space="preserve">for newly qualified </w:t>
      </w:r>
      <w:r w:rsidRPr="001E13C3">
        <w:t>nurses</w:t>
      </w:r>
      <w:r w:rsidR="00D36379" w:rsidRPr="001E13C3">
        <w:t xml:space="preserve"> </w:t>
      </w:r>
      <w:r w:rsidR="00881DD5" w:rsidRPr="001E13C3">
        <w:rPr>
          <w:vertAlign w:val="superscript"/>
        </w:rPr>
        <w:t>39</w:t>
      </w:r>
      <w:r w:rsidR="00D36379" w:rsidRPr="001E13C3">
        <w:t>.</w:t>
      </w:r>
      <w:r w:rsidR="00D36379">
        <w:t xml:space="preserve"> </w:t>
      </w:r>
      <w:r w:rsidR="00343F95">
        <w:t xml:space="preserve"> </w:t>
      </w:r>
      <w:r w:rsidRPr="001E13C3">
        <w:t xml:space="preserve">There was also evidence that nurse manager leadership styles that were perceived as encouraging work group cohesion were also effective in reducing turnover </w:t>
      </w:r>
      <w:r w:rsidR="00881DD5" w:rsidRPr="001E13C3">
        <w:rPr>
          <w:vertAlign w:val="superscript"/>
        </w:rPr>
        <w:t>39</w:t>
      </w:r>
      <w:r w:rsidRPr="001E13C3">
        <w:t>. Positive</w:t>
      </w:r>
      <w:r>
        <w:t xml:space="preserve"> working environments are those that not only ensure the nurses well-being but sustain or increase their motivation in their work.  There is some evidence that many RNs </w:t>
      </w:r>
      <w:r w:rsidR="001E13C3">
        <w:t xml:space="preserve">(like many physicians) </w:t>
      </w:r>
      <w:r>
        <w:t xml:space="preserve">in high </w:t>
      </w:r>
      <w:r w:rsidRPr="001E13C3">
        <w:t xml:space="preserve">income </w:t>
      </w:r>
      <w:r w:rsidR="001E13C3" w:rsidRPr="001E13C3">
        <w:t>countries consider</w:t>
      </w:r>
      <w:r w:rsidRPr="001E13C3">
        <w:t xml:space="preserve"> that they are not working to the full scope of their training and are undertaking work that could be undertaken by others</w:t>
      </w:r>
      <w:r w:rsidR="00CD1A68" w:rsidRPr="001E13C3">
        <w:t xml:space="preserve"> </w:t>
      </w:r>
      <w:r w:rsidR="00CD1A68" w:rsidRPr="001E13C3">
        <w:rPr>
          <w:vertAlign w:val="superscript"/>
        </w:rPr>
        <w:t>3</w:t>
      </w:r>
      <w:r w:rsidR="00881DD5" w:rsidRPr="001E13C3">
        <w:rPr>
          <w:vertAlign w:val="superscript"/>
        </w:rPr>
        <w:t>6</w:t>
      </w:r>
      <w:r w:rsidRPr="001E13C3">
        <w:t>. However</w:t>
      </w:r>
      <w:r>
        <w:t xml:space="preserve">, task shifting, shifts in jurisdiction and changes in skill-mixes in teams raises questions of adequate </w:t>
      </w:r>
      <w:r w:rsidR="005017F1">
        <w:t>preparation, patient</w:t>
      </w:r>
      <w:r>
        <w:t xml:space="preserve"> safety and cost effectiveness – all of which require consideration within specific contexts.  For example, a growing body of evidence in </w:t>
      </w:r>
      <w:r w:rsidR="00C52B82">
        <w:t>high-income</w:t>
      </w:r>
      <w:r>
        <w:t xml:space="preserve"> countries demonstrates a relationship between RN staffing levels and patient safety in acute in-patient hospital settings. Recent research on in-patient hospital care in the UK demonstrates that l</w:t>
      </w:r>
      <w:r w:rsidRPr="005519DD">
        <w:t>ower RN staffing and higher levels of admissions per RN are associated with increased risk of death during an admission to hospital</w:t>
      </w:r>
      <w:r>
        <w:t xml:space="preserve"> and that use of nursing assistants does not compensate for reduced RN </w:t>
      </w:r>
      <w:r w:rsidRPr="001E13C3">
        <w:t>staffing</w:t>
      </w:r>
      <w:r w:rsidR="00CD1A68" w:rsidRPr="001E13C3">
        <w:t xml:space="preserve"> </w:t>
      </w:r>
      <w:r w:rsidR="00CD1A68" w:rsidRPr="001E13C3">
        <w:rPr>
          <w:vertAlign w:val="superscript"/>
        </w:rPr>
        <w:t>4</w:t>
      </w:r>
      <w:r w:rsidR="00881DD5" w:rsidRPr="001E13C3">
        <w:rPr>
          <w:vertAlign w:val="superscript"/>
        </w:rPr>
        <w:t>0</w:t>
      </w:r>
      <w:r w:rsidRPr="001E13C3">
        <w:t xml:space="preserve">. </w:t>
      </w:r>
      <w:r w:rsidR="00093EBB" w:rsidRPr="001E13C3">
        <w:t>There</w:t>
      </w:r>
      <w:r w:rsidR="00093EBB">
        <w:t xml:space="preserve"> are significant gaps in </w:t>
      </w:r>
      <w:r>
        <w:t>evidence for the most effect ways of increasing RN productivity as well as attract</w:t>
      </w:r>
      <w:r w:rsidR="00FC347C">
        <w:t>ing</w:t>
      </w:r>
      <w:r>
        <w:t xml:space="preserve"> and retain</w:t>
      </w:r>
      <w:r w:rsidR="00FC347C">
        <w:t>ing</w:t>
      </w:r>
      <w:r>
        <w:t xml:space="preserve"> RNs in the workplace </w:t>
      </w:r>
      <w:r w:rsidR="00093EBB">
        <w:t xml:space="preserve">which </w:t>
      </w:r>
      <w:r>
        <w:t xml:space="preserve">requires attention to </w:t>
      </w:r>
      <w:r w:rsidR="00FC347C">
        <w:t xml:space="preserve">be given to the macro and </w:t>
      </w:r>
      <w:r>
        <w:t xml:space="preserve">overarching issues in every health system. </w:t>
      </w:r>
    </w:p>
    <w:p w14:paraId="4185659F" w14:textId="5F5BBCD4" w:rsidR="002B5EA6" w:rsidRDefault="00093EBB" w:rsidP="002B5EA6">
      <w:pPr>
        <w:pStyle w:val="Heading2"/>
      </w:pPr>
      <w:r>
        <w:t>G</w:t>
      </w:r>
      <w:r w:rsidR="0016467C">
        <w:t xml:space="preserve">ap analysis </w:t>
      </w:r>
    </w:p>
    <w:p w14:paraId="568C37D5" w14:textId="1B81754C" w:rsidR="00CD1A68" w:rsidRDefault="005017F1" w:rsidP="002B5EA6">
      <w:r>
        <w:t xml:space="preserve">The </w:t>
      </w:r>
      <w:r w:rsidR="00093EBB">
        <w:t>first major gap is in relation to nursing workforce planning.  W</w:t>
      </w:r>
      <w:r w:rsidR="0016467C">
        <w:t xml:space="preserve">orkforce planning at a national level is an inexact science </w:t>
      </w:r>
      <w:r w:rsidR="00E93993">
        <w:t>and</w:t>
      </w:r>
      <w:r w:rsidR="0016467C">
        <w:t xml:space="preserve"> is often absent for nursing, which is in contrast with medical manpower planning. To </w:t>
      </w:r>
      <w:r w:rsidR="002B5EA6">
        <w:t>plan for solutions you need to understand the scale of the problem</w:t>
      </w:r>
      <w:r w:rsidR="00E93993">
        <w:t xml:space="preserve">, which in the case of nursing, is limited by the </w:t>
      </w:r>
      <w:r w:rsidR="009C73DA" w:rsidRPr="00CD1A68">
        <w:t>significant</w:t>
      </w:r>
      <w:r w:rsidR="00E93993">
        <w:t xml:space="preserve"> evidence</w:t>
      </w:r>
      <w:r w:rsidR="009C73DA" w:rsidRPr="00CD1A68">
        <w:t xml:space="preserve"> gaps</w:t>
      </w:r>
      <w:r w:rsidR="00AD07E7">
        <w:t>. F</w:t>
      </w:r>
      <w:r w:rsidR="00E93993">
        <w:t>or example, at the national level</w:t>
      </w:r>
      <w:r w:rsidR="00AD07E7">
        <w:t>,</w:t>
      </w:r>
      <w:r w:rsidR="00E93993">
        <w:t xml:space="preserve"> nursing workforce data is often incomplete and based on historical activity rather than projections</w:t>
      </w:r>
      <w:r w:rsidR="002B5EA6">
        <w:t xml:space="preserve">. The 2016 WHO resolution on human resources for health urges all countries to have </w:t>
      </w:r>
      <w:r w:rsidR="002B5EA6" w:rsidRPr="00E117BA">
        <w:t xml:space="preserve">health workforce-related </w:t>
      </w:r>
      <w:r w:rsidR="002B5EA6" w:rsidRPr="001E13C3">
        <w:lastRenderedPageBreak/>
        <w:t>planning mechanisms and has introduced national health workforce accounts with core indicators, including ratio of nurses to population, for annual submission to the WHO Secretariat</w:t>
      </w:r>
      <w:r w:rsidR="00CD1A68" w:rsidRPr="001E13C3">
        <w:t xml:space="preserve"> </w:t>
      </w:r>
      <w:r w:rsidR="00CD1A68" w:rsidRPr="001E13C3">
        <w:rPr>
          <w:vertAlign w:val="superscript"/>
        </w:rPr>
        <w:t>1</w:t>
      </w:r>
      <w:r w:rsidR="002B5EA6" w:rsidRPr="001E13C3">
        <w:t>. However</w:t>
      </w:r>
      <w:r w:rsidR="002B5EA6">
        <w:t xml:space="preserve">, this could be considered the minimum requirement for benchmarking rather than </w:t>
      </w:r>
      <w:r w:rsidR="0016467C">
        <w:t xml:space="preserve">proactively modelling </w:t>
      </w:r>
      <w:r w:rsidR="002B5EA6">
        <w:t>the future demand for nurses</w:t>
      </w:r>
      <w:r w:rsidR="00093EBB">
        <w:t xml:space="preserve">, the availability and supply of nurses </w:t>
      </w:r>
      <w:r w:rsidR="002B5EA6">
        <w:t xml:space="preserve">and </w:t>
      </w:r>
      <w:r>
        <w:t>planning to meet</w:t>
      </w:r>
      <w:r w:rsidR="00093EBB">
        <w:t xml:space="preserve"> the gap or shortfall.  This then flags the next gap - the evidence to base the planning decisions on. </w:t>
      </w:r>
    </w:p>
    <w:p w14:paraId="3B0C05A3" w14:textId="77777777" w:rsidR="009C73DA" w:rsidRDefault="009C73DA" w:rsidP="009C73DA"/>
    <w:p w14:paraId="77E4A9D5" w14:textId="77F6A212" w:rsidR="009C73DA" w:rsidRPr="00CD1A68" w:rsidRDefault="00093EBB" w:rsidP="009C73DA">
      <w:r>
        <w:t xml:space="preserve">The second major gap is the </w:t>
      </w:r>
      <w:r w:rsidR="009C73DA" w:rsidRPr="00CD1A68">
        <w:t xml:space="preserve">evidence </w:t>
      </w:r>
      <w:r w:rsidR="00AD07E7">
        <w:t xml:space="preserve">informing </w:t>
      </w:r>
      <w:r w:rsidR="009C73DA" w:rsidRPr="00CD1A68">
        <w:t xml:space="preserve">policy </w:t>
      </w:r>
      <w:r w:rsidR="00AD07E7">
        <w:t xml:space="preserve">decisions about </w:t>
      </w:r>
      <w:r w:rsidR="009C73DA" w:rsidRPr="00CD1A68">
        <w:t>interventions that</w:t>
      </w:r>
      <w:r w:rsidR="00AD07E7">
        <w:t xml:space="preserve"> work to</w:t>
      </w:r>
      <w:r w:rsidR="009C73DA" w:rsidRPr="00CD1A68">
        <w:t xml:space="preserve"> attract, equitably distribute, retain and sustain a nursing workforce against the requirements of any health care system</w:t>
      </w:r>
      <w:r w:rsidR="00AD07E7">
        <w:t>. It is noteworthy</w:t>
      </w:r>
      <w:r w:rsidR="009C73DA" w:rsidRPr="00CD1A68">
        <w:t xml:space="preserve"> that the WHO guidance for scaling up and retaining all health care </w:t>
      </w:r>
      <w:r w:rsidR="009C73DA" w:rsidRPr="001E13C3">
        <w:t xml:space="preserve">professionals </w:t>
      </w:r>
      <w:r w:rsidR="009C73DA" w:rsidRPr="001E13C3">
        <w:rPr>
          <w:vertAlign w:val="superscript"/>
        </w:rPr>
        <w:t>2</w:t>
      </w:r>
      <w:r w:rsidR="009C73DA" w:rsidRPr="001E13C3">
        <w:t xml:space="preserve"> is predominantly</w:t>
      </w:r>
      <w:r w:rsidR="009C73DA" w:rsidRPr="00CD1A68">
        <w:t xml:space="preserve"> evidenced from studies of doctors</w:t>
      </w:r>
      <w:r w:rsidR="00AD07E7">
        <w:t>, thus further</w:t>
      </w:r>
      <w:r w:rsidR="009C73DA" w:rsidRPr="00CD1A68">
        <w:t xml:space="preserve"> emphasis</w:t>
      </w:r>
      <w:r w:rsidR="00AD07E7">
        <w:t>ing</w:t>
      </w:r>
      <w:r w:rsidR="009C73DA" w:rsidRPr="00CD1A68">
        <w:t xml:space="preserve"> th</w:t>
      </w:r>
      <w:r w:rsidR="009C73DA">
        <w:t>is gap in the evidence</w:t>
      </w:r>
      <w:r w:rsidR="009C73DA" w:rsidRPr="00CD1A68">
        <w:t xml:space="preserve">.  </w:t>
      </w:r>
      <w:r w:rsidR="009C73DA">
        <w:t xml:space="preserve">The demographic profile, status, education, career options, and remuneration levels for these two professions are very different </w:t>
      </w:r>
      <w:r w:rsidR="0016467C">
        <w:t xml:space="preserve">and assumptions that evidence from one professionally is automatically applicable </w:t>
      </w:r>
      <w:r w:rsidR="00AD07E7">
        <w:t xml:space="preserve">and relevant </w:t>
      </w:r>
      <w:r w:rsidR="0016467C">
        <w:t xml:space="preserve">to the other </w:t>
      </w:r>
      <w:r w:rsidR="00AD07E7">
        <w:t xml:space="preserve">is contestable and </w:t>
      </w:r>
      <w:r w:rsidR="008B05FB">
        <w:t xml:space="preserve">at worst </w:t>
      </w:r>
      <w:r w:rsidR="00AD07E7">
        <w:t>misleading</w:t>
      </w:r>
      <w:r>
        <w:t xml:space="preserve">. </w:t>
      </w:r>
    </w:p>
    <w:p w14:paraId="3B645B64" w14:textId="77777777" w:rsidR="00CD1A68" w:rsidRDefault="00CD1A68" w:rsidP="002B5EA6"/>
    <w:p w14:paraId="359865F2" w14:textId="17910F0A" w:rsidR="002B5EA6" w:rsidRDefault="008B05FB" w:rsidP="002B5EA6">
      <w:r w:rsidRPr="001E13C3">
        <w:t>Overlaying</w:t>
      </w:r>
      <w:r w:rsidR="001E13C3" w:rsidRPr="001E13C3">
        <w:t xml:space="preserve"> </w:t>
      </w:r>
      <w:r w:rsidR="006D7DEA" w:rsidRPr="001E13C3">
        <w:t xml:space="preserve">these gaps in knowledge there is an </w:t>
      </w:r>
      <w:r w:rsidR="001E13C3" w:rsidRPr="001E13C3">
        <w:t>issue, common</w:t>
      </w:r>
      <w:r w:rsidR="006D7DEA" w:rsidRPr="001E13C3">
        <w:t xml:space="preserve"> across many countries</w:t>
      </w:r>
      <w:r w:rsidR="00343F95" w:rsidRPr="001E13C3">
        <w:t xml:space="preserve"> a</w:t>
      </w:r>
      <w:r w:rsidR="006D7DEA" w:rsidRPr="001E13C3">
        <w:t xml:space="preserve">s </w:t>
      </w:r>
      <w:r w:rsidR="002B5EA6" w:rsidRPr="001E13C3">
        <w:t>noted by WHO</w:t>
      </w:r>
      <w:r w:rsidR="000D4D98" w:rsidRPr="001E13C3">
        <w:t xml:space="preserve"> </w:t>
      </w:r>
      <w:r w:rsidR="001E13C3" w:rsidRPr="001E13C3">
        <w:rPr>
          <w:vertAlign w:val="superscript"/>
        </w:rPr>
        <w:t>2</w:t>
      </w:r>
      <w:r w:rsidR="001E13C3" w:rsidRPr="001E13C3">
        <w:t>,</w:t>
      </w:r>
      <w:r w:rsidR="001E13C3">
        <w:t xml:space="preserve"> that </w:t>
      </w:r>
      <w:r w:rsidR="002B5EA6" w:rsidRPr="001E13C3">
        <w:t>the profession</w:t>
      </w:r>
      <w:r w:rsidR="002B5EA6" w:rsidRPr="000B736B">
        <w:t xml:space="preserve"> of nursing has not been valued</w:t>
      </w:r>
      <w:r w:rsidR="001C4BC0">
        <w:t xml:space="preserve"> and given the policy attention congruent with its scale. Having a weak voice and influence </w:t>
      </w:r>
      <w:r w:rsidR="002B5EA6" w:rsidRPr="000B736B">
        <w:t xml:space="preserve">in national </w:t>
      </w:r>
      <w:r w:rsidR="001C4BC0">
        <w:t xml:space="preserve">and international </w:t>
      </w:r>
      <w:r w:rsidR="002B5EA6" w:rsidRPr="000B736B">
        <w:t xml:space="preserve">health workforce policy </w:t>
      </w:r>
      <w:r w:rsidR="001C4BC0">
        <w:t>development has inevitable consequences, which in this context</w:t>
      </w:r>
      <w:r w:rsidR="002B5EA6" w:rsidRPr="000B736B">
        <w:t xml:space="preserve"> </w:t>
      </w:r>
      <w:r w:rsidR="001C4BC0">
        <w:t xml:space="preserve">means that fewer levers are available to </w:t>
      </w:r>
      <w:r w:rsidR="002B5EA6" w:rsidRPr="000B736B">
        <w:t>address shortages</w:t>
      </w:r>
      <w:r w:rsidR="001C4BC0">
        <w:t xml:space="preserve"> and action is slow</w:t>
      </w:r>
      <w:r w:rsidR="002B5EA6" w:rsidRPr="000B736B">
        <w:t xml:space="preserve">.  </w:t>
      </w:r>
      <w:r w:rsidR="00CD1A68">
        <w:t>At the time of writing, t</w:t>
      </w:r>
      <w:r w:rsidR="002B5EA6" w:rsidRPr="000B736B">
        <w:t>here is a global WHO sponsored</w:t>
      </w:r>
      <w:r w:rsidR="002B5EA6">
        <w:t xml:space="preserve"> campaign called Nursing Now </w:t>
      </w:r>
      <w:r w:rsidR="00CD1A68" w:rsidRPr="000B736B">
        <w:t xml:space="preserve">(2018-2020) </w:t>
      </w:r>
      <w:r w:rsidR="002B5EA6">
        <w:t>(</w:t>
      </w:r>
      <w:r w:rsidR="002B5EA6" w:rsidRPr="000B736B">
        <w:t xml:space="preserve">https://www.nursingnow.org/ ) which supports country specific </w:t>
      </w:r>
      <w:r w:rsidR="002B5EA6">
        <w:t xml:space="preserve">campaigns and </w:t>
      </w:r>
      <w:r w:rsidR="002B5EA6" w:rsidRPr="000B736B">
        <w:t>activities to raise the profile of the nursing profession</w:t>
      </w:r>
      <w:r w:rsidR="001C4BC0">
        <w:t xml:space="preserve">, develop leaders for governments and to make change at a systems level. This is </w:t>
      </w:r>
      <w:r w:rsidR="002B5EA6" w:rsidRPr="000B736B">
        <w:t>involv</w:t>
      </w:r>
      <w:r w:rsidR="001C4BC0">
        <w:t>ing</w:t>
      </w:r>
      <w:r w:rsidR="002B5EA6" w:rsidRPr="000B736B">
        <w:t xml:space="preserve"> nurses in policy making</w:t>
      </w:r>
      <w:r w:rsidR="002B5EA6">
        <w:t xml:space="preserve">, particularly with regard to </w:t>
      </w:r>
      <w:r w:rsidR="002B5EA6" w:rsidRPr="000B736B">
        <w:t xml:space="preserve">increasing and retaining </w:t>
      </w:r>
      <w:r w:rsidR="002B5EA6">
        <w:t xml:space="preserve">the </w:t>
      </w:r>
      <w:r w:rsidR="002B5EA6" w:rsidRPr="000B736B">
        <w:t>nurs</w:t>
      </w:r>
      <w:r w:rsidR="002B5EA6">
        <w:t>ing workforce</w:t>
      </w:r>
      <w:r w:rsidR="002B5EA6" w:rsidRPr="000B736B">
        <w:t xml:space="preserve">.  </w:t>
      </w:r>
      <w:r w:rsidR="002B5EA6">
        <w:t>The response to</w:t>
      </w:r>
      <w:r w:rsidR="001C4BC0">
        <w:t>,</w:t>
      </w:r>
      <w:r w:rsidR="002B5EA6">
        <w:t xml:space="preserve"> and impact of</w:t>
      </w:r>
      <w:r w:rsidR="001C4BC0">
        <w:t>,</w:t>
      </w:r>
      <w:r w:rsidR="002B5EA6">
        <w:t xml:space="preserve"> these calls for country specific campaigns is yet to be evaluated. </w:t>
      </w:r>
    </w:p>
    <w:p w14:paraId="674ECA1B" w14:textId="77777777" w:rsidR="005239BC" w:rsidRDefault="005239BC" w:rsidP="005239BC">
      <w:pPr>
        <w:pStyle w:val="Heading2"/>
      </w:pPr>
      <w:r>
        <w:t xml:space="preserve">Concluding comment </w:t>
      </w:r>
    </w:p>
    <w:p w14:paraId="08D30FD3" w14:textId="1511CF6A" w:rsidR="006D7DEA" w:rsidRDefault="006D7DEA" w:rsidP="002B5EA6">
      <w:r w:rsidRPr="006D7DEA">
        <w:t xml:space="preserve">This review has demonstrated that that the nature and size of the professionally qualified nurse workforce is shaped by the societal context of individual countries – political choices which influence decisions about resource allocation to health systems, demographics (labour market pressures on working age, particularly of women), image of nursing and its positional power in relation to medicine, demands for care/health and social inequalities.  </w:t>
      </w:r>
      <w:r>
        <w:t xml:space="preserve">Understanding nursing shortages and acting on them requires attention to the gaps in knowledge and evidence but also the wider societal context of nursing. </w:t>
      </w:r>
    </w:p>
    <w:p w14:paraId="6A242645" w14:textId="77777777" w:rsidR="00270D64" w:rsidRDefault="00270D64" w:rsidP="0045412B">
      <w:pPr>
        <w:pStyle w:val="Heading1"/>
      </w:pPr>
      <w:r>
        <w:t>ACKNOWLEDGEMENTS</w:t>
      </w:r>
    </w:p>
    <w:p w14:paraId="07DD2220" w14:textId="13BBCE2B" w:rsidR="00270D64" w:rsidRDefault="006D7DEA" w:rsidP="006D7DEA">
      <w:r>
        <w:t xml:space="preserve">This review was undertaken without external funding </w:t>
      </w:r>
    </w:p>
    <w:p w14:paraId="4972DF2B" w14:textId="77777777" w:rsidR="00270D64" w:rsidRDefault="00270D64" w:rsidP="0045412B">
      <w:pPr>
        <w:pStyle w:val="Heading1"/>
      </w:pPr>
      <w:r>
        <w:lastRenderedPageBreak/>
        <w:t>REFERENCES</w:t>
      </w:r>
    </w:p>
    <w:p w14:paraId="3796DDA0" w14:textId="77777777" w:rsidR="001148F7" w:rsidRDefault="001148F7" w:rsidP="005239BC">
      <w:pPr>
        <w:pStyle w:val="ListParagraph"/>
        <w:numPr>
          <w:ilvl w:val="0"/>
          <w:numId w:val="12"/>
        </w:numPr>
        <w:spacing w:line="240" w:lineRule="auto"/>
        <w:ind w:left="357" w:hanging="357"/>
      </w:pPr>
      <w:r>
        <w:t xml:space="preserve">World Health Organisation.  </w:t>
      </w:r>
      <w:r w:rsidR="00682EBF" w:rsidRPr="001148F7">
        <w:t xml:space="preserve">Sixty-ninth </w:t>
      </w:r>
      <w:r w:rsidR="00682EBF">
        <w:t>W</w:t>
      </w:r>
      <w:r w:rsidR="00682EBF" w:rsidRPr="001148F7">
        <w:t xml:space="preserve">orld </w:t>
      </w:r>
      <w:r w:rsidR="00682EBF">
        <w:t>Health A</w:t>
      </w:r>
      <w:r w:rsidR="00682EBF" w:rsidRPr="001148F7">
        <w:t>ssembly</w:t>
      </w:r>
      <w:r w:rsidR="00682EBF">
        <w:t xml:space="preserve">. Resolution WHA.69.19: </w:t>
      </w:r>
      <w:r w:rsidR="00682EBF" w:rsidRPr="00682EBF">
        <w:t>Global strategy on human resources for health: workforce 2030</w:t>
      </w:r>
      <w:r w:rsidR="00682EBF">
        <w:t xml:space="preserve">. 2016. </w:t>
      </w:r>
      <w:r>
        <w:t xml:space="preserve">Accessed 12-12-2018 at </w:t>
      </w:r>
      <w:r w:rsidRPr="001148F7">
        <w:t>http://apps.who.int/gb/ebwha/pdf_files/WHA69/A69_R19-en.pdf?ua=1&amp;ua=1</w:t>
      </w:r>
    </w:p>
    <w:p w14:paraId="31C12775" w14:textId="77777777" w:rsidR="00853180" w:rsidRDefault="005A1015" w:rsidP="005239BC">
      <w:pPr>
        <w:pStyle w:val="ListParagraph"/>
        <w:numPr>
          <w:ilvl w:val="0"/>
          <w:numId w:val="12"/>
        </w:numPr>
        <w:spacing w:line="240" w:lineRule="auto"/>
        <w:ind w:left="357" w:hanging="357"/>
      </w:pPr>
      <w:r>
        <w:t xml:space="preserve">World Health Organisation. </w:t>
      </w:r>
      <w:r w:rsidRPr="005A1015">
        <w:t>Global strategy on human resources for health: Workforce 2030</w:t>
      </w:r>
      <w:r>
        <w:t xml:space="preserve">. accessed 12-12-2018 at </w:t>
      </w:r>
      <w:hyperlink r:id="rId14" w:history="1">
        <w:r w:rsidRPr="001753D8">
          <w:rPr>
            <w:rStyle w:val="Hyperlink"/>
          </w:rPr>
          <w:t>https://www.who.int/hrh/resources/pub_globstrathrh-2030/en/</w:t>
        </w:r>
      </w:hyperlink>
      <w:r>
        <w:t xml:space="preserve"> </w:t>
      </w:r>
    </w:p>
    <w:p w14:paraId="5A136F4C" w14:textId="2B06572D" w:rsidR="00D16864" w:rsidRPr="002A2473" w:rsidRDefault="00D16864" w:rsidP="005239BC">
      <w:pPr>
        <w:pStyle w:val="ListParagraph"/>
        <w:numPr>
          <w:ilvl w:val="0"/>
          <w:numId w:val="12"/>
        </w:numPr>
        <w:spacing w:line="240" w:lineRule="auto"/>
        <w:ind w:left="357" w:hanging="357"/>
        <w:rPr>
          <w:rStyle w:val="Hyperlink"/>
          <w:color w:val="auto"/>
          <w:u w:val="none"/>
        </w:rPr>
      </w:pPr>
      <w:r>
        <w:t xml:space="preserve">Scheffler R, </w:t>
      </w:r>
      <w:r w:rsidRPr="00D16864">
        <w:t>Cometto</w:t>
      </w:r>
      <w:r>
        <w:t xml:space="preserve"> G, </w:t>
      </w:r>
      <w:r w:rsidRPr="00D16864">
        <w:t>Tulenko</w:t>
      </w:r>
      <w:r>
        <w:t xml:space="preserve"> K </w:t>
      </w:r>
      <w:r w:rsidRPr="00D16864">
        <w:t xml:space="preserve">, </w:t>
      </w:r>
      <w:r>
        <w:t xml:space="preserve"> et al . </w:t>
      </w:r>
      <w:r w:rsidRPr="00D16864">
        <w:t>Health workforce requirements for universal health coverage and the Sustainable Development Goals – Background paper N.1. Human Resources for Health Observer Series No 17. World Health Organization, 2016.</w:t>
      </w:r>
      <w:r>
        <w:t xml:space="preserve"> Accessed last 23-12-2018 at </w:t>
      </w:r>
      <w:hyperlink r:id="rId15" w:history="1">
        <w:r w:rsidRPr="009D41E5">
          <w:rPr>
            <w:rStyle w:val="Hyperlink"/>
          </w:rPr>
          <w:t>https://www.who.int/hrh/resources/health-observer17/en/</w:t>
        </w:r>
      </w:hyperlink>
    </w:p>
    <w:p w14:paraId="36A18E80" w14:textId="77777777" w:rsidR="002A2473" w:rsidRPr="000776AB" w:rsidRDefault="002A2473" w:rsidP="005239BC">
      <w:pPr>
        <w:pStyle w:val="ListParagraph"/>
        <w:numPr>
          <w:ilvl w:val="0"/>
          <w:numId w:val="12"/>
        </w:numPr>
        <w:spacing w:line="240" w:lineRule="auto"/>
        <w:ind w:left="357" w:hanging="357"/>
        <w:rPr>
          <w:rStyle w:val="Hyperlink"/>
          <w:color w:val="auto"/>
          <w:u w:val="none"/>
        </w:rPr>
      </w:pPr>
      <w:r w:rsidRPr="002A2473">
        <w:rPr>
          <w:rStyle w:val="Hyperlink"/>
          <w:color w:val="auto"/>
          <w:u w:val="none"/>
        </w:rPr>
        <w:t>Arksey H, O’ Malley L. Scoping studies: towards a methodological framework. International Journal of Social Research Methodology: Theory and Practice 2005.8: 19–32. DOI: 10.1080/1364557032000119616.</w:t>
      </w:r>
    </w:p>
    <w:p w14:paraId="3D37C0A6" w14:textId="77777777" w:rsidR="00AE65D2" w:rsidRDefault="00C53362" w:rsidP="005239BC">
      <w:pPr>
        <w:pStyle w:val="ListParagraph"/>
        <w:numPr>
          <w:ilvl w:val="0"/>
          <w:numId w:val="12"/>
        </w:numPr>
        <w:spacing w:line="240" w:lineRule="auto"/>
        <w:ind w:left="357" w:hanging="357"/>
      </w:pPr>
      <w:r>
        <w:t>OECD. Health at a Glance. Chapter 8 Health Workforce .</w:t>
      </w:r>
      <w:r w:rsidR="00AE65D2" w:rsidRPr="00AE65D2">
        <w:t>2017</w:t>
      </w:r>
      <w:r>
        <w:t>. p 148-165,</w:t>
      </w:r>
      <w:r w:rsidR="00AE65D2" w:rsidRPr="00AE65D2">
        <w:t xml:space="preserve"> </w:t>
      </w:r>
      <w:r w:rsidR="00AE65D2">
        <w:t>Accessed last 12-12-2018 a</w:t>
      </w:r>
      <w:r w:rsidR="00AE65D2" w:rsidRPr="00AE65D2">
        <w:t>t https://read.oecd-ilibrary.org/social-issues-migration-health/health-at-a-glance-2017_health_glance-2017-en#page160</w:t>
      </w:r>
    </w:p>
    <w:p w14:paraId="79E75FA9" w14:textId="5EDF4294" w:rsidR="00D8344E" w:rsidRPr="00D378E3" w:rsidRDefault="00D8344E" w:rsidP="005239BC">
      <w:pPr>
        <w:pStyle w:val="ListParagraph"/>
        <w:numPr>
          <w:ilvl w:val="0"/>
          <w:numId w:val="12"/>
        </w:numPr>
        <w:spacing w:line="240" w:lineRule="auto"/>
        <w:ind w:left="357" w:hanging="357"/>
      </w:pPr>
      <w:r w:rsidRPr="00D378E3">
        <w:t>Benton, D.C</w:t>
      </w:r>
      <w:r w:rsidR="006D7DEA">
        <w:t>, Fernández‐Fernández, M.P</w:t>
      </w:r>
      <w:r w:rsidRPr="00D378E3">
        <w:t xml:space="preserve">, González‐Jurado, </w:t>
      </w:r>
      <w:r>
        <w:t>M.A</w:t>
      </w:r>
      <w:r w:rsidR="006D7DEA">
        <w:t xml:space="preserve"> et al. </w:t>
      </w:r>
      <w:r>
        <w:t xml:space="preserve"> </w:t>
      </w:r>
      <w:r w:rsidRPr="00D378E3">
        <w:t>Analysis of a global random stratified sample of nurse legislation. International Nursing Review</w:t>
      </w:r>
      <w:r>
        <w:t xml:space="preserve"> </w:t>
      </w:r>
      <w:r w:rsidR="000660B7">
        <w:t>2015, 62</w:t>
      </w:r>
      <w:r>
        <w:t>:</w:t>
      </w:r>
      <w:r w:rsidRPr="00D378E3">
        <w:t>207–217.</w:t>
      </w:r>
    </w:p>
    <w:p w14:paraId="0F7990FD" w14:textId="77777777" w:rsidR="00726E7A" w:rsidRPr="005E034C" w:rsidRDefault="003910A9" w:rsidP="005239BC">
      <w:pPr>
        <w:pStyle w:val="ListParagraph"/>
        <w:numPr>
          <w:ilvl w:val="0"/>
          <w:numId w:val="12"/>
        </w:numPr>
        <w:spacing w:line="240" w:lineRule="auto"/>
        <w:ind w:left="357" w:hanging="357"/>
        <w:rPr>
          <w:rStyle w:val="Hyperlink"/>
          <w:color w:val="auto"/>
          <w:u w:val="none"/>
        </w:rPr>
      </w:pPr>
      <w:r w:rsidRPr="003910A9">
        <w:t>Praxmarer-Fernandes</w:t>
      </w:r>
      <w:r>
        <w:t xml:space="preserve"> S </w:t>
      </w:r>
      <w:r w:rsidRPr="003910A9">
        <w:t>, Maier</w:t>
      </w:r>
      <w:r>
        <w:t xml:space="preserve"> CB</w:t>
      </w:r>
      <w:r w:rsidRPr="003910A9">
        <w:t>,</w:t>
      </w:r>
      <w:r>
        <w:t xml:space="preserve"> </w:t>
      </w:r>
      <w:r w:rsidRPr="003910A9">
        <w:t>Oikarainen</w:t>
      </w:r>
      <w:r>
        <w:t xml:space="preserve"> A et al</w:t>
      </w:r>
      <w:r w:rsidR="002A2473">
        <w:t>.</w:t>
      </w:r>
      <w:r>
        <w:t xml:space="preserve"> </w:t>
      </w:r>
      <w:r w:rsidR="00726E7A">
        <w:t>Levels of education offered in nursing and midwifery education in the WHO European region: multicountry baseline assessment</w:t>
      </w:r>
      <w:r>
        <w:t xml:space="preserve">. WHO Europe. </w:t>
      </w:r>
      <w:r w:rsidRPr="003910A9">
        <w:t xml:space="preserve">Public Health Panorama </w:t>
      </w:r>
      <w:r>
        <w:t>2017</w:t>
      </w:r>
      <w:r w:rsidR="000660B7">
        <w:t>,</w:t>
      </w:r>
      <w:r>
        <w:t xml:space="preserve"> 3</w:t>
      </w:r>
      <w:r w:rsidR="000660B7">
        <w:t>:</w:t>
      </w:r>
      <w:r w:rsidRPr="003910A9">
        <w:t>357-536</w:t>
      </w:r>
      <w:r>
        <w:t xml:space="preserve"> </w:t>
      </w:r>
      <w:hyperlink r:id="rId16" w:anchor="page=64" w:history="1">
        <w:r w:rsidR="002A2473" w:rsidRPr="00DC3B20">
          <w:rPr>
            <w:rStyle w:val="Hyperlink"/>
          </w:rPr>
          <w:t>http://www.euro.who.int/__data/assets/pdf_file/0008/348416/PUBLIC_HEALTH_PANORAMA_SEPTEMBER_RUS.pdf#page=64</w:t>
        </w:r>
      </w:hyperlink>
    </w:p>
    <w:p w14:paraId="586BBFA8" w14:textId="77777777" w:rsidR="00D37D70" w:rsidRDefault="00D37D70" w:rsidP="005239BC">
      <w:pPr>
        <w:pStyle w:val="ListParagraph"/>
        <w:numPr>
          <w:ilvl w:val="0"/>
          <w:numId w:val="12"/>
        </w:numPr>
        <w:spacing w:line="240" w:lineRule="auto"/>
        <w:ind w:left="357" w:hanging="357"/>
      </w:pPr>
      <w:r>
        <w:t xml:space="preserve">Maier C, Aiken L. Busse R. Nurses in advanced roles in primary care: Policy levers for implementation. OECD Health Working Papers, No. 98, OECD Publishing, Paris. 2017. Last accessed 12-12-2018 at </w:t>
      </w:r>
      <w:hyperlink r:id="rId17" w:history="1">
        <w:r w:rsidRPr="00DC3B20">
          <w:rPr>
            <w:rStyle w:val="Hyperlink"/>
          </w:rPr>
          <w:t>http://dx.doi.org/10.1787/a8756593-en</w:t>
        </w:r>
      </w:hyperlink>
    </w:p>
    <w:p w14:paraId="38A480B9" w14:textId="77777777" w:rsidR="00D37D70" w:rsidRDefault="00D37D70" w:rsidP="005239BC">
      <w:pPr>
        <w:pStyle w:val="ListParagraph"/>
        <w:numPr>
          <w:ilvl w:val="0"/>
          <w:numId w:val="12"/>
        </w:numPr>
        <w:spacing w:line="240" w:lineRule="auto"/>
        <w:ind w:left="357" w:hanging="357"/>
      </w:pPr>
      <w:r w:rsidRPr="00D37D70">
        <w:t>Meeusen V, Ouellette S, Horton B</w:t>
      </w:r>
      <w:r w:rsidR="000660B7">
        <w:t xml:space="preserve"> et al. </w:t>
      </w:r>
      <w:r w:rsidRPr="00D37D70">
        <w:t>The global organization of nurses in anesthesia: The International Federation of Nurse Anesthetists. Trends in Anae</w:t>
      </w:r>
      <w:r w:rsidR="000660B7">
        <w:t xml:space="preserve">sthesia and Critical Care. 2016, </w:t>
      </w:r>
      <w:r w:rsidRPr="00D37D70">
        <w:t>6:20-5.</w:t>
      </w:r>
    </w:p>
    <w:p w14:paraId="19EB1A3E" w14:textId="77777777" w:rsidR="00624C38" w:rsidRPr="00624C38" w:rsidRDefault="00624C38" w:rsidP="005239BC">
      <w:pPr>
        <w:pStyle w:val="ListParagraph"/>
        <w:numPr>
          <w:ilvl w:val="0"/>
          <w:numId w:val="12"/>
        </w:numPr>
        <w:spacing w:line="240" w:lineRule="auto"/>
        <w:ind w:left="357" w:hanging="357"/>
      </w:pPr>
      <w:r w:rsidRPr="00624C38">
        <w:t>United States Bureau of Labour Statistics.  Occupational Employment and Wages, May 2017. 29-11</w:t>
      </w:r>
      <w:r w:rsidR="00971641">
        <w:t>51</w:t>
      </w:r>
      <w:r w:rsidRPr="00624C38">
        <w:t xml:space="preserve"> Nurse</w:t>
      </w:r>
      <w:r w:rsidR="00971641">
        <w:t xml:space="preserve"> aneathestis</w:t>
      </w:r>
      <w:r w:rsidR="00645FE1">
        <w:t>ts</w:t>
      </w:r>
      <w:r w:rsidRPr="00624C38">
        <w:t xml:space="preserve">. Accessed 12-12-2018 at </w:t>
      </w:r>
      <w:r w:rsidR="00971641" w:rsidRPr="00971641">
        <w:t>https://www.bls.gov/oes/current/oes291151.htm</w:t>
      </w:r>
    </w:p>
    <w:p w14:paraId="6B5A789D" w14:textId="77777777" w:rsidR="00D37D70" w:rsidRDefault="00D37D70" w:rsidP="005239BC">
      <w:pPr>
        <w:pStyle w:val="ListParagraph"/>
        <w:numPr>
          <w:ilvl w:val="0"/>
          <w:numId w:val="12"/>
        </w:numPr>
        <w:spacing w:line="240" w:lineRule="auto"/>
        <w:ind w:left="357" w:hanging="357"/>
      </w:pPr>
      <w:r w:rsidRPr="00D37D70">
        <w:t xml:space="preserve">Ghana Association </w:t>
      </w:r>
      <w:r w:rsidR="000660B7" w:rsidRPr="00D37D70">
        <w:t>of</w:t>
      </w:r>
      <w:r w:rsidRPr="00D37D70">
        <w:t xml:space="preserve"> C</w:t>
      </w:r>
      <w:r>
        <w:t xml:space="preserve">ertified Registered Anesthetist. Information. Accessed last 12-12-2018 at </w:t>
      </w:r>
      <w:hyperlink r:id="rId18" w:history="1">
        <w:r w:rsidRPr="00DC3B20">
          <w:rPr>
            <w:rStyle w:val="Hyperlink"/>
          </w:rPr>
          <w:t>https://ifna.site/country/ghana/</w:t>
        </w:r>
      </w:hyperlink>
    </w:p>
    <w:p w14:paraId="08D212CE" w14:textId="77777777" w:rsidR="00D37D70" w:rsidRDefault="000826E3" w:rsidP="005239BC">
      <w:pPr>
        <w:pStyle w:val="ListParagraph"/>
        <w:numPr>
          <w:ilvl w:val="0"/>
          <w:numId w:val="12"/>
        </w:numPr>
        <w:spacing w:line="240" w:lineRule="auto"/>
        <w:ind w:left="357" w:hanging="357"/>
      </w:pPr>
      <w:r w:rsidRPr="000826E3">
        <w:t>Bhanbhro S, Drennan VM, Grant R</w:t>
      </w:r>
      <w:r>
        <w:t xml:space="preserve"> et al. </w:t>
      </w:r>
      <w:r w:rsidRPr="000826E3">
        <w:t xml:space="preserve">Assessing the contribution of prescribing in primary care by nurses and professionals allied to medicine: a systematic review of literature. BMC </w:t>
      </w:r>
      <w:r w:rsidR="00971641">
        <w:t>Health Services Research. 2011 ,11</w:t>
      </w:r>
      <w:r w:rsidRPr="000826E3">
        <w:t>:330.</w:t>
      </w:r>
      <w:r w:rsidR="00971641" w:rsidRPr="00971641">
        <w:t xml:space="preserve"> doi.org/10.1186/1472-6963-11-330</w:t>
      </w:r>
    </w:p>
    <w:p w14:paraId="7E280E5F" w14:textId="77777777" w:rsidR="00645FE1" w:rsidRDefault="008620C0" w:rsidP="005239BC">
      <w:pPr>
        <w:pStyle w:val="ListParagraph"/>
        <w:numPr>
          <w:ilvl w:val="0"/>
          <w:numId w:val="12"/>
        </w:numPr>
        <w:spacing w:line="240" w:lineRule="auto"/>
        <w:ind w:left="357" w:hanging="357"/>
      </w:pPr>
      <w:r w:rsidRPr="008620C0">
        <w:t xml:space="preserve">Landivar </w:t>
      </w:r>
      <w:r>
        <w:t>LN. Men in Nursing Occupations: American Community Survey Highlight Report. US Census Bureau. 2013. Accessed last 12-01-2018</w:t>
      </w:r>
      <w:r w:rsidRPr="008620C0">
        <w:t xml:space="preserve"> </w:t>
      </w:r>
      <w:hyperlink r:id="rId19" w:history="1">
        <w:r w:rsidRPr="00B0306C">
          <w:rPr>
            <w:rStyle w:val="Hyperlink"/>
          </w:rPr>
          <w:t>https://www.census.gov/library/working-papers/2013/acs/2013_Landivar_02.html</w:t>
        </w:r>
      </w:hyperlink>
      <w:r>
        <w:t xml:space="preserve"> </w:t>
      </w:r>
    </w:p>
    <w:p w14:paraId="61BC52CA" w14:textId="77777777" w:rsidR="003014DE" w:rsidRDefault="003014DE" w:rsidP="005239BC">
      <w:pPr>
        <w:pStyle w:val="ListParagraph"/>
        <w:numPr>
          <w:ilvl w:val="0"/>
          <w:numId w:val="12"/>
        </w:numPr>
        <w:spacing w:line="240" w:lineRule="auto"/>
        <w:ind w:left="357" w:hanging="357"/>
      </w:pPr>
      <w:r w:rsidRPr="003014DE">
        <w:t>Department of Health and Social Care</w:t>
      </w:r>
      <w:r>
        <w:t xml:space="preserve"> (England). </w:t>
      </w:r>
      <w:r w:rsidRPr="003014DE">
        <w:t>NHS pledges action to eliminate ethnicity pay gap</w:t>
      </w:r>
      <w:r>
        <w:t xml:space="preserve">. 2018. Accessed on 12-01-2019 at </w:t>
      </w:r>
      <w:hyperlink r:id="rId20" w:history="1">
        <w:r w:rsidR="00A14F19" w:rsidRPr="00B34747">
          <w:rPr>
            <w:rStyle w:val="Hyperlink"/>
          </w:rPr>
          <w:t>https://www.gov.uk/government/news/nhs-pledges-action-to-eliminate-ethnicity-pay-gap</w:t>
        </w:r>
      </w:hyperlink>
    </w:p>
    <w:p w14:paraId="10C0E807" w14:textId="77777777" w:rsidR="00A14F19" w:rsidRPr="00A14F19" w:rsidRDefault="00A14F19" w:rsidP="005239BC">
      <w:pPr>
        <w:pStyle w:val="ListParagraph"/>
        <w:numPr>
          <w:ilvl w:val="0"/>
          <w:numId w:val="12"/>
        </w:numPr>
        <w:spacing w:line="240" w:lineRule="auto"/>
        <w:ind w:left="357" w:hanging="357"/>
      </w:pPr>
      <w:r w:rsidRPr="00A14F19">
        <w:t>Ministère des Solidarités et de la Santé</w:t>
      </w:r>
      <w:r>
        <w:t xml:space="preserve"> (France)</w:t>
      </w:r>
      <w:r w:rsidRPr="00A14F19">
        <w:t xml:space="preserve">.  Data DRES TABLEAU 1. EFFECTIFS DES INFIRMIERS  2018  accessed 20-01-2019 at http://www.data.drees.sante.gouv.fr/TableViewer/tableView.aspx?ReportId=3704 </w:t>
      </w:r>
    </w:p>
    <w:p w14:paraId="1D3B2F55" w14:textId="77777777" w:rsidR="000776AB" w:rsidRDefault="000776AB" w:rsidP="005239BC">
      <w:pPr>
        <w:pStyle w:val="ListParagraph"/>
        <w:numPr>
          <w:ilvl w:val="0"/>
          <w:numId w:val="12"/>
        </w:numPr>
        <w:spacing w:line="240" w:lineRule="auto"/>
        <w:ind w:left="357" w:hanging="357"/>
      </w:pPr>
      <w:r w:rsidRPr="00853180">
        <w:t>Ono T, Lafortune G , Schoenstein M. Health Workforce Planning in OECD Countries: A Review of 26 Projection Models from 18 Countries. OECD Health Working Papers, No. 62, OECD Publishing, Paris. 2013. http://dx.doi.org/10.1787/5k44t787zcwb-en</w:t>
      </w:r>
    </w:p>
    <w:p w14:paraId="02938C46" w14:textId="77777777" w:rsidR="000776AB" w:rsidRPr="000D6D65" w:rsidRDefault="008F6CB3" w:rsidP="005239BC">
      <w:pPr>
        <w:pStyle w:val="ListParagraph"/>
        <w:numPr>
          <w:ilvl w:val="0"/>
          <w:numId w:val="12"/>
        </w:numPr>
        <w:spacing w:line="240" w:lineRule="auto"/>
        <w:ind w:left="357" w:hanging="357"/>
        <w:rPr>
          <w:rStyle w:val="Hyperlink"/>
          <w:color w:val="auto"/>
          <w:u w:val="none"/>
        </w:rPr>
      </w:pPr>
      <w:r>
        <w:t xml:space="preserve">NHS Digital. NHS Vacancy Statistics England February 2015 – March 2018, Provisional Experimental Statistics. 2018 Accessed 12-12-2018 at </w:t>
      </w:r>
      <w:hyperlink r:id="rId21" w:history="1">
        <w:r w:rsidR="00CE5B8B" w:rsidRPr="00E774A5">
          <w:rPr>
            <w:rStyle w:val="Hyperlink"/>
          </w:rPr>
          <w:t>https://digital.nhs.uk/data-and-information/publications/statistical/nhs-vacancies-survey/nhs-vacancy-statistics-england---february-2015---march-2018-provisional-experimental-statistics</w:t>
        </w:r>
      </w:hyperlink>
    </w:p>
    <w:p w14:paraId="71791C57" w14:textId="77777777" w:rsidR="000D6D65" w:rsidRPr="000D6D65" w:rsidRDefault="000D6D65" w:rsidP="005239BC">
      <w:pPr>
        <w:pStyle w:val="ListParagraph"/>
        <w:numPr>
          <w:ilvl w:val="0"/>
          <w:numId w:val="12"/>
        </w:numPr>
        <w:spacing w:line="240" w:lineRule="auto"/>
        <w:ind w:left="357" w:hanging="357"/>
        <w:rPr>
          <w:rStyle w:val="Hyperlink"/>
          <w:color w:val="auto"/>
          <w:u w:val="none"/>
        </w:rPr>
      </w:pPr>
      <w:r w:rsidRPr="000D6D65">
        <w:rPr>
          <w:rStyle w:val="Hyperlink"/>
          <w:color w:val="auto"/>
          <w:u w:val="none"/>
        </w:rPr>
        <w:lastRenderedPageBreak/>
        <w:t>Home Office (UK) Immigration Rules Appendix K: shortage occupation list 2016 updated January 2019. Accessed 12-01-2019 https://www.gov.uk/guidance/immigration-rules/immigration-rules-appendix-k-shortage-occupation-list</w:t>
      </w:r>
    </w:p>
    <w:p w14:paraId="4E411750" w14:textId="3CDCDCD2" w:rsidR="000D6D65" w:rsidRPr="000D6D65" w:rsidRDefault="000D6D65" w:rsidP="005239BC">
      <w:pPr>
        <w:pStyle w:val="ListParagraph"/>
        <w:numPr>
          <w:ilvl w:val="0"/>
          <w:numId w:val="12"/>
        </w:numPr>
        <w:spacing w:line="240" w:lineRule="auto"/>
        <w:ind w:left="357" w:hanging="357"/>
        <w:rPr>
          <w:rStyle w:val="Hyperlink"/>
          <w:color w:val="auto"/>
          <w:u w:val="none"/>
        </w:rPr>
      </w:pPr>
      <w:r w:rsidRPr="000D6D65">
        <w:rPr>
          <w:rStyle w:val="Hyperlink"/>
          <w:color w:val="auto"/>
          <w:u w:val="none"/>
        </w:rPr>
        <w:t xml:space="preserve">Australia </w:t>
      </w:r>
      <w:r w:rsidR="00881DD5" w:rsidRPr="000D6D65">
        <w:rPr>
          <w:rStyle w:val="Hyperlink"/>
          <w:color w:val="auto"/>
          <w:u w:val="none"/>
        </w:rPr>
        <w:t>Government,</w:t>
      </w:r>
      <w:r w:rsidRPr="000D6D65">
        <w:rPr>
          <w:rStyle w:val="Hyperlink"/>
          <w:color w:val="auto"/>
          <w:u w:val="none"/>
        </w:rPr>
        <w:t xml:space="preserve"> Department of Home Affairs . Temporary Skill Shortage Visa: skilled occupation list.  Accessed 12-01-2019 at https://immi.homeaffairs.gov.au/visas/working-in-australia/skill-occupation-list</w:t>
      </w:r>
    </w:p>
    <w:p w14:paraId="32284396" w14:textId="77777777" w:rsidR="000D6D65" w:rsidRDefault="000D6D65" w:rsidP="005239BC">
      <w:pPr>
        <w:pStyle w:val="ListParagraph"/>
        <w:numPr>
          <w:ilvl w:val="0"/>
          <w:numId w:val="12"/>
        </w:numPr>
        <w:spacing w:line="240" w:lineRule="auto"/>
        <w:ind w:left="357" w:hanging="357"/>
        <w:rPr>
          <w:rStyle w:val="Hyperlink"/>
          <w:color w:val="auto"/>
          <w:u w:val="none"/>
        </w:rPr>
      </w:pPr>
      <w:r w:rsidRPr="000D6D65">
        <w:rPr>
          <w:rStyle w:val="Hyperlink"/>
          <w:color w:val="auto"/>
          <w:u w:val="none"/>
        </w:rPr>
        <w:t>US Citizenship &amp; Immigration Services. H-1C Registered Nurse Working in a Health Professional Shortage Area as Determined by the Department of Labor. Expired 2009.https://www.uscis.gov/working-united-states/temporary-workers/h-1c-registered-nurse/h-1c-registered-nurse-working-health-professional-shortage-area-determined-department-labor</w:t>
      </w:r>
    </w:p>
    <w:p w14:paraId="4DB59E12" w14:textId="77777777" w:rsidR="00E2614C" w:rsidRDefault="00E2614C" w:rsidP="005239BC">
      <w:pPr>
        <w:pStyle w:val="ListParagraph"/>
        <w:numPr>
          <w:ilvl w:val="0"/>
          <w:numId w:val="12"/>
        </w:numPr>
        <w:spacing w:line="240" w:lineRule="auto"/>
        <w:ind w:left="357" w:hanging="357"/>
        <w:rPr>
          <w:rStyle w:val="Hyperlink"/>
          <w:color w:val="auto"/>
          <w:u w:val="none"/>
        </w:rPr>
      </w:pPr>
      <w:r w:rsidRPr="00E2614C">
        <w:rPr>
          <w:rStyle w:val="Hyperlink"/>
          <w:color w:val="auto"/>
          <w:u w:val="none"/>
        </w:rPr>
        <w:t>World Health Organisation. Health Workforce and Labour Market Dynamics in OECD High-Income Countr</w:t>
      </w:r>
      <w:r w:rsidR="00611AC7">
        <w:rPr>
          <w:rStyle w:val="Hyperlink"/>
          <w:color w:val="auto"/>
          <w:u w:val="none"/>
        </w:rPr>
        <w:t>ies: A Synthesis o</w:t>
      </w:r>
      <w:r w:rsidRPr="00E2614C">
        <w:rPr>
          <w:rStyle w:val="Hyperlink"/>
          <w:color w:val="auto"/>
          <w:u w:val="none"/>
        </w:rPr>
        <w:t xml:space="preserve">f Recent Analyses and Simulations Of Future Supply And Requirements. Human Resources for Health Observer Series No 20.  2017. Accessed 2017 </w:t>
      </w:r>
      <w:hyperlink r:id="rId22" w:history="1">
        <w:r w:rsidR="009F1B49" w:rsidRPr="00053B7B">
          <w:rPr>
            <w:rStyle w:val="Hyperlink"/>
          </w:rPr>
          <w:t>https://www.who.int/hrh/resources/health-observer20/en/</w:t>
        </w:r>
      </w:hyperlink>
    </w:p>
    <w:p w14:paraId="4B7DE471" w14:textId="07F17640" w:rsidR="009F1B49" w:rsidRPr="00881DD5" w:rsidRDefault="009F1B49" w:rsidP="005239BC">
      <w:pPr>
        <w:pStyle w:val="ListParagraph"/>
        <w:numPr>
          <w:ilvl w:val="0"/>
          <w:numId w:val="12"/>
        </w:numPr>
        <w:spacing w:line="240" w:lineRule="auto"/>
        <w:ind w:left="357" w:hanging="357"/>
        <w:rPr>
          <w:rStyle w:val="Hyperlink"/>
          <w:color w:val="auto"/>
          <w:u w:val="none"/>
        </w:rPr>
      </w:pPr>
      <w:r w:rsidRPr="009F1B49">
        <w:rPr>
          <w:rStyle w:val="Hyperlink"/>
          <w:color w:val="auto"/>
          <w:u w:val="none"/>
        </w:rPr>
        <w:t>World Health Organisation. Increasing access to health workers in remote and rural areas through improved retention Global policy recommendations</w:t>
      </w:r>
      <w:r>
        <w:rPr>
          <w:rStyle w:val="Hyperlink"/>
          <w:color w:val="auto"/>
          <w:u w:val="none"/>
        </w:rPr>
        <w:t xml:space="preserve">. Accessed last 12-12-2019 at </w:t>
      </w:r>
      <w:hyperlink r:id="rId23" w:history="1">
        <w:r w:rsidR="00DE2C23" w:rsidRPr="00053B7B">
          <w:rPr>
            <w:rStyle w:val="Hyperlink"/>
          </w:rPr>
          <w:t>https://www.who.int/hrh/retention/guidelines/en/</w:t>
        </w:r>
      </w:hyperlink>
    </w:p>
    <w:p w14:paraId="41DE83C7" w14:textId="77777777" w:rsidR="00BF3020" w:rsidRPr="00BF3020" w:rsidRDefault="00BF3020" w:rsidP="005239BC">
      <w:pPr>
        <w:pStyle w:val="ListParagraph"/>
        <w:numPr>
          <w:ilvl w:val="0"/>
          <w:numId w:val="12"/>
        </w:numPr>
        <w:spacing w:line="240" w:lineRule="auto"/>
        <w:ind w:left="357" w:hanging="357"/>
        <w:rPr>
          <w:rStyle w:val="Hyperlink"/>
          <w:color w:val="auto"/>
          <w:u w:val="none"/>
        </w:rPr>
      </w:pPr>
      <w:r w:rsidRPr="00BF3020">
        <w:rPr>
          <w:rStyle w:val="Hyperlink"/>
          <w:color w:val="auto"/>
          <w:u w:val="none"/>
        </w:rPr>
        <w:t xml:space="preserve">Kanchanachitra C, Lindelow M, Johnston T. et al. Human resources for health in southeast Asia: shortages, distributional challenges, and international trade in health services. Lancet. 2011377:769-81. doi: 10.1016/S0140-6736(10)62035-1. </w:t>
      </w:r>
    </w:p>
    <w:p w14:paraId="37B19CF7" w14:textId="3AEE817D" w:rsidR="00DE2C23" w:rsidRDefault="00DE2C23" w:rsidP="005239BC">
      <w:pPr>
        <w:pStyle w:val="ListParagraph"/>
        <w:numPr>
          <w:ilvl w:val="0"/>
          <w:numId w:val="12"/>
        </w:numPr>
        <w:spacing w:line="240" w:lineRule="auto"/>
        <w:ind w:left="357" w:hanging="357"/>
        <w:rPr>
          <w:rStyle w:val="Hyperlink"/>
          <w:color w:val="auto"/>
          <w:u w:val="none"/>
        </w:rPr>
      </w:pPr>
      <w:r w:rsidRPr="00DE2C23">
        <w:rPr>
          <w:rStyle w:val="Hyperlink"/>
          <w:color w:val="auto"/>
          <w:u w:val="none"/>
        </w:rPr>
        <w:t xml:space="preserve">Appiagyei AA , Kiriinya RN , Gross JM </w:t>
      </w:r>
      <w:r w:rsidR="00881DD5">
        <w:rPr>
          <w:rStyle w:val="Hyperlink"/>
          <w:color w:val="auto"/>
          <w:u w:val="none"/>
        </w:rPr>
        <w:t>et al.</w:t>
      </w:r>
      <w:r w:rsidRPr="00DE2C23">
        <w:rPr>
          <w:rStyle w:val="Hyperlink"/>
          <w:color w:val="auto"/>
          <w:u w:val="none"/>
        </w:rPr>
        <w:t xml:space="preserve">Informing the scale-up of Kenya’s nursing workforce: a mixed methods study of factors affecting pre-service training capacity and production Human Resources for Health 2014, 12:47 </w:t>
      </w:r>
      <w:hyperlink r:id="rId24" w:history="1">
        <w:r w:rsidR="00907F0B" w:rsidRPr="00F47B3F">
          <w:rPr>
            <w:rStyle w:val="Hyperlink"/>
          </w:rPr>
          <w:t>http://www.human-resources-health.com/content/12/1/47</w:t>
        </w:r>
      </w:hyperlink>
    </w:p>
    <w:p w14:paraId="4C276D19" w14:textId="296B4FEB" w:rsidR="00907F0B" w:rsidRPr="009F1B49" w:rsidRDefault="00907F0B" w:rsidP="005239BC">
      <w:pPr>
        <w:pStyle w:val="ListParagraph"/>
        <w:numPr>
          <w:ilvl w:val="0"/>
          <w:numId w:val="12"/>
        </w:numPr>
        <w:spacing w:line="240" w:lineRule="auto"/>
        <w:ind w:left="357" w:hanging="357"/>
        <w:rPr>
          <w:rStyle w:val="Hyperlink"/>
          <w:color w:val="auto"/>
          <w:u w:val="none"/>
        </w:rPr>
      </w:pPr>
      <w:r w:rsidRPr="00907F0B">
        <w:rPr>
          <w:rStyle w:val="Hyperlink"/>
          <w:color w:val="auto"/>
          <w:u w:val="none"/>
        </w:rPr>
        <w:t>Abhicharttibutra K, Kunaviktikul W, Turale S</w:t>
      </w:r>
      <w:r w:rsidR="00881DD5">
        <w:rPr>
          <w:rStyle w:val="Hyperlink"/>
          <w:color w:val="auto"/>
          <w:u w:val="none"/>
        </w:rPr>
        <w:t xml:space="preserve"> et al. </w:t>
      </w:r>
      <w:r w:rsidRPr="00907F0B">
        <w:rPr>
          <w:rStyle w:val="Hyperlink"/>
          <w:color w:val="auto"/>
          <w:u w:val="none"/>
        </w:rPr>
        <w:t>Analysis of a government policy to address nursing shortage and nursing education quality. Interna</w:t>
      </w:r>
      <w:r w:rsidR="00881DD5">
        <w:rPr>
          <w:rStyle w:val="Hyperlink"/>
          <w:color w:val="auto"/>
          <w:u w:val="none"/>
        </w:rPr>
        <w:t>tional nursing review. 2017 64</w:t>
      </w:r>
      <w:r w:rsidRPr="00907F0B">
        <w:rPr>
          <w:rStyle w:val="Hyperlink"/>
          <w:color w:val="auto"/>
          <w:u w:val="none"/>
        </w:rPr>
        <w:t>:22-32.</w:t>
      </w:r>
    </w:p>
    <w:p w14:paraId="326FBC42" w14:textId="1680F032" w:rsidR="001247B0" w:rsidRDefault="00902786" w:rsidP="005239BC">
      <w:pPr>
        <w:pStyle w:val="ListParagraph"/>
        <w:numPr>
          <w:ilvl w:val="0"/>
          <w:numId w:val="12"/>
        </w:numPr>
        <w:spacing w:line="240" w:lineRule="auto"/>
        <w:ind w:left="357" w:hanging="357"/>
        <w:rPr>
          <w:rStyle w:val="Hyperlink"/>
          <w:color w:val="auto"/>
          <w:u w:val="none"/>
        </w:rPr>
      </w:pPr>
      <w:r w:rsidRPr="00902786">
        <w:rPr>
          <w:rStyle w:val="Hyperlink"/>
          <w:color w:val="auto"/>
          <w:u w:val="none"/>
        </w:rPr>
        <w:t>Jones T, Heui Bae S, Murry N</w:t>
      </w:r>
      <w:r w:rsidR="00881DD5">
        <w:rPr>
          <w:rStyle w:val="Hyperlink"/>
          <w:color w:val="auto"/>
          <w:u w:val="none"/>
        </w:rPr>
        <w:t xml:space="preserve"> etal. </w:t>
      </w:r>
      <w:r w:rsidRPr="00902786">
        <w:rPr>
          <w:rStyle w:val="Hyperlink"/>
          <w:color w:val="auto"/>
          <w:u w:val="none"/>
        </w:rPr>
        <w:t>Texas nurse staffing trends before and after mandated nurse staffing committees. Policy Polit Nurs Pract 2015; 16 79–96.</w:t>
      </w:r>
      <w:r w:rsidR="001247B0">
        <w:rPr>
          <w:rStyle w:val="Hyperlink"/>
          <w:color w:val="auto"/>
          <w:u w:val="none"/>
        </w:rPr>
        <w:t xml:space="preserve"> </w:t>
      </w:r>
      <w:r w:rsidR="001247B0" w:rsidRPr="001247B0">
        <w:rPr>
          <w:rStyle w:val="Hyperlink"/>
          <w:color w:val="auto"/>
          <w:u w:val="none"/>
        </w:rPr>
        <w:t>DOI: 10.1177/1527154415616254</w:t>
      </w:r>
    </w:p>
    <w:p w14:paraId="7D7EFBBA" w14:textId="2DF146B9" w:rsidR="00663D09" w:rsidRDefault="00663D09" w:rsidP="005239BC">
      <w:pPr>
        <w:pStyle w:val="ListParagraph"/>
        <w:numPr>
          <w:ilvl w:val="0"/>
          <w:numId w:val="12"/>
        </w:numPr>
        <w:spacing w:line="240" w:lineRule="auto"/>
        <w:ind w:left="357" w:hanging="357"/>
        <w:rPr>
          <w:rStyle w:val="Hyperlink"/>
          <w:color w:val="auto"/>
          <w:u w:val="none"/>
        </w:rPr>
      </w:pPr>
      <w:r w:rsidRPr="00663D09">
        <w:rPr>
          <w:rStyle w:val="Hyperlink"/>
          <w:color w:val="auto"/>
          <w:u w:val="none"/>
        </w:rPr>
        <w:t>Rottenberg S. On choice in labor markets. Industrial and Labor Relations Review 1956, 9:183–199.</w:t>
      </w:r>
    </w:p>
    <w:p w14:paraId="648650DC" w14:textId="67E6229F" w:rsidR="00881DD5" w:rsidRDefault="00881DD5" w:rsidP="005239BC">
      <w:pPr>
        <w:pStyle w:val="ListParagraph"/>
        <w:numPr>
          <w:ilvl w:val="0"/>
          <w:numId w:val="12"/>
        </w:numPr>
        <w:spacing w:line="240" w:lineRule="auto"/>
        <w:ind w:left="357" w:hanging="357"/>
        <w:rPr>
          <w:rStyle w:val="Hyperlink"/>
          <w:color w:val="auto"/>
          <w:u w:val="none"/>
        </w:rPr>
      </w:pPr>
      <w:r w:rsidRPr="009057DF">
        <w:rPr>
          <w:rStyle w:val="Hyperlink"/>
          <w:color w:val="auto"/>
          <w:u w:val="none"/>
        </w:rPr>
        <w:t>Trépanier A, Gagnon MP, Mbemba GI</w:t>
      </w:r>
      <w:r>
        <w:rPr>
          <w:rStyle w:val="Hyperlink"/>
          <w:color w:val="auto"/>
          <w:u w:val="none"/>
        </w:rPr>
        <w:t xml:space="preserve"> et al. </w:t>
      </w:r>
      <w:r w:rsidRPr="009057DF">
        <w:rPr>
          <w:rStyle w:val="Hyperlink"/>
          <w:color w:val="auto"/>
          <w:u w:val="none"/>
        </w:rPr>
        <w:t>Factors associated with intended and effective settlement of nursing students and newly graduated nurses in a rural setting after graduation: A mixed-methods review. International Journal o</w:t>
      </w:r>
      <w:r>
        <w:rPr>
          <w:rStyle w:val="Hyperlink"/>
          <w:color w:val="auto"/>
          <w:u w:val="none"/>
        </w:rPr>
        <w:t>f Nursing Studies. 2013:50</w:t>
      </w:r>
      <w:r w:rsidRPr="009057DF">
        <w:rPr>
          <w:rStyle w:val="Hyperlink"/>
          <w:color w:val="auto"/>
          <w:u w:val="none"/>
        </w:rPr>
        <w:t>:314-25.</w:t>
      </w:r>
    </w:p>
    <w:p w14:paraId="1C32E001" w14:textId="4BA7F78F" w:rsidR="0012746F" w:rsidRPr="00BF3020" w:rsidRDefault="0012746F" w:rsidP="005239BC">
      <w:pPr>
        <w:pStyle w:val="ListParagraph"/>
        <w:numPr>
          <w:ilvl w:val="0"/>
          <w:numId w:val="12"/>
        </w:numPr>
        <w:spacing w:line="240" w:lineRule="auto"/>
        <w:ind w:left="357" w:hanging="357"/>
        <w:rPr>
          <w:rStyle w:val="Hyperlink"/>
          <w:color w:val="auto"/>
          <w:u w:val="none"/>
        </w:rPr>
      </w:pPr>
      <w:r w:rsidRPr="0012746F">
        <w:rPr>
          <w:rStyle w:val="Hyperlink"/>
          <w:color w:val="auto"/>
          <w:u w:val="none"/>
        </w:rPr>
        <w:t xml:space="preserve">Mbemba GI, Gagnon MP, Hamelin-Brabant L. Factors influencing recruitment and retention of healthcare workers in rural and remote areas in developed and developing countries: an overview. Journal of </w:t>
      </w:r>
      <w:r>
        <w:rPr>
          <w:rStyle w:val="Hyperlink"/>
          <w:color w:val="auto"/>
          <w:u w:val="none"/>
        </w:rPr>
        <w:t>P</w:t>
      </w:r>
      <w:r w:rsidRPr="0012746F">
        <w:rPr>
          <w:rStyle w:val="Hyperlink"/>
          <w:color w:val="auto"/>
          <w:u w:val="none"/>
        </w:rPr>
        <w:t xml:space="preserve">ublic </w:t>
      </w:r>
      <w:r>
        <w:rPr>
          <w:rStyle w:val="Hyperlink"/>
          <w:color w:val="auto"/>
          <w:u w:val="none"/>
        </w:rPr>
        <w:t>H</w:t>
      </w:r>
      <w:r w:rsidRPr="0012746F">
        <w:rPr>
          <w:rStyle w:val="Hyperlink"/>
          <w:color w:val="auto"/>
          <w:u w:val="none"/>
        </w:rPr>
        <w:t>ealth in Africa. 2016</w:t>
      </w:r>
      <w:r w:rsidR="00881DD5">
        <w:rPr>
          <w:rStyle w:val="Hyperlink"/>
          <w:color w:val="auto"/>
          <w:u w:val="none"/>
        </w:rPr>
        <w:t>: 7</w:t>
      </w:r>
      <w:r w:rsidR="00BF3020" w:rsidRPr="00BF3020">
        <w:rPr>
          <w:rStyle w:val="Hyperlink"/>
          <w:color w:val="auto"/>
          <w:u w:val="none"/>
        </w:rPr>
        <w:t>:565. doi: 10.4081/jphia.2016.565.</w:t>
      </w:r>
    </w:p>
    <w:p w14:paraId="4C1D6716" w14:textId="35C871AA" w:rsidR="00C70765" w:rsidRPr="00663D09" w:rsidRDefault="00C70765" w:rsidP="005239BC">
      <w:pPr>
        <w:pStyle w:val="ListParagraph"/>
        <w:numPr>
          <w:ilvl w:val="0"/>
          <w:numId w:val="12"/>
        </w:numPr>
        <w:spacing w:line="240" w:lineRule="auto"/>
        <w:ind w:left="357" w:hanging="357"/>
        <w:rPr>
          <w:rStyle w:val="Hyperlink"/>
          <w:color w:val="auto"/>
          <w:u w:val="none"/>
        </w:rPr>
      </w:pPr>
      <w:r w:rsidRPr="00C70765">
        <w:rPr>
          <w:rStyle w:val="Hyperlink"/>
          <w:color w:val="auto"/>
          <w:u w:val="none"/>
        </w:rPr>
        <w:t xml:space="preserve">Prescott M, Nichter M. Transnational nurse migration: future directions for medical anthropological research. Social Science &amp; Medicine. 2014 </w:t>
      </w:r>
      <w:r w:rsidR="00881DD5">
        <w:rPr>
          <w:rStyle w:val="Hyperlink"/>
          <w:color w:val="auto"/>
          <w:u w:val="none"/>
        </w:rPr>
        <w:t>:</w:t>
      </w:r>
      <w:r w:rsidRPr="00C70765">
        <w:rPr>
          <w:rStyle w:val="Hyperlink"/>
          <w:color w:val="auto"/>
          <w:u w:val="none"/>
        </w:rPr>
        <w:t>107:113-23.</w:t>
      </w:r>
    </w:p>
    <w:p w14:paraId="0395F836" w14:textId="6178FA2C" w:rsidR="00333466" w:rsidRDefault="00333466" w:rsidP="005239BC">
      <w:pPr>
        <w:pStyle w:val="ListParagraph"/>
        <w:numPr>
          <w:ilvl w:val="0"/>
          <w:numId w:val="12"/>
        </w:numPr>
        <w:spacing w:line="240" w:lineRule="auto"/>
        <w:ind w:left="357" w:hanging="357"/>
        <w:rPr>
          <w:rStyle w:val="Hyperlink"/>
          <w:color w:val="auto"/>
          <w:u w:val="none"/>
        </w:rPr>
      </w:pPr>
      <w:r w:rsidRPr="00333466">
        <w:rPr>
          <w:rStyle w:val="Hyperlink"/>
          <w:color w:val="auto"/>
          <w:u w:val="none"/>
        </w:rPr>
        <w:t xml:space="preserve">The Lancet Commission </w:t>
      </w:r>
      <w:r w:rsidR="005239BC">
        <w:rPr>
          <w:rStyle w:val="Hyperlink"/>
          <w:color w:val="auto"/>
          <w:u w:val="none"/>
        </w:rPr>
        <w:t>o</w:t>
      </w:r>
      <w:r w:rsidRPr="00333466">
        <w:rPr>
          <w:rStyle w:val="Hyperlink"/>
          <w:color w:val="auto"/>
          <w:u w:val="none"/>
        </w:rPr>
        <w:t>n Nursing</w:t>
      </w:r>
      <w:r>
        <w:rPr>
          <w:rStyle w:val="Hyperlink"/>
          <w:color w:val="auto"/>
          <w:u w:val="none"/>
        </w:rPr>
        <w:t xml:space="preserve">. </w:t>
      </w:r>
      <w:r w:rsidR="000B4B0C">
        <w:rPr>
          <w:rStyle w:val="Hyperlink"/>
          <w:color w:val="auto"/>
          <w:u w:val="none"/>
        </w:rPr>
        <w:t>The Lancet</w:t>
      </w:r>
      <w:r w:rsidR="005239BC">
        <w:rPr>
          <w:rStyle w:val="Hyperlink"/>
          <w:color w:val="auto"/>
          <w:u w:val="none"/>
        </w:rPr>
        <w:t xml:space="preserve"> </w:t>
      </w:r>
      <w:r>
        <w:rPr>
          <w:rStyle w:val="Hyperlink"/>
          <w:color w:val="auto"/>
          <w:u w:val="none"/>
        </w:rPr>
        <w:t>1933. 221:</w:t>
      </w:r>
      <w:r w:rsidRPr="00333466">
        <w:rPr>
          <w:rStyle w:val="Hyperlink"/>
          <w:color w:val="auto"/>
          <w:u w:val="none"/>
        </w:rPr>
        <w:t>369-370</w:t>
      </w:r>
      <w:r>
        <w:rPr>
          <w:rStyle w:val="Hyperlink"/>
          <w:color w:val="auto"/>
          <w:u w:val="none"/>
        </w:rPr>
        <w:t xml:space="preserve">. </w:t>
      </w:r>
      <w:hyperlink r:id="rId25" w:history="1">
        <w:r w:rsidR="009D6263" w:rsidRPr="00016C11">
          <w:rPr>
            <w:rStyle w:val="Hyperlink"/>
          </w:rPr>
          <w:t>https://doi.org/10.1016/S0140-6736(00)98375-2</w:t>
        </w:r>
      </w:hyperlink>
    </w:p>
    <w:p w14:paraId="2B5FE6FE" w14:textId="3A82D07D" w:rsidR="009D6263" w:rsidRDefault="00881DD5" w:rsidP="005239BC">
      <w:pPr>
        <w:pStyle w:val="ListParagraph"/>
        <w:numPr>
          <w:ilvl w:val="0"/>
          <w:numId w:val="12"/>
        </w:numPr>
        <w:spacing w:line="240" w:lineRule="auto"/>
        <w:ind w:left="357" w:hanging="357"/>
        <w:rPr>
          <w:rStyle w:val="Hyperlink"/>
          <w:color w:val="auto"/>
          <w:u w:val="none"/>
        </w:rPr>
      </w:pPr>
      <w:r>
        <w:rPr>
          <w:rStyle w:val="Hyperlink"/>
          <w:color w:val="auto"/>
          <w:u w:val="none"/>
        </w:rPr>
        <w:t xml:space="preserve">Nei D., Snyder L.A, </w:t>
      </w:r>
      <w:r w:rsidR="009D6263" w:rsidRPr="009D6263">
        <w:rPr>
          <w:rStyle w:val="Hyperlink"/>
          <w:color w:val="auto"/>
          <w:u w:val="none"/>
        </w:rPr>
        <w:t xml:space="preserve">Litwiller B.J. Promoting retention of nurses: a meta-analytic examination of causes of nurse turnover. Health Care Management Review 2014, 40 </w:t>
      </w:r>
      <w:r w:rsidR="009D6263">
        <w:rPr>
          <w:rStyle w:val="Hyperlink"/>
          <w:color w:val="auto"/>
          <w:u w:val="none"/>
        </w:rPr>
        <w:t xml:space="preserve">: </w:t>
      </w:r>
      <w:r w:rsidR="009D6263" w:rsidRPr="009D6263">
        <w:rPr>
          <w:rStyle w:val="Hyperlink"/>
          <w:color w:val="auto"/>
          <w:u w:val="none"/>
        </w:rPr>
        <w:t>237–253.</w:t>
      </w:r>
    </w:p>
    <w:p w14:paraId="7BFC1507" w14:textId="7C68F052" w:rsidR="000B4B0C" w:rsidRDefault="000B4B0C" w:rsidP="005239BC">
      <w:pPr>
        <w:pStyle w:val="ListParagraph"/>
        <w:numPr>
          <w:ilvl w:val="0"/>
          <w:numId w:val="12"/>
        </w:numPr>
        <w:spacing w:line="240" w:lineRule="auto"/>
        <w:ind w:left="357" w:hanging="357"/>
        <w:rPr>
          <w:rStyle w:val="Hyperlink"/>
          <w:color w:val="auto"/>
          <w:u w:val="none"/>
        </w:rPr>
      </w:pPr>
      <w:r w:rsidRPr="000B4B0C">
        <w:rPr>
          <w:rStyle w:val="Hyperlink"/>
          <w:color w:val="auto"/>
          <w:u w:val="none"/>
        </w:rPr>
        <w:t>Halter M, Boiko O, Pelone F</w:t>
      </w:r>
      <w:r>
        <w:rPr>
          <w:rStyle w:val="Hyperlink"/>
          <w:color w:val="auto"/>
          <w:u w:val="none"/>
        </w:rPr>
        <w:t xml:space="preserve"> et al. </w:t>
      </w:r>
      <w:r w:rsidRPr="000B4B0C">
        <w:rPr>
          <w:rStyle w:val="Hyperlink"/>
          <w:color w:val="auto"/>
          <w:u w:val="none"/>
        </w:rPr>
        <w:t>The determinants and consequences of adult nursing staff turnover: a systematic review of systematic reviews.</w:t>
      </w:r>
      <w:r>
        <w:rPr>
          <w:rStyle w:val="Hyperlink"/>
          <w:color w:val="auto"/>
          <w:u w:val="none"/>
        </w:rPr>
        <w:t xml:space="preserve"> </w:t>
      </w:r>
      <w:r w:rsidRPr="000B4B0C">
        <w:rPr>
          <w:rStyle w:val="Hyperlink"/>
          <w:color w:val="auto"/>
          <w:u w:val="none"/>
        </w:rPr>
        <w:t xml:space="preserve">BMC Health Serv Res. 2017 </w:t>
      </w:r>
      <w:r>
        <w:rPr>
          <w:rStyle w:val="Hyperlink"/>
          <w:color w:val="auto"/>
          <w:u w:val="none"/>
        </w:rPr>
        <w:t>,17</w:t>
      </w:r>
      <w:r w:rsidRPr="000B4B0C">
        <w:rPr>
          <w:rStyle w:val="Hyperlink"/>
          <w:color w:val="auto"/>
          <w:u w:val="none"/>
        </w:rPr>
        <w:t>:824. doi: 10.1186/s12913-017-2707-0. Review.</w:t>
      </w:r>
    </w:p>
    <w:p w14:paraId="73D604EA" w14:textId="6B93F88E" w:rsidR="00345BCD" w:rsidRPr="00132998" w:rsidRDefault="00345BCD" w:rsidP="005239BC">
      <w:pPr>
        <w:pStyle w:val="ListParagraph"/>
        <w:numPr>
          <w:ilvl w:val="0"/>
          <w:numId w:val="12"/>
        </w:numPr>
        <w:spacing w:line="240" w:lineRule="auto"/>
        <w:ind w:left="357" w:hanging="357"/>
        <w:rPr>
          <w:rStyle w:val="Hyperlink"/>
          <w:color w:val="auto"/>
          <w:u w:val="none"/>
        </w:rPr>
      </w:pPr>
      <w:r>
        <w:rPr>
          <w:rStyle w:val="Hyperlink"/>
          <w:color w:val="auto"/>
          <w:u w:val="none"/>
        </w:rPr>
        <w:t xml:space="preserve">Buchanan I, Shaffer </w:t>
      </w:r>
      <w:r w:rsidRPr="00345BCD">
        <w:rPr>
          <w:rStyle w:val="Hyperlink"/>
          <w:color w:val="auto"/>
          <w:u w:val="none"/>
        </w:rPr>
        <w:t>FA</w:t>
      </w:r>
      <w:r>
        <w:rPr>
          <w:rStyle w:val="Hyperlink"/>
          <w:color w:val="auto"/>
          <w:u w:val="none"/>
        </w:rPr>
        <w:t xml:space="preserve">, Catton H. Policy Brief: Nurse Retention. </w:t>
      </w:r>
      <w:r w:rsidR="006D1992">
        <w:rPr>
          <w:rStyle w:val="Hyperlink"/>
          <w:color w:val="auto"/>
          <w:u w:val="none"/>
        </w:rPr>
        <w:t xml:space="preserve">Geneva, </w:t>
      </w:r>
      <w:r>
        <w:rPr>
          <w:rStyle w:val="Hyperlink"/>
          <w:color w:val="auto"/>
          <w:u w:val="none"/>
        </w:rPr>
        <w:t>International Council</w:t>
      </w:r>
      <w:r w:rsidR="006D1992">
        <w:rPr>
          <w:rStyle w:val="Hyperlink"/>
          <w:color w:val="auto"/>
          <w:u w:val="none"/>
        </w:rPr>
        <w:t xml:space="preserve"> of Nurses. 2018 Accessed last 12-01-2019 </w:t>
      </w:r>
      <w:hyperlink r:id="rId26" w:history="1">
        <w:r w:rsidR="00492D19" w:rsidRPr="00A9724F">
          <w:rPr>
            <w:rStyle w:val="Hyperlink"/>
          </w:rPr>
          <w:t>https://www.icn.ch/news/new-policy-brief-nurse-retention-released</w:t>
        </w:r>
      </w:hyperlink>
    </w:p>
    <w:p w14:paraId="3F2B798E" w14:textId="4FD17F38" w:rsidR="00B849E3" w:rsidRDefault="00B849E3" w:rsidP="005239BC">
      <w:pPr>
        <w:pStyle w:val="ListParagraph"/>
        <w:numPr>
          <w:ilvl w:val="0"/>
          <w:numId w:val="12"/>
        </w:numPr>
        <w:spacing w:line="240" w:lineRule="auto"/>
        <w:ind w:left="357" w:hanging="357"/>
        <w:rPr>
          <w:rStyle w:val="Hyperlink"/>
          <w:color w:val="auto"/>
          <w:u w:val="none"/>
        </w:rPr>
      </w:pPr>
      <w:r w:rsidRPr="00B849E3">
        <w:rPr>
          <w:rStyle w:val="Hyperlink"/>
          <w:color w:val="auto"/>
          <w:u w:val="none"/>
        </w:rPr>
        <w:t xml:space="preserve">Bvumbwe T, Mtshali N. Nursing education challenges and solutions in Sub Saharan Africa: an integrative review. BMC </w:t>
      </w:r>
      <w:r w:rsidR="00FA3B8C">
        <w:rPr>
          <w:rStyle w:val="Hyperlink"/>
          <w:color w:val="auto"/>
          <w:u w:val="none"/>
        </w:rPr>
        <w:t>N</w:t>
      </w:r>
      <w:r w:rsidRPr="00B849E3">
        <w:rPr>
          <w:rStyle w:val="Hyperlink"/>
          <w:color w:val="auto"/>
          <w:u w:val="none"/>
        </w:rPr>
        <w:t>ursing. 2018 17:3.</w:t>
      </w:r>
      <w:r w:rsidR="00734B39" w:rsidRPr="00734B39">
        <w:t xml:space="preserve"> </w:t>
      </w:r>
      <w:r w:rsidR="00734B39" w:rsidRPr="00734B39">
        <w:rPr>
          <w:rStyle w:val="Hyperlink"/>
          <w:color w:val="auto"/>
          <w:u w:val="none"/>
        </w:rPr>
        <w:t>doi: 10.1186/s12912-018-0272-4.</w:t>
      </w:r>
    </w:p>
    <w:p w14:paraId="7C565B19" w14:textId="6CB84790" w:rsidR="00FA3B8C" w:rsidRDefault="00FA3B8C" w:rsidP="005239BC">
      <w:pPr>
        <w:pStyle w:val="ListParagraph"/>
        <w:numPr>
          <w:ilvl w:val="0"/>
          <w:numId w:val="12"/>
        </w:numPr>
        <w:spacing w:line="240" w:lineRule="auto"/>
        <w:ind w:left="357" w:hanging="357"/>
        <w:rPr>
          <w:rStyle w:val="Hyperlink"/>
          <w:color w:val="auto"/>
          <w:u w:val="none"/>
        </w:rPr>
      </w:pPr>
      <w:r>
        <w:rPr>
          <w:rStyle w:val="Hyperlink"/>
          <w:color w:val="auto"/>
          <w:u w:val="none"/>
        </w:rPr>
        <w:t xml:space="preserve">Colombo F. </w:t>
      </w:r>
      <w:r w:rsidRPr="00FA3B8C">
        <w:rPr>
          <w:rStyle w:val="Hyperlink"/>
          <w:color w:val="auto"/>
          <w:u w:val="none"/>
        </w:rPr>
        <w:t>The nursing workforce: Past trends, future developments</w:t>
      </w:r>
      <w:r>
        <w:rPr>
          <w:rStyle w:val="Hyperlink"/>
          <w:color w:val="auto"/>
          <w:u w:val="none"/>
        </w:rPr>
        <w:t xml:space="preserve">. 2016. OECD Accessed last 20-1-2019 at </w:t>
      </w:r>
      <w:hyperlink r:id="rId27" w:history="1">
        <w:r w:rsidR="00EF1215" w:rsidRPr="00A3105B">
          <w:rPr>
            <w:rStyle w:val="Hyperlink"/>
          </w:rPr>
          <w:t>http://www.oecd.org/health/health-systems/Nursing-workforce-February2016.pdf</w:t>
        </w:r>
      </w:hyperlink>
    </w:p>
    <w:p w14:paraId="7D691EBB" w14:textId="77777777" w:rsidR="00EF1215" w:rsidRPr="00EF1215" w:rsidRDefault="00EF1215" w:rsidP="005239BC">
      <w:pPr>
        <w:pStyle w:val="ListParagraph"/>
        <w:numPr>
          <w:ilvl w:val="0"/>
          <w:numId w:val="12"/>
        </w:numPr>
        <w:spacing w:line="240" w:lineRule="auto"/>
        <w:ind w:left="357" w:hanging="357"/>
        <w:rPr>
          <w:rStyle w:val="Hyperlink"/>
          <w:color w:val="auto"/>
          <w:u w:val="none"/>
        </w:rPr>
      </w:pPr>
      <w:r w:rsidRPr="00EF1215">
        <w:rPr>
          <w:rStyle w:val="Hyperlink"/>
          <w:color w:val="auto"/>
          <w:u w:val="none"/>
        </w:rPr>
        <w:t xml:space="preserve">Dolea C, Stormont L, Braichet JM. Evaluated strategies to increase attraction and retention of health workers in remote and rural areas. Bulletin of the World Health Organization. 2010;88:379-85. </w:t>
      </w:r>
    </w:p>
    <w:p w14:paraId="7584F735" w14:textId="2D35E0E7" w:rsidR="001A7811" w:rsidRPr="001A7811" w:rsidRDefault="001A7811" w:rsidP="005239BC">
      <w:pPr>
        <w:pStyle w:val="ListParagraph"/>
        <w:numPr>
          <w:ilvl w:val="0"/>
          <w:numId w:val="12"/>
        </w:numPr>
        <w:spacing w:line="240" w:lineRule="auto"/>
        <w:ind w:left="357" w:hanging="357"/>
        <w:rPr>
          <w:rStyle w:val="Hyperlink"/>
          <w:color w:val="auto"/>
          <w:u w:val="none"/>
        </w:rPr>
      </w:pPr>
      <w:r w:rsidRPr="001A7811">
        <w:rPr>
          <w:rStyle w:val="Hyperlink"/>
          <w:color w:val="auto"/>
          <w:u w:val="none"/>
        </w:rPr>
        <w:lastRenderedPageBreak/>
        <w:t>Jiang K., Lepak D.P., Hu J</w:t>
      </w:r>
      <w:r w:rsidR="000A6071">
        <w:rPr>
          <w:rStyle w:val="Hyperlink"/>
          <w:color w:val="auto"/>
          <w:u w:val="none"/>
        </w:rPr>
        <w:t xml:space="preserve"> et al. </w:t>
      </w:r>
      <w:r w:rsidRPr="001A7811">
        <w:rPr>
          <w:rStyle w:val="Hyperlink"/>
          <w:color w:val="auto"/>
          <w:u w:val="none"/>
        </w:rPr>
        <w:t xml:space="preserve">How does human resource management influence organizational outcomes? A meta‐analytic investigation of mediating mechanisms Academic Management Journal </w:t>
      </w:r>
      <w:r w:rsidR="00734B39">
        <w:rPr>
          <w:rStyle w:val="Hyperlink"/>
          <w:color w:val="auto"/>
          <w:u w:val="none"/>
        </w:rPr>
        <w:t>2012:</w:t>
      </w:r>
      <w:r w:rsidR="000A6071">
        <w:rPr>
          <w:rStyle w:val="Hyperlink"/>
          <w:color w:val="auto"/>
          <w:u w:val="none"/>
        </w:rPr>
        <w:t xml:space="preserve"> </w:t>
      </w:r>
      <w:r w:rsidRPr="001A7811">
        <w:rPr>
          <w:rStyle w:val="Hyperlink"/>
          <w:color w:val="auto"/>
          <w:u w:val="none"/>
        </w:rPr>
        <w:t xml:space="preserve">55 </w:t>
      </w:r>
      <w:r w:rsidR="000A6071">
        <w:rPr>
          <w:rStyle w:val="Hyperlink"/>
          <w:color w:val="auto"/>
          <w:u w:val="none"/>
        </w:rPr>
        <w:t>:</w:t>
      </w:r>
      <w:r w:rsidRPr="001A7811">
        <w:rPr>
          <w:rStyle w:val="Hyperlink"/>
          <w:color w:val="auto"/>
          <w:u w:val="none"/>
        </w:rPr>
        <w:t>1264–1294.</w:t>
      </w:r>
    </w:p>
    <w:p w14:paraId="5807E892" w14:textId="0E473EF3" w:rsidR="00E904D2" w:rsidRPr="00E904D2" w:rsidRDefault="00E904D2" w:rsidP="005239BC">
      <w:pPr>
        <w:pStyle w:val="ListParagraph"/>
        <w:numPr>
          <w:ilvl w:val="0"/>
          <w:numId w:val="12"/>
        </w:numPr>
        <w:spacing w:line="240" w:lineRule="auto"/>
        <w:ind w:left="357" w:hanging="357"/>
        <w:rPr>
          <w:rStyle w:val="Hyperlink"/>
          <w:color w:val="auto"/>
          <w:u w:val="none"/>
        </w:rPr>
      </w:pPr>
      <w:r w:rsidRPr="00E904D2">
        <w:rPr>
          <w:rStyle w:val="Hyperlink"/>
          <w:color w:val="auto"/>
          <w:u w:val="none"/>
        </w:rPr>
        <w:t>Halter M, Pelone F, Boiko O</w:t>
      </w:r>
      <w:r w:rsidR="000A6071">
        <w:rPr>
          <w:rStyle w:val="Hyperlink"/>
          <w:color w:val="auto"/>
          <w:u w:val="none"/>
        </w:rPr>
        <w:t xml:space="preserve"> et</w:t>
      </w:r>
      <w:r w:rsidR="00734B39">
        <w:rPr>
          <w:rStyle w:val="Hyperlink"/>
          <w:color w:val="auto"/>
          <w:u w:val="none"/>
        </w:rPr>
        <w:t xml:space="preserve"> </w:t>
      </w:r>
      <w:r w:rsidR="000A6071">
        <w:rPr>
          <w:rStyle w:val="Hyperlink"/>
          <w:color w:val="auto"/>
          <w:u w:val="none"/>
        </w:rPr>
        <w:t xml:space="preserve">al. </w:t>
      </w:r>
      <w:r w:rsidRPr="00E904D2">
        <w:rPr>
          <w:rStyle w:val="Hyperlink"/>
          <w:color w:val="auto"/>
          <w:u w:val="none"/>
        </w:rPr>
        <w:t xml:space="preserve">Interventions to Reduce Adult Nursing Turnover: A Systematic Review of Systematic Reviews. Open Nurs J. 2017 15;108-123. doi: 10.2174/1874434601711010108. </w:t>
      </w:r>
      <w:r w:rsidR="00734B39" w:rsidRPr="00734B39">
        <w:rPr>
          <w:rStyle w:val="Hyperlink"/>
          <w:color w:val="auto"/>
          <w:u w:val="none"/>
        </w:rPr>
        <w:t>www.ncbi.nlm.nih.gov/pmc/articles/PMC5725565/</w:t>
      </w:r>
    </w:p>
    <w:p w14:paraId="56BF69AE" w14:textId="13BCCD20" w:rsidR="004544C6" w:rsidRPr="004544C6" w:rsidRDefault="004544C6" w:rsidP="005239BC">
      <w:pPr>
        <w:pStyle w:val="ListParagraph"/>
        <w:numPr>
          <w:ilvl w:val="0"/>
          <w:numId w:val="12"/>
        </w:numPr>
        <w:spacing w:line="240" w:lineRule="auto"/>
        <w:ind w:left="357" w:hanging="357"/>
        <w:rPr>
          <w:rStyle w:val="Hyperlink"/>
          <w:color w:val="auto"/>
          <w:u w:val="none"/>
        </w:rPr>
      </w:pPr>
      <w:r w:rsidRPr="004544C6">
        <w:rPr>
          <w:rStyle w:val="Hyperlink"/>
          <w:color w:val="auto"/>
          <w:u w:val="none"/>
        </w:rPr>
        <w:t xml:space="preserve">Griffiths P, Maruotti A, Recio Saucedo A et al. Nurse staffing, nursing assistants and hospital mortality: retrospective longitudinal cohort study. BMJ Qual Saf. 2018: bmjqs-2018-008043. doi: 10.1136/bmjqs-2018-008043. </w:t>
      </w:r>
    </w:p>
    <w:p w14:paraId="50FE0CFB" w14:textId="3459A118" w:rsidR="00CE5B8B" w:rsidRDefault="00CE5B8B" w:rsidP="005239BC">
      <w:pPr>
        <w:pStyle w:val="ListParagraph"/>
        <w:numPr>
          <w:ilvl w:val="0"/>
          <w:numId w:val="12"/>
        </w:numPr>
        <w:spacing w:line="240" w:lineRule="auto"/>
        <w:ind w:left="357" w:hanging="357"/>
      </w:pPr>
      <w:r>
        <w:t xml:space="preserve">OECD/WHO, Health at a Glance: Asia/Pacific 2016: Measuring Progress towards Universal Health Coverage, OECD Publishing, Paris. </w:t>
      </w:r>
      <w:r w:rsidR="00BF3020">
        <w:t xml:space="preserve">2016 </w:t>
      </w:r>
      <w:r>
        <w:t>ttp://dx.doi.org/10.1787/health_glance_ap-2016-en</w:t>
      </w:r>
    </w:p>
    <w:p w14:paraId="3D44EA2D" w14:textId="504FD7D1" w:rsidR="00CE5B8B" w:rsidRDefault="00BF3020" w:rsidP="005239BC">
      <w:pPr>
        <w:pStyle w:val="ListParagraph"/>
        <w:numPr>
          <w:ilvl w:val="0"/>
          <w:numId w:val="12"/>
        </w:numPr>
        <w:spacing w:line="240" w:lineRule="auto"/>
        <w:ind w:left="357" w:hanging="357"/>
      </w:pPr>
      <w:r>
        <w:t>OECD/European Union. Health At A Glance: Europe 2018 Availability Of Nurses Section 11.7 ©</w:t>
      </w:r>
      <w:r w:rsidR="00CE5B8B">
        <w:t xml:space="preserve">OECD/EUROPEAN UNION 2018 Accessed last at https://www.oecd-ilibrary.org/social-issues-migration-health/health-at-a-glance-europe-2018_health_glance_eur-2018-en </w:t>
      </w:r>
    </w:p>
    <w:p w14:paraId="6B217ACC" w14:textId="77777777" w:rsidR="00CE5B8B" w:rsidRDefault="00CE5B8B" w:rsidP="005239BC">
      <w:pPr>
        <w:pStyle w:val="ListParagraph"/>
        <w:numPr>
          <w:ilvl w:val="0"/>
          <w:numId w:val="12"/>
        </w:numPr>
        <w:spacing w:line="240" w:lineRule="auto"/>
        <w:ind w:left="357" w:hanging="357"/>
      </w:pPr>
      <w:r>
        <w:t xml:space="preserve">OECD Factbook 2015-2016: Economic, Environmental and Social Statistics Ratio of nurses to physicians: 2013 or latest available year. Accessed last 12-12-2018 at  https://read.oecd-ilibrary.org/economics/oecd-factbook-2015-2016/ratio-of-nurses-to-physicians_factbook-2015-graph199-en#page1 </w:t>
      </w:r>
    </w:p>
    <w:p w14:paraId="78915B98" w14:textId="4B06D502" w:rsidR="00A14F19" w:rsidRPr="00A14F19" w:rsidRDefault="00A14F19" w:rsidP="005239BC">
      <w:pPr>
        <w:pStyle w:val="ListParagraph"/>
        <w:numPr>
          <w:ilvl w:val="0"/>
          <w:numId w:val="12"/>
        </w:numPr>
        <w:spacing w:line="240" w:lineRule="auto"/>
        <w:ind w:left="357" w:hanging="357"/>
      </w:pPr>
      <w:r w:rsidRPr="00A14F19">
        <w:t xml:space="preserve">US Bureau of </w:t>
      </w:r>
      <w:r w:rsidR="00BF3020">
        <w:t>L</w:t>
      </w:r>
      <w:r w:rsidRPr="00A14F19">
        <w:t xml:space="preserve">abor Statistics. Occupational Outlook. Handbook 2018 Accessed  12-12-18 </w:t>
      </w:r>
      <w:hyperlink r:id="rId28" w:anchor="tab-3" w:history="1">
        <w:r w:rsidRPr="00A14F19">
          <w:t>https://www.bls.gov/ooh/healthcare/registered-nurses.htm#tab-3</w:t>
        </w:r>
      </w:hyperlink>
    </w:p>
    <w:p w14:paraId="2232CA3C" w14:textId="2FF8F4C0" w:rsidR="00A14F19" w:rsidRPr="00A14F19" w:rsidRDefault="00BF3020" w:rsidP="005239BC">
      <w:pPr>
        <w:pStyle w:val="ListParagraph"/>
        <w:numPr>
          <w:ilvl w:val="0"/>
          <w:numId w:val="12"/>
        </w:numPr>
        <w:spacing w:line="240" w:lineRule="auto"/>
        <w:ind w:left="357" w:hanging="357"/>
      </w:pPr>
      <w:r>
        <w:t xml:space="preserve">Australia Health Workforce. </w:t>
      </w:r>
      <w:r w:rsidR="00A14F19" w:rsidRPr="00A14F19">
        <w:t>Nurses in focus,</w:t>
      </w:r>
      <w:r>
        <w:t xml:space="preserve"> 2013. </w:t>
      </w:r>
      <w:r w:rsidR="00A14F19" w:rsidRPr="00A14F19">
        <w:t xml:space="preserve"> </w:t>
      </w:r>
      <w:r w:rsidRPr="00A14F19">
        <w:t xml:space="preserve">Adelaide </w:t>
      </w:r>
      <w:r>
        <w:t>:</w:t>
      </w:r>
      <w:r w:rsidR="00A14F19" w:rsidRPr="00A14F19">
        <w:t>Health Workforce Australia</w:t>
      </w:r>
      <w:r>
        <w:t>, 2013 A</w:t>
      </w:r>
      <w:r w:rsidR="00A14F19" w:rsidRPr="00A14F19">
        <w:t xml:space="preserve">ccessed last 12-12-2018 at </w:t>
      </w:r>
      <w:hyperlink r:id="rId29" w:history="1">
        <w:r w:rsidR="00A14F19" w:rsidRPr="00A14F19">
          <w:t>http://www.health.gov.au/internet/main/publishing.nsf/Content/hwa-archived-publications</w:t>
        </w:r>
      </w:hyperlink>
      <w:r w:rsidR="00A14F19" w:rsidRPr="00A14F19">
        <w:t xml:space="preserve"> </w:t>
      </w:r>
    </w:p>
    <w:p w14:paraId="11851260" w14:textId="7AFBA47C" w:rsidR="00A14F19" w:rsidRPr="00A14F19" w:rsidRDefault="00A14F19" w:rsidP="005239BC">
      <w:pPr>
        <w:pStyle w:val="ListParagraph"/>
        <w:numPr>
          <w:ilvl w:val="0"/>
          <w:numId w:val="12"/>
        </w:numPr>
        <w:spacing w:line="240" w:lineRule="auto"/>
        <w:ind w:left="357" w:hanging="357"/>
      </w:pPr>
      <w:r w:rsidRPr="00A14F19">
        <w:t xml:space="preserve">England NHS Digital General Practice Workforce, Final 30 September 2018, Experimental </w:t>
      </w:r>
      <w:r w:rsidR="00BF3020" w:rsidRPr="00A14F19">
        <w:t>statistics. Accessed</w:t>
      </w:r>
      <w:r w:rsidRPr="00A14F19">
        <w:t xml:space="preserve"> 10-01-2019 at </w:t>
      </w:r>
      <w:hyperlink r:id="rId30" w:history="1">
        <w:r w:rsidRPr="00A14F19">
          <w:t>https://digital.nhs.uk/data-and-information/publications/statistical/general-and-personal-medical-services/final-30-september-2018-experimental-statistics</w:t>
        </w:r>
      </w:hyperlink>
      <w:r w:rsidRPr="00A14F19">
        <w:t xml:space="preserve"> and NHS Workforce Statistics - </w:t>
      </w:r>
    </w:p>
    <w:p w14:paraId="391EB7A7" w14:textId="392B52FF" w:rsidR="00A14F19" w:rsidRPr="00A14F19" w:rsidRDefault="00A14F19" w:rsidP="005239BC">
      <w:pPr>
        <w:pStyle w:val="ListParagraph"/>
        <w:numPr>
          <w:ilvl w:val="0"/>
          <w:numId w:val="12"/>
        </w:numPr>
        <w:spacing w:line="240" w:lineRule="auto"/>
        <w:ind w:left="357" w:hanging="357"/>
      </w:pPr>
      <w:r w:rsidRPr="00A14F19">
        <w:t>Japan Nursing Association</w:t>
      </w:r>
      <w:r w:rsidR="00BF3020">
        <w:t>.</w:t>
      </w:r>
      <w:r w:rsidRPr="00A14F19">
        <w:t xml:space="preserve"> Statistic: numbers </w:t>
      </w:r>
      <w:r w:rsidR="00BF3020" w:rsidRPr="00A14F19">
        <w:t xml:space="preserve">employed. </w:t>
      </w:r>
      <w:r w:rsidRPr="00A14F19">
        <w:t xml:space="preserve">2017 Accessed last on 10-01-2019 at </w:t>
      </w:r>
      <w:hyperlink r:id="rId31" w:history="1">
        <w:r w:rsidRPr="00A14F19">
          <w:t>https://www.nurse.or.jp/jna/english/statistics/index.html</w:t>
        </w:r>
      </w:hyperlink>
    </w:p>
    <w:p w14:paraId="6A786625" w14:textId="28E649C0" w:rsidR="00A14F19" w:rsidRPr="00A14F19" w:rsidRDefault="00A14F19" w:rsidP="005239BC">
      <w:pPr>
        <w:pStyle w:val="ListParagraph"/>
        <w:numPr>
          <w:ilvl w:val="0"/>
          <w:numId w:val="12"/>
        </w:numPr>
        <w:spacing w:line="240" w:lineRule="auto"/>
        <w:ind w:left="357" w:hanging="357"/>
      </w:pPr>
      <w:r w:rsidRPr="00A14F19">
        <w:t xml:space="preserve">Ministère des Solidarités et de la Santé.  Data </w:t>
      </w:r>
      <w:r w:rsidR="00BF3020" w:rsidRPr="00A14F19">
        <w:t>Dres  Tableau 1. Effectifs Des Infirmiers  2018</w:t>
      </w:r>
      <w:r w:rsidR="00BF3020">
        <w:t xml:space="preserve">. </w:t>
      </w:r>
      <w:r w:rsidRPr="00A14F19">
        <w:t xml:space="preserve">  </w:t>
      </w:r>
      <w:r w:rsidR="00BF3020">
        <w:t>A</w:t>
      </w:r>
      <w:r w:rsidRPr="00A14F19">
        <w:t xml:space="preserve">ccessed 20-01-2019 at </w:t>
      </w:r>
      <w:hyperlink r:id="rId32" w:history="1">
        <w:r w:rsidRPr="00A14F19">
          <w:t>http://www.data.drees.sante.gouv.fr/TableViewer/tableView.aspx?ReportId=3704</w:t>
        </w:r>
      </w:hyperlink>
      <w:r w:rsidRPr="00A14F19">
        <w:t xml:space="preserve"> </w:t>
      </w:r>
    </w:p>
    <w:sectPr w:rsidR="00A14F19" w:rsidRPr="00A14F19" w:rsidSect="001A0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EAB2" w14:textId="77777777" w:rsidR="001E13C3" w:rsidRDefault="001E13C3" w:rsidP="003014DE">
      <w:pPr>
        <w:spacing w:line="240" w:lineRule="auto"/>
      </w:pPr>
      <w:r>
        <w:separator/>
      </w:r>
    </w:p>
  </w:endnote>
  <w:endnote w:type="continuationSeparator" w:id="0">
    <w:p w14:paraId="1D3CBA0C" w14:textId="77777777" w:rsidR="001E13C3" w:rsidRDefault="001E13C3" w:rsidP="00301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UP Swift Light">
    <w:altName w:val="Bodoni MT"/>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43550"/>
      <w:docPartObj>
        <w:docPartGallery w:val="Page Numbers (Bottom of Page)"/>
        <w:docPartUnique/>
      </w:docPartObj>
    </w:sdtPr>
    <w:sdtEndPr/>
    <w:sdtContent>
      <w:sdt>
        <w:sdtPr>
          <w:id w:val="1031080945"/>
          <w:docPartObj>
            <w:docPartGallery w:val="Page Numbers (Top of Page)"/>
            <w:docPartUnique/>
          </w:docPartObj>
        </w:sdtPr>
        <w:sdtEndPr/>
        <w:sdtContent>
          <w:p w14:paraId="09176CDB" w14:textId="2EF48D88" w:rsidR="001E13C3" w:rsidRDefault="001E13C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26BFB">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26BFB">
              <w:rPr>
                <w:b/>
                <w:bCs/>
                <w:noProof/>
              </w:rPr>
              <w:t>15</w:t>
            </w:r>
            <w:r>
              <w:rPr>
                <w:b/>
                <w:bCs/>
                <w:szCs w:val="24"/>
              </w:rPr>
              <w:fldChar w:fldCharType="end"/>
            </w:r>
          </w:p>
        </w:sdtContent>
      </w:sdt>
    </w:sdtContent>
  </w:sdt>
  <w:p w14:paraId="62B7C5AE" w14:textId="77777777" w:rsidR="001E13C3" w:rsidRDefault="001E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0925" w14:textId="77777777" w:rsidR="001E13C3" w:rsidRDefault="001E13C3" w:rsidP="003014DE">
      <w:pPr>
        <w:spacing w:line="240" w:lineRule="auto"/>
      </w:pPr>
      <w:r>
        <w:separator/>
      </w:r>
    </w:p>
  </w:footnote>
  <w:footnote w:type="continuationSeparator" w:id="0">
    <w:p w14:paraId="6B3D77CE" w14:textId="77777777" w:rsidR="001E13C3" w:rsidRDefault="001E13C3" w:rsidP="003014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ECE5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0595"/>
    <w:multiLevelType w:val="singleLevel"/>
    <w:tmpl w:val="C276BB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A6D7B"/>
    <w:multiLevelType w:val="singleLevel"/>
    <w:tmpl w:val="C276BB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72033D"/>
    <w:multiLevelType w:val="hybridMultilevel"/>
    <w:tmpl w:val="85F2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26BA6"/>
    <w:multiLevelType w:val="hybridMultilevel"/>
    <w:tmpl w:val="F9561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A27E19"/>
    <w:multiLevelType w:val="hybridMultilevel"/>
    <w:tmpl w:val="B3B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00688"/>
    <w:multiLevelType w:val="hybridMultilevel"/>
    <w:tmpl w:val="624A4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F1B91"/>
    <w:multiLevelType w:val="hybridMultilevel"/>
    <w:tmpl w:val="EF3A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45F83"/>
    <w:multiLevelType w:val="hybridMultilevel"/>
    <w:tmpl w:val="F58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C5B87"/>
    <w:multiLevelType w:val="hybridMultilevel"/>
    <w:tmpl w:val="EE6C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C5F94"/>
    <w:multiLevelType w:val="singleLevel"/>
    <w:tmpl w:val="0809000F"/>
    <w:lvl w:ilvl="0">
      <w:start w:val="1"/>
      <w:numFmt w:val="decimal"/>
      <w:lvlText w:val="%1."/>
      <w:lvlJc w:val="left"/>
      <w:pPr>
        <w:ind w:left="720" w:hanging="360"/>
      </w:pPr>
    </w:lvl>
  </w:abstractNum>
  <w:abstractNum w:abstractNumId="11" w15:restartNumberingAfterBreak="0">
    <w:nsid w:val="182462F4"/>
    <w:multiLevelType w:val="hybridMultilevel"/>
    <w:tmpl w:val="DDA80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838EF"/>
    <w:multiLevelType w:val="hybridMultilevel"/>
    <w:tmpl w:val="D7382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315150"/>
    <w:multiLevelType w:val="hybridMultilevel"/>
    <w:tmpl w:val="3DA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D2F27"/>
    <w:multiLevelType w:val="hybridMultilevel"/>
    <w:tmpl w:val="3A5C4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1D3B70"/>
    <w:multiLevelType w:val="hybridMultilevel"/>
    <w:tmpl w:val="0DB4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4105C5"/>
    <w:multiLevelType w:val="hybridMultilevel"/>
    <w:tmpl w:val="FCFAB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9A6D19"/>
    <w:multiLevelType w:val="hybridMultilevel"/>
    <w:tmpl w:val="5798D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0D3325"/>
    <w:multiLevelType w:val="hybridMultilevel"/>
    <w:tmpl w:val="92BE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C556D"/>
    <w:multiLevelType w:val="hybridMultilevel"/>
    <w:tmpl w:val="182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83132"/>
    <w:multiLevelType w:val="singleLevel"/>
    <w:tmpl w:val="C276BB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EB4204"/>
    <w:multiLevelType w:val="hybridMultilevel"/>
    <w:tmpl w:val="A53EE2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FEE126F"/>
    <w:multiLevelType w:val="hybridMultilevel"/>
    <w:tmpl w:val="A71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D0BB2"/>
    <w:multiLevelType w:val="singleLevel"/>
    <w:tmpl w:val="0809000F"/>
    <w:lvl w:ilvl="0">
      <w:start w:val="1"/>
      <w:numFmt w:val="decimal"/>
      <w:lvlText w:val="%1."/>
      <w:lvlJc w:val="left"/>
      <w:pPr>
        <w:ind w:left="720" w:hanging="360"/>
      </w:pPr>
    </w:lvl>
  </w:abstractNum>
  <w:abstractNum w:abstractNumId="24" w15:restartNumberingAfterBreak="0">
    <w:nsid w:val="5A9131E4"/>
    <w:multiLevelType w:val="hybridMultilevel"/>
    <w:tmpl w:val="4C2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76E07"/>
    <w:multiLevelType w:val="singleLevel"/>
    <w:tmpl w:val="0809000F"/>
    <w:lvl w:ilvl="0">
      <w:start w:val="1"/>
      <w:numFmt w:val="decimal"/>
      <w:lvlText w:val="%1."/>
      <w:lvlJc w:val="left"/>
      <w:pPr>
        <w:ind w:left="720" w:hanging="360"/>
      </w:pPr>
    </w:lvl>
  </w:abstractNum>
  <w:abstractNum w:abstractNumId="26" w15:restartNumberingAfterBreak="0">
    <w:nsid w:val="60FA23E3"/>
    <w:multiLevelType w:val="singleLevel"/>
    <w:tmpl w:val="C276BB2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B352B7"/>
    <w:multiLevelType w:val="hybridMultilevel"/>
    <w:tmpl w:val="21225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7E45E5"/>
    <w:multiLevelType w:val="hybridMultilevel"/>
    <w:tmpl w:val="3C001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26542"/>
    <w:multiLevelType w:val="hybridMultilevel"/>
    <w:tmpl w:val="E634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22EE7"/>
    <w:multiLevelType w:val="hybridMultilevel"/>
    <w:tmpl w:val="2BE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F7142"/>
    <w:multiLevelType w:val="hybridMultilevel"/>
    <w:tmpl w:val="6AC6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079DF"/>
    <w:multiLevelType w:val="hybridMultilevel"/>
    <w:tmpl w:val="5F7EF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5D09FB"/>
    <w:multiLevelType w:val="singleLevel"/>
    <w:tmpl w:val="C276BB2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3201F8"/>
    <w:multiLevelType w:val="hybridMultilevel"/>
    <w:tmpl w:val="5726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
  </w:num>
  <w:num w:numId="4">
    <w:abstractNumId w:val="26"/>
  </w:num>
  <w:num w:numId="5">
    <w:abstractNumId w:val="1"/>
  </w:num>
  <w:num w:numId="6">
    <w:abstractNumId w:val="10"/>
  </w:num>
  <w:num w:numId="7">
    <w:abstractNumId w:val="12"/>
  </w:num>
  <w:num w:numId="8">
    <w:abstractNumId w:val="8"/>
  </w:num>
  <w:num w:numId="9">
    <w:abstractNumId w:val="7"/>
  </w:num>
  <w:num w:numId="10">
    <w:abstractNumId w:val="16"/>
  </w:num>
  <w:num w:numId="11">
    <w:abstractNumId w:val="3"/>
  </w:num>
  <w:num w:numId="12">
    <w:abstractNumId w:val="25"/>
  </w:num>
  <w:num w:numId="13">
    <w:abstractNumId w:val="22"/>
  </w:num>
  <w:num w:numId="14">
    <w:abstractNumId w:val="23"/>
  </w:num>
  <w:num w:numId="15">
    <w:abstractNumId w:val="11"/>
  </w:num>
  <w:num w:numId="16">
    <w:abstractNumId w:val="9"/>
  </w:num>
  <w:num w:numId="17">
    <w:abstractNumId w:val="6"/>
  </w:num>
  <w:num w:numId="18">
    <w:abstractNumId w:val="29"/>
  </w:num>
  <w:num w:numId="19">
    <w:abstractNumId w:val="28"/>
  </w:num>
  <w:num w:numId="20">
    <w:abstractNumId w:val="27"/>
  </w:num>
  <w:num w:numId="21">
    <w:abstractNumId w:val="17"/>
  </w:num>
  <w:num w:numId="22">
    <w:abstractNumId w:val="34"/>
  </w:num>
  <w:num w:numId="23">
    <w:abstractNumId w:val="31"/>
  </w:num>
  <w:num w:numId="24">
    <w:abstractNumId w:val="5"/>
  </w:num>
  <w:num w:numId="25">
    <w:abstractNumId w:val="13"/>
  </w:num>
  <w:num w:numId="26">
    <w:abstractNumId w:val="30"/>
  </w:num>
  <w:num w:numId="27">
    <w:abstractNumId w:val="24"/>
  </w:num>
  <w:num w:numId="28">
    <w:abstractNumId w:val="19"/>
  </w:num>
  <w:num w:numId="29">
    <w:abstractNumId w:val="32"/>
  </w:num>
  <w:num w:numId="30">
    <w:abstractNumId w:val="18"/>
  </w:num>
  <w:num w:numId="31">
    <w:abstractNumId w:val="21"/>
  </w:num>
  <w:num w:numId="32">
    <w:abstractNumId w:val="14"/>
  </w:num>
  <w:num w:numId="33">
    <w:abstractNumId w:val="15"/>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64"/>
    <w:rsid w:val="00000CB9"/>
    <w:rsid w:val="00015BFA"/>
    <w:rsid w:val="0002384A"/>
    <w:rsid w:val="00042E47"/>
    <w:rsid w:val="000660B7"/>
    <w:rsid w:val="000739E4"/>
    <w:rsid w:val="00075436"/>
    <w:rsid w:val="00076E1A"/>
    <w:rsid w:val="000776AB"/>
    <w:rsid w:val="00080F2C"/>
    <w:rsid w:val="000826E3"/>
    <w:rsid w:val="000859D8"/>
    <w:rsid w:val="00087A1F"/>
    <w:rsid w:val="00093EBB"/>
    <w:rsid w:val="000A0117"/>
    <w:rsid w:val="000A475C"/>
    <w:rsid w:val="000A6071"/>
    <w:rsid w:val="000B0FCE"/>
    <w:rsid w:val="000B14C3"/>
    <w:rsid w:val="000B22C4"/>
    <w:rsid w:val="000B4B0C"/>
    <w:rsid w:val="000B736B"/>
    <w:rsid w:val="000C7131"/>
    <w:rsid w:val="000D32A5"/>
    <w:rsid w:val="000D4D98"/>
    <w:rsid w:val="000D6D65"/>
    <w:rsid w:val="000E3157"/>
    <w:rsid w:val="000E42F3"/>
    <w:rsid w:val="000E5DB6"/>
    <w:rsid w:val="000E75FA"/>
    <w:rsid w:val="000F2BA2"/>
    <w:rsid w:val="000F4916"/>
    <w:rsid w:val="000F7C3E"/>
    <w:rsid w:val="000F7CBB"/>
    <w:rsid w:val="00101006"/>
    <w:rsid w:val="001043EC"/>
    <w:rsid w:val="0010456E"/>
    <w:rsid w:val="00110ACE"/>
    <w:rsid w:val="001148F7"/>
    <w:rsid w:val="00123EAB"/>
    <w:rsid w:val="001247B0"/>
    <w:rsid w:val="00126D15"/>
    <w:rsid w:val="0012746F"/>
    <w:rsid w:val="00132998"/>
    <w:rsid w:val="00152463"/>
    <w:rsid w:val="0016467C"/>
    <w:rsid w:val="00180D8B"/>
    <w:rsid w:val="00181741"/>
    <w:rsid w:val="001843B0"/>
    <w:rsid w:val="0018449F"/>
    <w:rsid w:val="001903A9"/>
    <w:rsid w:val="00190D90"/>
    <w:rsid w:val="001A027E"/>
    <w:rsid w:val="001A75F3"/>
    <w:rsid w:val="001A7811"/>
    <w:rsid w:val="001C0FB3"/>
    <w:rsid w:val="001C37B5"/>
    <w:rsid w:val="001C4BC0"/>
    <w:rsid w:val="001D20A3"/>
    <w:rsid w:val="001D594C"/>
    <w:rsid w:val="001D6CF1"/>
    <w:rsid w:val="001E13C3"/>
    <w:rsid w:val="001E1FF0"/>
    <w:rsid w:val="001E47C3"/>
    <w:rsid w:val="001E48C8"/>
    <w:rsid w:val="001F1716"/>
    <w:rsid w:val="00205FE6"/>
    <w:rsid w:val="0020775E"/>
    <w:rsid w:val="00216752"/>
    <w:rsid w:val="00227D05"/>
    <w:rsid w:val="00231282"/>
    <w:rsid w:val="00236F49"/>
    <w:rsid w:val="00237B62"/>
    <w:rsid w:val="00250D54"/>
    <w:rsid w:val="00270D64"/>
    <w:rsid w:val="0027769B"/>
    <w:rsid w:val="00293D05"/>
    <w:rsid w:val="002A2473"/>
    <w:rsid w:val="002A7DF4"/>
    <w:rsid w:val="002B42DF"/>
    <w:rsid w:val="002B43CD"/>
    <w:rsid w:val="002B5EA6"/>
    <w:rsid w:val="002B786B"/>
    <w:rsid w:val="002C086E"/>
    <w:rsid w:val="002C178F"/>
    <w:rsid w:val="002C3FBB"/>
    <w:rsid w:val="002C7459"/>
    <w:rsid w:val="002D1427"/>
    <w:rsid w:val="002E3AF6"/>
    <w:rsid w:val="002E436F"/>
    <w:rsid w:val="002F0033"/>
    <w:rsid w:val="003014DE"/>
    <w:rsid w:val="003039B1"/>
    <w:rsid w:val="00306237"/>
    <w:rsid w:val="00312C47"/>
    <w:rsid w:val="003171E9"/>
    <w:rsid w:val="00325C07"/>
    <w:rsid w:val="0033152D"/>
    <w:rsid w:val="00333466"/>
    <w:rsid w:val="0033562B"/>
    <w:rsid w:val="00343F95"/>
    <w:rsid w:val="003454CE"/>
    <w:rsid w:val="0034558B"/>
    <w:rsid w:val="00345BCD"/>
    <w:rsid w:val="0034604F"/>
    <w:rsid w:val="00346299"/>
    <w:rsid w:val="00346914"/>
    <w:rsid w:val="00352D49"/>
    <w:rsid w:val="00356223"/>
    <w:rsid w:val="00365707"/>
    <w:rsid w:val="00377C5E"/>
    <w:rsid w:val="003805AE"/>
    <w:rsid w:val="00383D6B"/>
    <w:rsid w:val="00390D0C"/>
    <w:rsid w:val="003910A9"/>
    <w:rsid w:val="003911A6"/>
    <w:rsid w:val="003955A3"/>
    <w:rsid w:val="00395F60"/>
    <w:rsid w:val="003A03C3"/>
    <w:rsid w:val="003A1B02"/>
    <w:rsid w:val="003B6F50"/>
    <w:rsid w:val="003C13BE"/>
    <w:rsid w:val="003C1DF0"/>
    <w:rsid w:val="003C37AF"/>
    <w:rsid w:val="003D006F"/>
    <w:rsid w:val="003D7DA1"/>
    <w:rsid w:val="003E67C5"/>
    <w:rsid w:val="003E77C6"/>
    <w:rsid w:val="003F4ADB"/>
    <w:rsid w:val="003F6750"/>
    <w:rsid w:val="004022C1"/>
    <w:rsid w:val="0040290D"/>
    <w:rsid w:val="004176A0"/>
    <w:rsid w:val="00422271"/>
    <w:rsid w:val="00424190"/>
    <w:rsid w:val="004449D1"/>
    <w:rsid w:val="0044777C"/>
    <w:rsid w:val="00450B0A"/>
    <w:rsid w:val="0045412B"/>
    <w:rsid w:val="004544C6"/>
    <w:rsid w:val="00462F7B"/>
    <w:rsid w:val="00475A40"/>
    <w:rsid w:val="00492D19"/>
    <w:rsid w:val="004A4487"/>
    <w:rsid w:val="004A479A"/>
    <w:rsid w:val="004A4F9D"/>
    <w:rsid w:val="004B0FD1"/>
    <w:rsid w:val="004B2AF8"/>
    <w:rsid w:val="004D2880"/>
    <w:rsid w:val="004D3B68"/>
    <w:rsid w:val="004D7387"/>
    <w:rsid w:val="004E4118"/>
    <w:rsid w:val="004E726F"/>
    <w:rsid w:val="004F4744"/>
    <w:rsid w:val="005017BB"/>
    <w:rsid w:val="005017F1"/>
    <w:rsid w:val="0050524E"/>
    <w:rsid w:val="00507545"/>
    <w:rsid w:val="00507F4C"/>
    <w:rsid w:val="00510877"/>
    <w:rsid w:val="00513D64"/>
    <w:rsid w:val="005239BC"/>
    <w:rsid w:val="00524A71"/>
    <w:rsid w:val="00532621"/>
    <w:rsid w:val="00532F07"/>
    <w:rsid w:val="0053466E"/>
    <w:rsid w:val="005357FE"/>
    <w:rsid w:val="00546183"/>
    <w:rsid w:val="00547C7C"/>
    <w:rsid w:val="00550B40"/>
    <w:rsid w:val="005519DD"/>
    <w:rsid w:val="00555CC9"/>
    <w:rsid w:val="00566660"/>
    <w:rsid w:val="00567A2F"/>
    <w:rsid w:val="005904FD"/>
    <w:rsid w:val="00593984"/>
    <w:rsid w:val="005A1015"/>
    <w:rsid w:val="005B4AA6"/>
    <w:rsid w:val="005C058E"/>
    <w:rsid w:val="005C0904"/>
    <w:rsid w:val="005D0CDC"/>
    <w:rsid w:val="005E034C"/>
    <w:rsid w:val="005E4076"/>
    <w:rsid w:val="005E50D9"/>
    <w:rsid w:val="005F6BF4"/>
    <w:rsid w:val="00601D94"/>
    <w:rsid w:val="006030D3"/>
    <w:rsid w:val="00603B62"/>
    <w:rsid w:val="00611AC7"/>
    <w:rsid w:val="00612C38"/>
    <w:rsid w:val="00624C38"/>
    <w:rsid w:val="00630EAB"/>
    <w:rsid w:val="00645FE1"/>
    <w:rsid w:val="00646442"/>
    <w:rsid w:val="0065345D"/>
    <w:rsid w:val="00663D09"/>
    <w:rsid w:val="00666CE8"/>
    <w:rsid w:val="00671810"/>
    <w:rsid w:val="0067328C"/>
    <w:rsid w:val="0067602A"/>
    <w:rsid w:val="00681C36"/>
    <w:rsid w:val="00682EBF"/>
    <w:rsid w:val="00687617"/>
    <w:rsid w:val="00687B87"/>
    <w:rsid w:val="00694F4E"/>
    <w:rsid w:val="00695334"/>
    <w:rsid w:val="006A1D5E"/>
    <w:rsid w:val="006A6D2C"/>
    <w:rsid w:val="006B29CB"/>
    <w:rsid w:val="006B47B8"/>
    <w:rsid w:val="006D1496"/>
    <w:rsid w:val="006D1539"/>
    <w:rsid w:val="006D1992"/>
    <w:rsid w:val="006D2150"/>
    <w:rsid w:val="006D44A2"/>
    <w:rsid w:val="006D7DEA"/>
    <w:rsid w:val="006F212D"/>
    <w:rsid w:val="00702E28"/>
    <w:rsid w:val="00706274"/>
    <w:rsid w:val="00711641"/>
    <w:rsid w:val="00720AD8"/>
    <w:rsid w:val="007217BF"/>
    <w:rsid w:val="00726E7A"/>
    <w:rsid w:val="00730282"/>
    <w:rsid w:val="007311DF"/>
    <w:rsid w:val="00734B39"/>
    <w:rsid w:val="0073709C"/>
    <w:rsid w:val="0073729E"/>
    <w:rsid w:val="00741A46"/>
    <w:rsid w:val="00742DF0"/>
    <w:rsid w:val="00751066"/>
    <w:rsid w:val="00752796"/>
    <w:rsid w:val="007530CF"/>
    <w:rsid w:val="00755D1B"/>
    <w:rsid w:val="00760F90"/>
    <w:rsid w:val="00761285"/>
    <w:rsid w:val="00762C32"/>
    <w:rsid w:val="007676AA"/>
    <w:rsid w:val="0076792C"/>
    <w:rsid w:val="00770C43"/>
    <w:rsid w:val="00772C5B"/>
    <w:rsid w:val="007742DD"/>
    <w:rsid w:val="00774CF3"/>
    <w:rsid w:val="00774F4C"/>
    <w:rsid w:val="007759EA"/>
    <w:rsid w:val="00782716"/>
    <w:rsid w:val="007905EE"/>
    <w:rsid w:val="00794A73"/>
    <w:rsid w:val="00794D64"/>
    <w:rsid w:val="007951FB"/>
    <w:rsid w:val="007969C2"/>
    <w:rsid w:val="007A16EE"/>
    <w:rsid w:val="007A1AB1"/>
    <w:rsid w:val="007A53B9"/>
    <w:rsid w:val="007A70E2"/>
    <w:rsid w:val="007B6AAA"/>
    <w:rsid w:val="007D0337"/>
    <w:rsid w:val="007E0980"/>
    <w:rsid w:val="007E662E"/>
    <w:rsid w:val="007F3505"/>
    <w:rsid w:val="007F42F7"/>
    <w:rsid w:val="008058E4"/>
    <w:rsid w:val="00816B5F"/>
    <w:rsid w:val="00826BFB"/>
    <w:rsid w:val="008326FF"/>
    <w:rsid w:val="00835D97"/>
    <w:rsid w:val="00853180"/>
    <w:rsid w:val="008620C0"/>
    <w:rsid w:val="008643E3"/>
    <w:rsid w:val="00881627"/>
    <w:rsid w:val="00881DD5"/>
    <w:rsid w:val="008A3CB0"/>
    <w:rsid w:val="008A7E6D"/>
    <w:rsid w:val="008B05FB"/>
    <w:rsid w:val="008B0767"/>
    <w:rsid w:val="008B28D7"/>
    <w:rsid w:val="008B4C10"/>
    <w:rsid w:val="008C2704"/>
    <w:rsid w:val="008C5B0F"/>
    <w:rsid w:val="008E6F44"/>
    <w:rsid w:val="008E7022"/>
    <w:rsid w:val="008F3387"/>
    <w:rsid w:val="008F55FC"/>
    <w:rsid w:val="008F6CB3"/>
    <w:rsid w:val="00902786"/>
    <w:rsid w:val="00903D44"/>
    <w:rsid w:val="00904EE9"/>
    <w:rsid w:val="009057DF"/>
    <w:rsid w:val="0090641C"/>
    <w:rsid w:val="00907BEB"/>
    <w:rsid w:val="00907F0B"/>
    <w:rsid w:val="00910C39"/>
    <w:rsid w:val="009154DA"/>
    <w:rsid w:val="00916822"/>
    <w:rsid w:val="00922833"/>
    <w:rsid w:val="009449BD"/>
    <w:rsid w:val="00950375"/>
    <w:rsid w:val="00971641"/>
    <w:rsid w:val="00971B9F"/>
    <w:rsid w:val="00996C90"/>
    <w:rsid w:val="009B0428"/>
    <w:rsid w:val="009B533A"/>
    <w:rsid w:val="009B7AF3"/>
    <w:rsid w:val="009C16A9"/>
    <w:rsid w:val="009C4AB5"/>
    <w:rsid w:val="009C5A0B"/>
    <w:rsid w:val="009C600C"/>
    <w:rsid w:val="009C73DA"/>
    <w:rsid w:val="009D3BFB"/>
    <w:rsid w:val="009D6263"/>
    <w:rsid w:val="009E025D"/>
    <w:rsid w:val="009F1B49"/>
    <w:rsid w:val="00A053C9"/>
    <w:rsid w:val="00A141D1"/>
    <w:rsid w:val="00A14F19"/>
    <w:rsid w:val="00A26FED"/>
    <w:rsid w:val="00A61DA5"/>
    <w:rsid w:val="00A71F73"/>
    <w:rsid w:val="00A75B9D"/>
    <w:rsid w:val="00A76FAD"/>
    <w:rsid w:val="00A84385"/>
    <w:rsid w:val="00A84C6E"/>
    <w:rsid w:val="00A85256"/>
    <w:rsid w:val="00A85862"/>
    <w:rsid w:val="00A9438C"/>
    <w:rsid w:val="00A97663"/>
    <w:rsid w:val="00AA61F5"/>
    <w:rsid w:val="00AA6ACF"/>
    <w:rsid w:val="00AA7FB5"/>
    <w:rsid w:val="00AB014C"/>
    <w:rsid w:val="00AB2233"/>
    <w:rsid w:val="00AB34A0"/>
    <w:rsid w:val="00AB388B"/>
    <w:rsid w:val="00AC035A"/>
    <w:rsid w:val="00AC4C7F"/>
    <w:rsid w:val="00AD07E7"/>
    <w:rsid w:val="00AE4C9B"/>
    <w:rsid w:val="00AE65D2"/>
    <w:rsid w:val="00AF1141"/>
    <w:rsid w:val="00AF1297"/>
    <w:rsid w:val="00AF1552"/>
    <w:rsid w:val="00AF30D1"/>
    <w:rsid w:val="00B16427"/>
    <w:rsid w:val="00B22A28"/>
    <w:rsid w:val="00B26763"/>
    <w:rsid w:val="00B317AD"/>
    <w:rsid w:val="00B33D4D"/>
    <w:rsid w:val="00B41BD3"/>
    <w:rsid w:val="00B423ED"/>
    <w:rsid w:val="00B518FA"/>
    <w:rsid w:val="00B62424"/>
    <w:rsid w:val="00B6371C"/>
    <w:rsid w:val="00B7145B"/>
    <w:rsid w:val="00B849E3"/>
    <w:rsid w:val="00BB3C45"/>
    <w:rsid w:val="00BB4A97"/>
    <w:rsid w:val="00BB765C"/>
    <w:rsid w:val="00BB7EE0"/>
    <w:rsid w:val="00BC283D"/>
    <w:rsid w:val="00BD272D"/>
    <w:rsid w:val="00BE2D4C"/>
    <w:rsid w:val="00BF3020"/>
    <w:rsid w:val="00BF5E23"/>
    <w:rsid w:val="00C0136D"/>
    <w:rsid w:val="00C02739"/>
    <w:rsid w:val="00C06080"/>
    <w:rsid w:val="00C10412"/>
    <w:rsid w:val="00C10D87"/>
    <w:rsid w:val="00C151E6"/>
    <w:rsid w:val="00C24295"/>
    <w:rsid w:val="00C3069A"/>
    <w:rsid w:val="00C4431C"/>
    <w:rsid w:val="00C52B82"/>
    <w:rsid w:val="00C53362"/>
    <w:rsid w:val="00C64E24"/>
    <w:rsid w:val="00C70765"/>
    <w:rsid w:val="00C75692"/>
    <w:rsid w:val="00C81C86"/>
    <w:rsid w:val="00CB657E"/>
    <w:rsid w:val="00CC0948"/>
    <w:rsid w:val="00CC2E33"/>
    <w:rsid w:val="00CC530D"/>
    <w:rsid w:val="00CD1A68"/>
    <w:rsid w:val="00CE0881"/>
    <w:rsid w:val="00CE5B8B"/>
    <w:rsid w:val="00CE6204"/>
    <w:rsid w:val="00CE674B"/>
    <w:rsid w:val="00CF3DD5"/>
    <w:rsid w:val="00CF40A9"/>
    <w:rsid w:val="00D05E6D"/>
    <w:rsid w:val="00D07AF2"/>
    <w:rsid w:val="00D16864"/>
    <w:rsid w:val="00D20222"/>
    <w:rsid w:val="00D203E2"/>
    <w:rsid w:val="00D333B3"/>
    <w:rsid w:val="00D33C0E"/>
    <w:rsid w:val="00D36379"/>
    <w:rsid w:val="00D378E3"/>
    <w:rsid w:val="00D37D70"/>
    <w:rsid w:val="00D50887"/>
    <w:rsid w:val="00D57A2F"/>
    <w:rsid w:val="00D57CB0"/>
    <w:rsid w:val="00D65EAE"/>
    <w:rsid w:val="00D66EC0"/>
    <w:rsid w:val="00D75BFB"/>
    <w:rsid w:val="00D800F4"/>
    <w:rsid w:val="00D8344E"/>
    <w:rsid w:val="00D908E4"/>
    <w:rsid w:val="00D9281F"/>
    <w:rsid w:val="00D9468B"/>
    <w:rsid w:val="00D96822"/>
    <w:rsid w:val="00DA1665"/>
    <w:rsid w:val="00DA4196"/>
    <w:rsid w:val="00DA67D8"/>
    <w:rsid w:val="00DB195C"/>
    <w:rsid w:val="00DB788C"/>
    <w:rsid w:val="00DC560E"/>
    <w:rsid w:val="00DE2C23"/>
    <w:rsid w:val="00DE55E4"/>
    <w:rsid w:val="00DF32AE"/>
    <w:rsid w:val="00E036E1"/>
    <w:rsid w:val="00E039CE"/>
    <w:rsid w:val="00E108F6"/>
    <w:rsid w:val="00E10F0F"/>
    <w:rsid w:val="00E117BA"/>
    <w:rsid w:val="00E12D23"/>
    <w:rsid w:val="00E14714"/>
    <w:rsid w:val="00E17659"/>
    <w:rsid w:val="00E2614C"/>
    <w:rsid w:val="00E47744"/>
    <w:rsid w:val="00E56166"/>
    <w:rsid w:val="00E710B6"/>
    <w:rsid w:val="00E73FB9"/>
    <w:rsid w:val="00E75F80"/>
    <w:rsid w:val="00E77716"/>
    <w:rsid w:val="00E81EF1"/>
    <w:rsid w:val="00E86012"/>
    <w:rsid w:val="00E904D2"/>
    <w:rsid w:val="00E91DAA"/>
    <w:rsid w:val="00E91F6F"/>
    <w:rsid w:val="00E933A6"/>
    <w:rsid w:val="00E93865"/>
    <w:rsid w:val="00E93993"/>
    <w:rsid w:val="00EA3A79"/>
    <w:rsid w:val="00EA5152"/>
    <w:rsid w:val="00EB4C56"/>
    <w:rsid w:val="00ED2BB0"/>
    <w:rsid w:val="00ED7169"/>
    <w:rsid w:val="00ED742A"/>
    <w:rsid w:val="00EF1215"/>
    <w:rsid w:val="00EF633F"/>
    <w:rsid w:val="00F321E4"/>
    <w:rsid w:val="00F358BA"/>
    <w:rsid w:val="00F4164E"/>
    <w:rsid w:val="00F43B21"/>
    <w:rsid w:val="00F441D8"/>
    <w:rsid w:val="00F44563"/>
    <w:rsid w:val="00F44FA5"/>
    <w:rsid w:val="00F576FE"/>
    <w:rsid w:val="00F60D13"/>
    <w:rsid w:val="00F75F06"/>
    <w:rsid w:val="00F763A0"/>
    <w:rsid w:val="00F80C4F"/>
    <w:rsid w:val="00F826AF"/>
    <w:rsid w:val="00F86A07"/>
    <w:rsid w:val="00F923B1"/>
    <w:rsid w:val="00F93C33"/>
    <w:rsid w:val="00FA3A78"/>
    <w:rsid w:val="00FA3B8C"/>
    <w:rsid w:val="00FB6773"/>
    <w:rsid w:val="00FB6934"/>
    <w:rsid w:val="00FC347C"/>
    <w:rsid w:val="00FC3AE9"/>
    <w:rsid w:val="00FC3BDE"/>
    <w:rsid w:val="00FC6AA0"/>
    <w:rsid w:val="00FC7DE0"/>
    <w:rsid w:val="00FE32D0"/>
    <w:rsid w:val="00FE444C"/>
    <w:rsid w:val="00FF0916"/>
    <w:rsid w:val="00FF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AEEC"/>
  <w15:chartTrackingRefBased/>
  <w15:docId w15:val="{7E91DEF8-E656-4D28-8D7D-7FE96053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4A"/>
    <w:pPr>
      <w:spacing w:after="0" w:line="360" w:lineRule="auto"/>
    </w:pPr>
    <w:rPr>
      <w:rFonts w:ascii="Times New Roman" w:eastAsia="Times New Roman" w:hAnsi="Times New Roman" w:cs="Times New Roman"/>
      <w:szCs w:val="20"/>
      <w:lang w:eastAsia="zh-CN"/>
    </w:rPr>
  </w:style>
  <w:style w:type="paragraph" w:styleId="Heading1">
    <w:name w:val="heading 1"/>
    <w:basedOn w:val="Normal"/>
    <w:next w:val="Normal"/>
    <w:link w:val="Heading1Char"/>
    <w:uiPriority w:val="9"/>
    <w:qFormat/>
    <w:rsid w:val="004A479A"/>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2E436F"/>
    <w:pPr>
      <w:outlineLvl w:val="1"/>
    </w:pPr>
    <w:rPr>
      <w:b/>
      <w:sz w:val="24"/>
    </w:rPr>
  </w:style>
  <w:style w:type="paragraph" w:styleId="Heading3">
    <w:name w:val="heading 3"/>
    <w:basedOn w:val="Normal"/>
    <w:next w:val="Normal"/>
    <w:link w:val="Heading3Char"/>
    <w:qFormat/>
    <w:rsid w:val="004176A0"/>
    <w:pPr>
      <w:keepNext/>
      <w:ind w:left="720"/>
      <w:outlineLvl w:val="2"/>
    </w:pPr>
    <w:rPr>
      <w:rFonts w:ascii="OUP Swift Light" w:hAnsi="OUP Swift Light"/>
      <w:bCs/>
      <w:i/>
      <w:szCs w:val="22"/>
    </w:rPr>
  </w:style>
  <w:style w:type="paragraph" w:styleId="Heading4">
    <w:name w:val="heading 4"/>
    <w:basedOn w:val="Normal"/>
    <w:next w:val="Normal"/>
    <w:link w:val="Heading4Char"/>
    <w:uiPriority w:val="9"/>
    <w:unhideWhenUsed/>
    <w:qFormat/>
    <w:rsid w:val="006876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76A0"/>
    <w:rPr>
      <w:rFonts w:ascii="OUP Swift Light" w:eastAsia="Times New Roman" w:hAnsi="OUP Swift Light" w:cs="Times New Roman"/>
      <w:bCs/>
      <w:i/>
      <w:sz w:val="24"/>
      <w:lang w:eastAsia="zh-CN"/>
    </w:rPr>
  </w:style>
  <w:style w:type="character" w:customStyle="1" w:styleId="Heading1Char">
    <w:name w:val="Heading 1 Char"/>
    <w:basedOn w:val="DefaultParagraphFont"/>
    <w:link w:val="Heading1"/>
    <w:uiPriority w:val="9"/>
    <w:rsid w:val="004A479A"/>
    <w:rPr>
      <w:rFonts w:asciiTheme="majorHAnsi" w:eastAsiaTheme="majorEastAsia" w:hAnsiTheme="majorHAnsi" w:cstheme="majorBidi"/>
      <w:sz w:val="32"/>
      <w:szCs w:val="32"/>
      <w:lang w:eastAsia="zh-CN"/>
    </w:rPr>
  </w:style>
  <w:style w:type="character" w:customStyle="1" w:styleId="Heading2Char">
    <w:name w:val="Heading 2 Char"/>
    <w:basedOn w:val="DefaultParagraphFont"/>
    <w:link w:val="Heading2"/>
    <w:uiPriority w:val="9"/>
    <w:rsid w:val="002E436F"/>
    <w:rPr>
      <w:rFonts w:asciiTheme="majorHAnsi" w:eastAsiaTheme="majorEastAsia" w:hAnsiTheme="majorHAnsi" w:cstheme="majorBidi"/>
      <w:b/>
      <w:sz w:val="24"/>
      <w:szCs w:val="32"/>
      <w:lang w:eastAsia="zh-CN"/>
    </w:rPr>
  </w:style>
  <w:style w:type="character" w:styleId="Hyperlink">
    <w:name w:val="Hyperlink"/>
    <w:basedOn w:val="DefaultParagraphFont"/>
    <w:uiPriority w:val="99"/>
    <w:unhideWhenUsed/>
    <w:rsid w:val="0053466E"/>
    <w:rPr>
      <w:color w:val="0563C1" w:themeColor="hyperlink"/>
      <w:u w:val="single"/>
    </w:rPr>
  </w:style>
  <w:style w:type="paragraph" w:styleId="ListParagraph">
    <w:name w:val="List Paragraph"/>
    <w:basedOn w:val="Normal"/>
    <w:uiPriority w:val="34"/>
    <w:qFormat/>
    <w:rsid w:val="005017BB"/>
    <w:pPr>
      <w:ind w:left="720"/>
      <w:contextualSpacing/>
    </w:pPr>
  </w:style>
  <w:style w:type="table" w:styleId="TableGrid">
    <w:name w:val="Table Grid"/>
    <w:basedOn w:val="TableNormal"/>
    <w:uiPriority w:val="39"/>
    <w:rsid w:val="00D9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1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2B"/>
    <w:rPr>
      <w:rFonts w:ascii="Segoe UI" w:eastAsia="Times New Roman" w:hAnsi="Segoe UI" w:cs="Segoe UI"/>
      <w:sz w:val="18"/>
      <w:szCs w:val="18"/>
      <w:lang w:eastAsia="zh-CN"/>
    </w:rPr>
  </w:style>
  <w:style w:type="character" w:customStyle="1" w:styleId="Heading4Char">
    <w:name w:val="Heading 4 Char"/>
    <w:basedOn w:val="DefaultParagraphFont"/>
    <w:link w:val="Heading4"/>
    <w:uiPriority w:val="9"/>
    <w:rsid w:val="00687617"/>
    <w:rPr>
      <w:rFonts w:asciiTheme="majorHAnsi" w:eastAsiaTheme="majorEastAsia" w:hAnsiTheme="majorHAnsi" w:cstheme="majorBidi"/>
      <w:i/>
      <w:iCs/>
      <w:color w:val="2E74B5" w:themeColor="accent1" w:themeShade="BF"/>
      <w:szCs w:val="20"/>
      <w:lang w:eastAsia="zh-CN"/>
    </w:rPr>
  </w:style>
  <w:style w:type="paragraph" w:styleId="Header">
    <w:name w:val="header"/>
    <w:basedOn w:val="Normal"/>
    <w:link w:val="HeaderChar"/>
    <w:uiPriority w:val="99"/>
    <w:unhideWhenUsed/>
    <w:rsid w:val="003014DE"/>
    <w:pPr>
      <w:tabs>
        <w:tab w:val="center" w:pos="4513"/>
        <w:tab w:val="right" w:pos="9026"/>
      </w:tabs>
      <w:spacing w:line="240" w:lineRule="auto"/>
    </w:pPr>
  </w:style>
  <w:style w:type="character" w:customStyle="1" w:styleId="HeaderChar">
    <w:name w:val="Header Char"/>
    <w:basedOn w:val="DefaultParagraphFont"/>
    <w:link w:val="Header"/>
    <w:uiPriority w:val="99"/>
    <w:rsid w:val="003014DE"/>
    <w:rPr>
      <w:rFonts w:ascii="Times New Roman" w:eastAsia="Times New Roman" w:hAnsi="Times New Roman" w:cs="Times New Roman"/>
      <w:sz w:val="24"/>
      <w:szCs w:val="20"/>
      <w:lang w:eastAsia="zh-CN"/>
    </w:rPr>
  </w:style>
  <w:style w:type="paragraph" w:styleId="Footer">
    <w:name w:val="footer"/>
    <w:basedOn w:val="Normal"/>
    <w:link w:val="FooterChar"/>
    <w:uiPriority w:val="99"/>
    <w:unhideWhenUsed/>
    <w:rsid w:val="003014DE"/>
    <w:pPr>
      <w:tabs>
        <w:tab w:val="center" w:pos="4513"/>
        <w:tab w:val="right" w:pos="9026"/>
      </w:tabs>
      <w:spacing w:line="240" w:lineRule="auto"/>
    </w:pPr>
  </w:style>
  <w:style w:type="character" w:customStyle="1" w:styleId="FooterChar">
    <w:name w:val="Footer Char"/>
    <w:basedOn w:val="DefaultParagraphFont"/>
    <w:link w:val="Footer"/>
    <w:uiPriority w:val="99"/>
    <w:rsid w:val="003014DE"/>
    <w:rPr>
      <w:rFonts w:ascii="Times New Roman" w:eastAsia="Times New Roman" w:hAnsi="Times New Roman" w:cs="Times New Roman"/>
      <w:sz w:val="24"/>
      <w:szCs w:val="20"/>
      <w:lang w:eastAsia="zh-CN"/>
    </w:rPr>
  </w:style>
  <w:style w:type="character" w:styleId="CommentReference">
    <w:name w:val="annotation reference"/>
    <w:basedOn w:val="DefaultParagraphFont"/>
    <w:uiPriority w:val="99"/>
    <w:semiHidden/>
    <w:unhideWhenUsed/>
    <w:rsid w:val="00EA5152"/>
    <w:rPr>
      <w:sz w:val="16"/>
      <w:szCs w:val="16"/>
    </w:rPr>
  </w:style>
  <w:style w:type="paragraph" w:styleId="CommentText">
    <w:name w:val="annotation text"/>
    <w:basedOn w:val="Normal"/>
    <w:link w:val="CommentTextChar"/>
    <w:uiPriority w:val="99"/>
    <w:semiHidden/>
    <w:unhideWhenUsed/>
    <w:rsid w:val="00EA5152"/>
    <w:pPr>
      <w:spacing w:line="240" w:lineRule="auto"/>
    </w:pPr>
    <w:rPr>
      <w:sz w:val="20"/>
    </w:rPr>
  </w:style>
  <w:style w:type="character" w:customStyle="1" w:styleId="CommentTextChar">
    <w:name w:val="Comment Text Char"/>
    <w:basedOn w:val="DefaultParagraphFont"/>
    <w:link w:val="CommentText"/>
    <w:uiPriority w:val="99"/>
    <w:semiHidden/>
    <w:rsid w:val="00EA515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A5152"/>
    <w:rPr>
      <w:b/>
      <w:bCs/>
    </w:rPr>
  </w:style>
  <w:style w:type="character" w:customStyle="1" w:styleId="CommentSubjectChar">
    <w:name w:val="Comment Subject Char"/>
    <w:basedOn w:val="CommentTextChar"/>
    <w:link w:val="CommentSubject"/>
    <w:uiPriority w:val="99"/>
    <w:semiHidden/>
    <w:rsid w:val="00EA5152"/>
    <w:rPr>
      <w:rFonts w:ascii="Times New Roman" w:eastAsia="Times New Roman" w:hAnsi="Times New Roman" w:cs="Times New Roman"/>
      <w:b/>
      <w:bCs/>
      <w:sz w:val="20"/>
      <w:szCs w:val="20"/>
      <w:lang w:eastAsia="zh-CN"/>
    </w:rPr>
  </w:style>
  <w:style w:type="paragraph" w:styleId="ListBullet">
    <w:name w:val="List Bullet"/>
    <w:basedOn w:val="Normal"/>
    <w:rsid w:val="00603B62"/>
    <w:pPr>
      <w:numPr>
        <w:numId w:val="35"/>
      </w:numPr>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5730">
      <w:bodyDiv w:val="1"/>
      <w:marLeft w:val="0"/>
      <w:marRight w:val="0"/>
      <w:marTop w:val="0"/>
      <w:marBottom w:val="0"/>
      <w:divBdr>
        <w:top w:val="none" w:sz="0" w:space="0" w:color="auto"/>
        <w:left w:val="none" w:sz="0" w:space="0" w:color="auto"/>
        <w:bottom w:val="none" w:sz="0" w:space="0" w:color="auto"/>
        <w:right w:val="none" w:sz="0" w:space="0" w:color="auto"/>
      </w:divBdr>
      <w:divsChild>
        <w:div w:id="1182210342">
          <w:marLeft w:val="446"/>
          <w:marRight w:val="0"/>
          <w:marTop w:val="0"/>
          <w:marBottom w:val="0"/>
          <w:divBdr>
            <w:top w:val="none" w:sz="0" w:space="0" w:color="auto"/>
            <w:left w:val="none" w:sz="0" w:space="0" w:color="auto"/>
            <w:bottom w:val="none" w:sz="0" w:space="0" w:color="auto"/>
            <w:right w:val="none" w:sz="0" w:space="0" w:color="auto"/>
          </w:divBdr>
        </w:div>
        <w:div w:id="294918842">
          <w:marLeft w:val="446"/>
          <w:marRight w:val="0"/>
          <w:marTop w:val="0"/>
          <w:marBottom w:val="0"/>
          <w:divBdr>
            <w:top w:val="none" w:sz="0" w:space="0" w:color="auto"/>
            <w:left w:val="none" w:sz="0" w:space="0" w:color="auto"/>
            <w:bottom w:val="none" w:sz="0" w:space="0" w:color="auto"/>
            <w:right w:val="none" w:sz="0" w:space="0" w:color="auto"/>
          </w:divBdr>
        </w:div>
        <w:div w:id="1284000891">
          <w:marLeft w:val="446"/>
          <w:marRight w:val="0"/>
          <w:marTop w:val="0"/>
          <w:marBottom w:val="0"/>
          <w:divBdr>
            <w:top w:val="none" w:sz="0" w:space="0" w:color="auto"/>
            <w:left w:val="none" w:sz="0" w:space="0" w:color="auto"/>
            <w:bottom w:val="none" w:sz="0" w:space="0" w:color="auto"/>
            <w:right w:val="none" w:sz="0" w:space="0" w:color="auto"/>
          </w:divBdr>
        </w:div>
        <w:div w:id="16198212">
          <w:marLeft w:val="446"/>
          <w:marRight w:val="0"/>
          <w:marTop w:val="0"/>
          <w:marBottom w:val="0"/>
          <w:divBdr>
            <w:top w:val="none" w:sz="0" w:space="0" w:color="auto"/>
            <w:left w:val="none" w:sz="0" w:space="0" w:color="auto"/>
            <w:bottom w:val="none" w:sz="0" w:space="0" w:color="auto"/>
            <w:right w:val="none" w:sz="0" w:space="0" w:color="auto"/>
          </w:divBdr>
        </w:div>
        <w:div w:id="14816489">
          <w:marLeft w:val="446"/>
          <w:marRight w:val="0"/>
          <w:marTop w:val="0"/>
          <w:marBottom w:val="0"/>
          <w:divBdr>
            <w:top w:val="none" w:sz="0" w:space="0" w:color="auto"/>
            <w:left w:val="none" w:sz="0" w:space="0" w:color="auto"/>
            <w:bottom w:val="none" w:sz="0" w:space="0" w:color="auto"/>
            <w:right w:val="none" w:sz="0" w:space="0" w:color="auto"/>
          </w:divBdr>
        </w:div>
        <w:div w:id="1051612788">
          <w:marLeft w:val="446"/>
          <w:marRight w:val="0"/>
          <w:marTop w:val="0"/>
          <w:marBottom w:val="0"/>
          <w:divBdr>
            <w:top w:val="none" w:sz="0" w:space="0" w:color="auto"/>
            <w:left w:val="none" w:sz="0" w:space="0" w:color="auto"/>
            <w:bottom w:val="none" w:sz="0" w:space="0" w:color="auto"/>
            <w:right w:val="none" w:sz="0" w:space="0" w:color="auto"/>
          </w:divBdr>
        </w:div>
        <w:div w:id="1354765475">
          <w:marLeft w:val="446"/>
          <w:marRight w:val="0"/>
          <w:marTop w:val="0"/>
          <w:marBottom w:val="0"/>
          <w:divBdr>
            <w:top w:val="none" w:sz="0" w:space="0" w:color="auto"/>
            <w:left w:val="none" w:sz="0" w:space="0" w:color="auto"/>
            <w:bottom w:val="none" w:sz="0" w:space="0" w:color="auto"/>
            <w:right w:val="none" w:sz="0" w:space="0" w:color="auto"/>
          </w:divBdr>
        </w:div>
        <w:div w:id="159808174">
          <w:marLeft w:val="446"/>
          <w:marRight w:val="0"/>
          <w:marTop w:val="0"/>
          <w:marBottom w:val="0"/>
          <w:divBdr>
            <w:top w:val="none" w:sz="0" w:space="0" w:color="auto"/>
            <w:left w:val="none" w:sz="0" w:space="0" w:color="auto"/>
            <w:bottom w:val="none" w:sz="0" w:space="0" w:color="auto"/>
            <w:right w:val="none" w:sz="0" w:space="0" w:color="auto"/>
          </w:divBdr>
        </w:div>
        <w:div w:id="2132817913">
          <w:marLeft w:val="446"/>
          <w:marRight w:val="0"/>
          <w:marTop w:val="0"/>
          <w:marBottom w:val="0"/>
          <w:divBdr>
            <w:top w:val="none" w:sz="0" w:space="0" w:color="auto"/>
            <w:left w:val="none" w:sz="0" w:space="0" w:color="auto"/>
            <w:bottom w:val="none" w:sz="0" w:space="0" w:color="auto"/>
            <w:right w:val="none" w:sz="0" w:space="0" w:color="auto"/>
          </w:divBdr>
        </w:div>
        <w:div w:id="1140879557">
          <w:marLeft w:val="446"/>
          <w:marRight w:val="0"/>
          <w:marTop w:val="0"/>
          <w:marBottom w:val="0"/>
          <w:divBdr>
            <w:top w:val="none" w:sz="0" w:space="0" w:color="auto"/>
            <w:left w:val="none" w:sz="0" w:space="0" w:color="auto"/>
            <w:bottom w:val="none" w:sz="0" w:space="0" w:color="auto"/>
            <w:right w:val="none" w:sz="0" w:space="0" w:color="auto"/>
          </w:divBdr>
        </w:div>
        <w:div w:id="310989406">
          <w:marLeft w:val="446"/>
          <w:marRight w:val="0"/>
          <w:marTop w:val="0"/>
          <w:marBottom w:val="0"/>
          <w:divBdr>
            <w:top w:val="none" w:sz="0" w:space="0" w:color="auto"/>
            <w:left w:val="none" w:sz="0" w:space="0" w:color="auto"/>
            <w:bottom w:val="none" w:sz="0" w:space="0" w:color="auto"/>
            <w:right w:val="none" w:sz="0" w:space="0" w:color="auto"/>
          </w:divBdr>
        </w:div>
        <w:div w:id="946349918">
          <w:marLeft w:val="446"/>
          <w:marRight w:val="0"/>
          <w:marTop w:val="0"/>
          <w:marBottom w:val="0"/>
          <w:divBdr>
            <w:top w:val="none" w:sz="0" w:space="0" w:color="auto"/>
            <w:left w:val="none" w:sz="0" w:space="0" w:color="auto"/>
            <w:bottom w:val="none" w:sz="0" w:space="0" w:color="auto"/>
            <w:right w:val="none" w:sz="0" w:space="0" w:color="auto"/>
          </w:divBdr>
        </w:div>
        <w:div w:id="948665326">
          <w:marLeft w:val="446"/>
          <w:marRight w:val="0"/>
          <w:marTop w:val="0"/>
          <w:marBottom w:val="0"/>
          <w:divBdr>
            <w:top w:val="none" w:sz="0" w:space="0" w:color="auto"/>
            <w:left w:val="none" w:sz="0" w:space="0" w:color="auto"/>
            <w:bottom w:val="none" w:sz="0" w:space="0" w:color="auto"/>
            <w:right w:val="none" w:sz="0" w:space="0" w:color="auto"/>
          </w:divBdr>
        </w:div>
      </w:divsChild>
    </w:div>
    <w:div w:id="1573538370">
      <w:bodyDiv w:val="1"/>
      <w:marLeft w:val="0"/>
      <w:marRight w:val="0"/>
      <w:marTop w:val="0"/>
      <w:marBottom w:val="0"/>
      <w:divBdr>
        <w:top w:val="none" w:sz="0" w:space="0" w:color="auto"/>
        <w:left w:val="none" w:sz="0" w:space="0" w:color="auto"/>
        <w:bottom w:val="none" w:sz="0" w:space="0" w:color="auto"/>
        <w:right w:val="none" w:sz="0" w:space="0" w:color="auto"/>
      </w:divBdr>
      <w:divsChild>
        <w:div w:id="1945532764">
          <w:marLeft w:val="0"/>
          <w:marRight w:val="0"/>
          <w:marTop w:val="0"/>
          <w:marBottom w:val="0"/>
          <w:divBdr>
            <w:top w:val="none" w:sz="0" w:space="0" w:color="auto"/>
            <w:left w:val="none" w:sz="0" w:space="0" w:color="auto"/>
            <w:bottom w:val="none" w:sz="0" w:space="0" w:color="auto"/>
            <w:right w:val="none" w:sz="0" w:space="0" w:color="auto"/>
          </w:divBdr>
          <w:divsChild>
            <w:div w:id="1487091215">
              <w:marLeft w:val="0"/>
              <w:marRight w:val="0"/>
              <w:marTop w:val="0"/>
              <w:marBottom w:val="0"/>
              <w:divBdr>
                <w:top w:val="none" w:sz="0" w:space="0" w:color="auto"/>
                <w:left w:val="single" w:sz="6" w:space="0" w:color="E2E2E2"/>
                <w:bottom w:val="none" w:sz="0" w:space="0" w:color="auto"/>
                <w:right w:val="single" w:sz="6" w:space="0" w:color="E2E2E2"/>
              </w:divBdr>
              <w:divsChild>
                <w:div w:id="1106651748">
                  <w:marLeft w:val="0"/>
                  <w:marRight w:val="0"/>
                  <w:marTop w:val="0"/>
                  <w:marBottom w:val="0"/>
                  <w:divBdr>
                    <w:top w:val="none" w:sz="0" w:space="0" w:color="auto"/>
                    <w:left w:val="none" w:sz="0" w:space="0" w:color="auto"/>
                    <w:bottom w:val="none" w:sz="0" w:space="0" w:color="auto"/>
                    <w:right w:val="none" w:sz="0" w:space="0" w:color="auto"/>
                  </w:divBdr>
                  <w:divsChild>
                    <w:div w:id="250163011">
                      <w:marLeft w:val="0"/>
                      <w:marRight w:val="0"/>
                      <w:marTop w:val="0"/>
                      <w:marBottom w:val="0"/>
                      <w:divBdr>
                        <w:top w:val="none" w:sz="0" w:space="0" w:color="auto"/>
                        <w:left w:val="none" w:sz="0" w:space="0" w:color="auto"/>
                        <w:bottom w:val="none" w:sz="0" w:space="0" w:color="auto"/>
                        <w:right w:val="none" w:sz="0" w:space="0" w:color="auto"/>
                      </w:divBdr>
                      <w:divsChild>
                        <w:div w:id="1090929933">
                          <w:marLeft w:val="0"/>
                          <w:marRight w:val="0"/>
                          <w:marTop w:val="0"/>
                          <w:marBottom w:val="0"/>
                          <w:divBdr>
                            <w:top w:val="none" w:sz="0" w:space="0" w:color="auto"/>
                            <w:left w:val="none" w:sz="0" w:space="0" w:color="auto"/>
                            <w:bottom w:val="none" w:sz="0" w:space="0" w:color="auto"/>
                            <w:right w:val="none" w:sz="0" w:space="0" w:color="auto"/>
                          </w:divBdr>
                          <w:divsChild>
                            <w:div w:id="99491090">
                              <w:marLeft w:val="0"/>
                              <w:marRight w:val="0"/>
                              <w:marTop w:val="0"/>
                              <w:marBottom w:val="0"/>
                              <w:divBdr>
                                <w:top w:val="none" w:sz="0" w:space="0" w:color="auto"/>
                                <w:left w:val="none" w:sz="0" w:space="0" w:color="auto"/>
                                <w:bottom w:val="none" w:sz="0" w:space="0" w:color="auto"/>
                                <w:right w:val="none" w:sz="0" w:space="0" w:color="auto"/>
                              </w:divBdr>
                              <w:divsChild>
                                <w:div w:id="1520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9051">
      <w:bodyDiv w:val="1"/>
      <w:marLeft w:val="0"/>
      <w:marRight w:val="0"/>
      <w:marTop w:val="0"/>
      <w:marBottom w:val="0"/>
      <w:divBdr>
        <w:top w:val="none" w:sz="0" w:space="0" w:color="auto"/>
        <w:left w:val="none" w:sz="0" w:space="0" w:color="auto"/>
        <w:bottom w:val="none" w:sz="0" w:space="0" w:color="auto"/>
        <w:right w:val="none" w:sz="0" w:space="0" w:color="auto"/>
      </w:divBdr>
      <w:divsChild>
        <w:div w:id="471748487">
          <w:marLeft w:val="446"/>
          <w:marRight w:val="0"/>
          <w:marTop w:val="0"/>
          <w:marBottom w:val="0"/>
          <w:divBdr>
            <w:top w:val="none" w:sz="0" w:space="0" w:color="auto"/>
            <w:left w:val="none" w:sz="0" w:space="0" w:color="auto"/>
            <w:bottom w:val="none" w:sz="0" w:space="0" w:color="auto"/>
            <w:right w:val="none" w:sz="0" w:space="0" w:color="auto"/>
          </w:divBdr>
        </w:div>
        <w:div w:id="2034526273">
          <w:marLeft w:val="446"/>
          <w:marRight w:val="0"/>
          <w:marTop w:val="0"/>
          <w:marBottom w:val="0"/>
          <w:divBdr>
            <w:top w:val="none" w:sz="0" w:space="0" w:color="auto"/>
            <w:left w:val="none" w:sz="0" w:space="0" w:color="auto"/>
            <w:bottom w:val="none" w:sz="0" w:space="0" w:color="auto"/>
            <w:right w:val="none" w:sz="0" w:space="0" w:color="auto"/>
          </w:divBdr>
        </w:div>
        <w:div w:id="1716806692">
          <w:marLeft w:val="446"/>
          <w:marRight w:val="0"/>
          <w:marTop w:val="0"/>
          <w:marBottom w:val="0"/>
          <w:divBdr>
            <w:top w:val="none" w:sz="0" w:space="0" w:color="auto"/>
            <w:left w:val="none" w:sz="0" w:space="0" w:color="auto"/>
            <w:bottom w:val="none" w:sz="0" w:space="0" w:color="auto"/>
            <w:right w:val="none" w:sz="0" w:space="0" w:color="auto"/>
          </w:divBdr>
        </w:div>
        <w:div w:id="1282147027">
          <w:marLeft w:val="446"/>
          <w:marRight w:val="0"/>
          <w:marTop w:val="0"/>
          <w:marBottom w:val="0"/>
          <w:divBdr>
            <w:top w:val="none" w:sz="0" w:space="0" w:color="auto"/>
            <w:left w:val="none" w:sz="0" w:space="0" w:color="auto"/>
            <w:bottom w:val="none" w:sz="0" w:space="0" w:color="auto"/>
            <w:right w:val="none" w:sz="0" w:space="0" w:color="auto"/>
          </w:divBdr>
        </w:div>
        <w:div w:id="1388141651">
          <w:marLeft w:val="446"/>
          <w:marRight w:val="0"/>
          <w:marTop w:val="0"/>
          <w:marBottom w:val="0"/>
          <w:divBdr>
            <w:top w:val="none" w:sz="0" w:space="0" w:color="auto"/>
            <w:left w:val="none" w:sz="0" w:space="0" w:color="auto"/>
            <w:bottom w:val="none" w:sz="0" w:space="0" w:color="auto"/>
            <w:right w:val="none" w:sz="0" w:space="0" w:color="auto"/>
          </w:divBdr>
        </w:div>
        <w:div w:id="1727026482">
          <w:marLeft w:val="446"/>
          <w:marRight w:val="0"/>
          <w:marTop w:val="0"/>
          <w:marBottom w:val="0"/>
          <w:divBdr>
            <w:top w:val="none" w:sz="0" w:space="0" w:color="auto"/>
            <w:left w:val="none" w:sz="0" w:space="0" w:color="auto"/>
            <w:bottom w:val="none" w:sz="0" w:space="0" w:color="auto"/>
            <w:right w:val="none" w:sz="0" w:space="0" w:color="auto"/>
          </w:divBdr>
        </w:div>
        <w:div w:id="628586944">
          <w:marLeft w:val="446"/>
          <w:marRight w:val="0"/>
          <w:marTop w:val="0"/>
          <w:marBottom w:val="0"/>
          <w:divBdr>
            <w:top w:val="none" w:sz="0" w:space="0" w:color="auto"/>
            <w:left w:val="none" w:sz="0" w:space="0" w:color="auto"/>
            <w:bottom w:val="none" w:sz="0" w:space="0" w:color="auto"/>
            <w:right w:val="none" w:sz="0" w:space="0" w:color="auto"/>
          </w:divBdr>
        </w:div>
        <w:div w:id="795685936">
          <w:marLeft w:val="446"/>
          <w:marRight w:val="0"/>
          <w:marTop w:val="0"/>
          <w:marBottom w:val="0"/>
          <w:divBdr>
            <w:top w:val="none" w:sz="0" w:space="0" w:color="auto"/>
            <w:left w:val="none" w:sz="0" w:space="0" w:color="auto"/>
            <w:bottom w:val="none" w:sz="0" w:space="0" w:color="auto"/>
            <w:right w:val="none" w:sz="0" w:space="0" w:color="auto"/>
          </w:divBdr>
        </w:div>
        <w:div w:id="1159613327">
          <w:marLeft w:val="446"/>
          <w:marRight w:val="0"/>
          <w:marTop w:val="0"/>
          <w:marBottom w:val="0"/>
          <w:divBdr>
            <w:top w:val="none" w:sz="0" w:space="0" w:color="auto"/>
            <w:left w:val="none" w:sz="0" w:space="0" w:color="auto"/>
            <w:bottom w:val="none" w:sz="0" w:space="0" w:color="auto"/>
            <w:right w:val="none" w:sz="0" w:space="0" w:color="auto"/>
          </w:divBdr>
        </w:div>
        <w:div w:id="2087141094">
          <w:marLeft w:val="446"/>
          <w:marRight w:val="0"/>
          <w:marTop w:val="0"/>
          <w:marBottom w:val="0"/>
          <w:divBdr>
            <w:top w:val="none" w:sz="0" w:space="0" w:color="auto"/>
            <w:left w:val="none" w:sz="0" w:space="0" w:color="auto"/>
            <w:bottom w:val="none" w:sz="0" w:space="0" w:color="auto"/>
            <w:right w:val="none" w:sz="0" w:space="0" w:color="auto"/>
          </w:divBdr>
        </w:div>
        <w:div w:id="2128350178">
          <w:marLeft w:val="446"/>
          <w:marRight w:val="0"/>
          <w:marTop w:val="0"/>
          <w:marBottom w:val="0"/>
          <w:divBdr>
            <w:top w:val="none" w:sz="0" w:space="0" w:color="auto"/>
            <w:left w:val="none" w:sz="0" w:space="0" w:color="auto"/>
            <w:bottom w:val="none" w:sz="0" w:space="0" w:color="auto"/>
            <w:right w:val="none" w:sz="0" w:space="0" w:color="auto"/>
          </w:divBdr>
        </w:div>
        <w:div w:id="800810249">
          <w:marLeft w:val="446"/>
          <w:marRight w:val="0"/>
          <w:marTop w:val="0"/>
          <w:marBottom w:val="0"/>
          <w:divBdr>
            <w:top w:val="none" w:sz="0" w:space="0" w:color="auto"/>
            <w:left w:val="none" w:sz="0" w:space="0" w:color="auto"/>
            <w:bottom w:val="none" w:sz="0" w:space="0" w:color="auto"/>
            <w:right w:val="none" w:sz="0" w:space="0" w:color="auto"/>
          </w:divBdr>
        </w:div>
        <w:div w:id="13215446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rennan@sgul.kingston.ac.uk" TargetMode="External"/><Relationship Id="rId13" Type="http://schemas.openxmlformats.org/officeDocument/2006/relationships/footer" Target="footer1.xml"/><Relationship Id="rId18" Type="http://schemas.openxmlformats.org/officeDocument/2006/relationships/hyperlink" Target="https://ifna.site/country/ghana/" TargetMode="External"/><Relationship Id="rId26" Type="http://schemas.openxmlformats.org/officeDocument/2006/relationships/hyperlink" Target="https://www.icn.ch/news/new-policy-brief-nurse-retention-released" TargetMode="External"/><Relationship Id="rId3" Type="http://schemas.openxmlformats.org/officeDocument/2006/relationships/styles" Target="styles.xml"/><Relationship Id="rId21" Type="http://schemas.openxmlformats.org/officeDocument/2006/relationships/hyperlink" Target="https://digital.nhs.uk/data-and-information/publications/statistical/nhs-vacancies-survey/nhs-vacancy-statistics-england---february-2015---march-2018-provisional-experimental-statist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dx.doi.org/10.1787/a8756593-en" TargetMode="External"/><Relationship Id="rId25" Type="http://schemas.openxmlformats.org/officeDocument/2006/relationships/hyperlink" Target="https://doi.org/10.1016/S0140-6736(00)98375-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who.int/__data/assets/pdf_file/0008/348416/PUBLIC_HEALTH_PANORAMA_SEPTEMBER_RUS.pdf" TargetMode="External"/><Relationship Id="rId20" Type="http://schemas.openxmlformats.org/officeDocument/2006/relationships/hyperlink" Target="https://www.gov.uk/government/news/nhs-pledges-action-to-eliminate-ethnicity-pay-gap" TargetMode="External"/><Relationship Id="rId29" Type="http://schemas.openxmlformats.org/officeDocument/2006/relationships/hyperlink" Target="http://www.health.gov.au/internet/main/publishing.nsf/Content/hwa-archived-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www.human-resources-health.com/content/12/1/47" TargetMode="External"/><Relationship Id="rId32" Type="http://schemas.openxmlformats.org/officeDocument/2006/relationships/hyperlink" Target="http://www.data.drees.sante.gouv.fr/TableViewer/tableView.aspx?ReportId=3704" TargetMode="External"/><Relationship Id="rId5" Type="http://schemas.openxmlformats.org/officeDocument/2006/relationships/webSettings" Target="webSettings.xml"/><Relationship Id="rId15" Type="http://schemas.openxmlformats.org/officeDocument/2006/relationships/hyperlink" Target="https://www.who.int/hrh/resources/health-observer17/en/" TargetMode="External"/><Relationship Id="rId23" Type="http://schemas.openxmlformats.org/officeDocument/2006/relationships/hyperlink" Target="https://www.who.int/hrh/retention/guidelines/en/" TargetMode="External"/><Relationship Id="rId28" Type="http://schemas.openxmlformats.org/officeDocument/2006/relationships/hyperlink" Target="https://www.bls.gov/ooh/healthcare/registered-nurses.htm" TargetMode="External"/><Relationship Id="rId10" Type="http://schemas.openxmlformats.org/officeDocument/2006/relationships/hyperlink" Target="http://www.healthcare.ac.uk/staff/professor-fiona-ross-cbe/" TargetMode="External"/><Relationship Id="rId19" Type="http://schemas.openxmlformats.org/officeDocument/2006/relationships/hyperlink" Target="https://www.census.gov/library/working-papers/2013/acs/2013_Landivar_02.html" TargetMode="External"/><Relationship Id="rId31" Type="http://schemas.openxmlformats.org/officeDocument/2006/relationships/hyperlink" Target="https://www.nurse.or.jp/jna/english/statistics/index.html" TargetMode="External"/><Relationship Id="rId4" Type="http://schemas.openxmlformats.org/officeDocument/2006/relationships/settings" Target="settings.xml"/><Relationship Id="rId9" Type="http://schemas.openxmlformats.org/officeDocument/2006/relationships/hyperlink" Target="https://www.healthcare.ac.uk/staff/professor-vari-drennan/" TargetMode="External"/><Relationship Id="rId14" Type="http://schemas.openxmlformats.org/officeDocument/2006/relationships/hyperlink" Target="https://www.who.int/hrh/resources/pub_globstrathrh-2030/en/" TargetMode="External"/><Relationship Id="rId22" Type="http://schemas.openxmlformats.org/officeDocument/2006/relationships/hyperlink" Target="https://www.who.int/hrh/resources/health-observer20/en/" TargetMode="External"/><Relationship Id="rId27" Type="http://schemas.openxmlformats.org/officeDocument/2006/relationships/hyperlink" Target="http://www.oecd.org/health/health-systems/Nursing-workforce-February2016.pdf" TargetMode="External"/><Relationship Id="rId30" Type="http://schemas.openxmlformats.org/officeDocument/2006/relationships/hyperlink" Target="https://digital.nhs.uk/data-and-information/publications/statistical/general-and-personal-medical-services/final-30-september-2018-experimental-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53E2-77EE-438F-93B0-B46479FF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Drennan, Vari M</dc:creator>
  <cp:keywords/>
  <dc:description/>
  <cp:lastModifiedBy>Drennan, Vari M</cp:lastModifiedBy>
  <cp:revision>2</cp:revision>
  <cp:lastPrinted>2019-03-04T16:55:00Z</cp:lastPrinted>
  <dcterms:created xsi:type="dcterms:W3CDTF">2019-03-06T08:46:00Z</dcterms:created>
  <dcterms:modified xsi:type="dcterms:W3CDTF">2019-03-06T08:46:00Z</dcterms:modified>
</cp:coreProperties>
</file>