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B8" w:rsidRPr="00A16B88" w:rsidRDefault="00B66CB8" w:rsidP="00B66CB8">
      <w:pPr>
        <w:spacing w:line="480" w:lineRule="auto"/>
        <w:outlineLvl w:val="0"/>
        <w:rPr>
          <w:b/>
          <w:lang w:val="en-GB"/>
        </w:rPr>
      </w:pPr>
      <w:bookmarkStart w:id="0" w:name="_GoBack"/>
      <w:r w:rsidRPr="00A16B88">
        <w:rPr>
          <w:b/>
          <w:lang w:val="en-GB"/>
        </w:rPr>
        <w:t xml:space="preserve">Enterovirus and parechovirus meningitis in infants younger than 90 days old in the United Kingdom and Republic of Ireland: a British Paediatric Surveillance Unit study </w:t>
      </w:r>
    </w:p>
    <w:bookmarkEnd w:id="0"/>
    <w:p w:rsidR="00B66CB8" w:rsidRPr="00A16B88" w:rsidRDefault="00B66CB8" w:rsidP="00B66CB8">
      <w:pPr>
        <w:spacing w:line="480" w:lineRule="auto"/>
        <w:rPr>
          <w:b/>
          <w:lang w:val="en-GB"/>
        </w:rPr>
      </w:pPr>
    </w:p>
    <w:p w:rsidR="00B66CB8" w:rsidRPr="00A16B88" w:rsidRDefault="00B66CB8" w:rsidP="00B66CB8">
      <w:pPr>
        <w:spacing w:line="480" w:lineRule="auto"/>
        <w:rPr>
          <w:vertAlign w:val="superscript"/>
          <w:lang w:val="en-GB"/>
        </w:rPr>
      </w:pPr>
      <w:r w:rsidRPr="00A16B88">
        <w:rPr>
          <w:lang w:val="en-GB"/>
        </w:rPr>
        <w:t xml:space="preserve">Seilesh Kadambari </w:t>
      </w:r>
      <w:r w:rsidRPr="00A16B88">
        <w:rPr>
          <w:vertAlign w:val="superscript"/>
          <w:lang w:val="en-GB"/>
        </w:rPr>
        <w:t>1,2</w:t>
      </w:r>
      <w:r w:rsidRPr="00A16B88">
        <w:rPr>
          <w:lang w:val="en-GB"/>
        </w:rPr>
        <w:t xml:space="preserve">, Serena Braccio </w:t>
      </w:r>
      <w:r w:rsidRPr="00A16B88">
        <w:rPr>
          <w:vertAlign w:val="superscript"/>
          <w:lang w:val="en-GB"/>
        </w:rPr>
        <w:t>1</w:t>
      </w:r>
      <w:r w:rsidRPr="00A16B88">
        <w:rPr>
          <w:lang w:val="en-GB"/>
        </w:rPr>
        <w:t>, Sonia Ribeiro</w:t>
      </w:r>
      <w:r w:rsidRPr="00A16B88">
        <w:rPr>
          <w:vertAlign w:val="superscript"/>
          <w:lang w:val="en-GB"/>
        </w:rPr>
        <w:t>3</w:t>
      </w:r>
      <w:r w:rsidRPr="00A16B88">
        <w:rPr>
          <w:lang w:val="en-GB"/>
        </w:rPr>
        <w:t xml:space="preserve">, David J Allen </w:t>
      </w:r>
      <w:r w:rsidRPr="00A16B88">
        <w:rPr>
          <w:vertAlign w:val="superscript"/>
          <w:lang w:val="en-GB"/>
        </w:rPr>
        <w:t>4</w:t>
      </w:r>
      <w:r w:rsidRPr="00A16B88">
        <w:rPr>
          <w:lang w:val="en-GB"/>
        </w:rPr>
        <w:t xml:space="preserve">, Richard Pebody </w:t>
      </w:r>
      <w:r w:rsidRPr="00A16B88">
        <w:rPr>
          <w:vertAlign w:val="superscript"/>
          <w:lang w:val="en-GB"/>
        </w:rPr>
        <w:t>5</w:t>
      </w:r>
      <w:r w:rsidRPr="00A16B88">
        <w:rPr>
          <w:lang w:val="en-GB"/>
        </w:rPr>
        <w:t xml:space="preserve">, David Brown </w:t>
      </w:r>
      <w:r w:rsidRPr="00A16B88">
        <w:rPr>
          <w:vertAlign w:val="superscript"/>
          <w:lang w:val="en-GB"/>
        </w:rPr>
        <w:t>4</w:t>
      </w:r>
      <w:r w:rsidRPr="00A16B88">
        <w:rPr>
          <w:lang w:val="en-GB"/>
        </w:rPr>
        <w:t>, Robert Cunney</w:t>
      </w:r>
      <w:r w:rsidRPr="00A16B88">
        <w:rPr>
          <w:vertAlign w:val="superscript"/>
          <w:lang w:val="en-GB"/>
        </w:rPr>
        <w:t>6</w:t>
      </w:r>
      <w:r w:rsidRPr="00A16B88">
        <w:rPr>
          <w:lang w:val="en-GB"/>
        </w:rPr>
        <w:t xml:space="preserve">, Mike Sharland </w:t>
      </w:r>
      <w:r w:rsidRPr="00A16B88">
        <w:rPr>
          <w:vertAlign w:val="superscript"/>
          <w:lang w:val="en-GB"/>
        </w:rPr>
        <w:t>1</w:t>
      </w:r>
      <w:r w:rsidRPr="00A16B88">
        <w:rPr>
          <w:lang w:val="en-GB"/>
        </w:rPr>
        <w:t>, Shamez Ladhani</w:t>
      </w:r>
      <w:r w:rsidRPr="00A16B88">
        <w:rPr>
          <w:vertAlign w:val="superscript"/>
          <w:lang w:val="en-GB"/>
        </w:rPr>
        <w:t>1,3</w:t>
      </w:r>
    </w:p>
    <w:p w:rsidR="00B66CB8" w:rsidRPr="00A16B88" w:rsidRDefault="00B66CB8" w:rsidP="00B66CB8">
      <w:pPr>
        <w:spacing w:line="480" w:lineRule="auto"/>
        <w:rPr>
          <w:b/>
          <w:lang w:val="en-GB"/>
        </w:rPr>
      </w:pPr>
    </w:p>
    <w:p w:rsidR="00B66CB8" w:rsidRPr="00A16B88" w:rsidRDefault="00B66CB8" w:rsidP="00B66CB8">
      <w:pPr>
        <w:spacing w:line="480" w:lineRule="auto"/>
        <w:rPr>
          <w:lang w:val="en-GB"/>
        </w:rPr>
      </w:pPr>
      <w:r w:rsidRPr="00A16B88">
        <w:rPr>
          <w:vertAlign w:val="superscript"/>
          <w:lang w:val="en-GB"/>
        </w:rPr>
        <w:t xml:space="preserve">1 </w:t>
      </w:r>
      <w:r w:rsidRPr="00A16B88">
        <w:rPr>
          <w:lang w:val="en-GB"/>
        </w:rPr>
        <w:t>Paediatric Infectious Diseases Research Group, St George’s University of London, Cranmer Terrace, London SW17 0RE</w:t>
      </w:r>
    </w:p>
    <w:p w:rsidR="00B66CB8" w:rsidRPr="00A16B88" w:rsidRDefault="00B66CB8" w:rsidP="00B66CB8">
      <w:pPr>
        <w:spacing w:line="480" w:lineRule="auto"/>
        <w:rPr>
          <w:bCs/>
        </w:rPr>
      </w:pPr>
      <w:r w:rsidRPr="00A16B88">
        <w:rPr>
          <w:vertAlign w:val="superscript"/>
          <w:lang w:val="en-GB"/>
        </w:rPr>
        <w:t xml:space="preserve">2 </w:t>
      </w:r>
      <w:r w:rsidRPr="00A16B88">
        <w:rPr>
          <w:bCs/>
        </w:rPr>
        <w:t>Oxford Vaccine Group, Department of Paediatrics, University of Oxford and the NIHR Oxford Biomedical Research Centre, Oxford, UK</w:t>
      </w:r>
    </w:p>
    <w:p w:rsidR="00B66CB8" w:rsidRPr="00A16B88" w:rsidRDefault="00B66CB8" w:rsidP="00B66CB8">
      <w:pPr>
        <w:spacing w:line="480" w:lineRule="auto"/>
        <w:rPr>
          <w:bCs/>
        </w:rPr>
      </w:pPr>
      <w:r w:rsidRPr="00A16B88">
        <w:rPr>
          <w:bCs/>
        </w:rPr>
        <w:t xml:space="preserve">Email: </w:t>
      </w:r>
      <w:r w:rsidRPr="00A16B88">
        <w:rPr>
          <w:rStyle w:val="Hyperlink"/>
          <w:bCs/>
        </w:rPr>
        <w:t>seilesh.kadambari@paediatrics.ox.ac.uk</w:t>
      </w:r>
    </w:p>
    <w:p w:rsidR="00B66CB8" w:rsidRPr="00A16B88" w:rsidRDefault="00B66CB8" w:rsidP="00B66CB8">
      <w:pPr>
        <w:spacing w:line="480" w:lineRule="auto"/>
        <w:rPr>
          <w:bCs/>
        </w:rPr>
      </w:pPr>
      <w:r w:rsidRPr="00A16B88">
        <w:rPr>
          <w:bCs/>
        </w:rPr>
        <w:t>Phone: +44 1865 226 953</w:t>
      </w:r>
    </w:p>
    <w:p w:rsidR="00B66CB8" w:rsidRPr="00A16B88" w:rsidRDefault="00B66CB8" w:rsidP="00B66CB8">
      <w:pPr>
        <w:spacing w:line="480" w:lineRule="auto"/>
        <w:rPr>
          <w:lang w:val="en-GB"/>
        </w:rPr>
      </w:pPr>
      <w:r w:rsidRPr="00A16B88">
        <w:rPr>
          <w:vertAlign w:val="superscript"/>
          <w:lang w:val="en-GB"/>
        </w:rPr>
        <w:t>3</w:t>
      </w:r>
      <w:r w:rsidRPr="00A16B88">
        <w:rPr>
          <w:lang w:val="en-GB"/>
        </w:rPr>
        <w:t xml:space="preserve">Immunisation, hepatitis and blood safety department, Public Health England, Colindale, London </w:t>
      </w:r>
    </w:p>
    <w:p w:rsidR="00B66CB8" w:rsidRPr="00A16B88" w:rsidRDefault="00B66CB8" w:rsidP="00B66CB8">
      <w:pPr>
        <w:spacing w:line="480" w:lineRule="auto"/>
        <w:outlineLvl w:val="0"/>
        <w:rPr>
          <w:color w:val="000000" w:themeColor="text1"/>
          <w:lang w:val="en-GB"/>
        </w:rPr>
      </w:pPr>
      <w:r w:rsidRPr="00A16B88">
        <w:rPr>
          <w:vertAlign w:val="superscript"/>
          <w:lang w:val="en-GB"/>
        </w:rPr>
        <w:t xml:space="preserve">4 </w:t>
      </w:r>
      <w:r w:rsidRPr="00A16B88">
        <w:rPr>
          <w:lang w:val="en-GB"/>
        </w:rPr>
        <w:t xml:space="preserve">Virology Reference Department, Public Health England, </w:t>
      </w:r>
      <w:r w:rsidRPr="00A16B88">
        <w:rPr>
          <w:color w:val="000000" w:themeColor="text1"/>
          <w:lang w:val="en-GB"/>
        </w:rPr>
        <w:t xml:space="preserve">Colindale, London </w:t>
      </w:r>
    </w:p>
    <w:p w:rsidR="00B66CB8" w:rsidRPr="00A16B88" w:rsidRDefault="00B66CB8" w:rsidP="00B66CB8">
      <w:pPr>
        <w:spacing w:line="480" w:lineRule="auto"/>
        <w:rPr>
          <w:color w:val="000000" w:themeColor="text1"/>
          <w:lang w:val="en-GB"/>
        </w:rPr>
      </w:pPr>
      <w:r w:rsidRPr="00A16B88">
        <w:rPr>
          <w:color w:val="000000" w:themeColor="text1"/>
          <w:vertAlign w:val="superscript"/>
          <w:lang w:val="en-GB"/>
        </w:rPr>
        <w:t xml:space="preserve">5 </w:t>
      </w:r>
      <w:r w:rsidRPr="00A16B88">
        <w:rPr>
          <w:rFonts w:cs="Arial"/>
          <w:color w:val="000000" w:themeColor="text1"/>
        </w:rPr>
        <w:t xml:space="preserve">Influenza and other Respiratory Viruses Section, </w:t>
      </w:r>
      <w:r w:rsidRPr="00A16B88">
        <w:rPr>
          <w:color w:val="000000" w:themeColor="text1"/>
          <w:lang w:val="en-GB"/>
        </w:rPr>
        <w:t>Public Health England, Colindale, London</w:t>
      </w:r>
    </w:p>
    <w:p w:rsidR="00B66CB8" w:rsidRPr="00A16B88" w:rsidRDefault="00B66CB8" w:rsidP="00B66CB8">
      <w:pPr>
        <w:widowControl w:val="0"/>
        <w:autoSpaceDE w:val="0"/>
        <w:autoSpaceDN w:val="0"/>
        <w:adjustRightInd w:val="0"/>
        <w:spacing w:line="480" w:lineRule="auto"/>
        <w:rPr>
          <w:rFonts w:cs="OpenSans"/>
          <w:color w:val="000000" w:themeColor="text1"/>
        </w:rPr>
      </w:pPr>
      <w:r w:rsidRPr="00A16B88">
        <w:rPr>
          <w:color w:val="000000" w:themeColor="text1"/>
          <w:vertAlign w:val="superscript"/>
          <w:lang w:val="en-GB"/>
        </w:rPr>
        <w:t xml:space="preserve">6 </w:t>
      </w:r>
      <w:r w:rsidRPr="00A16B88">
        <w:rPr>
          <w:color w:val="000000" w:themeColor="text1"/>
          <w:lang w:val="en-GB"/>
        </w:rPr>
        <w:t xml:space="preserve">Department of microbiology, </w:t>
      </w:r>
      <w:r w:rsidRPr="00A16B88">
        <w:rPr>
          <w:rFonts w:cs="OpenSans"/>
          <w:color w:val="000000" w:themeColor="text1"/>
        </w:rPr>
        <w:t>Temple Street Children’s University Hospital, Temple Street</w:t>
      </w:r>
    </w:p>
    <w:p w:rsidR="00B66CB8" w:rsidRPr="00A16B88" w:rsidRDefault="00B66CB8" w:rsidP="00B66CB8">
      <w:pPr>
        <w:spacing w:line="480" w:lineRule="auto"/>
        <w:rPr>
          <w:color w:val="000000" w:themeColor="text1"/>
          <w:lang w:val="en-GB"/>
        </w:rPr>
      </w:pPr>
      <w:r w:rsidRPr="00A16B88">
        <w:rPr>
          <w:rFonts w:cs="OpenSans"/>
          <w:color w:val="000000" w:themeColor="text1"/>
        </w:rPr>
        <w:t>Dublin</w:t>
      </w:r>
    </w:p>
    <w:p w:rsidR="00B66CB8" w:rsidRPr="00A16B88" w:rsidRDefault="00B66CB8" w:rsidP="00B66CB8">
      <w:pPr>
        <w:spacing w:line="480" w:lineRule="auto"/>
        <w:rPr>
          <w:lang w:val="en-GB"/>
        </w:rPr>
      </w:pPr>
    </w:p>
    <w:p w:rsidR="00B66CB8" w:rsidRPr="00A16B88" w:rsidRDefault="00B66CB8" w:rsidP="00B66CB8">
      <w:pPr>
        <w:spacing w:line="480" w:lineRule="auto"/>
        <w:rPr>
          <w:lang w:val="en-GB"/>
        </w:rPr>
      </w:pPr>
      <w:r w:rsidRPr="00A16B88">
        <w:rPr>
          <w:lang w:val="en-GB"/>
        </w:rPr>
        <w:t>Category: Original article</w:t>
      </w:r>
    </w:p>
    <w:p w:rsidR="00B66CB8" w:rsidRPr="00A16B88" w:rsidRDefault="00B66CB8" w:rsidP="00B66CB8">
      <w:pPr>
        <w:spacing w:line="480" w:lineRule="auto"/>
        <w:outlineLvl w:val="0"/>
        <w:rPr>
          <w:lang w:val="en-GB"/>
        </w:rPr>
      </w:pPr>
      <w:r w:rsidRPr="00A16B88">
        <w:rPr>
          <w:lang w:val="en-GB"/>
        </w:rPr>
        <w:t xml:space="preserve">Keywords: Enterovirus, Parechovirus, Meningitis, Infants, Surveillance </w:t>
      </w:r>
    </w:p>
    <w:p w:rsidR="00B66CB8" w:rsidRPr="00A16B88" w:rsidRDefault="00B66CB8" w:rsidP="00B66CB8">
      <w:pPr>
        <w:spacing w:line="480" w:lineRule="auto"/>
        <w:outlineLvl w:val="0"/>
        <w:rPr>
          <w:b/>
          <w:lang w:val="en-GB"/>
        </w:rPr>
      </w:pPr>
      <w:r w:rsidRPr="00A16B88">
        <w:rPr>
          <w:lang w:val="en-GB"/>
        </w:rPr>
        <w:t xml:space="preserve">Running title: Enterovirus and parechovirus meningitis </w:t>
      </w:r>
    </w:p>
    <w:p w:rsidR="00B66CB8" w:rsidRPr="00A16B88" w:rsidRDefault="00B66CB8" w:rsidP="00B66CB8">
      <w:pPr>
        <w:spacing w:line="480" w:lineRule="auto"/>
        <w:outlineLvl w:val="0"/>
        <w:rPr>
          <w:lang w:val="en-GB"/>
        </w:rPr>
      </w:pPr>
    </w:p>
    <w:p w:rsidR="00B66CB8" w:rsidRPr="00A16B88" w:rsidRDefault="00B66CB8" w:rsidP="00B66CB8">
      <w:pPr>
        <w:spacing w:line="480" w:lineRule="auto"/>
        <w:outlineLvl w:val="0"/>
        <w:rPr>
          <w:lang w:val="en-GB"/>
        </w:rPr>
      </w:pPr>
    </w:p>
    <w:p w:rsidR="00B66CB8" w:rsidRPr="00A16B88" w:rsidRDefault="00B66CB8" w:rsidP="00B66CB8">
      <w:pPr>
        <w:spacing w:line="480" w:lineRule="auto"/>
        <w:outlineLvl w:val="0"/>
        <w:rPr>
          <w:lang w:val="en-GB"/>
        </w:rPr>
      </w:pPr>
      <w:r w:rsidRPr="00A16B88">
        <w:rPr>
          <w:b/>
          <w:lang w:val="en-GB"/>
        </w:rPr>
        <w:lastRenderedPageBreak/>
        <w:t xml:space="preserve">Abstract </w:t>
      </w:r>
    </w:p>
    <w:p w:rsidR="00B66CB8" w:rsidRPr="00A16B88" w:rsidRDefault="00B66CB8" w:rsidP="00B66CB8">
      <w:pPr>
        <w:spacing w:line="480" w:lineRule="auto"/>
        <w:outlineLvl w:val="0"/>
        <w:rPr>
          <w:b/>
          <w:lang w:val="en-GB"/>
        </w:rPr>
      </w:pPr>
      <w:r w:rsidRPr="00A16B88">
        <w:rPr>
          <w:b/>
          <w:lang w:val="en-GB"/>
        </w:rPr>
        <w:t>Objectives</w:t>
      </w:r>
    </w:p>
    <w:p w:rsidR="00B66CB8" w:rsidRPr="00A16B88" w:rsidRDefault="00B66CB8" w:rsidP="00B66CB8">
      <w:pPr>
        <w:spacing w:line="480" w:lineRule="auto"/>
        <w:rPr>
          <w:rFonts w:cs="Arial"/>
        </w:rPr>
      </w:pPr>
      <w:r w:rsidRPr="00A16B88">
        <w:rPr>
          <w:rFonts w:cs="Arial"/>
        </w:rPr>
        <w:t xml:space="preserve">This study aimed to prospectively collect detailed clinical information for all enterovirus (EV) and human parechovirus (HPeV) meningitis cases in infants aged &lt;90 days in the United Kingdom and Ireland. </w:t>
      </w:r>
    </w:p>
    <w:p w:rsidR="00B66CB8" w:rsidRPr="00A16B88" w:rsidRDefault="00B66CB8" w:rsidP="00B66CB8">
      <w:pPr>
        <w:spacing w:line="480" w:lineRule="auto"/>
        <w:outlineLvl w:val="0"/>
        <w:rPr>
          <w:b/>
          <w:lang w:val="en-GB"/>
        </w:rPr>
      </w:pPr>
      <w:r w:rsidRPr="00A16B88">
        <w:rPr>
          <w:b/>
          <w:lang w:val="en-GB"/>
        </w:rPr>
        <w:t>Participants, design and setting:</w:t>
      </w:r>
    </w:p>
    <w:p w:rsidR="00B66CB8" w:rsidRPr="00A16B88" w:rsidRDefault="00B66CB8" w:rsidP="00B66CB8">
      <w:pPr>
        <w:spacing w:line="480" w:lineRule="auto"/>
        <w:rPr>
          <w:lang w:val="en-GB"/>
        </w:rPr>
      </w:pPr>
      <w:r w:rsidRPr="00A16B88">
        <w:rPr>
          <w:lang w:val="en-GB"/>
        </w:rPr>
        <w:t>Prospective, active national surveillance during July 2014/15 through the British Paediatric Surveillance Unit. Reporting paediatricians completed questionnaires requesting information on clinical presentation, investigations, management and outcomes at hospital discharge and after 12 months.</w:t>
      </w:r>
    </w:p>
    <w:p w:rsidR="00B66CB8" w:rsidRPr="00A16B88" w:rsidRDefault="00B66CB8" w:rsidP="00B66CB8">
      <w:pPr>
        <w:spacing w:line="480" w:lineRule="auto"/>
        <w:rPr>
          <w:b/>
        </w:rPr>
      </w:pPr>
      <w:r w:rsidRPr="00A16B88">
        <w:rPr>
          <w:b/>
        </w:rPr>
        <w:t xml:space="preserve">Main Outcome Measures: </w:t>
      </w:r>
    </w:p>
    <w:p w:rsidR="00B66CB8" w:rsidRPr="00A16B88" w:rsidRDefault="00B66CB8" w:rsidP="00B66CB8">
      <w:pPr>
        <w:spacing w:line="480" w:lineRule="auto"/>
        <w:rPr>
          <w:lang w:val="en-GB"/>
        </w:rPr>
      </w:pPr>
      <w:r w:rsidRPr="00A16B88">
        <w:t>To describe the clinical burden of EV and HPeV meningitis in infants aged &lt;90 days.</w:t>
      </w:r>
    </w:p>
    <w:p w:rsidR="00B66CB8" w:rsidRPr="00A16B88" w:rsidRDefault="00B66CB8" w:rsidP="00B66CB8">
      <w:pPr>
        <w:spacing w:line="480" w:lineRule="auto"/>
        <w:outlineLvl w:val="0"/>
        <w:rPr>
          <w:b/>
        </w:rPr>
      </w:pPr>
      <w:r w:rsidRPr="00A16B88">
        <w:rPr>
          <w:b/>
        </w:rPr>
        <w:t>Results</w:t>
      </w:r>
    </w:p>
    <w:p w:rsidR="00B66CB8" w:rsidRPr="00A16B88" w:rsidRDefault="00B66CB8" w:rsidP="00B66CB8">
      <w:pPr>
        <w:spacing w:line="480" w:lineRule="auto"/>
        <w:rPr>
          <w:rFonts w:cs="Arial"/>
        </w:rPr>
      </w:pPr>
      <w:r w:rsidRPr="00A16B88">
        <w:rPr>
          <w:rFonts w:cs="Arial"/>
        </w:rPr>
        <w:t xml:space="preserve">During the 13-month surveillance period, 703 cases (668 EV, 35 HPeV) were reported. The most common clinical presentations were fever (EV: 570/668 [85%]; HPeV: 28/35 [80%]), irritability (EV: 441/668 [66%]; HPeV: 23/35 [66%]) and reduced feeding (EV: 363/668 [54%]; HPeV 23/35 [66%]). Features of circulatory shock were present in 27% (182/668) of EV and 43% (15/35) of HPeV cases. Overall, 11% (76/668) of EV and 23% (8/35) of HPeV cases required intensive care support.  Nearly all cases (678/703, 96%) were confirmed by cerebrospinal fluid (CSF) PCR, with 52% (309/600) having normal CSF white cell count for age. Two infants with EV meningitis died (2/668, 0.3%) and four survivors (4/666, 0.6%) had long-term complications at 12-months follow-up. Infants with HPeV meningitis survived without sequelae. </w:t>
      </w:r>
      <w:r w:rsidR="00CD197F" w:rsidRPr="00CD197F">
        <w:rPr>
          <w:rFonts w:cs="Arial"/>
        </w:rPr>
        <w:t>70% (189/270) had a formal hearing test</w:t>
      </w:r>
      <w:r w:rsidR="00CD197F">
        <w:rPr>
          <w:rFonts w:cs="Arial"/>
        </w:rPr>
        <w:t>,</w:t>
      </w:r>
      <w:r w:rsidR="00CD197F" w:rsidRPr="00CD197F">
        <w:rPr>
          <w:rFonts w:cs="Arial"/>
        </w:rPr>
        <w:t xml:space="preserve"> none had sensorineural hearing loss</w:t>
      </w:r>
      <w:r w:rsidR="00CD197F">
        <w:rPr>
          <w:rFonts w:cs="Arial"/>
        </w:rPr>
        <w:t>.</w:t>
      </w:r>
    </w:p>
    <w:p w:rsidR="00B66CB8" w:rsidRPr="00A16B88" w:rsidRDefault="00B66CB8" w:rsidP="00B66CB8">
      <w:pPr>
        <w:spacing w:line="480" w:lineRule="auto"/>
        <w:outlineLvl w:val="0"/>
        <w:rPr>
          <w:b/>
          <w:lang w:val="en-GB"/>
        </w:rPr>
      </w:pPr>
      <w:r w:rsidRPr="00A16B88">
        <w:rPr>
          <w:b/>
          <w:lang w:val="en-GB"/>
        </w:rPr>
        <w:lastRenderedPageBreak/>
        <w:t>Conclusion</w:t>
      </w:r>
    </w:p>
    <w:p w:rsidR="00B66CB8" w:rsidRPr="00A16B88" w:rsidRDefault="00B66CB8" w:rsidP="00B66CB8">
      <w:pPr>
        <w:spacing w:line="480" w:lineRule="auto"/>
        <w:rPr>
          <w:b/>
          <w:lang w:val="en-GB"/>
        </w:rPr>
      </w:pPr>
      <w:r w:rsidRPr="00A16B88">
        <w:rPr>
          <w:lang w:val="en-GB"/>
        </w:rPr>
        <w:t xml:space="preserve">The incidence of laboratory-confirmed EV/HPeV meningitis in young infants is more than twice that for bacterial meningitis. Less than 1% will develop severe neurological complications or die of their infection. Further studies are required to formally assess long-term neurodevelopmental sequelae. </w:t>
      </w:r>
    </w:p>
    <w:p w:rsidR="00B66CB8" w:rsidRPr="00A16B88" w:rsidRDefault="00B66CB8" w:rsidP="00B66CB8">
      <w:pPr>
        <w:spacing w:line="480" w:lineRule="auto"/>
        <w:rPr>
          <w:b/>
          <w:sz w:val="28"/>
          <w:lang w:val="en-GB"/>
        </w:rPr>
      </w:pPr>
      <w:r w:rsidRPr="00A16B88">
        <w:rPr>
          <w:b/>
          <w:sz w:val="28"/>
          <w:lang w:val="en-GB"/>
        </w:rPr>
        <w:br w:type="page"/>
      </w:r>
    </w:p>
    <w:p w:rsidR="00B66CB8" w:rsidRPr="00A16B88" w:rsidRDefault="00B66CB8" w:rsidP="00B66CB8">
      <w:pPr>
        <w:spacing w:line="480" w:lineRule="auto"/>
        <w:outlineLvl w:val="0"/>
        <w:rPr>
          <w:b/>
          <w:sz w:val="28"/>
          <w:lang w:val="en-GB"/>
        </w:rPr>
      </w:pPr>
      <w:r w:rsidRPr="00A16B88">
        <w:rPr>
          <w:b/>
          <w:sz w:val="28"/>
          <w:lang w:val="en-GB"/>
        </w:rPr>
        <w:lastRenderedPageBreak/>
        <w:t xml:space="preserve">Introduction </w:t>
      </w:r>
    </w:p>
    <w:p w:rsidR="00B66CB8" w:rsidRPr="00A16B88" w:rsidRDefault="00B66CB8" w:rsidP="00B66CB8">
      <w:pPr>
        <w:spacing w:line="480" w:lineRule="auto"/>
        <w:rPr>
          <w:b/>
          <w:lang w:val="en-GB"/>
        </w:rPr>
      </w:pPr>
    </w:p>
    <w:p w:rsidR="00B66CB8" w:rsidRPr="00A16B88" w:rsidRDefault="00B66CB8" w:rsidP="00B66CB8">
      <w:pPr>
        <w:spacing w:line="480" w:lineRule="auto"/>
        <w:rPr>
          <w:rFonts w:eastAsia="Times New Roman" w:cs="Arial"/>
          <w:color w:val="000000"/>
          <w:shd w:val="clear" w:color="auto" w:fill="FFFFFF"/>
        </w:rPr>
      </w:pPr>
      <w:r w:rsidRPr="00A16B88">
        <w:t xml:space="preserve">Hospitalisation rates for childhood viral meningitis in England have increased </w:t>
      </w:r>
      <w:r w:rsidRPr="00A16B88">
        <w:rPr>
          <w:rFonts w:eastAsia="Times New Roman" w:cs="Arial"/>
          <w:color w:val="000000"/>
          <w:shd w:val="clear" w:color="auto" w:fill="FFFFFF"/>
        </w:rPr>
        <w:t xml:space="preserve">year-on-year over the past decade, reaching 70 per 100 000 children in 2011, with the highest rates reported in infants younger than 90 days </w:t>
      </w:r>
      <w:r w:rsidRPr="00A16B88">
        <w:rPr>
          <w:rFonts w:eastAsia="Times New Roman" w:cs="Arial"/>
          <w:color w:val="000000"/>
          <w:shd w:val="clear" w:color="auto" w:fill="FFFFFF"/>
        </w:rPr>
        <w:fldChar w:fldCharType="begin" w:fldLock="1"/>
      </w:r>
      <w:r w:rsidRPr="00A16B88">
        <w:rPr>
          <w:rFonts w:eastAsia="Times New Roman" w:cs="Arial"/>
          <w:color w:val="000000"/>
          <w:shd w:val="clear" w:color="auto" w:fill="FFFFFF"/>
        </w:rPr>
        <w:instrText>ADDIN CSL_CITATION {"citationItems":[{"id":"ITEM-1","itemData":{"DOI":"10.1016/S1473-3099(16)30201-8","ISSN":"14744457","PMID":"27527749","abstract":"Background A substantial reduction in bacterial meningitis has occurred in the UK following successful implementation of immunisation programmes. Most childhood meningitis in developed countries is now caused by viruses. Long-term trends in paediatric viral meningitis in England have not previously been reported. The objective of this study is to report on epidemiological trends over time in childhood viral meningitis in England. Methods In this population-based observational study, we used routinely collected hospital discharge records from English National Health Service hospitals from 1968???2011 to analyse annual age-specific admission rates for viral meningitis, including specific viral aetiologies, in children younger than 15 years. Findings We analysed hospital discharge records from Jan 1, 1968, to Dec 31, 2011. Hospital admission rates for viral meningitis from Jan 1, 1968, to Dec 31, 1985, varied annually, with a mean of 13??5 admissions per 100???000 children aged less than 15 years, per year (95% CI 13??0???14??0). Admission rates declined during the late 1980s, and the mean number of admissions from 1989???2011 was 5??2 per 100???000 per year (5??1???5??3). This decrease was entirely in children aged 1???14 years. Admission rates for infants aged less than 1 year increased since 2005, to 70??0 per 100???000 (63??7???76??2) in 2011, which was driven by an increase in admission of infants aged 90 days or less. In 1968???85, the majority of cases in children were in those aged 1???14 years (22???150 [89%] of 24???920 admissions). In 2007???11, 1716 (72%) of 2382 cases were in infants. Admissions for mumps-related meningitis almost disappeared following introduction of the measles-mumps-rubella (MMR) vaccine in 1988. Admissions with a specified viral aetiology have increased since 2000. Interpretation Trends in viral meningitis admissions have changed substantially over the past 50 years, and probably reflect the impact of the MMR vaccine programme and the use of more sensitive diagnostic techniques. Funding None.","author":[{"dropping-particle":"","family":"Martin","given":"Natalie G.","non-dropping-particle":"","parse-names":false,"suffix":""},{"dropping-particle":"","family":"Iro","given":"Mildred A.","non-dropping-particle":"","parse-names":false,"suffix":""},{"dropping-particle":"","family":"Sadarangani","given":"Manish","non-dropping-particle":"","parse-names":false,"suffix":""},{"dropping-particle":"","family":"Goldacre","given":"Raphael","non-dropping-particle":"","parse-names":false,"suffix":""},{"dropping-particle":"","family":"Pollard","given":"Andrew J.","non-dropping-particle":"","parse-names":false,"suffix":""},{"dropping-particle":"","family":"Goldacre","given":"Michael J.","non-dropping-particle":"","parse-names":false,"suffix":""}],"container-title":"The Lancet Infectious Diseases","id":"ITEM-1","issue":"11","issued":{"date-parts":[["2016"]]},"page":"1279-1287","title":"Hospital admissions for viral meningitis in children in England over five decades: a population-based observational study","type":"article-journal","volume":"16"},"uris":["http://www.mendeley.com/documents/?uuid=e462d954-aa93-4c02-ac02-6975890808d4"]}],"mendeley":{"formattedCitation":"(1)","plainTextFormattedCitation":"(1)","previouslyFormattedCitation":"(1)"},"properties":{"noteIndex":0},"schema":"https://github.com/citation-style-language/schema/raw/master/csl-citation.json"}</w:instrText>
      </w:r>
      <w:r w:rsidRPr="00A16B88">
        <w:rPr>
          <w:rFonts w:eastAsia="Times New Roman" w:cs="Arial"/>
          <w:color w:val="000000"/>
          <w:shd w:val="clear" w:color="auto" w:fill="FFFFFF"/>
        </w:rPr>
        <w:fldChar w:fldCharType="separate"/>
      </w:r>
      <w:r w:rsidRPr="00A16B88">
        <w:rPr>
          <w:rFonts w:eastAsia="Times New Roman" w:cs="Arial"/>
          <w:noProof/>
          <w:color w:val="000000"/>
          <w:shd w:val="clear" w:color="auto" w:fill="FFFFFF"/>
        </w:rPr>
        <w:t>(1)</w:t>
      </w:r>
      <w:r w:rsidRPr="00A16B88">
        <w:rPr>
          <w:rFonts w:eastAsia="Times New Roman" w:cs="Arial"/>
          <w:color w:val="000000"/>
          <w:shd w:val="clear" w:color="auto" w:fill="FFFFFF"/>
        </w:rPr>
        <w:fldChar w:fldCharType="end"/>
      </w:r>
      <w:r w:rsidRPr="00A16B88">
        <w:rPr>
          <w:rFonts w:eastAsia="Times New Roman" w:cs="Arial"/>
          <w:color w:val="000000"/>
          <w:shd w:val="clear" w:color="auto" w:fill="FFFFFF"/>
        </w:rPr>
        <w:t>.</w:t>
      </w:r>
      <w:r w:rsidRPr="00A16B88" w:rsidDel="00CF3286">
        <w:t xml:space="preserve"> </w:t>
      </w:r>
      <w:r w:rsidRPr="00A16B88">
        <w:rPr>
          <w:rFonts w:eastAsia="Times New Roman" w:cs="Arial"/>
          <w:color w:val="000000"/>
          <w:shd w:val="clear" w:color="auto" w:fill="FFFFFF"/>
        </w:rPr>
        <w:t xml:space="preserve">This trend coincides with </w:t>
      </w:r>
      <w:r w:rsidRPr="00A16B88">
        <w:t xml:space="preserve">increasing routine use of molecular assays such as polymerase chain reaction (PCR) testing for viral infections in local hospital laboratories, which has led to a seven-fold increase in reports of laboratory-confirmed cases of viral meningo-encephalitis in the past decade </w:t>
      </w:r>
      <w:r w:rsidRPr="00A16B88">
        <w:fldChar w:fldCharType="begin" w:fldLock="1"/>
      </w:r>
      <w:r w:rsidRPr="00A16B88">
        <w:instrText>ADDIN CSL_CITATION {"citationItems":[{"id":"ITEM-1","itemData":{"DOI":"10.1016/j.jinf.2014.05.012","ISSN":"1532-2742","PMID":"24887614","abstract":"OBJECTIVES: In highly immunised populations viruses contribute to a substantially higher proportion of meningo-encephalitis cases. This national study aimed to describe population trends in laboratory-confirmed, viral meningo-encephalitis reports in England and Wales over a ten-year period.\n\nMETHODS: Laboratory-confirmed, viral meningo-encephalitis cases submitted by National Health Service hospitals in England and Wales during 2004-13 were analysed.\n\nRESULTS: There were 9941 laboratory-confirmed reports of viral meningo-encephalitis in England and Wales over the 10-year period. Number of reports increased across all age-groups and for all viruses from 311 (incidence, 0.6/100,000) in 2004 to 2168 in 2013 (incidence, 3.9/100,000). Median age at diagnosis was 30.6 (IQR, 1.3-51.5) years, with a third of cases diagnosed in children. In 2013, infants aged &lt;3 months accounted for 27% (588/2168) of cases, but had the highest incidence (329/100,000). Enteroviruses were responsible for 52% (5133/9941) of all cases and 92% (1952/2121) in &lt;3 month-olds (incidence, 313/100,000 in 2013, equivalent to 77/100,000 live-births) followed by herpes simplex (2885/9941; 29%) and varicella zoster (1342/9941; 13%), mainly among ≥45 year-olds.\n\nCONCLUSION: Increasing use of molecular testing has led to a 7-fold increase in laboratory-confirmed, viral meningo-encephalitis reports. Large clinical-observational studies are necessary to determine the burden of viral meningo-encephalitis, especially in infants.","author":[{"dropping-particle":"","family":"Kadambari","given":"Seilesh","non-dropping-particle":"","parse-names":false,"suffix":""},{"dropping-particle":"","family":"Okike","given":"Ifeanyichukwu","non-dropping-particle":"","parse-names":false,"suffix":""},{"dropping-particle":"","family":"Ribeiro","given":"Sonia","non-dropping-particle":"","parse-names":false,"suffix":""},{"dropping-particle":"","family":"Ramsay","given":"Mary E","non-dropping-particle":"","parse-names":false,"suffix":""},{"dropping-particle":"","family":"Heath","given":"Paul T","non-dropping-particle":"","parse-names":false,"suffix":""},{"dropping-particle":"","family":"Sharland","given":"Mike","non-dropping-particle":"","parse-names":false,"suffix":""},{"dropping-particle":"","family":"Ladhani","given":"Shamez N","non-dropping-particle":"","parse-names":false,"suffix":""}],"container-title":"The Journal of infection","id":"ITEM-1","issued":{"date-parts":[["2014","6","2"]]},"publisher":"Elsevier Ltd","title":"Seven-fold increase in viral meningo-encephalitis reports in England and Wales during 2004-2013.","type":"article-journal"},"uris":["http://www.mendeley.com/documents/?uuid=77dbe1ec-18ee-4b01-b000-208bf18174df"]}],"mendeley":{"formattedCitation":"(2)","plainTextFormattedCitation":"(2)","previouslyFormattedCitation":"(2)"},"properties":{"noteIndex":0},"schema":"https://github.com/citation-style-language/schema/raw/master/csl-citation.json"}</w:instrText>
      </w:r>
      <w:r w:rsidRPr="00A16B88">
        <w:fldChar w:fldCharType="separate"/>
      </w:r>
      <w:r w:rsidRPr="00A16B88">
        <w:rPr>
          <w:noProof/>
        </w:rPr>
        <w:t>(2)</w:t>
      </w:r>
      <w:r w:rsidRPr="00A16B88">
        <w:fldChar w:fldCharType="end"/>
      </w:r>
      <w:r w:rsidRPr="00A16B88">
        <w:t>. E</w:t>
      </w:r>
      <w:r w:rsidRPr="00A16B88">
        <w:rPr>
          <w:rFonts w:eastAsia="Times New Roman" w:cs="Arial"/>
          <w:color w:val="000000"/>
          <w:shd w:val="clear" w:color="auto" w:fill="FFFFFF"/>
        </w:rPr>
        <w:t xml:space="preserve">nteroviruses (EV) accounted for half of nearly 10,000 reports and 92% of EV meningitis cases were reported in &lt;3 month-olds </w:t>
      </w:r>
      <w:r w:rsidRPr="00A16B88">
        <w:rPr>
          <w:rFonts w:eastAsia="Times New Roman" w:cs="Arial"/>
          <w:color w:val="000000"/>
          <w:shd w:val="clear" w:color="auto" w:fill="FFFFFF"/>
        </w:rPr>
        <w:fldChar w:fldCharType="begin" w:fldLock="1"/>
      </w:r>
      <w:r w:rsidRPr="00A16B88">
        <w:rPr>
          <w:rFonts w:eastAsia="Times New Roman" w:cs="Arial"/>
          <w:color w:val="000000"/>
          <w:shd w:val="clear" w:color="auto" w:fill="FFFFFF"/>
        </w:rPr>
        <w:instrText>ADDIN CSL_CITATION {"citationItems":[{"id":"ITEM-1","itemData":{"DOI":"10.1016/j.jinf.2014.05.012","ISSN":"1532-2742","PMID":"24887614","abstract":"OBJECTIVES: In highly immunised populations viruses contribute to a substantially higher proportion of meningo-encephalitis cases. This national study aimed to describe population trends in laboratory-confirmed, viral meningo-encephalitis reports in England and Wales over a ten-year period.\n\nMETHODS: Laboratory-confirmed, viral meningo-encephalitis cases submitted by National Health Service hospitals in England and Wales during 2004-13 were analysed.\n\nRESULTS: There were 9941 laboratory-confirmed reports of viral meningo-encephalitis in England and Wales over the 10-year period. Number of reports increased across all age-groups and for all viruses from 311 (incidence, 0.6/100,000) in 2004 to 2168 in 2013 (incidence, 3.9/100,000). Median age at diagnosis was 30.6 (IQR, 1.3-51.5) years, with a third of cases diagnosed in children. In 2013, infants aged &lt;3 months accounted for 27% (588/2168) of cases, but had the highest incidence (329/100,000). Enteroviruses were responsible for 52% (5133/9941) of all cases and 92% (1952/2121) in &lt;3 month-olds (incidence, 313/100,000 in 2013, equivalent to 77/100,000 live-births) followed by herpes simplex (2885/9941; 29%) and varicella zoster (1342/9941; 13%), mainly among ≥45 year-olds.\n\nCONCLUSION: Increasing use of molecular testing has led to a 7-fold increase in laboratory-confirmed, viral meningo-encephalitis reports. Large clinical-observational studies are necessary to determine the burden of viral meningo-encephalitis, especially in infants.","author":[{"dropping-particle":"","family":"Kadambari","given":"Seilesh","non-dropping-particle":"","parse-names":false,"suffix":""},{"dropping-particle":"","family":"Okike","given":"Ifeanyichukwu","non-dropping-particle":"","parse-names":false,"suffix":""},{"dropping-particle":"","family":"Ribeiro","given":"Sonia","non-dropping-particle":"","parse-names":false,"suffix":""},{"dropping-particle":"","family":"Ramsay","given":"Mary E","non-dropping-particle":"","parse-names":false,"suffix":""},{"dropping-particle":"","family":"Heath","given":"Paul T","non-dropping-particle":"","parse-names":false,"suffix":""},{"dropping-particle":"","family":"Sharland","given":"Mike","non-dropping-particle":"","parse-names":false,"suffix":""},{"dropping-particle":"","family":"Ladhani","given":"Shamez N","non-dropping-particle":"","parse-names":false,"suffix":""}],"container-title":"The Journal of infection","id":"ITEM-1","issued":{"date-parts":[["2014","6","2"]]},"publisher":"Elsevier Ltd","title":"Seven-fold increase in viral meningo-encephalitis reports in England and Wales during 2004-2013.","type":"article-journal"},"uris":["http://www.mendeley.com/documents/?uuid=77dbe1ec-18ee-4b01-b000-208bf18174df"]}],"mendeley":{"formattedCitation":"(2)","plainTextFormattedCitation":"(2)","previouslyFormattedCitation":"(2)"},"properties":{"noteIndex":0},"schema":"https://github.com/citation-style-language/schema/raw/master/csl-citation.json"}</w:instrText>
      </w:r>
      <w:r w:rsidRPr="00A16B88">
        <w:rPr>
          <w:rFonts w:eastAsia="Times New Roman" w:cs="Arial"/>
          <w:color w:val="000000"/>
          <w:shd w:val="clear" w:color="auto" w:fill="FFFFFF"/>
        </w:rPr>
        <w:fldChar w:fldCharType="separate"/>
      </w:r>
      <w:r w:rsidRPr="00A16B88">
        <w:rPr>
          <w:rFonts w:eastAsia="Times New Roman" w:cs="Arial"/>
          <w:noProof/>
          <w:color w:val="000000"/>
          <w:shd w:val="clear" w:color="auto" w:fill="FFFFFF"/>
        </w:rPr>
        <w:t>(2)</w:t>
      </w:r>
      <w:r w:rsidRPr="00A16B88">
        <w:rPr>
          <w:rFonts w:eastAsia="Times New Roman" w:cs="Arial"/>
          <w:color w:val="000000"/>
          <w:shd w:val="clear" w:color="auto" w:fill="FFFFFF"/>
        </w:rPr>
        <w:fldChar w:fldCharType="end"/>
      </w:r>
      <w:r w:rsidRPr="00A16B88">
        <w:rPr>
          <w:rFonts w:eastAsia="Times New Roman" w:cs="Arial"/>
          <w:color w:val="000000"/>
          <w:shd w:val="clear" w:color="auto" w:fill="FFFFFF"/>
        </w:rPr>
        <w:t xml:space="preserve">. Human parechoviruses (HPeV) belong to the </w:t>
      </w:r>
      <w:r w:rsidRPr="00A16B88">
        <w:rPr>
          <w:rFonts w:eastAsia="Times New Roman" w:cs="Arial"/>
          <w:i/>
          <w:iCs/>
          <w:color w:val="000000"/>
          <w:shd w:val="clear" w:color="auto" w:fill="FFFFFF"/>
        </w:rPr>
        <w:t>Picornaviridae</w:t>
      </w:r>
      <w:r w:rsidRPr="00A16B88">
        <w:rPr>
          <w:rFonts w:eastAsia="Times New Roman" w:cs="Arial"/>
          <w:color w:val="000000"/>
          <w:shd w:val="clear" w:color="auto" w:fill="FFFFFF"/>
        </w:rPr>
        <w:t xml:space="preserve"> family and can also cause viral meningo-encephalitis in infants, albeit less frequently than EV </w:t>
      </w:r>
      <w:r w:rsidRPr="00A16B88">
        <w:rPr>
          <w:rFonts w:eastAsia="Times New Roman" w:cs="Arial"/>
          <w:color w:val="000000"/>
          <w:shd w:val="clear" w:color="auto" w:fill="FFFFFF"/>
        </w:rPr>
        <w:fldChar w:fldCharType="begin" w:fldLock="1"/>
      </w:r>
      <w:r w:rsidRPr="00A16B88">
        <w:rPr>
          <w:rFonts w:eastAsia="Times New Roman" w:cs="Arial"/>
          <w:color w:val="000000"/>
          <w:shd w:val="clear" w:color="auto" w:fill="FFFFFF"/>
        </w:rPr>
        <w:instrText>ADDIN CSL_CITATION {"citationItems":[{"id":"ITEM-1","itemData":{"DOI":"10.1016/j.jcv.2009.03.009","ISSN":"1873-5967","PMID":"19372062","abstract":"Human parechoviruses (HPeVs) are members of the large and growing family of Picornaviridae. Although originally described as echovirus 22 and 23 within human enteroviruses because of their clinical and morphological properties, they have since been shown to be distinct from this and other picornavirus groups in several features of their genome organisation, structure and replication. Human parechoviruses show genetic and antigenic heterogeneity and a number of distinct HPeV types are known to circulate widely in human populations throughout the world. Although the majority of HPeV infections occur early in life without specific symptoms, disease manifestations associated with many of the currently described types have been described, ranging from gastroenteritis and respiratory infections to neurological disease, particularly in neonates. Although HPeV diagnosis has historically been made by virus isolation, a new generation of sensitive and specific molecular tests for HPeV RNA promises to greatly improve the effectiveness of HPeV detection and type identification, as well as providing a greater understanding its molecular epidemiology. By this means, we will learn much more about the clinical relevance of HPeVs and the association of different HPeV types with specific disease presentations.","author":[{"dropping-particle":"","family":"Harvala","given":"H","non-dropping-particle":"","parse-names":false,"suffix":""},{"dropping-particle":"","family":"Simmonds","given":"P","non-dropping-particle":"","parse-names":false,"suffix":""}],"container-title":"Journal of clinical virology : the official publication of the Pan American Society for Clinical Virology","id":"ITEM-1","issue":"1","issued":{"date-parts":[["2009","5"]]},"page":"1-9","title":"Human parechoviruses: biology, epidemiology and clinical significance.","type":"article-journal","volume":"45"},"uris":["http://www.mendeley.com/documents/?uuid=f25aec96-9117-43d9-8feb-321f1c3515eb"]}],"mendeley":{"formattedCitation":"(3)","plainTextFormattedCitation":"(3)","previouslyFormattedCitation":"(3)"},"properties":{"noteIndex":0},"schema":"https://github.com/citation-style-language/schema/raw/master/csl-citation.json"}</w:instrText>
      </w:r>
      <w:r w:rsidRPr="00A16B88">
        <w:rPr>
          <w:rFonts w:eastAsia="Times New Roman" w:cs="Arial"/>
          <w:color w:val="000000"/>
          <w:shd w:val="clear" w:color="auto" w:fill="FFFFFF"/>
        </w:rPr>
        <w:fldChar w:fldCharType="separate"/>
      </w:r>
      <w:r w:rsidRPr="00A16B88">
        <w:rPr>
          <w:rFonts w:eastAsia="Times New Roman" w:cs="Arial"/>
          <w:noProof/>
          <w:color w:val="000000"/>
          <w:shd w:val="clear" w:color="auto" w:fill="FFFFFF"/>
        </w:rPr>
        <w:t>(3)</w:t>
      </w:r>
      <w:r w:rsidRPr="00A16B88">
        <w:rPr>
          <w:rFonts w:eastAsia="Times New Roman" w:cs="Arial"/>
          <w:color w:val="000000"/>
          <w:shd w:val="clear" w:color="auto" w:fill="FFFFFF"/>
        </w:rPr>
        <w:fldChar w:fldCharType="end"/>
      </w:r>
      <w:r w:rsidRPr="00A16B88">
        <w:rPr>
          <w:rFonts w:eastAsia="Times New Roman" w:cs="Arial"/>
          <w:color w:val="000000"/>
          <w:shd w:val="clear" w:color="auto" w:fill="FFFFFF"/>
        </w:rPr>
        <w:t xml:space="preserve">. </w:t>
      </w:r>
    </w:p>
    <w:p w:rsidR="00B66CB8" w:rsidRPr="00A16B88" w:rsidRDefault="00B66CB8" w:rsidP="00B66CB8">
      <w:pPr>
        <w:spacing w:line="480" w:lineRule="auto"/>
        <w:rPr>
          <w:rFonts w:eastAsia="Times New Roman" w:cs="Arial"/>
          <w:color w:val="000000"/>
          <w:shd w:val="clear" w:color="auto" w:fill="FFFFFF"/>
        </w:rPr>
      </w:pPr>
    </w:p>
    <w:p w:rsidR="00B66CB8" w:rsidRPr="00A16B88" w:rsidRDefault="00B66CB8" w:rsidP="00B66CB8">
      <w:pPr>
        <w:spacing w:line="480" w:lineRule="auto"/>
        <w:rPr>
          <w:rFonts w:eastAsia="Times New Roman" w:cs="Arial"/>
          <w:color w:val="000000"/>
          <w:shd w:val="clear" w:color="auto" w:fill="FFFFFF"/>
        </w:rPr>
      </w:pPr>
      <w:r w:rsidRPr="00A16B88">
        <w:t xml:space="preserve">EV and HPeV usually cause mild, self-limiting respiratory and gastointestinal infections in children. Occasionally, however, they may be responsible for more serious illness, including meningo-encephalitis, hepatitis, myocarditis or fulminant sepsis </w:t>
      </w:r>
      <w:r w:rsidRPr="00A16B88">
        <w:fldChar w:fldCharType="begin" w:fldLock="1"/>
      </w:r>
      <w:r w:rsidRPr="00A16B88">
        <w:instrText>ADDIN CSL_CITATION {"citationItems":[{"id":"ITEM-1","itemData":{"DOI":"10.1007/s00431-014-2483-3","ISSN":"1432-1076","PMID":"25573462","abstract":"Human parechoviruses (HPeVs) cause a spectrum of disease ranging from self-limiting illness to severe disease and, sometimes, death. We describe the clinical characteristics and outcomes of HPeV infection in infants. The study describes the clinical and laboratory characteristics and outcomes of infants with HPeV infection during 2008-2012, from three paediatric hospitals in London each with a paediatric intensive care unit. The infants were retrospectively identified through laboratory and patient discharge databases and diagnosed through HPeV PCR. Fifty infants were identified. Half required admission to PICU. Infants less than 3 months were more likely to require PICU (16/25: p &lt; 0.01). Clinical signs at presentation were often indistinguishable from those of bacterial sepsis and meningitis, but inflammatory markers were nearly always (95 % of cases) within normal ranges. Brain MRI showed white matter changes in 10/12 infants. Three of 19 infants with follow-up data (16 %) had significant neurological sequelae. Conclusion: HPeV may cause severe disease and long-term neurological sequelae in young infants. HPeV should be considered in infants with clinical features of sepsis/meningitis with normal CSF microscopy. Prospective observational studies are warranted to better define the epidemiology of infection and thus inform future treatment trials.","author":[{"dropping-particle":"","family":"Vergnano","given":"Stefania","non-dropping-particle":"","parse-names":false,"suffix":""},{"dropping-particle":"","family":"Kadambari","given":"Seilesh","non-dropping-particle":"","parse-names":false,"suffix":""},{"dropping-particle":"","family":"Whalley","given":"Katrina","non-dropping-particle":"","parse-names":false,"suffix":""},{"dropping-particle":"","family":"Menson","given":"Esse N","non-dropping-particle":"","parse-names":false,"suffix":""},{"dropping-particle":"","family":"Martinez-Alier","given":"Nuria","non-dropping-particle":"","parse-names":false,"suffix":""},{"dropping-particle":"","family":"Cooper","given":"Mehrengise","non-dropping-particle":"","parse-names":false,"suffix":""},{"dropping-particle":"","family":"Sanchez","given":"Emile","non-dropping-particle":"","parse-names":false,"suffix":""},{"dropping-particle":"","family":"Heath","given":"Paul T","non-dropping-particle":"","parse-names":false,"suffix":""},{"dropping-particle":"","family":"Lyall","given":"Hermione","non-dropping-particle":"","parse-names":false,"suffix":""}],"container-title":"European journal of pediatrics","id":"ITEM-1","issued":{"date-parts":[["2015","1","10"]]},"title":"Characteristics and outcomes of human parechovirus infection in infants (2008-2012).","type":"article-journal"},"uris":["http://www.mendeley.com/documents/?uuid=8c2f8622-86a1-4eb4-bacc-66165b268a0e"]}],"mendeley":{"formattedCitation":"(4)","plainTextFormattedCitation":"(4)","previouslyFormattedCitation":"(4)"},"properties":{"noteIndex":0},"schema":"https://github.com/citation-style-language/schema/raw/master/csl-citation.json"}</w:instrText>
      </w:r>
      <w:r w:rsidRPr="00A16B88">
        <w:fldChar w:fldCharType="separate"/>
      </w:r>
      <w:r w:rsidRPr="00A16B88">
        <w:rPr>
          <w:noProof/>
        </w:rPr>
        <w:t>(4)</w:t>
      </w:r>
      <w:r w:rsidRPr="00A16B88">
        <w:fldChar w:fldCharType="end"/>
      </w:r>
      <w:r w:rsidRPr="00A16B88">
        <w:t xml:space="preserve">. </w:t>
      </w:r>
      <w:r w:rsidRPr="00A16B88">
        <w:rPr>
          <w:rFonts w:eastAsia="Times New Roman" w:cs="Arial"/>
          <w:color w:val="000000"/>
          <w:shd w:val="clear" w:color="auto" w:fill="FFFFFF"/>
        </w:rPr>
        <w:t xml:space="preserve">Recent outbreaks associated with long-term neurological complications have been reported in Australia, northern Europe and USA </w:t>
      </w:r>
      <w:r w:rsidRPr="00A16B88">
        <w:rPr>
          <w:rFonts w:eastAsia="Times New Roman" w:cs="Arial"/>
          <w:color w:val="000000"/>
          <w:shd w:val="clear" w:color="auto" w:fill="FFFFFF"/>
        </w:rPr>
        <w:fldChar w:fldCharType="begin" w:fldLock="1"/>
      </w:r>
      <w:r w:rsidRPr="00A16B88">
        <w:rPr>
          <w:rFonts w:eastAsia="Times New Roman" w:cs="Arial"/>
          <w:color w:val="000000"/>
          <w:shd w:val="clear" w:color="auto" w:fill="FFFFFF"/>
        </w:rPr>
        <w:instrText>ADDIN CSL_CITATION {"citationItems":[{"id":"ITEM-1","itemData":{"DOI":"10.1097/INF.0b013e318276b328","ISSN":"1532-0987","PMID":"23042051","abstract":"BACKGROUND: Human parechovirus (HPeV) causes central nervous system (CNS) infection in infants. To further understand HPeV CNS infection, we describe its clinical, laboratory and epidemiologic characteristics from a Midwestern US tertiary care center. Because HPeV CNS infections have appeared clinically and seasonally similar to enterovirus (EV) infections, we retrospectively compared characteristics of young infants undergoing sepsis evaluations in whom HPeV, EV or neither were detected in cerebrospinal fluid (CSF).\n\nMETHODS: HPeV real-time reverse-transcription polymerase chain reaction (RT-PCR) assay was performed on frozen nucleic acid extracts of CSF specimens submitted for EV RT-PCR assay from children seen at our hospital in 2009. HPeV genotyping was performed by sequencing of the viral protein 1 region. Clinical data were abstracted from medical records retrospectively for EV-positive, HPeV-positive and age-matched controls in whom neither virus was detected from CSF testing.\n\nRESULTS: HPeV was detected in 66 of the 388 (17%) CSF specimens whereas EV was detected in 54 of the 388 (14%) from June through October 2009. Genotyping identified HPeV3 in 51 of the 66 (77%) positive CSF specimens. Males predominated (61%) with the most common presenting symptoms (91%) being fever and irritability. All HPeV-positive patients were &lt;5 months of age. Eight required admission to the pediatric intensive care unit. In multivariate analysis, lower peripheral white blood cell counts with lower absolute lymphocyte count values, higher maximum temperatures, longer fever duration, absence of pleocytosis and longer hospitalization were independently associated with HPeV patients compared with patients with EV or patients negative for both HPeV and EV.\n\nCONCLUSIONS: Our data indicate that HPeV3, an emerging CNS pathogen of infants in the United States, should be considered in sepsis-like presentation even without CSF pleocytosis. Addition of HPeV RT-PCR to EV RT-PCR assay for CSF specimens of patients &lt;6 months of age could reduce hospital stay and costs while improving clinical management.","author":[{"dropping-particle":"","family":"Sharp","given":"Justin","non-dropping-particle":"","parse-names":false,"suffix":""},{"dropping-particle":"","family":"Harrison","given":"Christopher J","non-dropping-particle":"","parse-names":false,"suffix":""},{"dropping-particle":"","family":"Puckett","given":"Kelley","non-dropping-particle":"","parse-names":false,"suffix":""},{"dropping-particle":"","family":"Selvaraju","given":"Suresh B","non-dropping-particle":"","parse-names":false,"suffix":""},{"dropping-particle":"","family":"Penaranda","given":"Silvia","non-dropping-particle":"","parse-names":false,"suffix":""},{"dropping-particle":"","family":"Nix","given":"W Allan","non-dropping-particle":"","parse-names":false,"suffix":""},{"dropping-particle":"","family":"Oberste","given":"M Steven","non-dropping-particle":"","parse-names":false,"suffix":""},{"dropping-particle":"","family":"Selvarangan","given":"Rangaraj","non-dropping-particle":"","parse-names":false,"suffix":""}],"container-title":"The Pediatric infectious disease journal","id":"ITEM-1","issue":"3","issued":{"date-parts":[["2013","3"]]},"page":"213-6","title":"Characteristics of young infants in whom human parechovirus, enterovirus or neither were detected in cerebrospinal fluid during sepsis evaluations.","type":"article-journal","volume":"32"},"uris":["http://www.mendeley.com/documents/?uuid=2847beeb-79cc-4d40-be55-941bbfdf90d4"]},{"id":"ITEM-2","itemData":{"DOI":"10.1007/s00431-014-2483-3","ISSN":"1432-1076","PMID":"25573462","abstract":"Human parechoviruses (HPeVs) cause a spectrum of disease ranging from self-limiting illness to severe disease and, sometimes, death. We describe the clinical characteristics and outcomes of HPeV infection in infants. The study describes the clinical and laboratory characteristics and outcomes of infants with HPeV infection during 2008-2012, from three paediatric hospitals in London each with a paediatric intensive care unit. The infants were retrospectively identified through laboratory and patient discharge databases and diagnosed through HPeV PCR. Fifty infants were identified. Half required admission to PICU. Infants less than 3 months were more likely to require PICU (16/25: p &lt; 0.01). Clinical signs at presentation were often indistinguishable from those of bacterial sepsis and meningitis, but inflammatory markers were nearly always (95 % of cases) within normal ranges. Brain MRI showed white matter changes in 10/12 infants. Three of 19 infants with follow-up data (16 %) had significant neurological sequelae. Conclusion: HPeV may cause severe disease and long-term neurological sequelae in young infants. HPeV should be considered in infants with clinical features of sepsis/meningitis with normal CSF microscopy. Prospective observational studies are warranted to better define the epidemiology of infection and thus inform future treatment trials.","author":[{"dropping-particle":"","family":"Vergnano","given":"Stefania","non-dropping-particle":"","parse-names":false,"suffix":""},{"dropping-particle":"","family":"Kadambari","given":"Seilesh","non-dropping-particle":"","parse-names":false,"suffix":""},{"dropping-particle":"","family":"Whalley","given":"Katrina","non-dropping-particle":"","parse-names":false,"suffix":""},{"dropping-particle":"","family":"Menson","given":"Esse N","non-dropping-particle":"","parse-names":false,"suffix":""},{"dropping-particle":"","family":"Martinez-Alier","given":"Nuria","non-dropping-particle":"","parse-names":false,"suffix":""},{"dropping-particle":"","family":"Cooper","given":"Mehrengise","non-dropping-particle":"","parse-names":false,"suffix":""},{"dropping-particle":"","family":"Sanchez","given":"Emile","non-dropping-particle":"","parse-names":false,"suffix":""},{"dropping-particle":"","family":"Heath","given":"Paul T","non-dropping-particle":"","parse-names":false,"suffix":""},{"dropping-particle":"","family":"Lyall","given":"Hermione","non-dropping-particle":"","parse-names":false,"suffix":""}],"container-title":"European journal of pediatrics","id":"ITEM-2","issued":{"date-parts":[["2015","1","10"]]},"title":"Characteristics and outcomes of human parechovirus infection in infants (2008-2012).","type":"article-journal"},"uris":["http://www.mendeley.com/documents/?uuid=8c2f8622-86a1-4eb4-bacc-66165b268a0e"]},{"id":"ITEM-3","itemData":{"DOI":"10.1093/cid/ciu784","ISBN":"1058-4838","ISSN":"15376591","PMID":"25301212","abstract":"BACKGROUND Infections with human parechoviruses (HPeVs) are associated with a wide range of clinical presentations in children, ranging from mild or asymptomatic infections to severe sepsis-like presentations or meningoencephalitis. METHODS We reviewed medical records of infants admitted to 5 hospitals in New South Wales, Australia, during an outbreak of HPeV-3 infection. Data were collected on clinical presentation, laboratory markers, and outcome of infants with HPeV infection confirmed by reverse transcription polymerase chain reaction. RESULTS We identified 118 infected infants. Most presented with an acute sepsis-like syndrome with high fever, tachycardia, poor perfusion, and severe irritability. Other common features were erythrodermic rash, abdominal distension, edema, and hepatitis. The age range of infants was 4 days to 9.5 months; 75% were &lt;2 months old, including all but 1 of the 30 infants (25%) admitted to intensive care units (ICUs), who as a group, were significantly younger than infants not admitted to ICUs. Only 4% of evaluable cerebrospinal fluid samples had pleocytosis, but HPeV was detected in 95%. Brain magnetic resonance imaging on a small number of children demonstrated white matter changes and diffusion restriction. Sequencing of the VP1 gene confirmed HPeV-3 in all samples tested. All children recovered without ongoing complications at last follow-up. CONCLUSIONS We report the largest series of HPeV-3 infection in infants, and the first outbreak in Australia. Infants presented with a severe sepsis-like syndrome with a high rate of ICU admissions, but all recovered from the acute infection without complications. Long-term sequelae are unknown.","author":[{"dropping-particle":"","family":"Khatami","given":"Ameneh","non-dropping-particle":"","parse-names":false,"suffix":""},{"dropping-particle":"","family":"McMullan","given":"Brendan J.","non-dropping-particle":"","parse-names":false,"suffix":""},{"dropping-particle":"","family":"Webber","given":"Murray","non-dropping-particle":"","parse-names":false,"suffix":""},{"dropping-particle":"","family":"Stewart","given":"Phoebe","non-dropping-particle":"","parse-names":false,"suffix":""},{"dropping-particle":"","family":"Francis","given":"Stephanie","non-dropping-particle":"","parse-names":false,"suffix":""},{"dropping-particle":"","family":"Timmers","given":"Karin J.","non-dropping-particle":"","parse-names":false,"suffix":""},{"dropping-particle":"","family":"Rodas","given":"Elicia","non-dropping-particle":"","parse-names":false,"suffix":""},{"dropping-particle":"","family":"Druce","given":"Julian","non-dropping-particle":"","parse-names":false,"suffix":""},{"dropping-particle":"","family":"Mehta","given":"Bhavesh","non-dropping-particle":"","parse-names":false,"suffix":""},{"dropping-particle":"","family":"Sloggett","given":"Nichola A.","non-dropping-particle":"","parse-names":false,"suffix":""},{"dropping-particle":"","family":"Cumming","given":"Germaine","non-dropping-particle":"","parse-names":false,"suffix":""},{"dropping-particle":"","family":"Papadakis","given":"Georgina","non-dropping-particle":"","parse-names":false,"suffix":""},{"dropping-particle":"","family":"Kesson","given":"Alison M.","non-dropping-particle":"","parse-names":false,"suffix":""}],"container-title":"Clinical Infectious Diseases","id":"ITEM-3","issue":"2","issued":{"date-parts":[["2015"]]},"page":"228-236","title":"Sepsis-like disease in infants due to human parechovirus type 3 during an outbreak in Australia","type":"article","volume":"60"},"uris":["http://www.mendeley.com/documents/?uuid=636acdc5-dbe2-4155-ba49-052be672393c"]},{"id":"ITEM-4","itemData":{"DOI":"10.1111/1469-0691.12542","ISSN":"14690691","PMID":"24438366","abstract":"Human parechoviruses (HPeV) cause symptoms ranging from severe neonatal infections to mild gastrointestinal and respiratory disease. Use of PCR and genotyping has markedly improved the detection rate of HPeV but has simultaneously raised questions about the clinical relevance of positive tests. This retrospective study correlates positive HPeV1 or HPeV3 PCR tests in stools from children with their symptoms to determine clinical relevance. Children with HPeV1- or HPeV3-positive stool samples, as detected by real time RT-PCR and direct genotyping, between 2004 and 2008 were selected. Clinical data were retrospectively collected from the patient's files and results were compared. One hundred and thirty-eight children with positive HPeV1 (n = 112) or HPeV3 (n = 26) stool samples were identified. Significantly more HPeV3-infected children were neonates or infants younger than 6 months of age. Meningitis or sepsis-like illnesses were diagnosed most frequently and were found in significantly younger children. Almost half of HPeV1-infected children had an underlying disease. Mild gastrointestinal disease was seen most frequently in these children. There was no clear correlation between viral load (Ct value) and severity of symptoms. In conclusion, HPeV3 detected by PCR in stool samples is associated with clinically relevant disease. For HPeV1, a positive stool sample is mainly associated with symptoms in children with underlying disease.","author":[{"dropping-particle":"","family":"Wildenbeest","given":"J. G.","non-dropping-particle":"","parse-names":false,"suffix":""},{"dropping-particle":"","family":"Benschop","given":"K. S M","non-dropping-particle":"","parse-names":false,"suffix":""},{"dropping-particle":"","family":"Minnaar","given":"R. P.","non-dropping-particle":"","parse-names":false,"suffix":""},{"dropping-particle":"","family":"Bouma-de Jongh","given":"S.","non-dropping-particle":"","parse-names":false,"suffix":""},{"dropping-particle":"","family":"Wolthers","given":"K. C.","non-dropping-particle":"","parse-names":false,"suffix":""},{"dropping-particle":"","family":"Pajkrt","given":"D.","non-dropping-particle":"","parse-names":false,"suffix":""}],"container-title":"Clinical Microbiology and Infection","id":"ITEM-4","issue":"10","issued":{"date-parts":[["2014"]]},"page":"O640-O647","title":"Clinical relevance of positive human parechovirus type 1 and 3 PCR in stool samples","type":"article-journal","volume":"20"},"uris":["http://www.mendeley.com/documents/?uuid=f5db7faf-8a6f-4a71-b2d2-45b8898a4c5a"]}],"mendeley":{"formattedCitation":"(4–7)","plainTextFormattedCitation":"(4–7)","previouslyFormattedCitation":"(4–7)"},"properties":{"noteIndex":0},"schema":"https://github.com/citation-style-language/schema/raw/master/csl-citation.json"}</w:instrText>
      </w:r>
      <w:r w:rsidRPr="00A16B88">
        <w:rPr>
          <w:rFonts w:eastAsia="Times New Roman" w:cs="Arial"/>
          <w:color w:val="000000"/>
          <w:shd w:val="clear" w:color="auto" w:fill="FFFFFF"/>
        </w:rPr>
        <w:fldChar w:fldCharType="separate"/>
      </w:r>
      <w:r w:rsidRPr="00A16B88">
        <w:rPr>
          <w:rFonts w:eastAsia="Times New Roman" w:cs="Arial"/>
          <w:noProof/>
          <w:color w:val="000000"/>
          <w:shd w:val="clear" w:color="auto" w:fill="FFFFFF"/>
        </w:rPr>
        <w:t>(4–7)</w:t>
      </w:r>
      <w:r w:rsidRPr="00A16B88">
        <w:rPr>
          <w:rFonts w:eastAsia="Times New Roman" w:cs="Arial"/>
          <w:color w:val="000000"/>
          <w:shd w:val="clear" w:color="auto" w:fill="FFFFFF"/>
        </w:rPr>
        <w:fldChar w:fldCharType="end"/>
      </w:r>
      <w:r w:rsidRPr="00A16B88">
        <w:rPr>
          <w:rFonts w:eastAsia="Times New Roman" w:cs="Arial"/>
          <w:color w:val="000000"/>
          <w:shd w:val="clear" w:color="auto" w:fill="FFFFFF"/>
        </w:rPr>
        <w:t xml:space="preserve">. </w:t>
      </w:r>
      <w:r w:rsidRPr="00A16B88">
        <w:t xml:space="preserve">In neonates and young infants, viral meningitis can be difficult to diagnose and differentiate from more serious invasive bacterial infections because of their non-specific clinical presentation, especially in the early stages of illness </w:t>
      </w:r>
      <w:r w:rsidRPr="00A16B88">
        <w:fldChar w:fldCharType="begin" w:fldLock="1"/>
      </w:r>
      <w:r w:rsidRPr="00A16B88">
        <w:instrText>ADDIN CSL_CITATION {"citationItems":[{"id":"ITEM-1","itemData":{"DOI":"10.1136/archdischild-2014-306813","ISBN":"0003-9888","ISSN":"1468-2044","PMID":"25256088","abstract":"Bacterial conjugate vaccines have dramatically changed the epidemiology of childhood meningitis; viral causes are increasingly predominant, but the current UK epidemiology is unknown. This prospective study recruited children under 16 years of age admitted to 3 UK hospitals with suspected meningitis. 70/388 children had meningitis-13 bacterial, 26 viral and 29 with no pathogen identified. Group B Streptococcus was the most common bacterial pathogen. Infants under 3 months of age with bacterial meningitis were more likely to have a reduced Glasgow Coma Score and respiratory distress than those with viral meningitis or other infections. There were no discriminatory clinical features in older children. Cerebrospinal fluid (CSF) white blood cell count and plasma C-reactive protein at all ages, and CSF protein in infants &lt;3 months of age, distinguished between bacterial meningitis and viral meningitis or other infections. Improved diagnosis of non-bacterial meningitis is urgently needed to reduce antibiotic use and hospital stay.","author":[{"dropping-particle":"","family":"Sadarangani","given":"Manish","non-dropping-particle":"","parse-names":false,"suffix":""},{"dropping-particle":"","family":"Willis","given":"Louise","non-dropping-particle":"","parse-names":false,"suffix":""},{"dropping-particle":"","family":"Kadambari","given":"Seilesh","non-dropping-particle":"","parse-names":false,"suffix":""},{"dropping-particle":"","family":"Gormley","given":"Stuart","non-dropping-particle":"","parse-names":false,"suffix":""},{"dropping-particle":"","family":"Young","given":"Zoe","non-dropping-particle":"","parse-names":false,"suffix":""},{"dropping-particle":"","family":"Beckley","given":"Rebecca","non-dropping-particle":"","parse-names":false,"suffix":""},{"dropping-particle":"","family":"Gantlett","given":"Katherine","non-dropping-particle":"","parse-names":false,"suffix":""},{"dropping-particle":"","family":"Orf","given":"Katharine","non-dropping-particle":"","parse-names":false,"suffix":""},{"dropping-particle":"","family":"Blakey","given":"Sarah","non-dropping-particle":"","parse-names":false,"suffix":""},{"dropping-particle":"","family":"Martin","given":"Natalie G","non-dropping-particle":"","parse-names":false,"suffix":""},{"dropping-particle":"","family":"Kelly","given":"Dominic F","non-dropping-particle":"","parse-names":false,"suffix":""},{"dropping-particle":"","family":"Heath","given":"Paul T","non-dropping-particle":"","parse-names":false,"suffix":""},{"dropping-particle":"","family":"Nadel","given":"Simon","non-dropping-particle":"","parse-names":false,"suffix":""},{"dropping-particle":"","family":"Pollard","given":"Andrew J","non-dropping-particle":"","parse-names":false,"suffix":""}],"container-title":"Archives of disease in childhood","id":"ITEM-1","issue":"3","issued":{"date-parts":[["2015"]]},"page":"292-4","title":"Childhood meningitis in the conjugate vaccine era: a prospective cohort study.","type":"article-journal","volume":"100"},"uris":["http://www.mendeley.com/documents/?uuid=ba69b721-7329-421e-9bb1-9a2fdd377e41"]},{"id":"ITEM-2","itemData":{"DOI":"10.1016/j.siny.2009.02.002","ISSN":"1878-0946","PMID":"19303380","abstract":"Enteroviruses, which include echoviruses, coxsackie A and B viruses, polioviruses and the 'numbered' enteroviruses, are among the most common viruses causing disease in humans. A large proportion of enteroviral infections occur in neonates and infants. There is a wide spectrum of clinical manifestations that can be caused by enterovirus infection with varying degrees of severity. In the neonatal age group, enteroviral infections are associated with significant morbidity and mortality, particularly when infection occurs antenatally. This review provides a detailed overview of the epidemiology and clinical features of enterovirus infections in the neonatal period. In addition, laboratory features and diagnostic investigations are discussed. A review of the currently available data for prophylactic and therapeutic interventions, including antiviral therapy, is also presented.","author":[{"dropping-particle":"","family":"Tebruegge","given":"Marc","non-dropping-particle":"","parse-names":false,"suffix":""},{"dropping-particle":"","family":"Curtis","given":"Nigel","non-dropping-particle":"","parse-names":false,"suffix":""}],"container-title":"Seminars in fetal &amp; neonatal medicine","id":"ITEM-2","issue":"4","issued":{"date-parts":[["2009","8"]]},"page":"222-7","title":"Enterovirus infections in neonates.","type":"article-journal","volume":"14"},"uris":["http://www.mendeley.com/documents/?uuid=d0720e8a-b3f9-4e01-aba1-19aa1b2f5f51"]}],"mendeley":{"formattedCitation":"(8,9)","plainTextFormattedCitation":"(8,9)","previouslyFormattedCitation":"(8,9)"},"properties":{"noteIndex":0},"schema":"https://github.com/citation-style-language/schema/raw/master/csl-citation.json"}</w:instrText>
      </w:r>
      <w:r w:rsidRPr="00A16B88">
        <w:fldChar w:fldCharType="separate"/>
      </w:r>
      <w:r w:rsidRPr="00A16B88">
        <w:rPr>
          <w:noProof/>
        </w:rPr>
        <w:t>(8,9)</w:t>
      </w:r>
      <w:r w:rsidRPr="00A16B88">
        <w:fldChar w:fldCharType="end"/>
      </w:r>
      <w:r w:rsidRPr="00A16B88">
        <w:t xml:space="preserve">, and lack of specific laboratory markers </w:t>
      </w:r>
      <w:r w:rsidRPr="00A16B88">
        <w:fldChar w:fldCharType="begin" w:fldLock="1"/>
      </w:r>
      <w:r w:rsidRPr="00A16B88">
        <w:instrText>ADDIN CSL_CITATION {"citationItems":[{"id":"ITEM-1","itemData":{"ISSN":"0022-3476","PMID":"7869209","abstract":"A 5-hour colorimetric polymerase chain reaction (PCR) assay was more sensitive than viral culture in identifying viral infection in initial serum (13/16 vs 5/16; p = 0.008) and urine (10/16 vs 5/16; p = 0.2) specimens from 16 enterovirus-infected newborn infants, and remained more sensitive throughout their illnesses. Combined sensitivity of serum and urine PCR was 14 of 16 (88%). Results of all acute-phase PCR assays of serum and urine from four neonates with cultures negative for enterovirus were also negative. PCR assay of serum and urine facilitates rapid, accurate diagnosis of neonatal enterovirus infections.","author":[{"dropping-particle":"","family":"Abzug","given":"M J","non-dropping-particle":"","parse-names":false,"suffix":""},{"dropping-particle":"","family":"Loeffelholz","given":"M","non-dropping-particle":"","parse-names":false,"suffix":""},{"dropping-particle":"","family":"Rotbart","given":"H A","non-dropping-particle":"","parse-names":false,"suffix":""}],"container-title":"The Journal of pediatrics","id":"ITEM-1","issue":"3","issued":{"date-parts":[["1995","3"]]},"page":"447-50","title":"Diagnosis of neonatal enterovirus infection by polymerase chain reaction.","type":"article-journal","volume":"126"},"uris":["http://www.mendeley.com/documents/?uuid=15822ea4-fabf-4784-a1e1-ab0f08b13503"]}],"mendeley":{"formattedCitation":"(10)","plainTextFormattedCitation":"(10)","previouslyFormattedCitation":"(10)"},"properties":{"noteIndex":0},"schema":"https://github.com/citation-style-language/schema/raw/master/csl-citation.json"}</w:instrText>
      </w:r>
      <w:r w:rsidRPr="00A16B88">
        <w:fldChar w:fldCharType="separate"/>
      </w:r>
      <w:r w:rsidRPr="00A16B88">
        <w:rPr>
          <w:noProof/>
        </w:rPr>
        <w:t>(10)</w:t>
      </w:r>
      <w:r w:rsidRPr="00A16B88">
        <w:fldChar w:fldCharType="end"/>
      </w:r>
      <w:r w:rsidRPr="00A16B88">
        <w:t xml:space="preserve">. Testing for EV/HPeV by clinicians and microbiologists across hospital laboratories is also variable because of differences in local protocols and limited understanding of clinical presentations, disease progression and outcomes. Additionally, there are no approved treatments for EV/HPeV infections and no investigational therapies undergoing clinical trials in Europe, in part due to lack of robust data to support the need for effective therapeutics.  </w:t>
      </w:r>
      <w:r w:rsidRPr="00A16B88">
        <w:rPr>
          <w:rFonts w:cs="Arial"/>
        </w:rPr>
        <w:t xml:space="preserve">The last UK publication on enterovirus epidemiology included retrospective data collected more than 20 years ago </w:t>
      </w:r>
      <w:r w:rsidRPr="00A16B88">
        <w:rPr>
          <w:rFonts w:cs="Arial"/>
        </w:rPr>
        <w:fldChar w:fldCharType="begin" w:fldLock="1"/>
      </w:r>
      <w:r w:rsidRPr="00A16B88">
        <w:rPr>
          <w:rFonts w:cs="Arial"/>
        </w:rPr>
        <w:instrText>ADDIN CSL_CITATION {"citationItems":[{"id":"ITEM-1","itemData":{"author":[{"dropping-particle":"","family":"Maguire HC, Atkinson P, Sharland M","given":"Bendig J","non-dropping-particle":"","parse-names":false,"suffix":""}],"container-title":"Commun Dis Public Health","id":"ITEM-1","issue":"2","issued":{"date-parts":[["1999"]]},"page":"122-5","title":"Enterovirus infections in England and Wales: laboratory surveillance data: 1975 to 1994","type":"article-journal"},"uris":["http://www.mendeley.com/documents/?uuid=52e55449-b219-4e97-bfae-ed67a4acb6a1"]}],"mendeley":{"formattedCitation":"(11)","plainTextFormattedCitation":"(11)","previouslyFormattedCitation":"(11)"},"properties":{"noteIndex":0},"schema":"https://github.com/citation-style-language/schema/raw/master/csl-citation.json"}</w:instrText>
      </w:r>
      <w:r w:rsidRPr="00A16B88">
        <w:rPr>
          <w:rFonts w:cs="Arial"/>
        </w:rPr>
        <w:fldChar w:fldCharType="separate"/>
      </w:r>
      <w:r w:rsidRPr="00A16B88">
        <w:rPr>
          <w:rFonts w:cs="Arial"/>
          <w:noProof/>
        </w:rPr>
        <w:t>(11)</w:t>
      </w:r>
      <w:r w:rsidRPr="00A16B88">
        <w:rPr>
          <w:rFonts w:cs="Arial"/>
        </w:rPr>
        <w:fldChar w:fldCharType="end"/>
      </w:r>
      <w:r w:rsidRPr="00A16B88">
        <w:rPr>
          <w:rFonts w:cs="Arial"/>
        </w:rPr>
        <w:t xml:space="preserve">. </w:t>
      </w:r>
      <w:r w:rsidRPr="00A16B88">
        <w:rPr>
          <w:rFonts w:eastAsia="Times New Roman" w:cs="Arial"/>
          <w:color w:val="000000"/>
          <w:shd w:val="clear" w:color="auto" w:fill="FFFFFF"/>
        </w:rPr>
        <w:t>We, therefore, undertook a prospective, population-based surveillance study to define the burden, clinical characteristics, investigations, management and outcomes of EV/HPeV meningitis in young infants across the UK and Republic of Ireland.</w:t>
      </w:r>
    </w:p>
    <w:p w:rsidR="00B66CB8" w:rsidRPr="00A16B88" w:rsidRDefault="00B66CB8" w:rsidP="00B66CB8">
      <w:pPr>
        <w:spacing w:line="480" w:lineRule="auto"/>
        <w:rPr>
          <w:rFonts w:eastAsia="Times New Roman" w:cs="Arial"/>
          <w:b/>
          <w:color w:val="000000"/>
          <w:shd w:val="clear" w:color="auto" w:fill="FFFFFF"/>
        </w:rPr>
      </w:pPr>
    </w:p>
    <w:p w:rsidR="00B66CB8" w:rsidRPr="00A16B88" w:rsidRDefault="00B66CB8" w:rsidP="00B66CB8">
      <w:pPr>
        <w:spacing w:line="480" w:lineRule="auto"/>
        <w:outlineLvl w:val="0"/>
        <w:rPr>
          <w:rFonts w:eastAsia="Times New Roman" w:cs="Arial"/>
          <w:b/>
          <w:color w:val="000000"/>
          <w:sz w:val="28"/>
          <w:shd w:val="clear" w:color="auto" w:fill="FFFFFF"/>
        </w:rPr>
      </w:pPr>
      <w:r w:rsidRPr="00A16B88">
        <w:rPr>
          <w:rFonts w:eastAsia="Times New Roman" w:cs="Arial"/>
          <w:b/>
          <w:color w:val="000000"/>
          <w:sz w:val="28"/>
          <w:shd w:val="clear" w:color="auto" w:fill="FFFFFF"/>
        </w:rPr>
        <w:t xml:space="preserve">Methods </w:t>
      </w:r>
    </w:p>
    <w:p w:rsidR="00B66CB8" w:rsidRPr="00A16B88" w:rsidRDefault="00B66CB8" w:rsidP="00B66CB8">
      <w:pPr>
        <w:spacing w:line="480" w:lineRule="auto"/>
        <w:outlineLvl w:val="0"/>
        <w:rPr>
          <w:rFonts w:eastAsia="Times New Roman" w:cs="Arial"/>
          <w:b/>
          <w:color w:val="000000"/>
          <w:shd w:val="clear" w:color="auto" w:fill="FFFFFF"/>
        </w:rPr>
      </w:pPr>
      <w:r w:rsidRPr="00A16B88">
        <w:rPr>
          <w:rFonts w:eastAsia="Times New Roman" w:cs="Arial"/>
          <w:b/>
          <w:color w:val="000000"/>
          <w:shd w:val="clear" w:color="auto" w:fill="FFFFFF"/>
        </w:rPr>
        <w:t>Surveillance</w:t>
      </w:r>
    </w:p>
    <w:p w:rsidR="00B66CB8" w:rsidRPr="00A16B88" w:rsidRDefault="00B66CB8" w:rsidP="00B66CB8">
      <w:pPr>
        <w:spacing w:line="480" w:lineRule="auto"/>
        <w:rPr>
          <w:rFonts w:cs="Arial"/>
        </w:rPr>
      </w:pPr>
      <w:r w:rsidRPr="00A16B88">
        <w:rPr>
          <w:rFonts w:cs="Arial"/>
        </w:rPr>
        <w:t xml:space="preserve">This study was conducted by Public Health England (PHE) and St. George’s University of London through the British Paediatric Surveillance Unit (BPSU), a unique national clinical surveillance system set up to study rare diseases </w:t>
      </w:r>
      <w:r w:rsidRPr="00A16B88">
        <w:rPr>
          <w:rFonts w:cs="Arial"/>
        </w:rPr>
        <w:fldChar w:fldCharType="begin" w:fldLock="1"/>
      </w:r>
      <w:r w:rsidRPr="00A16B88">
        <w:rPr>
          <w:rFonts w:cs="Arial"/>
        </w:rPr>
        <w:instrText>ADDIN CSL_CITATION {"citationItems":[{"id":"ITEM-1","itemData":{"DOI":"10.1046/j.1365-2214.1998.00052.x","ISSN":"03051862","abstract":"The British Paediatric Surveillance Unit (BPSU) of the Royal College of Paediatrics and Child Health is an ‘active’ case reporting scheme set up in 1986 to facilitate the investigation of uncommon childhood conditions of public health and clinical importance in the UK and Ireland. Its methodology involves the monthly mailing of a card containing a menu of up to 12 reportable conditions to all clinically active paediatricians in the British Isles. Respondents either indicate any cases seen in the past month or make a nil return. The BPSU forwards details of respondents reporting cases to the investigators, who when obtain information from the clinician. The menu changes from time to time and studies undergo a rigorous selection process. In 1995, the BPSU held an international seminar to review lessons learned during its first decade which would improve and develop surveillance of paediatric disorders. Over the 9 years to mid-1995 a total of 34 studies took place (25 completed, nine still in progress) with a high respondent response rate (e.g. 90% in 1994). Under-ascertainment had been addressed by seeking, in parallel, other sources of cases, e.g. death registrations, laboratory reports, other relevant clinical specialists, and by use of capture-recapture techniques. Other specialities and countries have since followed the BPSU example providing opportunity for multispeciality and international studies. The latter were valuable, but required careful planning to standardize case definitions and laboratory techniques, otherwise geographical differences in the incidence of study disorders were difficult to interpret. The BPSU has facilitated studies which increased knowledge about a range of disorders and informed national policy decisions. It also increased diagnostic awareness and showed itself able to respond to public health emergencies. Its emulation in further countries will have similar benefits. [ABSTRACT FROM AUTHOR]","author":[{"dropping-particle":"","family":"Hall","given":"S M","non-dropping-particle":"","parse-names":false,"suffix":""},{"dropping-particle":"","family":"Nicoll","given":"A","non-dropping-particle":"","parse-names":false,"suffix":""}],"container-title":"Child: Care, Health and Development","id":"ITEM-1","issue":"2","issued":{"date-parts":[["1998"]]},"page":"129-143","title":"The British Paediatric Surveillance Unit- a pioneering method for investigating the less common disorders of childhood.","type":"article-journal","volume":"24"},"uris":["http://www.mendeley.com/documents/?uuid=4ee2bd52-9836-4728-80ce-9030bc056c16"]}],"mendeley":{"formattedCitation":"(12)","plainTextFormattedCitation":"(12)","previouslyFormattedCitation":"(12)"},"properties":{"noteIndex":0},"schema":"https://github.com/citation-style-language/schema/raw/master/csl-citation.json"}</w:instrText>
      </w:r>
      <w:r w:rsidRPr="00A16B88">
        <w:rPr>
          <w:rFonts w:cs="Arial"/>
        </w:rPr>
        <w:fldChar w:fldCharType="separate"/>
      </w:r>
      <w:r w:rsidRPr="00A16B88">
        <w:rPr>
          <w:rFonts w:cs="Arial"/>
          <w:noProof/>
        </w:rPr>
        <w:t>(12)</w:t>
      </w:r>
      <w:r w:rsidRPr="00A16B88">
        <w:rPr>
          <w:rFonts w:cs="Arial"/>
        </w:rPr>
        <w:fldChar w:fldCharType="end"/>
      </w:r>
      <w:r w:rsidRPr="00A16B88">
        <w:rPr>
          <w:rFonts w:cs="Arial"/>
        </w:rPr>
        <w:t>. The BPSU functions by sending paediatric consultants across the UK and Ireland a short electronic list of rare childhood conditions every month. All paediatricians are asked to respond and report whether they have seen a case (such as EV/HPeV meningitis) or confirm that they had no cases to report. Reporting is not compulsory but strongly encouraged, with regular reminders sent by the BPSU if no response is received. Following a positive report, the reporting paediatrician completes a detailed questionnaire on the case.</w:t>
      </w:r>
    </w:p>
    <w:p w:rsidR="00B66CB8" w:rsidRPr="00A16B88" w:rsidRDefault="00B66CB8" w:rsidP="00B66CB8">
      <w:pPr>
        <w:spacing w:line="480" w:lineRule="auto"/>
        <w:rPr>
          <w:rFonts w:cs="Arial"/>
        </w:rPr>
      </w:pPr>
    </w:p>
    <w:p w:rsidR="00B66CB8" w:rsidRPr="00A16B88" w:rsidRDefault="00B66CB8" w:rsidP="00B66CB8">
      <w:pPr>
        <w:spacing w:line="480" w:lineRule="auto"/>
        <w:rPr>
          <w:rFonts w:cs="Arial"/>
          <w:color w:val="000000"/>
        </w:rPr>
      </w:pPr>
      <w:r w:rsidRPr="00A16B88">
        <w:rPr>
          <w:rFonts w:cs="Arial"/>
        </w:rPr>
        <w:t xml:space="preserve">The study began on 01 July 2014 and continued for 13 months. A case was defined as a hospitalised infant aged &lt;90 days at diagnosis with laboratory-confirmed EV/HPeV meningitis </w:t>
      </w:r>
      <w:r w:rsidRPr="00A16B88">
        <w:rPr>
          <w:rFonts w:eastAsia="Times New Roman" w:cs="Arial"/>
          <w:color w:val="000000" w:themeColor="text1"/>
          <w:shd w:val="clear" w:color="auto" w:fill="FFFFFF"/>
        </w:rPr>
        <w:t xml:space="preserve">with clinical features of meningitis (fever </w:t>
      </w:r>
      <w:r w:rsidRPr="00A16B88">
        <w:rPr>
          <w:rFonts w:eastAsia="Times New Roman" w:cs="Arial"/>
          <w:color w:val="000000" w:themeColor="text1"/>
          <w:shd w:val="clear" w:color="auto" w:fill="FFFFFF"/>
        </w:rPr>
        <w:sym w:font="Symbol" w:char="F0B3"/>
      </w:r>
      <w:r w:rsidRPr="00A16B88">
        <w:rPr>
          <w:rFonts w:eastAsia="Times New Roman" w:cs="Arial"/>
          <w:color w:val="000000" w:themeColor="text1"/>
          <w:shd w:val="clear" w:color="auto" w:fill="FFFFFF"/>
        </w:rPr>
        <w:t xml:space="preserve"> 38</w:t>
      </w:r>
      <w:r w:rsidRPr="00A16B88">
        <w:rPr>
          <w:rFonts w:eastAsia="Times New Roman" w:cs="Arial"/>
          <w:color w:val="000000" w:themeColor="text1"/>
          <w:shd w:val="clear" w:color="auto" w:fill="FFFFFF"/>
          <w:vertAlign w:val="superscript"/>
        </w:rPr>
        <w:t>o</w:t>
      </w:r>
      <w:r w:rsidRPr="00A16B88">
        <w:rPr>
          <w:rFonts w:eastAsia="Times New Roman" w:cs="Arial"/>
          <w:color w:val="000000" w:themeColor="text1"/>
          <w:shd w:val="clear" w:color="auto" w:fill="FFFFFF"/>
        </w:rPr>
        <w:t>C, coma, seizures, neck stiffness, apnoea, bulging fontanelle, irritability, lethargy, poor feeding)</w:t>
      </w:r>
      <w:r w:rsidRPr="00A16B88">
        <w:rPr>
          <w:rFonts w:eastAsia="Times New Roman" w:cs="Arial"/>
          <w:color w:val="000000" w:themeColor="text1"/>
          <w:sz w:val="32"/>
          <w:shd w:val="clear" w:color="auto" w:fill="FFFFFF"/>
          <w:vertAlign w:val="superscript"/>
        </w:rPr>
        <w:t xml:space="preserve"> </w:t>
      </w:r>
      <w:r w:rsidRPr="00A16B88">
        <w:rPr>
          <w:rFonts w:eastAsia="Times New Roman" w:cs="Arial"/>
          <w:color w:val="000000" w:themeColor="text1"/>
          <w:shd w:val="clear" w:color="auto" w:fill="FFFFFF"/>
        </w:rPr>
        <w:t>and laboratory confirmation of EV/HPeV from any site (CSF, blood, stool, throat, peri-anal swab)</w:t>
      </w:r>
      <w:r w:rsidRPr="00A16B88">
        <w:rPr>
          <w:rFonts w:cs="Arial"/>
        </w:rPr>
        <w:t xml:space="preserve">. </w:t>
      </w:r>
      <w:r w:rsidRPr="00A16B88">
        <w:rPr>
          <w:rFonts w:cs="Arial"/>
          <w:color w:val="000000"/>
        </w:rPr>
        <w:t xml:space="preserve">The Second Generation Surveillance System (SGSS), a national electronic reporting system used by NHS laboratories to notify clinically significant infections to Public Health England (PHE), was used as an alternative national data source for cases with EV/HPeV detected in the CSF in England, Wales and Northern Ireland. Additional cases identified through SGSS were followed-up in the same way as the BPSU-reported cases. Paediatricians who completed the clinical questionnaires were contacted after 12 months with a follow-up questionnaire on long-term outcomes. </w:t>
      </w:r>
    </w:p>
    <w:p w:rsidR="00B66CB8" w:rsidRPr="00A16B88" w:rsidRDefault="00B66CB8" w:rsidP="00B66CB8">
      <w:pPr>
        <w:spacing w:line="480" w:lineRule="auto"/>
        <w:rPr>
          <w:rFonts w:cs="Arial"/>
          <w:color w:val="000000"/>
        </w:rPr>
      </w:pPr>
    </w:p>
    <w:p w:rsidR="00B66CB8" w:rsidRPr="00A16B88" w:rsidRDefault="00B66CB8" w:rsidP="00B66CB8">
      <w:pPr>
        <w:spacing w:line="480" w:lineRule="auto"/>
        <w:outlineLvl w:val="0"/>
        <w:rPr>
          <w:rFonts w:eastAsia="Times New Roman" w:cs="Arial"/>
          <w:b/>
          <w:color w:val="000000"/>
          <w:shd w:val="clear" w:color="auto" w:fill="FFFFFF"/>
        </w:rPr>
      </w:pPr>
      <w:r w:rsidRPr="00A16B88">
        <w:rPr>
          <w:rFonts w:eastAsia="Times New Roman" w:cs="Arial"/>
          <w:b/>
          <w:color w:val="000000"/>
          <w:shd w:val="clear" w:color="auto" w:fill="FFFFFF"/>
        </w:rPr>
        <w:t xml:space="preserve">Data analysis </w:t>
      </w:r>
    </w:p>
    <w:p w:rsidR="00B66CB8" w:rsidRPr="00A16B88" w:rsidRDefault="00B66CB8" w:rsidP="00B66CB8">
      <w:pPr>
        <w:spacing w:line="480" w:lineRule="auto"/>
        <w:rPr>
          <w:rFonts w:eastAsia="Times New Roman" w:cs="Arial"/>
          <w:color w:val="000000"/>
          <w:shd w:val="clear" w:color="auto" w:fill="FFFFFF"/>
        </w:rPr>
      </w:pPr>
      <w:r w:rsidRPr="00A16B88">
        <w:rPr>
          <w:rFonts w:eastAsia="Times New Roman" w:cs="Arial"/>
          <w:color w:val="000000"/>
          <w:shd w:val="clear" w:color="auto" w:fill="FFFFFF"/>
        </w:rPr>
        <w:t xml:space="preserve">Data were entered into Microsoft Access and analysed using STATA 14.0 (StataCorp, College Station, Texas). Table 1 outlines a full list of clinical definitions. Annual incidence was calculated using published live-births for each of the nations in 2014 after adjustment for the 13-month surveillance period. Data are mainly descriptive and summarised as medians with interquartile ranges or proportions, and compared using the Mann Whitney U test or the Chi squared or Fisher exact test, respectively. The binomial method was used to calculate the 95% confidence intervals (CI) for proportions. </w:t>
      </w:r>
    </w:p>
    <w:p w:rsidR="00B66CB8" w:rsidRPr="00A16B88" w:rsidRDefault="00B66CB8" w:rsidP="00B66CB8">
      <w:pPr>
        <w:spacing w:line="480" w:lineRule="auto"/>
        <w:rPr>
          <w:rFonts w:eastAsia="Times New Roman" w:cs="Arial"/>
          <w:color w:val="000000"/>
          <w:shd w:val="clear" w:color="auto" w:fill="FFFFFF"/>
        </w:rPr>
      </w:pPr>
    </w:p>
    <w:p w:rsidR="00B66CB8" w:rsidRPr="00A16B88" w:rsidRDefault="00B66CB8" w:rsidP="00B66CB8">
      <w:pPr>
        <w:spacing w:line="480" w:lineRule="auto"/>
        <w:outlineLvl w:val="0"/>
        <w:rPr>
          <w:rFonts w:eastAsia="Times New Roman" w:cs="Arial"/>
          <w:b/>
          <w:color w:val="000000"/>
          <w:shd w:val="clear" w:color="auto" w:fill="FFFFFF"/>
        </w:rPr>
      </w:pPr>
      <w:r w:rsidRPr="00A16B88">
        <w:rPr>
          <w:rFonts w:eastAsia="Times New Roman" w:cs="Arial"/>
          <w:b/>
          <w:color w:val="000000"/>
          <w:shd w:val="clear" w:color="auto" w:fill="FFFFFF"/>
        </w:rPr>
        <w:t>Ethics Approval</w:t>
      </w:r>
    </w:p>
    <w:p w:rsidR="00B66CB8" w:rsidRPr="00A16B88" w:rsidRDefault="00B66CB8" w:rsidP="00B66CB8">
      <w:pPr>
        <w:spacing w:before="120" w:after="120" w:line="480" w:lineRule="auto"/>
      </w:pPr>
      <w:r w:rsidRPr="00A16B88">
        <w:t>The study has been approved by the London Queen Square</w:t>
      </w:r>
      <w:r w:rsidRPr="00A16B88" w:rsidDel="004A384D">
        <w:t xml:space="preserve"> </w:t>
      </w:r>
      <w:r w:rsidRPr="00A16B88">
        <w:t>research ethics committee (Ref: 14/LO/0229).</w:t>
      </w:r>
    </w:p>
    <w:p w:rsidR="00B66CB8" w:rsidRPr="00A16B88" w:rsidRDefault="00B66CB8" w:rsidP="00B66CB8">
      <w:pPr>
        <w:spacing w:before="120" w:after="120" w:line="480" w:lineRule="auto"/>
      </w:pPr>
    </w:p>
    <w:p w:rsidR="00B66CB8" w:rsidRPr="00A16B88" w:rsidRDefault="00B66CB8" w:rsidP="00B66CB8">
      <w:pPr>
        <w:spacing w:before="120" w:after="120" w:line="480" w:lineRule="auto"/>
        <w:outlineLvl w:val="0"/>
        <w:rPr>
          <w:b/>
          <w:sz w:val="32"/>
          <w:lang w:val="en-GB"/>
        </w:rPr>
      </w:pPr>
      <w:r w:rsidRPr="00A16B88">
        <w:rPr>
          <w:b/>
          <w:sz w:val="32"/>
          <w:lang w:val="en-GB"/>
        </w:rPr>
        <w:t>Results</w:t>
      </w:r>
    </w:p>
    <w:p w:rsidR="00B66CB8" w:rsidRPr="00A16B88" w:rsidRDefault="00B66CB8" w:rsidP="00B66CB8">
      <w:pPr>
        <w:spacing w:line="480" w:lineRule="auto"/>
        <w:rPr>
          <w:lang w:val="en-GB"/>
        </w:rPr>
      </w:pPr>
      <w:r w:rsidRPr="00A16B88">
        <w:rPr>
          <w:lang w:val="en-GB"/>
        </w:rPr>
        <w:t>During the 13-month surveillance period, 754 reports of EV/HPEV meningitis in infants aged &lt;90 days were received and 703 (93%) fulfilled the case definition, including 668 (95%) with EV meningitis and 35 (5%) with HPeV meningitis. The number of cases peaked in summer (</w:t>
      </w:r>
      <w:r w:rsidRPr="00A16B88">
        <w:rPr>
          <w:b/>
          <w:lang w:val="en-GB"/>
        </w:rPr>
        <w:t>Fig 1</w:t>
      </w:r>
      <w:r w:rsidRPr="00A16B88">
        <w:rPr>
          <w:lang w:val="en-GB"/>
        </w:rPr>
        <w:t>). The annual incidence of EV meningitis was 0.79per 1,000 live-births and 0.04 per 1,000 live-births for HPeV meningitis. EV serotype information was available for 67% (448/668) of cases and included echovirus (54%, 242/448), coxsackie B5 (7%, 32/448), coxsackie B4 (6%, 28/448) and enterovirus 71 (4%, 17/448). None of the HPeV strains were typed.</w:t>
      </w:r>
    </w:p>
    <w:p w:rsidR="00B66CB8" w:rsidRPr="00A16B88" w:rsidRDefault="00B66CB8" w:rsidP="00B66CB8">
      <w:pPr>
        <w:spacing w:line="480" w:lineRule="auto"/>
        <w:rPr>
          <w:lang w:val="en-GB"/>
        </w:rPr>
      </w:pPr>
    </w:p>
    <w:p w:rsidR="00B66CB8" w:rsidRPr="00A16B88" w:rsidRDefault="00B66CB8" w:rsidP="00B66CB8">
      <w:pPr>
        <w:spacing w:line="480" w:lineRule="auto"/>
        <w:rPr>
          <w:lang w:val="en-GB"/>
        </w:rPr>
      </w:pPr>
      <w:r w:rsidRPr="00A16B88">
        <w:rPr>
          <w:lang w:val="en-GB"/>
        </w:rPr>
        <w:t>The median age at diagnosis was 34 (IQR, 15 -53) days, and 58% (410/703 cases) were male. EV and HPeV cases were indistinguishable in terms of age distribution, clinical presentation and laboratory markers; none of the parameters were statistically significant (</w:t>
      </w:r>
      <w:r w:rsidRPr="00A16B88">
        <w:rPr>
          <w:b/>
          <w:lang w:val="en-GB"/>
        </w:rPr>
        <w:t>Fig 2</w:t>
      </w:r>
      <w:r w:rsidRPr="00A16B88">
        <w:rPr>
          <w:lang w:val="en-GB"/>
        </w:rPr>
        <w:t>). Among EV cases, fever (</w:t>
      </w:r>
      <m:oMath>
        <m:r>
          <w:rPr>
            <w:rFonts w:ascii="Cambria Math" w:hAnsi="Cambria Math"/>
            <w:lang w:val="en-GB"/>
          </w:rPr>
          <m:t>≥</m:t>
        </m:r>
      </m:oMath>
      <w:r w:rsidRPr="00A16B88">
        <w:rPr>
          <w:lang w:val="en-GB"/>
        </w:rPr>
        <w:t>38</w:t>
      </w:r>
      <w:r w:rsidRPr="00A16B88">
        <w:rPr>
          <w:lang w:val="en-GB"/>
        </w:rPr>
        <w:sym w:font="Symbol" w:char="F0B0"/>
      </w:r>
      <w:r w:rsidRPr="00A16B88">
        <w:rPr>
          <w:lang w:val="en-GB"/>
        </w:rPr>
        <w:t>C) was the commonest presentation (85%, 570/668), followed by irritability (66%, 441/668), reduced feeding (54%, 363/668) and lethargy (36%, 243/668). Fever was also the most common presentation in infants with HPeV meningitis (80%, 28/35) cases, followed by reduced feeding (71%, 25/35), irritability (66%, 23/35) and lethargy (51% 18/35) (</w:t>
      </w:r>
      <w:r w:rsidRPr="00A16B88">
        <w:rPr>
          <w:b/>
          <w:lang w:val="en-GB"/>
        </w:rPr>
        <w:t>Fig 2</w:t>
      </w:r>
      <w:r w:rsidRPr="00A16B88">
        <w:rPr>
          <w:lang w:val="en-GB"/>
        </w:rPr>
        <w:t xml:space="preserve">). On examination, the most common finding was circulatory shock </w:t>
      </w:r>
      <w:r w:rsidRPr="00A16B88">
        <w:rPr>
          <w:color w:val="000000" w:themeColor="text1"/>
          <w:lang w:val="en-GB"/>
        </w:rPr>
        <w:t xml:space="preserve">in 27% </w:t>
      </w:r>
      <w:r w:rsidRPr="00A16B88">
        <w:rPr>
          <w:lang w:val="en-GB"/>
        </w:rPr>
        <w:t xml:space="preserve">(182/668) of EV and 43% (15/35) of HPeV cases, followed by respiratory distress (EV, 12% [79/668]; HPeV, 26% [9/35]) and rash (EV, 24% [163/668]; HPeV, 29% [10/35]). Of note, 17% (6/35) of infants with HPeV meningitis had abdominal distension and 11% (4/35) had a reduced Glasgow Coma Scale (&lt;11/15) at presentation. </w:t>
      </w:r>
    </w:p>
    <w:p w:rsidR="00B66CB8" w:rsidRPr="00A16B88" w:rsidRDefault="00B66CB8" w:rsidP="00B66CB8">
      <w:pPr>
        <w:spacing w:line="480" w:lineRule="auto"/>
        <w:rPr>
          <w:lang w:val="en-GB"/>
        </w:rPr>
      </w:pPr>
    </w:p>
    <w:p w:rsidR="00B66CB8" w:rsidRPr="00A16B88" w:rsidRDefault="00B66CB8" w:rsidP="00B66CB8">
      <w:pPr>
        <w:spacing w:line="480" w:lineRule="auto"/>
        <w:outlineLvl w:val="0"/>
        <w:rPr>
          <w:b/>
          <w:lang w:val="en-GB"/>
        </w:rPr>
      </w:pPr>
      <w:r w:rsidRPr="00A16B88">
        <w:rPr>
          <w:b/>
          <w:lang w:val="en-GB"/>
        </w:rPr>
        <w:t>Intensive care admission</w:t>
      </w:r>
    </w:p>
    <w:p w:rsidR="00B66CB8" w:rsidRPr="00A16B88" w:rsidRDefault="00B66CB8" w:rsidP="00B66CB8">
      <w:pPr>
        <w:spacing w:line="480" w:lineRule="auto"/>
        <w:rPr>
          <w:lang w:val="en-GB"/>
        </w:rPr>
      </w:pPr>
      <w:r w:rsidRPr="00A16B88">
        <w:rPr>
          <w:lang w:val="en-GB"/>
        </w:rPr>
        <w:t>Most EV cases were admitted to the paediatric ward (78%, 522/668) or short-term assessment unit (9%, 59/668), while 11% required admission to a paediatric intensive care (PICU; 7%, 46/668) or high dependency unit (HDU; 4%, 30/668). Of the 35 HPeV cases, 23% required PICU (17%, 6/35) or HDU (6%, 2/35) admission. Almost half the infants who presented in the first week of life (42%, 29/69) required PICU admission (</w:t>
      </w:r>
      <w:r w:rsidRPr="00A16B88">
        <w:rPr>
          <w:b/>
          <w:lang w:val="en-GB"/>
        </w:rPr>
        <w:t>Table 2</w:t>
      </w:r>
      <w:r w:rsidRPr="00A16B88">
        <w:rPr>
          <w:lang w:val="en-GB"/>
        </w:rPr>
        <w:t>). Half (50%, 23/46) the EV meningitis cases and all six HPeV cases in ICU required intubation and ventilation for a median of 5 and 4 days, respectively. A fifth (20%, 9/46) of EV meningitis cases and all HPeV cases required inotropic support. The most common EV serotypes responsible for PICU cases included echovirus 7 (n=4) and echovirus 9 (n=4), coxsackie B4 (n=3), echovirus 11 (n=3) and enterovirus 71 (n=1).</w:t>
      </w:r>
    </w:p>
    <w:p w:rsidR="00B66CB8" w:rsidRPr="00A16B88" w:rsidRDefault="00B66CB8" w:rsidP="00B66CB8">
      <w:pPr>
        <w:spacing w:line="480" w:lineRule="auto"/>
        <w:rPr>
          <w:lang w:val="en-GB"/>
        </w:rPr>
      </w:pPr>
    </w:p>
    <w:p w:rsidR="00B66CB8" w:rsidRPr="00A16B88" w:rsidRDefault="00B66CB8" w:rsidP="00B66CB8">
      <w:pPr>
        <w:spacing w:line="480" w:lineRule="auto"/>
        <w:outlineLvl w:val="0"/>
        <w:rPr>
          <w:b/>
          <w:lang w:val="en-GB"/>
        </w:rPr>
      </w:pPr>
      <w:r w:rsidRPr="00A16B88">
        <w:rPr>
          <w:b/>
          <w:lang w:val="en-GB"/>
        </w:rPr>
        <w:t>Diagnosis and investigation</w:t>
      </w:r>
    </w:p>
    <w:p w:rsidR="00B66CB8" w:rsidRPr="00A16B88" w:rsidRDefault="00B66CB8" w:rsidP="00B66CB8">
      <w:pPr>
        <w:spacing w:line="480" w:lineRule="auto"/>
        <w:rPr>
          <w:lang w:val="en-GB"/>
        </w:rPr>
      </w:pPr>
      <w:r w:rsidRPr="00A16B88">
        <w:rPr>
          <w:lang w:val="en-GB"/>
        </w:rPr>
        <w:t>Nearly all reported cases (96%, 678/703) were diagnosed through detection of virus in the CSF. The virus was also identified in the stool in 10% (69/703), blood in 5% (38/703) and throat swabs in 5% (34/703). Of those with reported CSF results, half the EV (51%, 304/600) and all HPeV (100%, 29/29) meningitis cases had less than 20 white cells per mm</w:t>
      </w:r>
      <w:r w:rsidRPr="00A16B88">
        <w:rPr>
          <w:vertAlign w:val="superscript"/>
          <w:lang w:val="en-GB"/>
        </w:rPr>
        <w:t xml:space="preserve">3 </w:t>
      </w:r>
      <w:r w:rsidRPr="00A16B88">
        <w:rPr>
          <w:lang w:val="en-GB"/>
        </w:rPr>
        <w:t>in the CSF. Most cases also had a normal peripheral blood white cell counts (6-15 x10</w:t>
      </w:r>
      <w:r w:rsidRPr="00A16B88">
        <w:rPr>
          <w:vertAlign w:val="superscript"/>
          <w:lang w:val="en-GB"/>
        </w:rPr>
        <w:t>9</w:t>
      </w:r>
      <w:r w:rsidRPr="00A16B88">
        <w:rPr>
          <w:lang w:val="en-GB"/>
        </w:rPr>
        <w:t>/L); EV: 85% (506/598) and HPeV: 56% (18/32). In addition, more than half the EV (56%, 360/643) and HPeV (67%, 22/33) cases had a CRP (C-reactive protein) level &lt;10 mg/dL (</w:t>
      </w:r>
      <w:r w:rsidRPr="00A16B88">
        <w:rPr>
          <w:b/>
          <w:lang w:val="en-GB"/>
        </w:rPr>
        <w:t>Fig 2</w:t>
      </w:r>
      <w:r w:rsidRPr="00A16B88">
        <w:rPr>
          <w:lang w:val="en-GB"/>
        </w:rPr>
        <w:t xml:space="preserve">). </w:t>
      </w:r>
    </w:p>
    <w:p w:rsidR="00B66CB8" w:rsidRPr="00A16B88" w:rsidRDefault="00B66CB8" w:rsidP="00B66CB8">
      <w:pPr>
        <w:spacing w:line="480" w:lineRule="auto"/>
        <w:rPr>
          <w:lang w:val="en-GB"/>
        </w:rPr>
      </w:pPr>
    </w:p>
    <w:p w:rsidR="00B66CB8" w:rsidRPr="00A16B88" w:rsidRDefault="00B66CB8" w:rsidP="00B66CB8">
      <w:pPr>
        <w:spacing w:line="480" w:lineRule="auto"/>
        <w:rPr>
          <w:lang w:val="en-GB"/>
        </w:rPr>
      </w:pPr>
      <w:r w:rsidRPr="00A16B88">
        <w:rPr>
          <w:lang w:val="en-GB"/>
        </w:rPr>
        <w:t>Six infants had coagulase-negative Staphylococci (CoNS) isolated from blood cultures (n=5) or CSF (n=1); all were considered to be contaminants and not treated with antibiotics.</w:t>
      </w:r>
    </w:p>
    <w:p w:rsidR="00B66CB8" w:rsidRPr="00A16B88" w:rsidRDefault="00B66CB8" w:rsidP="00B66CB8">
      <w:pPr>
        <w:spacing w:line="480" w:lineRule="auto"/>
        <w:rPr>
          <w:lang w:val="en-GB"/>
        </w:rPr>
      </w:pPr>
    </w:p>
    <w:p w:rsidR="00B66CB8" w:rsidRPr="00A16B88" w:rsidRDefault="00B66CB8" w:rsidP="00B66CB8">
      <w:pPr>
        <w:spacing w:line="480" w:lineRule="auto"/>
        <w:rPr>
          <w:lang w:val="en-GB"/>
        </w:rPr>
      </w:pPr>
      <w:r w:rsidRPr="00A16B88">
        <w:rPr>
          <w:lang w:val="en-GB"/>
        </w:rPr>
        <w:t xml:space="preserve">In total, 8% (56/668) of EV and 29% (10/35) of HPeV meningitis cases had cranial ultrasound scans during admission. Relatively mild abnormalities were noted in five cases with EV meningitis (2 cases had resolving grade 1 IVH and 3 cases small choroid plexus bleeds with normal parenchyma). Overall, 3% (17/668) of EV meningitis cases had an MRI head scan during admission and eight were abnormal (white matter changes [n=3], and one case each of subdural haemorrhage, posterior fossa blood collection, acute infarct in the right corona, severe cystic encephalomalacia and mild ventricular dilatation). </w:t>
      </w:r>
    </w:p>
    <w:p w:rsidR="00B66CB8" w:rsidRPr="00A16B88" w:rsidRDefault="00B66CB8" w:rsidP="00B66CB8">
      <w:pPr>
        <w:spacing w:line="480" w:lineRule="auto"/>
        <w:rPr>
          <w:b/>
          <w:lang w:val="en-GB"/>
        </w:rPr>
      </w:pPr>
    </w:p>
    <w:p w:rsidR="00B66CB8" w:rsidRPr="00A16B88" w:rsidRDefault="00B66CB8" w:rsidP="00B66CB8">
      <w:pPr>
        <w:spacing w:line="480" w:lineRule="auto"/>
        <w:outlineLvl w:val="0"/>
        <w:rPr>
          <w:b/>
          <w:lang w:val="en-GB"/>
        </w:rPr>
      </w:pPr>
      <w:r w:rsidRPr="00A16B88">
        <w:rPr>
          <w:b/>
          <w:lang w:val="en-GB"/>
        </w:rPr>
        <w:t>Treatment and outcomes at hospital discharge</w:t>
      </w:r>
    </w:p>
    <w:p w:rsidR="00B66CB8" w:rsidRPr="00A16B88" w:rsidRDefault="00B66CB8" w:rsidP="00B66CB8">
      <w:pPr>
        <w:spacing w:line="480" w:lineRule="auto"/>
        <w:rPr>
          <w:lang w:val="en-GB"/>
        </w:rPr>
      </w:pPr>
      <w:r w:rsidRPr="00A16B88">
        <w:rPr>
          <w:lang w:val="en-GB"/>
        </w:rPr>
        <w:t xml:space="preserve"> A significant proportion of cases were treated with acyclovir in addition to empiric intravenous antibiotics (EV meningitis 27% 183/668; HPeV meningitis 46%, 16/35). The median duration of acyclovir treatment was 3.1. days. Three EV and one HPeV cases were also treated with intravenous immunoglobulin; the indication for administering immunoglobulin was not stated. Two infants with EV meningitis died (2/668; case fatality rate, 0.3%; 95% CI, 0.04-1.1%). Of the survivors, two had significant neurological sequelae at hospital discharge, which were still present at 12 months follow-up (Table 2). None of the infants with HPeV meningitis died and one had transaminitis at hospital discharge, which resolved spontaneously. Prematurity status, age at diagnosis and EV serotype were not associated with more severe clinical presentation or poor outcome at discharge</w:t>
      </w:r>
      <w:r w:rsidRPr="00A16B88">
        <w:rPr>
          <w:b/>
          <w:lang w:val="en-GB"/>
        </w:rPr>
        <w:t>.</w:t>
      </w:r>
    </w:p>
    <w:p w:rsidR="00B66CB8" w:rsidRPr="00A16B88" w:rsidRDefault="00B66CB8" w:rsidP="00B66CB8">
      <w:pPr>
        <w:spacing w:line="480" w:lineRule="auto"/>
        <w:rPr>
          <w:lang w:val="en-GB"/>
        </w:rPr>
      </w:pPr>
    </w:p>
    <w:p w:rsidR="00B66CB8" w:rsidRPr="00A16B88" w:rsidRDefault="00B66CB8" w:rsidP="00B66CB8">
      <w:pPr>
        <w:spacing w:line="480" w:lineRule="auto"/>
        <w:rPr>
          <w:b/>
          <w:lang w:val="en-GB"/>
        </w:rPr>
      </w:pPr>
      <w:r w:rsidRPr="00A16B88">
        <w:rPr>
          <w:b/>
          <w:lang w:val="en-GB"/>
        </w:rPr>
        <w:t xml:space="preserve">Follow-up at 12 months </w:t>
      </w:r>
    </w:p>
    <w:p w:rsidR="00B66CB8" w:rsidRPr="00A16B88" w:rsidRDefault="00B66CB8" w:rsidP="00B66CB8">
      <w:pPr>
        <w:spacing w:line="480" w:lineRule="auto"/>
        <w:rPr>
          <w:lang w:val="en-GB"/>
        </w:rPr>
      </w:pPr>
      <w:r w:rsidRPr="00A16B88">
        <w:rPr>
          <w:lang w:val="en-GB"/>
        </w:rPr>
        <w:t xml:space="preserve">Follow-up questionnaires were sent to all paediatricians who had reported a case. In total, 38% (254/668) of EV and 46% (16/35) HPeV infants were reviewed by the clinical team on at least one occasion during 12 months after hospital discharge. Of these, </w:t>
      </w:r>
      <w:bookmarkStart w:id="1" w:name="_Hlk529297583"/>
      <w:r w:rsidRPr="00A16B88">
        <w:rPr>
          <w:lang w:val="en-GB"/>
        </w:rPr>
        <w:t>70% (189/270) had a formal hearing test after discharge from hospital and none of those tested had sensorineural hearing loss</w:t>
      </w:r>
      <w:bookmarkEnd w:id="1"/>
      <w:r w:rsidRPr="00A16B88">
        <w:rPr>
          <w:lang w:val="en-GB"/>
        </w:rPr>
        <w:t>. At follow-up, two additional infants with EV meningitis, who were well at discharge, were identified with neurological complications by 12 months. The risk of long-term sequelae among infants with EV meningitis who were followed up was 0.6% (4/666; 95% CI, 0.2-1.5%) (Table 3).</w:t>
      </w:r>
    </w:p>
    <w:p w:rsidR="00B66CB8" w:rsidRPr="00A16B88" w:rsidRDefault="00B66CB8" w:rsidP="00B66CB8">
      <w:pPr>
        <w:spacing w:line="480" w:lineRule="auto"/>
        <w:rPr>
          <w:b/>
          <w:lang w:val="en-GB"/>
        </w:rPr>
      </w:pPr>
    </w:p>
    <w:p w:rsidR="00B66CB8" w:rsidRPr="00A16B88" w:rsidRDefault="00B66CB8" w:rsidP="00B66CB8">
      <w:pPr>
        <w:spacing w:line="480" w:lineRule="auto"/>
        <w:outlineLvl w:val="0"/>
        <w:rPr>
          <w:b/>
          <w:sz w:val="32"/>
          <w:lang w:val="en-GB"/>
        </w:rPr>
      </w:pPr>
      <w:r w:rsidRPr="00A16B88">
        <w:rPr>
          <w:b/>
          <w:sz w:val="32"/>
          <w:lang w:val="en-GB"/>
        </w:rPr>
        <w:t xml:space="preserve">Discussion </w:t>
      </w:r>
    </w:p>
    <w:p w:rsidR="00B66CB8" w:rsidRPr="00A16B88" w:rsidRDefault="00B66CB8" w:rsidP="00B66CB8">
      <w:pPr>
        <w:spacing w:line="480" w:lineRule="auto"/>
        <w:rPr>
          <w:lang w:val="en-GB"/>
        </w:rPr>
      </w:pPr>
      <w:r w:rsidRPr="00A16B88">
        <w:rPr>
          <w:lang w:val="en-GB"/>
        </w:rPr>
        <w:t>We have reported the largest prospective national study to evaluate the burden, clinical characteristics and outcomes of EV/HPeV meningitis in young infants during a period devoid of local or national outbreaks. We found some evidence of more severe disease in infants with HPeV compared to EV meningitis, with higher rates of circulatory failure, PICU admission and requirement for multi-organ support. Two of the 668 infants with EV meningitis died and four others had long-term neurodevelopmental complications at 12 months follow-up, while the small number of infants with HPeV meningitis recovered without complications</w:t>
      </w:r>
    </w:p>
    <w:p w:rsidR="00B66CB8" w:rsidRPr="00A16B88" w:rsidRDefault="00B66CB8" w:rsidP="00B66CB8">
      <w:pPr>
        <w:spacing w:line="480" w:lineRule="auto"/>
        <w:rPr>
          <w:lang w:val="en-GB"/>
        </w:rPr>
      </w:pPr>
    </w:p>
    <w:p w:rsidR="00B66CB8" w:rsidRPr="00A16B88" w:rsidRDefault="00B66CB8" w:rsidP="00B66CB8">
      <w:pPr>
        <w:spacing w:line="480" w:lineRule="auto"/>
        <w:rPr>
          <w:lang w:val="en-GB"/>
        </w:rPr>
      </w:pPr>
      <w:r w:rsidRPr="00A16B88">
        <w:rPr>
          <w:lang w:val="en-GB"/>
        </w:rPr>
        <w:t>The incidence of laboratory-confirmed EV/HPeV meningitis is &gt;2-fold higher than recent estimates for bacterial meningitis in the same age-group (</w:t>
      </w:r>
      <w:r w:rsidRPr="00A16B88">
        <w:t>0.38/1000 live births</w:t>
      </w:r>
      <w:r w:rsidRPr="00A16B88">
        <w:rPr>
          <w:lang w:val="en-GB"/>
        </w:rPr>
        <w:t xml:space="preserve">) using the same surveillance methodology </w:t>
      </w:r>
      <w:r w:rsidRPr="00A16B88">
        <w:rPr>
          <w:lang w:val="en-GB"/>
        </w:rPr>
        <w:fldChar w:fldCharType="begin" w:fldLock="1"/>
      </w:r>
      <w:r w:rsidRPr="00A16B88">
        <w:rPr>
          <w:lang w:val="en-GB"/>
        </w:rPr>
        <w:instrText>ADDIN CSL_CITATION {"citationItems":[{"id":"ITEM-1","itemData":{"DOI":"10.1093/cid/ciu514","ISSN":"1537-6591","PMID":"24997051","abstract":"BACKGROUND Bacterial meningitis remains a major cause of morbidity and mortality in young infants. Understanding the epidemiology and burden of disease is important. METHODS Prospective, enhanced, national population-based active surveillance was undertaken to determine the incidence, etiology, and outcome of bacterial meningitis in infants aged &lt;90 days in the United Kingdom and Ireland. RESULTS During July 2010-July 2011, 364 cases were identified (annual incidence, 0.38/1000 live births; 95% confidence interval [CI], .35-.42). In England and Wales, the incidence of confirmed neonatal bacterial meningitis was 0.21 (n = 167; 95% CI, .18-.25). A total of 302 bacteria were isolated in 298 (82%) of the cases. The pathogens responsible varied by route of admission, gestation at birth, and age at infection. Group B Streptococcus (GBS) (150/302 [50%]; incidence, 0.16/1000 live births; 95% CI, .13-.18) and Escherichia coli (41/302 [14%]; incidence, 0.04/1000; 95% CI, .03-.06) were responsible for approximately two-thirds of identified bacteria. Pneumococcal (28/302 [9%]) and meningococcal (23/302 [8%]) meningitis were rare in the first month, whereas Listeria meningitis was seen only in the first month of life (11/302 [4%]). In hospitalized preterm infants, the etiology of both early- and late-onset meningitis was more varied. Overall case fatality was 8% (25/329) and was higher for pneumococcal meningitis (5/26 [19%]) than GBS meningitis (7/135 [5%]; P = .04) and for preterm (15/90 [17%]) compared with term (10/235 [4%]; P = .0002) infants. CONCLUSIONS The incidence of bacterial meningitis in young infants remains unchanged since the 1980s and is associated with significant case fatality. Prevention strategies and guidelines to improve the early management of cases should be prioritized.","author":[{"dropping-particle":"","family":"Okike","given":"Ifeanyichukwu O","non-dropping-particle":"","parse-names":false,"suffix":""},{"dropping-particle":"","family":"Johnson","given":"Alan P","non-dropping-particle":"","parse-names":false,"suffix":""},{"dropping-particle":"","family":"Henderson","given":"Katherine L","non-dropping-particle":"","parse-names":false,"suffix":""},{"dropping-particle":"","family":"Blackburn","given":"Ruth M","non-dropping-particle":"","parse-names":false,"suffix":""},{"dropping-particle":"","family":"Muller-Pebody","given":"Berit","non-dropping-particle":"","parse-names":false,"suffix":""},{"dropping-particle":"","family":"Ladhani","given":"Shamez N","non-dropping-particle":"","parse-names":false,"suffix":""},{"dropping-particle":"","family":"Anthony","given":"Mark","non-dropping-particle":"","parse-names":false,"suffix":""},{"dropping-particle":"","family":"Ninis","given":"Nelly","non-dropping-particle":"","parse-names":false,"suffix":""},{"dropping-particle":"","family":"Heath","given":"Paul T","non-dropping-particle":"","parse-names":false,"suffix":""},{"dropping-particle":"","family":"neoMen Study Group","given":"Eva P.","non-dropping-particle":"","parse-names":false,"suffix":""},{"dropping-particle":"","family":"Cameron","given":"J. Claire","non-dropping-particle":"","parse-names":false,"suffix":""},{"dropping-particle":"","family":"Smith-Palmer","given":"Alison","non-dropping-particle":"","parse-names":false,"suffix":""},{"dropping-particle":"","family":"McDonald","given":"Eisin","non-dropping-particle":"","parse-names":false,"suffix":""},{"dropping-particle":"","family":"Sinka","given":"Katy","non-dropping-particle":"","parse-names":false,"suffix":""},{"dropping-particle":"","family":"Jones","given":"Laura","non-dropping-particle":"","parse-names":false,"suffix":""},{"dropping-particle":"","family":"Cunney","given":"Robert","non-dropping-particle":"","parse-names":false,"suffix":""},{"dropping-particle":"","family":"Borgulya","given":"Gabor","non-dropping-particle":"","parse-names":false,"suffix":""},{"dropping-particle":"","family":"Borrow","given":"Ray","non-dropping-particle":"","parse-names":false,"suffix":""}],"container-title":"Clinical infectious diseases : an official publication of the Infectious Diseases Society of America","id":"ITEM-1","issue":"10","issued":{"date-parts":[["2014"]]},"page":"e150-7","title":"Incidence, etiology, and outcome of bacterial meningitis in infants aged","type":"article-journal","volume":"59"},"uris":["http://www.mendeley.com/documents/?uuid=11fe493e-8b39-450b-b936-f947a488514d"]}],"mendeley":{"formattedCitation":"(13)","plainTextFormattedCitation":"(13)","previouslyFormattedCitation":"(13)"},"properties":{"noteIndex":0},"schema":"https://github.com/citation-style-language/schema/raw/master/csl-citation.json"}</w:instrText>
      </w:r>
      <w:r w:rsidRPr="00A16B88">
        <w:rPr>
          <w:lang w:val="en-GB"/>
        </w:rPr>
        <w:fldChar w:fldCharType="separate"/>
      </w:r>
      <w:r w:rsidRPr="00A16B88">
        <w:rPr>
          <w:noProof/>
          <w:lang w:val="en-GB"/>
        </w:rPr>
        <w:t>(13)</w:t>
      </w:r>
      <w:r w:rsidRPr="00A16B88">
        <w:rPr>
          <w:lang w:val="en-GB"/>
        </w:rPr>
        <w:fldChar w:fldCharType="end"/>
      </w:r>
      <w:r w:rsidRPr="00A16B88">
        <w:rPr>
          <w:lang w:val="en-GB"/>
        </w:rPr>
        <w:t xml:space="preserve">. This incidence is also &gt;5 times higher than group B streptococcal meningitis, currently the single most important cause of bacterial meningitis in young infants </w:t>
      </w:r>
      <w:r w:rsidRPr="00A16B88">
        <w:rPr>
          <w:lang w:val="en-GB"/>
        </w:rPr>
        <w:fldChar w:fldCharType="begin" w:fldLock="1"/>
      </w:r>
      <w:r w:rsidRPr="00A16B88">
        <w:rPr>
          <w:lang w:val="en-GB"/>
        </w:rPr>
        <w:instrText>ADDIN CSL_CITATION {"citationItems":[{"id":"ITEM-1","itemData":{"DOI":"10.1093/cid/ciu514","ISSN":"1537-6591","PMID":"24997051","abstract":"BACKGROUND Bacterial meningitis remains a major cause of morbidity and mortality in young infants. Understanding the epidemiology and burden of disease is important. METHODS Prospective, enhanced, national population-based active surveillance was undertaken to determine the incidence, etiology, and outcome of bacterial meningitis in infants aged &lt;90 days in the United Kingdom and Ireland. RESULTS During July 2010-July 2011, 364 cases were identified (annual incidence, 0.38/1000 live births; 95% confidence interval [CI], .35-.42). In England and Wales, the incidence of confirmed neonatal bacterial meningitis was 0.21 (n = 167; 95% CI, .18-.25). A total of 302 bacteria were isolated in 298 (82%) of the cases. The pathogens responsible varied by route of admission, gestation at birth, and age at infection. Group B Streptococcus (GBS) (150/302 [50%]; incidence, 0.16/1000 live births; 95% CI, .13-.18) and Escherichia coli (41/302 [14%]; incidence, 0.04/1000; 95% CI, .03-.06) were responsible for approximately two-thirds of identified bacteria. Pneumococcal (28/302 [9%]) and meningococcal (23/302 [8%]) meningitis were rare in the first month, whereas Listeria meningitis was seen only in the first month of life (11/302 [4%]). In hospitalized preterm infants, the etiology of both early- and late-onset meningitis was more varied. Overall case fatality was 8% (25/329) and was higher for pneumococcal meningitis (5/26 [19%]) than GBS meningitis (7/135 [5%]; P = .04) and for preterm (15/90 [17%]) compared with term (10/235 [4%]; P = .0002) infants. CONCLUSIONS The incidence of bacterial meningitis in young infants remains unchanged since the 1980s and is associated with significant case fatality. Prevention strategies and guidelines to improve the early management of cases should be prioritized.","author":[{"dropping-particle":"","family":"Okike","given":"Ifeanyichukwu O","non-dropping-particle":"","parse-names":false,"suffix":""},{"dropping-particle":"","family":"Johnson","given":"Alan P","non-dropping-particle":"","parse-names":false,"suffix":""},{"dropping-particle":"","family":"Henderson","given":"Katherine L","non-dropping-particle":"","parse-names":false,"suffix":""},{"dropping-particle":"","family":"Blackburn","given":"Ruth M","non-dropping-particle":"","parse-names":false,"suffix":""},{"dropping-particle":"","family":"Muller-Pebody","given":"Berit","non-dropping-particle":"","parse-names":false,"suffix":""},{"dropping-particle":"","family":"Ladhani","given":"Shamez N","non-dropping-particle":"","parse-names":false,"suffix":""},{"dropping-particle":"","family":"Anthony","given":"Mark","non-dropping-particle":"","parse-names":false,"suffix":""},{"dropping-particle":"","family":"Ninis","given":"Nelly","non-dropping-particle":"","parse-names":false,"suffix":""},{"dropping-particle":"","family":"Heath","given":"Paul T","non-dropping-particle":"","parse-names":false,"suffix":""},{"dropping-particle":"","family":"neoMen Study Group","given":"Eva P.","non-dropping-particle":"","parse-names":false,"suffix":""},{"dropping-particle":"","family":"Cameron","given":"J. Claire","non-dropping-particle":"","parse-names":false,"suffix":""},{"dropping-particle":"","family":"Smith-Palmer","given":"Alison","non-dropping-particle":"","parse-names":false,"suffix":""},{"dropping-particle":"","family":"McDonald","given":"Eisin","non-dropping-particle":"","parse-names":false,"suffix":""},{"dropping-particle":"","family":"Sinka","given":"Katy","non-dropping-particle":"","parse-names":false,"suffix":""},{"dropping-particle":"","family":"Jones","given":"Laura","non-dropping-particle":"","parse-names":false,"suffix":""},{"dropping-particle":"","family":"Cunney","given":"Robert","non-dropping-particle":"","parse-names":false,"suffix":""},{"dropping-particle":"","family":"Borgulya","given":"Gabor","non-dropping-particle":"","parse-names":false,"suffix":""},{"dropping-particle":"","family":"Borrow","given":"Ray","non-dropping-particle":"","parse-names":false,"suffix":""}],"container-title":"Clinical infectious diseases : an official publication of the Infectious Diseases Society of America","id":"ITEM-1","issue":"10","issued":{"date-parts":[["2014"]]},"page":"e150-7","title":"Incidence, etiology, and outcome of bacterial meningitis in infants aged","type":"article-journal","volume":"59"},"uris":["http://www.mendeley.com/documents/?uuid=11fe493e-8b39-450b-b936-f947a488514d"]}],"mendeley":{"formattedCitation":"(13)","plainTextFormattedCitation":"(13)","previouslyFormattedCitation":"(13)"},"properties":{"noteIndex":0},"schema":"https://github.com/citation-style-language/schema/raw/master/csl-citation.json"}</w:instrText>
      </w:r>
      <w:r w:rsidRPr="00A16B88">
        <w:rPr>
          <w:lang w:val="en-GB"/>
        </w:rPr>
        <w:fldChar w:fldCharType="separate"/>
      </w:r>
      <w:r w:rsidRPr="00A16B88">
        <w:rPr>
          <w:noProof/>
          <w:lang w:val="en-GB"/>
        </w:rPr>
        <w:t>(13)</w:t>
      </w:r>
      <w:r w:rsidRPr="00A16B88">
        <w:rPr>
          <w:lang w:val="en-GB"/>
        </w:rPr>
        <w:fldChar w:fldCharType="end"/>
      </w:r>
      <w:r w:rsidRPr="00A16B88">
        <w:rPr>
          <w:lang w:val="en-GB"/>
        </w:rPr>
        <w:t xml:space="preserve">. Our estimates are, however, likely to be significantly under-estimated for several reasons. Infants with EV/HPeV meningitis often have normal peripheral white cell counts and CRP levels, which can reassure clinicians against further investigations. Even when lumbar puncture is performed, more than half do not exhibit CSF pleocytosis, and, therefore, may not undergo further testing for viruses </w:t>
      </w:r>
      <w:r w:rsidRPr="00A16B88">
        <w:rPr>
          <w:lang w:val="en-GB"/>
        </w:rPr>
        <w:fldChar w:fldCharType="begin" w:fldLock="1"/>
      </w:r>
      <w:r w:rsidRPr="00A16B88">
        <w:rPr>
          <w:lang w:val="en-GB"/>
        </w:rPr>
        <w:instrText>ADDIN CSL_CITATION {"citationItems":[{"id":"ITEM-1","itemData":{"DOI":"10.1136/archdischild-2014-306813","ISBN":"0003-9888","ISSN":"1468-2044","PMID":"25256088","abstract":"Bacterial conjugate vaccines have dramatically changed the epidemiology of childhood meningitis; viral causes are increasingly predominant, but the current UK epidemiology is unknown. This prospective study recruited children under 16 years of age admitted to 3 UK hospitals with suspected meningitis. 70/388 children had meningitis-13 bacterial, 26 viral and 29 with no pathogen identified. Group B Streptococcus was the most common bacterial pathogen. Infants under 3 months of age with bacterial meningitis were more likely to have a reduced Glasgow Coma Score and respiratory distress than those with viral meningitis or other infections. There were no discriminatory clinical features in older children. Cerebrospinal fluid (CSF) white blood cell count and plasma C-reactive protein at all ages, and CSF protein in infants &lt;3 months of age, distinguished between bacterial meningitis and viral meningitis or other infections. Improved diagnosis of non-bacterial meningitis is urgently needed to reduce antibiotic use and hospital stay.","author":[{"dropping-particle":"","family":"Sadarangani","given":"Manish","non-dropping-particle":"","parse-names":false,"suffix":""},{"dropping-particle":"","family":"Willis","given":"Louise","non-dropping-particle":"","parse-names":false,"suffix":""},{"dropping-particle":"","family":"Kadambari","given":"Seilesh","non-dropping-particle":"","parse-names":false,"suffix":""},{"dropping-particle":"","family":"Gormley","given":"Stuart","non-dropping-particle":"","parse-names":false,"suffix":""},{"dropping-particle":"","family":"Young","given":"Zoe","non-dropping-particle":"","parse-names":false,"suffix":""},{"dropping-particle":"","family":"Beckley","given":"Rebecca","non-dropping-particle":"","parse-names":false,"suffix":""},{"dropping-particle":"","family":"Gantlett","given":"Katherine","non-dropping-particle":"","parse-names":false,"suffix":""},{"dropping-particle":"","family":"Orf","given":"Katharine","non-dropping-particle":"","parse-names":false,"suffix":""},{"dropping-particle":"","family":"Blakey","given":"Sarah","non-dropping-particle":"","parse-names":false,"suffix":""},{"dropping-particle":"","family":"Martin","given":"Natalie G","non-dropping-particle":"","parse-names":false,"suffix":""},{"dropping-particle":"","family":"Kelly","given":"Dominic F","non-dropping-particle":"","parse-names":false,"suffix":""},{"dropping-particle":"","family":"Heath","given":"Paul T","non-dropping-particle":"","parse-names":false,"suffix":""},{"dropping-particle":"","family":"Nadel","given":"Simon","non-dropping-particle":"","parse-names":false,"suffix":""},{"dropping-particle":"","family":"Pollard","given":"Andrew J","non-dropping-particle":"","parse-names":false,"suffix":""}],"container-title":"Archives of disease in childhood","id":"ITEM-1","issue":"3","issued":{"date-parts":[["2015"]]},"page":"292-4","title":"Childhood meningitis in the conjugate vaccine era: a prospective cohort study.","type":"article-journal","volume":"100"},"uris":["http://www.mendeley.com/documents/?uuid=ba69b721-7329-421e-9bb1-9a2fdd377e41"]}],"mendeley":{"formattedCitation":"(8)","plainTextFormattedCitation":"(8)","previouslyFormattedCitation":"(8)"},"properties":{"noteIndex":0},"schema":"https://github.com/citation-style-language/schema/raw/master/csl-citation.json"}</w:instrText>
      </w:r>
      <w:r w:rsidRPr="00A16B88">
        <w:rPr>
          <w:lang w:val="en-GB"/>
        </w:rPr>
        <w:fldChar w:fldCharType="separate"/>
      </w:r>
      <w:r w:rsidRPr="00A16B88">
        <w:rPr>
          <w:noProof/>
          <w:lang w:val="en-GB"/>
        </w:rPr>
        <w:t>(8)</w:t>
      </w:r>
      <w:r w:rsidRPr="00A16B88">
        <w:rPr>
          <w:lang w:val="en-GB"/>
        </w:rPr>
        <w:fldChar w:fldCharType="end"/>
      </w:r>
      <w:r w:rsidRPr="00A16B88">
        <w:rPr>
          <w:lang w:val="en-GB"/>
        </w:rPr>
        <w:t xml:space="preserve">. Many hospital laboratories only test CSF samples for viruses in the presence of CSF pleocytosis and negative bacterial cultures. As multiplex PCR-testing becomes more established, however, laboratories are increasingly testing all CSF samples routinely for viruses, especially in infants. This in part explains the rapidly increasing reports of EV/HPeV infections in England in recent years </w:t>
      </w:r>
      <w:r w:rsidRPr="00A16B88">
        <w:rPr>
          <w:lang w:val="en-GB"/>
        </w:rPr>
        <w:fldChar w:fldCharType="begin" w:fldLock="1"/>
      </w:r>
      <w:r w:rsidRPr="00A16B88">
        <w:rPr>
          <w:lang w:val="en-GB"/>
        </w:rPr>
        <w:instrText>ADDIN CSL_CITATION {"citationItems":[{"id":"ITEM-1","itemData":{"DOI":"10.1016/j.jinf.2014.05.012","ISSN":"1532-2742","PMID":"24887614","abstract":"OBJECTIVES: In highly immunised populations viruses contribute to a substantially higher proportion of meningo-encephalitis cases. This national study aimed to describe population trends in laboratory-confirmed, viral meningo-encephalitis reports in England and Wales over a ten-year period.\n\nMETHODS: Laboratory-confirmed, viral meningo-encephalitis cases submitted by National Health Service hospitals in England and Wales during 2004-13 were analysed.\n\nRESULTS: There were 9941 laboratory-confirmed reports of viral meningo-encephalitis in England and Wales over the 10-year period. Number of reports increased across all age-groups and for all viruses from 311 (incidence, 0.6/100,000) in 2004 to 2168 in 2013 (incidence, 3.9/100,000). Median age at diagnosis was 30.6 (IQR, 1.3-51.5) years, with a third of cases diagnosed in children. In 2013, infants aged &lt;3 months accounted for 27% (588/2168) of cases, but had the highest incidence (329/100,000). Enteroviruses were responsible for 52% (5133/9941) of all cases and 92% (1952/2121) in &lt;3 month-olds (incidence, 313/100,000 in 2013, equivalent to 77/100,000 live-births) followed by herpes simplex (2885/9941; 29%) and varicella zoster (1342/9941; 13%), mainly among ≥45 year-olds.\n\nCONCLUSION: Increasing use of molecular testing has led to a 7-fold increase in laboratory-confirmed, viral meningo-encephalitis reports. Large clinical-observational studies are necessary to determine the burden of viral meningo-encephalitis, especially in infants.","author":[{"dropping-particle":"","family":"Kadambari","given":"Seilesh","non-dropping-particle":"","parse-names":false,"suffix":""},{"dropping-particle":"","family":"Okike","given":"Ifeanyichukwu","non-dropping-particle":"","parse-names":false,"suffix":""},{"dropping-particle":"","family":"Ribeiro","given":"Sonia","non-dropping-particle":"","parse-names":false,"suffix":""},{"dropping-particle":"","family":"Ramsay","given":"Mary E","non-dropping-particle":"","parse-names":false,"suffix":""},{"dropping-particle":"","family":"Heath","given":"Paul T","non-dropping-particle":"","parse-names":false,"suffix":""},{"dropping-particle":"","family":"Sharland","given":"Mike","non-dropping-particle":"","parse-names":false,"suffix":""},{"dropping-particle":"","family":"Ladhani","given":"Shamez N","non-dropping-particle":"","parse-names":false,"suffix":""}],"container-title":"The Journal of infection","id":"ITEM-1","issued":{"date-parts":[["2014","6","2"]]},"publisher":"Elsevier Ltd","title":"Seven-fold increase in viral meningo-encephalitis reports in England and Wales during 2004-2013.","type":"article-journal"},"uris":["http://www.mendeley.com/documents/?uuid=77dbe1ec-18ee-4b01-b000-208bf18174df"]}],"mendeley":{"formattedCitation":"(2)","plainTextFormattedCitation":"(2)","previouslyFormattedCitation":"(2)"},"properties":{"noteIndex":0},"schema":"https://github.com/citation-style-language/schema/raw/master/csl-citation.json"}</w:instrText>
      </w:r>
      <w:r w:rsidRPr="00A16B88">
        <w:rPr>
          <w:lang w:val="en-GB"/>
        </w:rPr>
        <w:fldChar w:fldCharType="separate"/>
      </w:r>
      <w:r w:rsidRPr="00A16B88">
        <w:rPr>
          <w:noProof/>
          <w:lang w:val="en-GB"/>
        </w:rPr>
        <w:t>(2)</w:t>
      </w:r>
      <w:r w:rsidRPr="00A16B88">
        <w:rPr>
          <w:lang w:val="en-GB"/>
        </w:rPr>
        <w:fldChar w:fldCharType="end"/>
      </w:r>
      <w:r w:rsidRPr="00A16B88">
        <w:rPr>
          <w:lang w:val="en-GB"/>
        </w:rPr>
        <w:t xml:space="preserve">. </w:t>
      </w:r>
    </w:p>
    <w:p w:rsidR="00B66CB8" w:rsidRPr="00A16B88" w:rsidRDefault="00B66CB8" w:rsidP="00B66CB8">
      <w:pPr>
        <w:spacing w:line="480" w:lineRule="auto"/>
        <w:rPr>
          <w:lang w:val="en-GB"/>
        </w:rPr>
      </w:pPr>
    </w:p>
    <w:p w:rsidR="00B66CB8" w:rsidRPr="00A16B88" w:rsidRDefault="00B66CB8" w:rsidP="00B66CB8">
      <w:pPr>
        <w:spacing w:line="480" w:lineRule="auto"/>
        <w:rPr>
          <w:lang w:val="en-GB"/>
        </w:rPr>
      </w:pPr>
      <w:r w:rsidRPr="00A16B88">
        <w:rPr>
          <w:lang w:val="en-GB"/>
        </w:rPr>
        <w:t xml:space="preserve">Another major consideration is that 96% of cases were diagnosed through virus detection in the CSF. Paediatricians need to be aware that some of these viruses may only be detected at a peripheral site, such as the upper respiratory tract, blood or stools; specimens from these sites should, therefore, also be routinely tested in infants with suspected meningitis </w:t>
      </w:r>
      <w:r w:rsidRPr="00A16B88">
        <w:rPr>
          <w:lang w:val="en-GB"/>
        </w:rPr>
        <w:fldChar w:fldCharType="begin" w:fldLock="1"/>
      </w:r>
      <w:r w:rsidRPr="00A16B88">
        <w:rPr>
          <w:lang w:val="en-GB"/>
        </w:rPr>
        <w:instrText>ADDIN CSL_CITATION {"citationItems":[{"id":"ITEM-1","itemData":{"DOI":"10.1016/j.jcv.2014.11.011","ISBN":"1873-5967 (Electronic)\\r1386-6532 (Linking)","ISSN":"18735967","PMID":"25542461","abstract":"Background: Since August 2014, an increase in infections caused by enterovirus D68 (EV-D68) was reported in the USA and Canada, for the most part in children presenting with severe respiratory symptoms. Objectives: To determine whether an increase in severe EV-D68 respiratory infections was observed in our region. Study design: Samples from patients with respiratory symptoms were screened for viral pathogens, including rhinovirus and enterovirus. Subsequently, samples positive for rhinovirus and enterovirus were routinely sequenced for phylogenetic analysis. Furthermore, an additional method was used to detect EV-D68 specifically. Results: During the first three quarters of the year 2014, 1896 respiratory samples were analyzed; 39 (2%) of them tested positive for enterovirus. Eighteen samples tested positive for EV-D68, obtained from 16 different patients admitted to our hospital. Eleven were children below the age of 18, of whom five children needed intensive care treatment. The remaining five samples were from adults, who all had an underlying disease; three were transplant patients (heart, lung and renal transplantation), the other two had an underlying lung condition (COPD, asthma). Phylogenetic analysis showed a close relationship with the strains circulating currently in the USA, all belonging to the known EV-D68 genetic subtypes. Conclusions: We observed an increase of EV-D68 infections in our population, both in children as well as in adult. In 2014 there have been 16 cases so far, compared to none in 2011 and 2013 and a single case in 2012. Phylogenetic analysis identified two similar clusters as shown in the USA and Canada.","author":[{"dropping-particle":"","family":"Poelman","given":"Randy","non-dropping-particle":"","parse-names":false,"suffix":""},{"dropping-particle":"","family":"Schölvinck","given":"Elisabeth H.","non-dropping-particle":"","parse-names":false,"suffix":""},{"dropping-particle":"","family":"Borger","given":"Renze","non-dropping-particle":"","parse-names":false,"suffix":""},{"dropping-particle":"","family":"Niesters","given":"Hubert G M","non-dropping-particle":"","parse-names":false,"suffix":""},{"dropping-particle":"","family":"Leer-Buter","given":"Coretta","non-dropping-particle":"Van","parse-names":false,"suffix":""}],"container-title":"Journal of Clinical Virology","id":"ITEM-1","issued":{"date-parts":[["2015"]]},"page":"1-5","title":"The emergence of enterovirus D68 in a Dutch University Medical Center and the necessity for routinely screening for respiratory viruses","type":"article-journal","volume":"62"},"uris":["http://www.mendeley.com/documents/?uuid=94a04c7e-6b8c-4eb7-bc08-27cf451bd23f"]}],"mendeley":{"formattedCitation":"(14)","plainTextFormattedCitation":"(14)","previouslyFormattedCitation":"(14)"},"properties":{"noteIndex":0},"schema":"https://github.com/citation-style-language/schema/raw/master/csl-citation.json"}</w:instrText>
      </w:r>
      <w:r w:rsidRPr="00A16B88">
        <w:rPr>
          <w:lang w:val="en-GB"/>
        </w:rPr>
        <w:fldChar w:fldCharType="separate"/>
      </w:r>
      <w:r w:rsidRPr="00A16B88">
        <w:rPr>
          <w:noProof/>
          <w:lang w:val="en-GB"/>
        </w:rPr>
        <w:t>(14)</w:t>
      </w:r>
      <w:r w:rsidRPr="00A16B88">
        <w:rPr>
          <w:lang w:val="en-GB"/>
        </w:rPr>
        <w:fldChar w:fldCharType="end"/>
      </w:r>
      <w:r w:rsidRPr="00A16B88">
        <w:rPr>
          <w:lang w:val="en-GB"/>
        </w:rPr>
        <w:t xml:space="preserve">. Rapid diagnosis will help rationalise antimicrobial use, guide additional investigations, support early hospital discharge and reassure parents about long-term outcomes </w:t>
      </w:r>
      <w:r w:rsidRPr="00A16B88">
        <w:fldChar w:fldCharType="begin" w:fldLock="1"/>
      </w:r>
      <w:r w:rsidRPr="00A16B88">
        <w:instrText>ADDIN CSL_CITATION {"citationItems":[{"id":"ITEM-1","itemData":{"ISSN":"0891-3668","PMID":"10391184","abstract":"BACKGROUND: During summer enteroviral meningitis is a common cause of febrile illness in children, who are typically hospitalized for 2 to 3 days if bacterial infection is suspected. It has been hypothesized that a sensitive polymerase chain reaction (PCR) assay could quickly confirm the diagnosis and subsequently decrease hospitalization costs. However, to have maximum impact results should be available within 24 h. This necessitates daily assays on small numbers of samples.\n\nMETHODS: We examined the clinical utility of a PCR assay during two summers, comparing length of stay and charges. Only during the second summer were results reported to clinicians. Case controls were patients with negative PCR assay results but uncomplicated, presumed viral infections. We determined the cost per case identified with and without pleocytosis as a screen for PCR testing.\n\nRESULTS: During the first summer 25% (5/20) of patients with positive PCR assay results remained hospitalized for &gt;2 days. During the second summer 10.2% (6 of 59) of children with positive enteroviral PCR assay results but 37.9% (25 of 66) of case controls remained hospitalized for &gt;2 days. The mean length of hospitalization was significantly (P &lt; 0.05) shorter for patients with positive PCR test results than for case controls. The material cost was approximately $238 per case identified.\n\nCONCLUSIONS: PCR testing has clinical utility for diagnosis of enteroviral meningitis. Although the demands for daily testing make the test expensive, it appears to be cost-effective with savings related to shorter hospital stays.","author":[{"dropping-particle":"","family":"Hamilton","given":"M S","non-dropping-particle":"","parse-names":false,"suffix":""},{"dropping-particle":"","family":"Jackson","given":"M A","non-dropping-particle":"","parse-names":false,"suffix":""},{"dropping-particle":"","family":"Abel","given":"D","non-dropping-particle":"","parse-names":false,"suffix":""}],"container-title":"The Pediatric infectious disease journal","id":"ITEM-1","issue":"6","issued":{"date-parts":[["1999","6"]]},"page":"533-7","title":"Clinical utility of polymerase chain reaction testing for enteroviral meningitis.","type":"article-journal","volume":"18"},"uris":["http://www.mendeley.com/documents/?uuid=96c665cc-ff66-4428-8274-3334efb483e2"]},{"id":"ITEM-2","itemData":{"author":[{"dropping-particle":"","family":"Ramers","given":"Christian","non-dropping-particle":"","parse-names":false,"suffix":""},{"dropping-particle":"","family":"Billman","given":"Glenn","non-dropping-particle":"","parse-names":false,"suffix":""},{"dropping-particle":"","family":"Hartin","given":"Michele","non-dropping-particle":"","parse-names":false,"suffix":""},{"dropping-particle":"","family":"Sm","given":"M T Ascp","non-dropping-particle":"","parse-names":false,"suffix":""},{"dropping-particle":"","family":"Sawyer","given":"Mark H","non-dropping-particle":"","parse-names":false,"suffix":""}],"id":"ITEM-2","issue":"20","issued":{"date-parts":[["2013"]]},"page":"2680-2685","title":"Impact of a Diagnostic Cerebrospinal Fluid on Patient Management","type":"article-journal","volume":"283"},"uris":["http://www.mendeley.com/documents/?uuid=6e300306-75ac-477e-a74b-b1cc9cd73beb"]}],"mendeley":{"formattedCitation":"(15,16)","plainTextFormattedCitation":"(15,16)","previouslyFormattedCitation":"(15,16)"},"properties":{"noteIndex":0},"schema":"https://github.com/citation-style-language/schema/raw/master/csl-citation.json"}</w:instrText>
      </w:r>
      <w:r w:rsidRPr="00A16B88">
        <w:fldChar w:fldCharType="separate"/>
      </w:r>
      <w:r w:rsidRPr="00A16B88">
        <w:rPr>
          <w:noProof/>
        </w:rPr>
        <w:t>(15,16)</w:t>
      </w:r>
      <w:r w:rsidRPr="00A16B88">
        <w:fldChar w:fldCharType="end"/>
      </w:r>
      <w:r w:rsidRPr="00A16B88">
        <w:rPr>
          <w:lang w:val="en-GB"/>
        </w:rPr>
        <w:t xml:space="preserve">. </w:t>
      </w:r>
    </w:p>
    <w:p w:rsidR="00B66CB8" w:rsidRPr="00A16B88" w:rsidRDefault="00B66CB8" w:rsidP="00B66CB8">
      <w:pPr>
        <w:spacing w:line="480" w:lineRule="auto"/>
        <w:rPr>
          <w:lang w:val="en-GB"/>
        </w:rPr>
      </w:pPr>
    </w:p>
    <w:p w:rsidR="00B66CB8" w:rsidRPr="00A16B88" w:rsidRDefault="00B66CB8" w:rsidP="00B66CB8">
      <w:pPr>
        <w:spacing w:line="480" w:lineRule="auto"/>
        <w:rPr>
          <w:lang w:val="en-GB"/>
        </w:rPr>
      </w:pPr>
      <w:r w:rsidRPr="00A16B88">
        <w:rPr>
          <w:lang w:val="en-GB"/>
        </w:rPr>
        <w:t xml:space="preserve">The finding that nearly 10% of cases were diagnosed within the first week of life, without any particular association with EV/HPeV type, suggests transplacental transmission in this cohort because of the relatively short interval between birth and illness; transplacental transmission has been demonstrated in a previous prospective cohort study which identified echovirus 11 </w:t>
      </w:r>
      <w:r w:rsidRPr="00A16B88">
        <w:rPr>
          <w:rFonts w:ascii="Arial" w:hAnsi="Arial" w:cs="Arial"/>
          <w:color w:val="000000"/>
          <w:sz w:val="20"/>
          <w:szCs w:val="20"/>
          <w:shd w:val="clear" w:color="auto" w:fill="FFFFFF"/>
        </w:rPr>
        <w:t xml:space="preserve"> from the respiratory or gastrointestinal tract of </w:t>
      </w:r>
      <w:r w:rsidRPr="00A16B88">
        <w:rPr>
          <w:lang w:val="en-GB"/>
        </w:rPr>
        <w:t xml:space="preserve">4 out of 7 infected neonates </w:t>
      </w:r>
      <w:r w:rsidRPr="00A16B88">
        <w:t xml:space="preserve">by three days of age </w:t>
      </w:r>
      <w:r w:rsidRPr="00A16B88">
        <w:rPr>
          <w:lang w:val="en-GB"/>
        </w:rPr>
        <w:t xml:space="preserve">and also in their mothers at term </w:t>
      </w:r>
      <w:r w:rsidRPr="00A16B88">
        <w:rPr>
          <w:lang w:val="en-GB"/>
        </w:rPr>
        <w:fldChar w:fldCharType="begin" w:fldLock="1"/>
      </w:r>
      <w:r w:rsidRPr="00A16B88">
        <w:rPr>
          <w:lang w:val="en-GB"/>
        </w:rPr>
        <w:instrText>ADDIN CSL_CITATION {"citationItems":[{"id":"ITEM-1","itemData":{"DOI":"10.1056/NEJM198108133050703","ISBN":"0028-4793 (Print)\\n0028-4793 (Linking)","ISSN":"0028-4793","PMID":"7254269","abstract":"During a community outbreak of enterovirus infection, seven of 194 pregnant women (3.6 per cent) were found to be excreting a prime strain of echovirus 11 at term. Each of the seven women possessed serum neutralizing echovirus 11 antibody in titers ranging from 1:20 to 1:320, and the cord serum of their seven infants had antibody in titers of 1:10 to 1:640. None of these seven infants became ill, but four were shedding virus from the respiratory or gastrointestinal tract by three days of age. In a previous study, four infants who died of generalized infection due to the same strain of echovirus 11 had no detectable antibody in cord serum. None of the infants of virus-negative mothers became infected, according to cultures at hospital discharge (151 infants) or at two weeks of age (135 infants). We conclude that passive transplacental acquisition of antibody prevents severe, systemic echovirus disease but does not prevent mucosal infection in the perinatally infected infant.","author":[{"dropping-particle":"","family":"Modlin","given":"John F.","non-dropping-particle":"","parse-names":false,"suffix":""},{"dropping-particle":"","family":"Polk","given":"B. Frank","non-dropping-particle":"","parse-names":false,"suffix":""},{"dropping-particle":"","family":"Horton","given":"Paula","non-dropping-particle":"","parse-names":false,"suffix":""},{"dropping-particle":"","family":"Etkind","given":"Paul","non-dropping-particle":"","parse-names":false,"suffix":""},{"dropping-particle":"","family":"Crane","given":"Eileen","non-dropping-particle":"","parse-names":false,"suffix":""},{"dropping-particle":"","family":"Spiliotes","given":"Amelia","non-dropping-particle":"","parse-names":false,"suffix":""}],"container-title":"New England Journal of Medicine","id":"ITEM-1","issued":{"date-parts":[["1981"]]},"title":"Perinatal ECHOvirus Infection: Risk of Transmission during a Community Outbreak","type":"article-journal"},"uris":["http://www.mendeley.com/documents/?uuid=a8e9ca85-1cdd-49d0-8973-0baf3cfddbbc"]}],"mendeley":{"formattedCitation":"(17)","plainTextFormattedCitation":"(17)"},"properties":{"noteIndex":0},"schema":"https://github.com/citation-style-language/schema/raw/master/csl-citation.json"}</w:instrText>
      </w:r>
      <w:r w:rsidRPr="00A16B88">
        <w:rPr>
          <w:lang w:val="en-GB"/>
        </w:rPr>
        <w:fldChar w:fldCharType="separate"/>
      </w:r>
      <w:r w:rsidRPr="00A16B88">
        <w:rPr>
          <w:noProof/>
          <w:lang w:val="en-GB"/>
        </w:rPr>
        <w:t>(17)</w:t>
      </w:r>
      <w:r w:rsidRPr="00A16B88">
        <w:rPr>
          <w:lang w:val="en-GB"/>
        </w:rPr>
        <w:fldChar w:fldCharType="end"/>
      </w:r>
      <w:r w:rsidRPr="00A16B88">
        <w:rPr>
          <w:lang w:val="en-GB"/>
        </w:rPr>
        <w:t xml:space="preserve">. The lack of CSF pleocytosis in half the cases has been reported in the literature but is not widely known among clinicians and microbiologists. In a recent, retrospective South Korean study involving 390 children with EV meningitis, 16-18% did not have CSF pleocytosis, but this proportion increased to 68-77% in neonates; </w:t>
      </w:r>
      <w:r w:rsidRPr="00A16B88">
        <w:t xml:space="preserve">young age, lower peripheral WBC count and shorter interval between illness onset and lumbar puncture were associated with the absence of CSF pleocytosis </w:t>
      </w:r>
      <w:r w:rsidRPr="00A16B88">
        <w:fldChar w:fldCharType="begin" w:fldLock="1"/>
      </w:r>
      <w:r w:rsidRPr="00A16B88">
        <w:instrText>ADDIN CSL_CITATION {"citationItems":[{"id":"ITEM-1","itemData":{"DOI":"10.1136/archdischild-2012-301884","ISSN":"1468-2044","PMID":"22814522","abstract":"OBJECTIVES: This study aims to describe the clinical characteristics of enteroviral meningitis in association with the absence of cerebrospinal fluid (CSF) pleocytosis.\n\nDESIGN: This was a retrospective analysis of databases of patients diagnosed with enteroviral meningitis by CSF reverse transcription-PCR testing. Presence of CSF non-pleocytosis at each age group was analysed by use of the two criteria. Clinical variables were compared with regard to the presence of CSF pleocytosis. Multiple logistic regression analysis was used to identify factors that were associated with CSF pleocytosis.\n\nSETTING: Two hospitals in South Korea, between January 2008 and August 2011.\n\nPATIENTS: 390 infants and children with enteroviral meningitis.\n\nINTERVENTIONS: None.\n\nMAIN OUTCOME MEASURES: Proportion of enteroviral meningitis without CSF pleocytosis.\n\nRESULTS: Among the 390 patients with enteroviral meningitis, 16-18% did not have CSF pleocytosis. In particular, CSF pleocytosis was not present in 68-77% of the neonates with enteroviral meningitis, demonstrating that the proportion of CSF pleocytosis decreased significantly with age (p&lt;0.001). In multivariate models, younger age (adjusted OR 0.981; 95% CI 0.973 to 0.989), lower peripheral white blood cell count (adjusted OR 0.843; 95% CI 0.791 to 0.899), and shorter interval between onset and lumbar puncture (adjusted OR 0.527; 95% CI 0.315 to 0.882) were associated with the absence of CSF pleocytosis in enteroviral meningitis.\n\nCONCLUSIONS: This study demonstrated high proportion of non-pleocytic enteroviral meningitis in young infants and identified several clinical factors that contributed to the absence of CSF pleocytosis. We suggest that CSF enterovirus PCR testing is likely to detect more cases of enteroviral meningitis, especially in young infants.","author":[{"dropping-particle":"","family":"Yun","given":"Ki Wook","non-dropping-particle":"","parse-names":false,"suffix":""},{"dropping-particle":"","family":"Choi","given":"Eun Hwa","non-dropping-particle":"","parse-names":false,"suffix":""},{"dropping-particle":"","family":"Cheon","given":"Doo Sung","non-dropping-particle":"","parse-names":false,"suffix":""},{"dropping-particle":"","family":"Lee","given":"Jina","non-dropping-particle":"","parse-names":false,"suffix":""},{"dropping-particle":"","family":"Choi","given":"Chang Won","non-dropping-particle":"","parse-names":false,"suffix":""},{"dropping-particle":"","family":"Hwang","given":"Hee","non-dropping-particle":"","parse-names":false,"suffix":""},{"dropping-particle":"Il","family":"Kim","given":"Beyong","non-dropping-particle":"","parse-names":false,"suffix":""},{"dropping-particle":"","family":"Park","given":"Kyoung Un","non-dropping-particle":"","parse-names":false,"suffix":""},{"dropping-particle":"","family":"Park","given":"Sung Sup","non-dropping-particle":"","parse-names":false,"suffix":""},{"dropping-particle":"","family":"Lee","given":"Hoan Jong","non-dropping-particle":"","parse-names":false,"suffix":""}],"container-title":"Archives of disease in childhood","id":"ITEM-1","issue":"10","issued":{"date-parts":[["2012","10"]]},"page":"874-8","title":"Enteroviral meningitis without pleocytosis in children.","type":"article-journal","volume":"97"},"uris":["http://www.mendeley.com/documents/?uuid=2454dcbf-aa10-46bb-9889-ce89b456167e"]}],"mendeley":{"formattedCitation":"(18)","plainTextFormattedCitation":"(18)","previouslyFormattedCitation":"(17)"},"properties":{"noteIndex":0},"schema":"https://github.com/citation-style-language/schema/raw/master/csl-citation.json"}</w:instrText>
      </w:r>
      <w:r w:rsidRPr="00A16B88">
        <w:fldChar w:fldCharType="separate"/>
      </w:r>
      <w:r w:rsidRPr="00A16B88">
        <w:rPr>
          <w:noProof/>
        </w:rPr>
        <w:t>(18)</w:t>
      </w:r>
      <w:r w:rsidRPr="00A16B88">
        <w:fldChar w:fldCharType="end"/>
      </w:r>
      <w:r w:rsidRPr="00A16B88">
        <w:t xml:space="preserve">. Our study highlights the importance of performing lumbar punctures in unwell young infants with non-specific presentations and routinely testing for EV/HPeV in the CSF and other sites. </w:t>
      </w:r>
    </w:p>
    <w:p w:rsidR="00B66CB8" w:rsidRPr="00A16B88" w:rsidRDefault="00B66CB8" w:rsidP="00B66CB8">
      <w:pPr>
        <w:spacing w:line="480" w:lineRule="auto"/>
      </w:pPr>
    </w:p>
    <w:p w:rsidR="00B66CB8" w:rsidRPr="00A16B88" w:rsidRDefault="00B66CB8" w:rsidP="00B66CB8">
      <w:pPr>
        <w:spacing w:line="480" w:lineRule="auto"/>
      </w:pPr>
      <w:r w:rsidRPr="00A16B88">
        <w:t xml:space="preserve">Viral meningitis is generally associated with good outcomes but there is a paucity of robust follow-up data for infants. We, for the first time, are able to reliably estimate the low but significant risk of serious outcomes in young infants with EV/HPeV meningitis, supporting some of the previous studies </w:t>
      </w:r>
      <w:r w:rsidRPr="00A16B88">
        <w:fldChar w:fldCharType="begin" w:fldLock="1"/>
      </w:r>
      <w:r w:rsidRPr="00A16B88">
        <w:instrText>ADDIN CSL_CITATION {"citationItems":[{"id":"ITEM-1","itemData":{"DOI":"10.1056/NEJM197507032930101","ISSN":"0028-4793","PMID":"1168853","abstract":"The long-term effects of central-nervous-system enterovirus infections were examined in a controlled follow-up study of 19 children 2 1/2 to eight years of age who had been hospitalized with documented enterovirus infection 17 to 67 months before evaluation. Assessment included medical history, physical and neurologic examination, psychologic testing, and speech and hearing evaluation. Three children (16 per cent) had definite neurologic impairment, five (26 per cent) had possible impairment, and 11 (58 per cent) were free of detectable abnormalities. Children whose illness occurred during the first year of life, when compared to controls, were found to have significantly smaller mean head circumference (50.6 vs. 51.6 cm, P less than 0.033), significantly lower mean I.Q. (97 vs 115, P less than 0.007), and depressed languange and speech skills. Children whose illness occurred after the first year of life were not different from their controls. Children whith central-nervous-system enterovirus infection may have neurologic impairment when infection occurs in the first year of life.","author":[{"dropping-particle":"","family":"Sells","given":"C J","non-dropping-particle":"","parse-names":false,"suffix":""},{"dropping-particle":"","family":"Carpenter","given":"R L","non-dropping-particle":"","parse-names":false,"suffix":""},{"dropping-particle":"","family":"Ray","given":"C G","non-dropping-particle":"","parse-names":false,"suffix":""}],"container-title":"The New England journal of medicine","id":"ITEM-1","issue":"1","issued":{"date-parts":[["1975","7","3"]]},"page":"1-4","title":"Sequelae of central-nervous-system enterovirus infections.","type":"article-journal","volume":"293"},"uris":["http://www.mendeley.com/documents/?uuid=decb887b-1cae-4894-9f3f-24e4642b4987"]}],"mendeley":{"formattedCitation":"(19)","plainTextFormattedCitation":"(19)","previouslyFormattedCitation":"(18)"},"properties":{"noteIndex":0},"schema":"https://github.com/citation-style-language/schema/raw/master/csl-citation.json"}</w:instrText>
      </w:r>
      <w:r w:rsidRPr="00A16B88">
        <w:fldChar w:fldCharType="separate"/>
      </w:r>
      <w:r w:rsidRPr="00A16B88">
        <w:rPr>
          <w:noProof/>
        </w:rPr>
        <w:t>(19)</w:t>
      </w:r>
      <w:r w:rsidRPr="00A16B88">
        <w:fldChar w:fldCharType="end"/>
      </w:r>
      <w:r w:rsidRPr="00A16B88">
        <w:t xml:space="preserve"> </w:t>
      </w:r>
      <w:r w:rsidRPr="00A16B88">
        <w:fldChar w:fldCharType="begin" w:fldLock="1"/>
      </w:r>
      <w:r w:rsidRPr="00A16B88">
        <w:instrText>ADDIN CSL_CITATION {"citationItems":[{"id":"ITEM-1","itemData":{"author":[{"dropping-particle":"","family":"Balasubramanian H, Wagh D, Rao S, Keil AD","given":"McMichael J","non-dropping-particle":"","parse-names":false,"suffix":""}],"container-title":"J Paediatr Child Health","id":"ITEM-1","issue":"3","issued":{"date-parts":[["2016"]]},"page":"327 - 332","title":"Developmental outcomes in cerebrospinal fluid proven enteroviral meningitis in neonates &gt;32 weesk of gestation","type":"article-journal","volume":"53"},"uris":["http://www.mendeley.com/documents/?uuid=a508acc1-bebc-4d7e-8e34-b585dac52309"]}],"mendeley":{"formattedCitation":"(20)","plainTextFormattedCitation":"(20)","previouslyFormattedCitation":"(19)"},"properties":{"noteIndex":0},"schema":"https://github.com/citation-style-language/schema/raw/master/csl-citation.json"}</w:instrText>
      </w:r>
      <w:r w:rsidRPr="00A16B88">
        <w:fldChar w:fldCharType="separate"/>
      </w:r>
      <w:r w:rsidRPr="00A16B88">
        <w:rPr>
          <w:noProof/>
        </w:rPr>
        <w:t>(20)</w:t>
      </w:r>
      <w:r w:rsidRPr="00A16B88">
        <w:fldChar w:fldCharType="end"/>
      </w:r>
      <w:r w:rsidRPr="00A16B88">
        <w:t xml:space="preserve">, although others have reported no </w:t>
      </w:r>
      <w:r w:rsidRPr="00A16B88">
        <w:rPr>
          <w:b/>
        </w:rPr>
        <w:fldChar w:fldCharType="begin" w:fldLock="1"/>
      </w:r>
      <w:r w:rsidRPr="00A16B88">
        <w:rPr>
          <w:b/>
        </w:rPr>
        <w:instrText>ADDIN CSL_CITATION {"citationItems":[{"id":"ITEM-1","itemData":{"ISSN":"0022-3476","PMID":"1159585","author":[{"dropping-particle":"","family":"Farmer","given":"K","non-dropping-particle":"","parse-names":false,"suffix":""},{"dropping-particle":"","family":"MacArthur","given":"B A","non-dropping-particle":"","parse-names":false,"suffix":""},{"dropping-particle":"","family":"Clay","given":"M M","non-dropping-particle":"","parse-names":false,"suffix":""}],"container-title":"The Journal of pediatrics","id":"ITEM-1","issue":"4","issued":{"date-parts":[["1975","10"]]},"page":"568-71","title":"A follow-up study of 15 cases of neonatal meningoencephalitis due to Coxsackie virus B5.","type":"article-journal","volume":"87"},"uris":["http://www.mendeley.com/documents/?uuid=bc0d14a5-6dca-4664-8060-555d5076ce56"]},{"id":"ITEM-2","itemData":{"ISSN":"0022-3476","PMID":"2437277","abstract":"The neurologic, psychologic, language, and academic skills were evaluated and compared in children who had had enteroviral meningitis in infancy and their siblings. The study population consisted of 45 children in whom enteroviral meningitis developed between the ages of 4 days and 12 months. Three died of heart failure caused by viral myocarditis. Thirty-three survivors and 31 siblings were comprehensively evaluated with physical and neurologic examinations; hearing, vision, and achievement tests; and tests of cognitive, perceptual-motor, language, memory, and emotional-behavioral functions. The remaining nine survivors of meningitis and eight of their siblings were assessed by telephone interviews and analysis of school and medical records. None of the survivors had major adverse neurologic sequelae. In addition, they performed as well as their siblings on all tests administered. Our study did not demonstrate either overt or covert impairments of neurologic function or development in survivors of infantile enteroviral meningitis.","author":[{"dropping-particle":"","family":"Bergman","given":"I","non-dropping-particle":"","parse-names":false,"suffix":""},{"dropping-particle":"","family":"Painter","given":"M J","non-dropping-particle":"","parse-names":false,"suffix":""},{"dropping-particle":"","family":"Wald","given":"E R","non-dropping-particle":"","parse-names":false,"suffix":""},{"dropping-particle":"","family":"Chiponis","given":"D","non-dropping-particle":"","parse-names":false,"suffix":""},{"dropping-particle":"","family":"Holland","given":"A L","non-dropping-particle":"","parse-names":false,"suffix":""},{"dropping-particle":"","family":"Taylor","given":"H G","non-dropping-particle":"","parse-names":false,"suffix":""}],"container-title":"The Journal of pediatrics","id":"ITEM-2","issue":"5","issued":{"date-parts":[["1987","5"]]},"page":"705-9","title":"Outcome in children with enteroviral meningitis during the first year of life.","type":"article-journal","volume":"110"},"uris":["http://www.mendeley.com/documents/?uuid=8bd2b29e-3570-4be5-9d5c-3745a40a20f7"]},{"id":"ITEM-3","itemData":{"ISSN":"0031-4005","PMID":"8337018","abstract":"OBJECTIVE: We report the clinical features and cerebrospinal fluid (CSF) laboratory values for 277 children younger than 24 months of age with aseptic meningitis who were prospectively evaluated at three Baltimore hospitals between July 1986 and December 1990. A major objective was to define the incidence, etiology, and outcome of neurologic complications occurring during the acute illness.\n\nMETHODS: Cases were identified by surveillance in the ambulatory care departments of each of the three hospitals, pertinent historical and clinical data were obtained by interview of the parents and by review of the medical records, initial CSF laboratory values were recorded, and appropriate specimens were submitted to determine the viral etiology. A subset of 216 children who participated in a long-term natural history study were followed periodically with neurologic examinations and formal neurodevelopmental testing.\n\nRESULTS: Most cases occurred in very young infants; 63.5% of patients were 8 weeks of age or younger, and 84.1% were younger than 16 weeks of age. In this very young cohort, the dominant symptoms were fever and irritability; only 8.7% had evidence of meningeal irritation at the initial examination. The acute illness was complicated by either complex seizures, physical evidence of increased intracranial pressure, or coma in 25 (9.0%) cases. Within the age group under study, these complications were each significantly more likely to occur in patients older than 12 weeks of age than in younger infants. The risk of neurologic complications was similar among infants infected with group B coxsackieviruses and echoviruses, the two major enterovirus classes observed to cause disease. Acute central nervous system (CNS) complications could not be correlated with extremely abnormal CSF laboratory indices. Importantly, there was no risk of long-term neurologic sequelae attributable to acute CNS complications.\n\nCONCLUSIONS: While approximately 9% of infants and children younger than 2 years of age with aseptic meningitis experience acute CNS complications in the form of complex seizures, increased intracranial pressure, or coma, the prognosis for long-term cognitive development appears to be as favorable as the prognosis for children with aseptic meningitis who do not experience these complications.","author":[{"dropping-particle":"","family":"Rorabaugh","given":"M L","non-dropping-particle":"","parse-names":false,"suffix":""},{"dropping-particle":"","family":"Berlin","given":"L E","non-dropping-particle":"","parse-names":false,"suffix":""},{"dropping-particle":"","family":"Heldrich","given":"F","non-dropping-particle":"","parse-names":false,"suffix":""},{"dropping-particle":"","family":"Roberts","given":"K","non-dropping-particle":"","parse-names":false,"suffix":""},{"dropping-particle":"","family":"Rosenberg","given":"L A","non-dropping-particle":"","parse-names":false,"suffix":""},{"dropping-particle":"","family":"Doran","given":"T","non-dropping-particle":"","parse-names":false,"suffix":""},{"dropping-particle":"","family":"Modlin","given":"J F","non-dropping-particle":"","parse-names":false,"suffix":""}],"container-title":"Pediatrics","id":"ITEM-3","issue":"2","issued":{"date-parts":[["1993","8"]]},"page":"206-11","title":"Aseptic meningitis in infants younger than 2 years of age: acute illness and neurologic complications.","type":"article-journal","volume":"92"},"uris":["http://www.mendeley.com/documents/?uuid=eb864faf-2008-43a7-bbf2-bbc52caa1f7d"]}],"mendeley":{"formattedCitation":"(21–23)","plainTextFormattedCitation":"(21–23)","previouslyFormattedCitation":"(20–22)"},"properties":{"noteIndex":0},"schema":"https://github.com/citation-style-language/schema/raw/master/csl-citation.json"}</w:instrText>
      </w:r>
      <w:r w:rsidRPr="00A16B88">
        <w:rPr>
          <w:b/>
        </w:rPr>
        <w:fldChar w:fldCharType="separate"/>
      </w:r>
      <w:r w:rsidRPr="00A16B88">
        <w:rPr>
          <w:noProof/>
        </w:rPr>
        <w:t>(21–23)</w:t>
      </w:r>
      <w:r w:rsidRPr="00A16B88">
        <w:rPr>
          <w:b/>
        </w:rPr>
        <w:fldChar w:fldCharType="end"/>
      </w:r>
      <w:r w:rsidRPr="00A16B88">
        <w:rPr>
          <w:b/>
        </w:rPr>
        <w:t xml:space="preserve"> </w:t>
      </w:r>
      <w:r w:rsidRPr="00A16B88">
        <w:t xml:space="preserve">or only mild </w:t>
      </w:r>
      <w:r w:rsidRPr="00A16B88">
        <w:fldChar w:fldCharType="begin" w:fldLock="1"/>
      </w:r>
      <w:r w:rsidRPr="00A16B88">
        <w:instrText>ADDIN CSL_CITATION {"citationItems":[{"id":"ITEM-1","itemData":{"ISSN":"0009-9228","PMID":"8782953","abstract":"We prospectively evaluated the neurodevelopmental outcome of infants with documented viral meningitis to determine (1) whether deficits in physical growth, development, speech and language, hearing, or intelligence occur; and (2) if so, at what age these deficits can be detected. Sixteen infants with documented enteroviral meningitis under the age of 90 days and a control group of 13 patients matched for age, race, sex, and socioeconomic status were followed up prospectively for 3 years with annual evaluations, which included a developmental evaluation by a pediatric developmentalist, articulation and language tests by a speech-language pathologist (Sequenced Inventory of Communication Development, Receptive-Expressive Emergent Language Scale (REEL), Preschool Language Scale (PLS), Revised Peabody Picture Vocabulary Test (PPVT-R), Photo Articulation Test, audiometric screening), and intelligence tests by a psychometrist (Bayley Scales of Infant Development [BSID] and Stanford-Binet). No deficits were demonstrated in growth, development, hearing, BSID, articulation, and expressive language. Subtle but significant (P &lt; 0.05) deficits were documented in the study group compared with the control group in the receptive component of the REEL, all subsections of the PLS, the PPVT-R, and the verbal comprehension/language-processing section (Factor II) of the Stanford-Binet. These differences could be reliably detected by 3 years of age. We conclude that viral meningitis in young infants may cause subtle deficits in language skills, particularly receptive language. We recommend that children who have had enteroviral meningitis during early infancy be monitored carefully for language development and, perhaps, receive increased language stimulation in the home prior to school entry in order to optimize their learning potential.","author":[{"dropping-particle":"","family":"Baker","given":"R C","non-dropping-particle":"","parse-names":false,"suffix":""},{"dropping-particle":"","family":"Kummer","given":"A W","non-dropping-particle":"","parse-names":false,"suffix":""},{"dropping-particle":"","family":"Schultz","given":"J R","non-dropping-particle":"","parse-names":false,"suffix":""},{"dropping-particle":"","family":"Ho","given":"M","non-dropping-particle":"","parse-names":false,"suffix":""},{"dropping-particle":"","family":"Gonzalez del Rey","given":"J","non-dropping-particle":"","parse-names":false,"suffix":""}],"container-title":"Clinical pediatrics","id":"ITEM-1","issue":"6","issued":{"date-parts":[["1996","6"]]},"page":"295-301","title":"Neurodevelopmental outcome of infants with viral meningitis in the first three months of life.","type":"article-journal","volume":"35"},"uris":["http://www.mendeley.com/documents/?uuid=f27971f2-e2cf-416d-a404-45f6f8ee2d41"]}],"mendeley":{"formattedCitation":"(24)","plainTextFormattedCitation":"(24)","previouslyFormattedCitation":"(23)"},"properties":{"noteIndex":0},"schema":"https://github.com/citation-style-language/schema/raw/master/csl-citation.json"}</w:instrText>
      </w:r>
      <w:r w:rsidRPr="00A16B88">
        <w:fldChar w:fldCharType="separate"/>
      </w:r>
      <w:r w:rsidRPr="00A16B88">
        <w:rPr>
          <w:noProof/>
        </w:rPr>
        <w:t>(24)</w:t>
      </w:r>
      <w:r w:rsidRPr="00A16B88">
        <w:fldChar w:fldCharType="end"/>
      </w:r>
      <w:r w:rsidRPr="00A16B88">
        <w:t xml:space="preserve"> complications at follow-up. Most of these studies were conducted &gt;20 years ago, used crude developmental assessment tools at inconsistent times after the acute illness and evaluated small numbers of infants. Notably, in our cohort, although only 38% of infants underwent audiological testing after hospital discharge, none had hearing loss, which is in keeping with another recent UK national surveillance of 106 infants with HPeV and supports current consensus that audiological follow up after hospital discharge in infants with EV and HPeV meningitis is not routinely required in infants who are otherwise well at hospital discharge </w:t>
      </w:r>
      <w:r w:rsidRPr="00A16B88">
        <w:fldChar w:fldCharType="begin" w:fldLock="1"/>
      </w:r>
      <w:r w:rsidRPr="00A16B88">
        <w:instrText>ADDIN CSL_CITATION {"citationItems":[{"id":"ITEM-1","itemData":{"author":[{"dropping-particle":"","family":"Ferreras Antolín L, Kadambari S, Braccio S, Tang JW, Xerry J, Allen DJ","given":"Ladhani SN; Parechovirus Surveillance Network","non-dropping-particle":"","parse-names":false,"suffix":""}],"container-title":"Arch Dis Child","id":"ITEM-1","issued":{"date-parts":[["2018"]]},"title":"Increased detection of human parechovirus infection in infants in England during 2016: epidemiology and clinical characteristics","type":"article-magazine"},"uris":["http://www.mendeley.com/documents/?uuid=889d6b89-2470-45bd-9a7f-7e7da1011def"]}],"mendeley":{"formattedCitation":"(25)","plainTextFormattedCitation":"(25)","previouslyFormattedCitation":"(24)"},"properties":{"noteIndex":0},"schema":"https://github.com/citation-style-language/schema/raw/master/csl-citation.json"}</w:instrText>
      </w:r>
      <w:r w:rsidRPr="00A16B88">
        <w:fldChar w:fldCharType="separate"/>
      </w:r>
      <w:r w:rsidRPr="00A16B88">
        <w:rPr>
          <w:noProof/>
        </w:rPr>
        <w:t>(25)</w:t>
      </w:r>
      <w:r w:rsidRPr="00A16B88">
        <w:fldChar w:fldCharType="end"/>
      </w:r>
      <w:r w:rsidRPr="00A16B88">
        <w:t xml:space="preserve">. </w:t>
      </w:r>
    </w:p>
    <w:p w:rsidR="00B66CB8" w:rsidRPr="00A16B88" w:rsidRDefault="00B66CB8" w:rsidP="00B66CB8">
      <w:pPr>
        <w:spacing w:line="480" w:lineRule="auto"/>
      </w:pPr>
    </w:p>
    <w:p w:rsidR="00B66CB8" w:rsidRPr="00A16B88" w:rsidRDefault="00B66CB8" w:rsidP="00B66CB8">
      <w:pPr>
        <w:spacing w:line="480" w:lineRule="auto"/>
        <w:rPr>
          <w:lang w:val="en-GB"/>
        </w:rPr>
      </w:pPr>
      <w:r w:rsidRPr="00A16B88">
        <w:t xml:space="preserve">HPeV represented a small proportion of our cases, partly because HPeV infections peak every two years and this study was conducted in a year of low HPeV activity </w:t>
      </w:r>
      <w:r w:rsidRPr="00A16B88">
        <w:rPr>
          <w:lang w:val="en-GB"/>
        </w:rPr>
        <w:fldChar w:fldCharType="begin" w:fldLock="1"/>
      </w:r>
      <w:r w:rsidRPr="00A16B88">
        <w:rPr>
          <w:lang w:val="en-GB"/>
        </w:rPr>
        <w:instrText>ADDIN CSL_CITATION {"citationItems":[{"id":"ITEM-1","itemData":{"DOI":"10.1002/jmv.23197","ISBN":"1096-9071 (Electronic)\\r0146-6615 (Linking)","PMID":"22337310","abstract":"Human parechoviruses (HPeVs) infection is associated with a wide range of clinical syndromes such as respiratory, gastrointestinal, neurologic diseases, and neonatal sepsis-like illness. The main objective of this study was to investigate the epidemiology of HPeVs infection in hospitalized patients in a period of 2 years. Respiratory samples from 3,525 patients with respiratory syndrome, cerebrospinal fluid (CSF) from 340 patients with neurologic syndrome as well as CSF and plasma samples from five neonatal patients with sepsis-like illness collected from October 2008 to 2010 were tested retrospectively using HPeV-specific real-time RT-PCR. Phylogenetic analysis of VP3/VP1 region was performed on the positive samples. Fourteen out of 3,525 (0.4%) patients with respiratory syndrome and five out of five patients with sepsis-like illness were positive for HPeV. In 3/5 patients with sepsis-like illness multiple samples (e.g., stool, plasma, CSF, or respiratory samples) were available, and HPeV was found in all specimens. In contrast, no positive CSF was detected among the 340 patients with neurologic syndromes. Eleven patients (57.9%) were infected with HPeV1 strain, 7 (36.8%) with HPeV3, and 1 (5.3%) with HPeV6 strains. Ten of the 14 HPeV patients with respiratory syndrome were co-infected with other respiratory viruses (eight with rhinovirus and two with coronavirus OC43). All five patients with sepsis-like illness were less than 1 month of age and were infected with HPeV3. Although not circulating at high frequency and unlikely to cause respiratory syndrome, HPeV was associated with severe clinical syndromes in a minority of newborns.","author":[{"dropping-particle":"","family":"Piralla","given":"A","non-dropping-particle":"","parse-names":false,"suffix":""},{"dropping-particle":"","family":"Furione","given":"M","non-dropping-particle":"","parse-names":false,"suffix":""},{"dropping-particle":"","family":"Rovida","given":"F","non-dropping-particle":"","parse-names":false,"suffix":""},{"dropping-particle":"","family":"Marchi","given":"A","non-dropping-particle":"","parse-names":false,"suffix":""},{"dropping-particle":"","family":"Stronati","given":"M","non-dropping-particle":"","parse-names":false,"suffix":""},{"dropping-particle":"","family":"Gerna","given":"G","non-dropping-particle":"","parse-names":false,"suffix":""},{"dropping-particle":"","family":"Baldanti","given":"F","non-dropping-particle":"","parse-names":false,"suffix":""}],"container-title":"J Med Virol","id":"ITEM-1","issue":"4","issued":{"date-parts":[["2012"]]},"page":"686-690","title":"Human parechovirus infections in patients admitted to hospital in Northern Italy, 2008-2010","type":"article-journal","volume":"84"},"uris":["http://www.mendeley.com/documents/?uuid=282781a7-29b9-40b6-8bdc-7d2ac405981d"]},{"id":"ITEM-2","itemData":{"DOI":"10.2807/1560-7917.ES2014.19.15.20772","ISSN":"15607917","PMID":"24762664","abstract":"Human enteroviruses (EV) and parechoviruses (HPeV) within the family Picornaviridae are the most common causes of viral central nervous system (CNS)-associated infections including meningitis and neonatal sepsis-like disease. The frequencies of EV and HPeV types identified in clinical specimens collected in Scotland over an eight-year period were compared to those identified in sewage surveillance established in Edinburgh. Of the 35 different EV types belonging to four EV species (A to D) and the four HPeV types detected in this study, HPeV3 was identified as the most prevalent picornavirus in cerebrospinal fluid samples, followed by species B EV. Interestingly, over half of EV and all HPeV CNS-associated infections were observed in young infants (younger than three months). Detection of species A EV including coxsackievirus A6 and EV71 in clinical samples and sewage indicates that these viruses are already widely circulating in Scotland. Furthermore, species C EV were frequently identified EV in sewage screening but they were not present in any of 606 EV-positive clinical samples studied, indicating their likely lower pathogenicity. Picornavirus surveillance is important not only for monitoring the changing epidemiology of these infections but also for the rapid identification of spread of emerging EV and/or HPeV types.","author":[{"dropping-particle":"","family":"Harvala","given":"H.","non-dropping-particle":"","parse-names":false,"suffix":""},{"dropping-particle":"","family":"Calvert","given":"J.","non-dropping-particle":"","parse-names":false,"suffix":""},{"dropping-particle":"","family":"Nguyen","given":"D.","non-dropping-particle":"Van","parse-names":false,"suffix":""},{"dropping-particle":"","family":"Clasper","given":"L.","non-dropping-particle":"","parse-names":false,"suffix":""},{"dropping-particle":"","family":"Gadsby","given":"N.","non-dropping-particle":"","parse-names":false,"suffix":""},{"dropping-particle":"","family":"Molyneaux","given":"P.","non-dropping-particle":"","parse-names":false,"suffix":""},{"dropping-particle":"","family":"Templeton","given":"K.","non-dropping-particle":"","parse-names":false,"suffix":""},{"dropping-particle":"","family":"McWilliams Leitch","given":"C.","non-dropping-particle":"","parse-names":false,"suffix":""},{"dropping-particle":"","family":"Simmonds","given":"P.","non-dropping-particle":"","parse-names":false,"suffix":""}],"container-title":"Eurosurveillance","id":"ITEM-2","issue":"15","issued":{"date-parts":[["2014"]]},"title":"Comparison of diagnostic clinical samples and environmental sampling for enterovirus and parechovirus surveillance in Scotland, 2010 to 2012","type":"article-journal","volume":"19"},"uris":["http://www.mendeley.com/documents/?uuid=ae63f0fb-cfa6-470e-beed-39eebdfde43b"]},{"id":"ITEM-3","itemData":{"DOI":"10.1007/s00431-014-2483-3","ISSN":"1432-1076","PMID":"25573462","abstract":"Human parechoviruses (HPeVs) cause a spectrum of disease ranging from self-limiting illness to severe disease and, sometimes, death. We describe the clinical characteristics and outcomes of HPeV infection in infants. The study describes the clinical and laboratory characteristics and outcomes of infants with HPeV infection during 2008-2012, from three paediatric hospitals in London each with a paediatric intensive care unit. The infants were retrospectively identified through laboratory and patient discharge databases and diagnosed through HPeV PCR. Fifty infants were identified. Half required admission to PICU. Infants less than 3 months were more likely to require PICU (16/25: p &lt; 0.01). Clinical signs at presentation were often indistinguishable from those of bacterial sepsis and meningitis, but inflammatory markers were nearly always (95 % of cases) within normal ranges. Brain MRI showed white matter changes in 10/12 infants. Three of 19 infants with follow-up data (16 %) had significant neurological sequelae. Conclusion: HPeV may cause severe disease and long-term neurological sequelae in young infants. HPeV should be considered in infants with clinical features of sepsis/meningitis with normal CSF microscopy. Prospective observational studies are warranted to better define the epidemiology of infection and thus inform future treatment trials.","author":[{"dropping-particle":"","family":"Vergnano","given":"Stefania","non-dropping-particle":"","parse-names":false,"suffix":""},{"dropping-particle":"","family":"Kadambari","given":"Seilesh","non-dropping-particle":"","parse-names":false,"suffix":""},{"dropping-particle":"","family":"Whalley","given":"Katrina","non-dropping-particle":"","parse-names":false,"suffix":""},{"dropping-particle":"","family":"Menson","given":"Esse N","non-dropping-particle":"","parse-names":false,"suffix":""},{"dropping-particle":"","family":"Martinez-Alier","given":"Nuria","non-dropping-particle":"","parse-names":false,"suffix":""},{"dropping-particle":"","family":"Cooper","given":"Mehrengise","non-dropping-particle":"","parse-names":false,"suffix":""},{"dropping-particle":"","family":"Sanchez","given":"Emile","non-dropping-particle":"","parse-names":false,"suffix":""},{"dropping-particle":"","family":"Heath","given":"Paul T","non-dropping-particle":"","parse-names":false,"suffix":""},{"dropping-particle":"","family":"Lyall","given":"Hermione","non-dropping-particle":"","parse-names":false,"suffix":""}],"container-title":"European journal of pediatrics","id":"ITEM-3","issued":{"date-parts":[["2015","1","10"]]},"title":"Characteristics and outcomes of human parechovirus infection in infants (2008-2012).","type":"article-journal"},"uris":["http://www.mendeley.com/documents/?uuid=8c2f8622-86a1-4eb4-bacc-66165b268a0e"]}],"mendeley":{"formattedCitation":"(4,26,27)","plainTextFormattedCitation":"(4,26,27)","previouslyFormattedCitation":"(4,25,26)"},"properties":{"noteIndex":0},"schema":"https://github.com/citation-style-language/schema/raw/master/csl-citation.json"}</w:instrText>
      </w:r>
      <w:r w:rsidRPr="00A16B88">
        <w:rPr>
          <w:lang w:val="en-GB"/>
        </w:rPr>
        <w:fldChar w:fldCharType="separate"/>
      </w:r>
      <w:r w:rsidRPr="00A16B88">
        <w:rPr>
          <w:noProof/>
          <w:lang w:val="en-GB"/>
        </w:rPr>
        <w:t>(4,26,27)</w:t>
      </w:r>
      <w:r w:rsidRPr="00A16B88">
        <w:rPr>
          <w:lang w:val="en-GB"/>
        </w:rPr>
        <w:fldChar w:fldCharType="end"/>
      </w:r>
      <w:r w:rsidRPr="00A16B88">
        <w:rPr>
          <w:lang w:val="en-GB"/>
        </w:rPr>
        <w:t xml:space="preserve">. Additionally, many hospital laboratories still do not routinely test for HPeV, even those that routinely test for EV, although an increasing number of hospital laboratories have been adding HPeV testing to their existing multiplex PCR assays recently </w:t>
      </w:r>
      <w:r w:rsidRPr="00A16B88">
        <w:rPr>
          <w:lang w:val="en-GB"/>
        </w:rPr>
        <w:fldChar w:fldCharType="begin" w:fldLock="1"/>
      </w:r>
      <w:r w:rsidRPr="00A16B88">
        <w:rPr>
          <w:lang w:val="en-GB"/>
        </w:rPr>
        <w:instrText>ADDIN CSL_CITATION {"citationItems":[{"id":"ITEM-1","itemData":{"author":[{"dropping-particle":"","family":"Tang JW, Holmes CW, Elsanousi FA, Patel A, Adam F, Speight R, Shenoy S, Bronnert D, Stiefel G, Sundaram P, Pande S, Sridhar A, Kairamkonda V","given":"Bandi S.","non-dropping-particle":"","parse-names":false,"suffix":""}],"container-title":"Eurosurveillance","id":"ITEM-1","issue":"34","issued":{"date-parts":[["2016"]]},"title":"Cluster of human parechovirus infections as the predominant cause of sepsis in neonates and infants, Leicester, United Kingdom, 8 May to 2 August 2016","type":"article-journal","volume":"21"},"uris":["http://www.mendeley.com/documents/?uuid=32445ed2-dd57-4cb2-99c8-8556b777f64e"]}],"mendeley":{"formattedCitation":"(28)","plainTextFormattedCitation":"(28)","previouslyFormattedCitation":"(27)"},"properties":{"noteIndex":0},"schema":"https://github.com/citation-style-language/schema/raw/master/csl-citation.json"}</w:instrText>
      </w:r>
      <w:r w:rsidRPr="00A16B88">
        <w:rPr>
          <w:lang w:val="en-GB"/>
        </w:rPr>
        <w:fldChar w:fldCharType="separate"/>
      </w:r>
      <w:r w:rsidRPr="00A16B88">
        <w:rPr>
          <w:noProof/>
          <w:lang w:val="en-GB"/>
        </w:rPr>
        <w:t>(28)</w:t>
      </w:r>
      <w:r w:rsidRPr="00A16B88">
        <w:rPr>
          <w:lang w:val="en-GB"/>
        </w:rPr>
        <w:fldChar w:fldCharType="end"/>
      </w:r>
      <w:r w:rsidRPr="00A16B88">
        <w:rPr>
          <w:lang w:val="en-GB"/>
        </w:rPr>
        <w:t xml:space="preserve">. </w:t>
      </w:r>
    </w:p>
    <w:p w:rsidR="00B66CB8" w:rsidRPr="00A16B88" w:rsidRDefault="00B66CB8" w:rsidP="00B66CB8">
      <w:pPr>
        <w:spacing w:line="480" w:lineRule="auto"/>
        <w:rPr>
          <w:lang w:val="en-GB"/>
        </w:rPr>
      </w:pPr>
    </w:p>
    <w:p w:rsidR="00B66CB8" w:rsidRPr="00A16B88" w:rsidRDefault="00B66CB8" w:rsidP="00B66CB8">
      <w:pPr>
        <w:spacing w:line="480" w:lineRule="auto"/>
        <w:rPr>
          <w:bCs/>
        </w:rPr>
      </w:pPr>
      <w:r w:rsidRPr="00A16B88">
        <w:rPr>
          <w:color w:val="000000" w:themeColor="text1"/>
        </w:rPr>
        <w:t>Several studies have reported significant long-term neurodevelopmental sequelae in infants with HPeV meningitis, especially associated with HPeV type 3</w:t>
      </w:r>
      <w:r w:rsidRPr="00A16B88">
        <w:rPr>
          <w:bCs/>
          <w:color w:val="000000" w:themeColor="text1"/>
        </w:rPr>
        <w:t xml:space="preserve"> </w:t>
      </w:r>
      <w:r w:rsidRPr="00A16B88">
        <w:rPr>
          <w:bCs/>
          <w:color w:val="000000" w:themeColor="text1"/>
        </w:rPr>
        <w:fldChar w:fldCharType="begin" w:fldLock="1"/>
      </w:r>
      <w:r w:rsidRPr="00A16B88">
        <w:rPr>
          <w:bCs/>
          <w:color w:val="000000" w:themeColor="text1"/>
        </w:rPr>
        <w:instrText>ADDIN CSL_CITATION {"citationItems":[{"id":"ITEM-1","itemData":{"DOI":"10.1542/peds.2015-2848","ISSN":"1098-4275","PMID":"26791970","abstract":"OBJECTIVE: We aimed to describe the clinical features and outcome of human parechovirus (HPeV) encephalitis cases identified by the Australian Childhood Encephalitis (ACE) study.\n\nMETHODS: Infants with suspected encephalitis were prospectively identified in 5 hospitals through the (ACE) study. Cases of confirmed HPeV infection had comprehensive demographic, clinical, laboratory, imaging, and outcome at discharge data reviewed by an expert panel and were categorized by using predetermined case definitions. Twelve months after discharge, neurodevelopment was assessed by using the Ages and Stages Questionnaire (ASQ).\n\nRESULTS: We identified thirteen cases of suspected encephalitis with HPeV infection between May 2013 and December 2014. Nine infants had confirmed encephalitis; median age was 13 days, including a twin pair. All had HPeV detected in cerebrospinal fluid with absent pleocytosis. Most were girls (7), admitted to ICU (8), and had seizures (8). Many were born preterm (5). Seven patients had white matter diffusion restriction on MRI; 3 with normal cranial ultrasounds. At discharge, 3 of 9 were assessed to have sequelae; however, at 12 months' follow-up, by using the ASQ, 5 of 8 infants showed neurodevelopmental sequelae: 3 severe (2 cerebral palsy, 1 central visual impairment). A further 2 showed concern in gross motor development.\n\nCONCLUSIONS: Children with HPeV encephalitis were predominantly young, female infants with seizures and diffusion restriction on MRI. Cranial ultrasound is inadequately sensitive. HPeV encephalitis is associated with neurodevelopmental sequelae despite reassuring short-term outcomes. Given the absent cerebrospinal fluid pleocytosis and need for specific testing, HPeV could be missed as a cause of neonatal encephalopathy and subsequent cerebral palsy.","author":[{"dropping-particle":"","family":"Britton","given":"Philip N","non-dropping-particle":"","parse-names":false,"suffix":""},{"dropping-particle":"","family":"Dale","given":"Russell C","non-dropping-particle":"","parse-names":false,"suffix":""},{"dropping-particle":"","family":"Nissen","given":"Michael D","non-dropping-particle":"","parse-names":false,"suffix":""},{"dropping-particle":"","family":"Crawford","given":"Nigel","non-dropping-particle":"","parse-names":false,"suffix":""},{"dropping-particle":"","family":"Elliot","given":"Elizabeth","non-dropping-particle":"","parse-names":false,"suffix":""},{"dropping-particle":"","family":"Macartney","given":"Kristine","non-dropping-particle":"","parse-names":false,"suffix":""},{"dropping-particle":"","family":"Khandaker","given":"Gulam","non-dropping-particle":"","parse-names":false,"suffix":""},{"dropping-particle":"","family":"Booy","given":"Robert","non-dropping-particle":"","parse-names":false,"suffix":""},{"dropping-particle":"","family":"Jones","given":"Cheryl A","non-dropping-particle":"","parse-names":false,"suffix":""}],"container-title":"Pediatrics","id":"ITEM-1","issue":"2","issued":{"date-parts":[["2016","1","20"]]},"page":"1-11","title":"Parechovirus Encephalitis and Neurodevelopmental Outcomes.","type":"article-journal","volume":"137"},"uris":["http://www.mendeley.com/documents/?uuid=20990b4f-d9e7-42da-8fbf-10e40b478baa"]}],"mendeley":{"formattedCitation":"(29)","plainTextFormattedCitation":"(29)","previouslyFormattedCitation":"(28)"},"properties":{"noteIndex":0},"schema":"https://github.com/citation-style-language/schema/raw/master/csl-citation.json"}</w:instrText>
      </w:r>
      <w:r w:rsidRPr="00A16B88">
        <w:rPr>
          <w:bCs/>
          <w:color w:val="000000" w:themeColor="text1"/>
        </w:rPr>
        <w:fldChar w:fldCharType="separate"/>
      </w:r>
      <w:r w:rsidRPr="00A16B88">
        <w:rPr>
          <w:bCs/>
          <w:noProof/>
          <w:color w:val="000000" w:themeColor="text1"/>
        </w:rPr>
        <w:t>(29)</w:t>
      </w:r>
      <w:r w:rsidRPr="00A16B88">
        <w:rPr>
          <w:bCs/>
          <w:color w:val="000000" w:themeColor="text1"/>
        </w:rPr>
        <w:fldChar w:fldCharType="end"/>
      </w:r>
      <w:r w:rsidRPr="00A16B88">
        <w:rPr>
          <w:bCs/>
        </w:rPr>
        <w:t xml:space="preserve"> </w:t>
      </w:r>
      <w:r w:rsidRPr="00A16B88">
        <w:rPr>
          <w:b/>
          <w:bCs/>
        </w:rPr>
        <w:fldChar w:fldCharType="begin" w:fldLock="1"/>
      </w:r>
      <w:r w:rsidRPr="00A16B88">
        <w:rPr>
          <w:b/>
          <w:bCs/>
        </w:rPr>
        <w:instrText>ADDIN CSL_CITATION {"citationItems":[{"id":"ITEM-1","itemData":{"DOI":"10.1002/ana.21445","ISBN":"0785389010900","ISSN":"03645134","PMID":"18825694","abstract":"OBJECTIVE: To assess the role of human parechoviruses (HPeVs) as a cause of neonatal cerebral infection and to report neuroimaging findings of newborn infants with encephalitis caused by HPeVs. METHODS: Clinical presentation, cranial ultrasonography, magnetic resonance imaging (MRI) findings, and neurodevelopmental outcome of 10 infants admitted to a neonatal intensive care unit and diagnosed with encephalitis caused by HPeVs are reported. RESULTS: Nine of 10 infants, with a gestational age of 29 to 41 weeks, presented at 36 to 41 weeks postmenstrual age with clinical seizures. Seven had a fever and six had a rash. Clinical presentation was similar to that of infants with enterovirus infection. Cranial ultrasonography showed increased echogenicity in the periventricular white matter in all infants. Neonatal MRI confirmed white matter changes in nine infants, which changed to gliosis on later MRI. Outcome was variable with cerebral palsy in one, a suspect outcome at 18 months in one, learning disabilities at 7 years of age in one, epilepsy in one, and normal neurodevelopmental outcome in five children. Follow-up of one infant was only 9 months. INTERPRETATION: HPeVs should be added to the list of neurotropic viruses that may cause severe central nervous system infection in the neonatal period. White matter injury can be visualized with cranial ultrasonography, but more detailed information is obtained with MRI and especially diffusion-weighted imaging. Because clinical presentation of HPeV encephalitis is similar to that of enterovirus, real-time polymerase chain reaction for both viruses should be performed in atypical presentation of neonatal seizures.","author":[{"dropping-particle":"","family":"Verboon-Maciolek","given":"Malgorzata A.","non-dropping-particle":"","parse-names":false,"suffix":""},{"dropping-particle":"","family":"Groenendaal","given":"Floris","non-dropping-particle":"","parse-names":false,"suffix":""},{"dropping-particle":"","family":"Hahn","given":"Cecil D.","non-dropping-particle":"","parse-names":false,"suffix":""},{"dropping-particle":"","family":"Hellmann","given":"Jonathan","non-dropping-particle":"","parse-names":false,"suffix":""},{"dropping-particle":"","family":"Loon","given":"Anton M.","non-dropping-particle":"Van","parse-names":false,"suffix":""},{"dropping-particle":"","family":"Boivin","given":"Guy","non-dropping-particle":"","parse-names":false,"suffix":""},{"dropping-particle":"","family":"Vries","given":"Linda S.","non-dropping-particle":"De","parse-names":false,"suffix":""}],"container-title":"Annals of Neurology","id":"ITEM-1","issue":"3","issued":{"date-parts":[["2008"]]},"page":"266-273","title":"Human parechovirus causes encephalitis with white matter injury in neonates","type":"article-journal","volume":"64"},"uris":["http://www.mendeley.com/documents/?uuid=edc1710f-146b-4fe9-a46f-fb1102de3e18"]}],"mendeley":{"formattedCitation":"(30)","plainTextFormattedCitation":"(30)","previouslyFormattedCitation":"(29)"},"properties":{"noteIndex":0},"schema":"https://github.com/citation-style-language/schema/raw/master/csl-citation.json"}</w:instrText>
      </w:r>
      <w:r w:rsidRPr="00A16B88">
        <w:rPr>
          <w:b/>
          <w:bCs/>
        </w:rPr>
        <w:fldChar w:fldCharType="separate"/>
      </w:r>
      <w:r w:rsidRPr="00A16B88">
        <w:rPr>
          <w:bCs/>
          <w:noProof/>
        </w:rPr>
        <w:t>(30)</w:t>
      </w:r>
      <w:r w:rsidRPr="00A16B88">
        <w:rPr>
          <w:bCs/>
        </w:rPr>
        <w:fldChar w:fldCharType="end"/>
      </w:r>
      <w:r w:rsidRPr="00A16B88">
        <w:rPr>
          <w:bCs/>
        </w:rPr>
        <w:t>. These studies, however, often reported a small and highly selective group of infants with very severe clinical presentations, but they do highlight the potential for this virus to cause permanent irreversible neurological damage. These results also question whether those with less severe clinical presentations might go on to develop subtle long-term complications that remain undetected.</w:t>
      </w:r>
    </w:p>
    <w:p w:rsidR="00B66CB8" w:rsidRPr="00A16B88" w:rsidRDefault="00B66CB8" w:rsidP="00B66CB8">
      <w:pPr>
        <w:spacing w:line="480" w:lineRule="auto"/>
      </w:pPr>
    </w:p>
    <w:p w:rsidR="00B66CB8" w:rsidRPr="00A16B88" w:rsidRDefault="00B66CB8" w:rsidP="00B66CB8">
      <w:pPr>
        <w:spacing w:line="480" w:lineRule="auto"/>
      </w:pPr>
      <w:r w:rsidRPr="00A16B88">
        <w:t xml:space="preserve">Additional robust long-term neurodevelopmental studies with larger numbers of cases are required to provide an evidence base for management of infants with viral meningitis beyond hospital discharge. </w:t>
      </w:r>
    </w:p>
    <w:p w:rsidR="00B66CB8" w:rsidRPr="00A16B88" w:rsidRDefault="00B66CB8" w:rsidP="00B66CB8">
      <w:pPr>
        <w:spacing w:line="480" w:lineRule="auto"/>
        <w:rPr>
          <w:bCs/>
        </w:rPr>
      </w:pPr>
    </w:p>
    <w:p w:rsidR="00B66CB8" w:rsidRPr="00A16B88" w:rsidRDefault="00B66CB8" w:rsidP="00B66CB8">
      <w:pPr>
        <w:spacing w:line="480" w:lineRule="auto"/>
        <w:rPr>
          <w:lang w:val="en-GB"/>
        </w:rPr>
      </w:pPr>
      <w:r w:rsidRPr="00A16B88">
        <w:rPr>
          <w:lang w:val="en-GB"/>
        </w:rPr>
        <w:t xml:space="preserve">The strength of this study lies in the prospective national surveillance that captured all cases across the UK and Ireland over a relative short time period. A limitation of our study is the low proportion of EV/HPeV strains submitted for typing to the PHE reference laboratory </w:t>
      </w:r>
      <w:r w:rsidRPr="00A16B88">
        <w:rPr>
          <w:lang w:val="en-GB"/>
        </w:rPr>
        <w:fldChar w:fldCharType="begin" w:fldLock="1"/>
      </w:r>
      <w:r w:rsidRPr="00A16B88">
        <w:rPr>
          <w:lang w:val="en-GB"/>
        </w:rPr>
        <w:instrText>ADDIN CSL_CITATION {"citationItems":[{"id":"ITEM-1","itemData":{"DOI":"10.1111/1469-0691.12753","ISSN":"1469-0691","PMID":"25039903","abstract":"There have recently been significant changes in diagnostic practices for detecting enterovirus (EV) infections across England and Wales. Reports of laboratory-confirmed EV infections submitted by National Health Service (NHS) hospital laboratories to Public Health England (PHE) over a 12-year period (2000 to 2011) were analysed. Additionally, the PHE Virus Reference Department (VRD) electronic database containing molecular typing data from 2004 onward was interrogated. Of the 13,901 reports, there was a decline from a peak of 2,254 in 2001 to 589 in 2006, before increasing year-on-year to 1,634 in 2011. This rise coincided with increasing PCR-based laboratory diagnosis, which accounted for 36% of reported cases in 2000 and 92% in 2011. The estimated annual incidence in 2011 was 3.8/100,000 overall and 238/100,000 in &lt;3 month-olds, who accounted for almost a quarter of reported cases (n=2,993, 23%). During 2004-2011, 2,770 strains were submitted to VRD for molecular typing, who no evidence of predominance of any particular strain. Thus, the recent increase in reported cases closely reflects the rise in PCR-testing by NHS hospital but is associated with a lower proportion of samples submitted for molecular typing. The high EV rates in young infants merits further investigation to inform evidence-based management guidance. This article is protected by copyright. All rights reserved.","author":[{"dropping-particle":"","family":"Kadambari","given":"S","non-dropping-particle":"","parse-names":false,"suffix":""},{"dropping-particle":"","family":"Bukasa","given":"a","non-dropping-particle":"","parse-names":false,"suffix":""},{"dropping-particle":"","family":"Okike","given":"I","non-dropping-particle":"","parse-names":false,"suffix":""},{"dropping-particle":"","family":"Pebody","given":"R","non-dropping-particle":"","parse-names":false,"suffix":""},{"dropping-particle":"","family":"Brown","given":"D","non-dropping-particle":"","parse-names":false,"suffix":""},{"dropping-particle":"","family":"Gallimore","given":"C","non-dropping-particle":"","parse-names":false,"suffix":""},{"dropping-particle":"","family":"Xerry","given":"J","non-dropping-particle":"","parse-names":false,"suffix":""},{"dropping-particle":"","family":"Sharland","given":"M","non-dropping-particle":"","parse-names":false,"suffix":""},{"dropping-particle":"","family":"Ladhani","given":"Sn","non-dropping-particle":"","parse-names":false,"suffix":""}],"container-title":"Clinical microbiology and infection : the official publication of the European Society of Clinical Microbiology and Infectious Diseases","id":"ITEM-1","issued":{"date-parts":[["2014","7","4"]]},"title":"Enterovirus infections in england and wales, 2000-2011: the impact of increased molecular diagnostics.","type":"article-journal"},"uris":["http://www.mendeley.com/documents/?uuid=a1b34bfa-f757-44d6-bd53-9b753d35e582"]}],"mendeley":{"formattedCitation":"(31)","plainTextFormattedCitation":"(31)","previouslyFormattedCitation":"(30)"},"properties":{"noteIndex":0},"schema":"https://github.com/citation-style-language/schema/raw/master/csl-citation.json"}</w:instrText>
      </w:r>
      <w:r w:rsidRPr="00A16B88">
        <w:rPr>
          <w:lang w:val="en-GB"/>
        </w:rPr>
        <w:fldChar w:fldCharType="separate"/>
      </w:r>
      <w:r w:rsidRPr="00A16B88">
        <w:rPr>
          <w:noProof/>
          <w:lang w:val="en-GB"/>
        </w:rPr>
        <w:t>(31)</w:t>
      </w:r>
      <w:r w:rsidRPr="00A16B88">
        <w:rPr>
          <w:lang w:val="en-GB"/>
        </w:rPr>
        <w:fldChar w:fldCharType="end"/>
      </w:r>
      <w:r w:rsidRPr="00A16B88">
        <w:rPr>
          <w:lang w:val="en-GB"/>
        </w:rPr>
        <w:t>; we were, therefore, unable to assess correlations between serotype and poor outcomes, which were rare. Additionally, as there are no currently no evidence-based guidelines, clinical investigations and management as well as outpatient follow-up of infants was haphazard, with only 30% of infants reviewed after hospital discharge. It is, therefore, possible that our estimate of long-term complications may be underestimated</w:t>
      </w:r>
    </w:p>
    <w:p w:rsidR="00B66CB8" w:rsidRPr="00A16B88" w:rsidRDefault="00B66CB8" w:rsidP="00B66CB8">
      <w:pPr>
        <w:spacing w:line="480" w:lineRule="auto"/>
        <w:rPr>
          <w:lang w:val="en-GB"/>
        </w:rPr>
      </w:pPr>
      <w:r w:rsidRPr="00A16B88">
        <w:rPr>
          <w:lang w:val="en-GB"/>
        </w:rPr>
        <w:t xml:space="preserve"> </w:t>
      </w:r>
    </w:p>
    <w:p w:rsidR="00B66CB8" w:rsidRPr="00A16B88" w:rsidRDefault="00B66CB8" w:rsidP="00B66CB8">
      <w:pPr>
        <w:spacing w:line="480" w:lineRule="auto"/>
        <w:rPr>
          <w:lang w:val="en-GB"/>
        </w:rPr>
      </w:pPr>
      <w:r w:rsidRPr="00A16B88">
        <w:rPr>
          <w:lang w:val="en-GB"/>
        </w:rPr>
        <w:t xml:space="preserve">In conclusion, the incidence of laboratory-confirmed EV/HPeV meningitis in young infants is more than twice that for bacterial meningitis in the UK and Ireland. Around 1% of infants will develop significant complications or die of their infection. Further studies are required to determine long-term neurodevelopmental sequelae in infants who are well at hospital discharge. Clinicians should consider formal neurodevelopmental assessment in infants with persistent symptoms, and those with severe neurological presentations and/or abnormal neuroimaging findings during the acute illness. </w:t>
      </w:r>
    </w:p>
    <w:p w:rsidR="00B66CB8" w:rsidRPr="00A16B88" w:rsidRDefault="00B66CB8" w:rsidP="00B66CB8">
      <w:pPr>
        <w:spacing w:line="480" w:lineRule="auto"/>
        <w:rPr>
          <w:lang w:val="en-GB"/>
        </w:rPr>
      </w:pPr>
    </w:p>
    <w:p w:rsidR="00B66CB8" w:rsidRPr="00A16B88" w:rsidRDefault="00B66CB8" w:rsidP="00B66CB8">
      <w:pPr>
        <w:spacing w:line="480" w:lineRule="auto"/>
        <w:rPr>
          <w:lang w:val="en-GB"/>
        </w:rPr>
      </w:pPr>
      <w:r w:rsidRPr="00A16B88">
        <w:rPr>
          <w:lang w:val="en-GB"/>
        </w:rPr>
        <w:t xml:space="preserve">What’s known on this subject: </w:t>
      </w:r>
    </w:p>
    <w:p w:rsidR="00B66CB8" w:rsidRPr="00A16B88" w:rsidRDefault="00B66CB8" w:rsidP="00B66CB8">
      <w:pPr>
        <w:pStyle w:val="ListParagraph"/>
        <w:numPr>
          <w:ilvl w:val="0"/>
          <w:numId w:val="4"/>
        </w:numPr>
        <w:spacing w:line="480" w:lineRule="auto"/>
        <w:rPr>
          <w:lang w:val="en-GB"/>
        </w:rPr>
      </w:pPr>
      <w:r w:rsidRPr="00A16B88">
        <w:rPr>
          <w:lang w:val="en-GB"/>
        </w:rPr>
        <w:t xml:space="preserve">Enterovirus and human parechovirus are common causes of infant meningitis. </w:t>
      </w:r>
    </w:p>
    <w:p w:rsidR="00B66CB8" w:rsidRPr="00A16B88" w:rsidRDefault="00B66CB8" w:rsidP="00B66CB8">
      <w:pPr>
        <w:pStyle w:val="ListParagraph"/>
        <w:numPr>
          <w:ilvl w:val="0"/>
          <w:numId w:val="4"/>
        </w:numPr>
        <w:spacing w:line="480" w:lineRule="auto"/>
        <w:rPr>
          <w:lang w:val="en-GB"/>
        </w:rPr>
      </w:pPr>
      <w:r w:rsidRPr="00A16B88">
        <w:rPr>
          <w:lang w:val="en-GB"/>
        </w:rPr>
        <w:t xml:space="preserve">The clinical burden of disease is unknown due to a lack of robust epidemiological data. </w:t>
      </w:r>
    </w:p>
    <w:p w:rsidR="00B66CB8" w:rsidRPr="00A16B88" w:rsidRDefault="00B66CB8" w:rsidP="00B66CB8">
      <w:pPr>
        <w:pStyle w:val="ListParagraph"/>
        <w:numPr>
          <w:ilvl w:val="0"/>
          <w:numId w:val="4"/>
        </w:numPr>
        <w:spacing w:line="480" w:lineRule="auto"/>
        <w:rPr>
          <w:lang w:val="en-GB"/>
        </w:rPr>
      </w:pPr>
      <w:r w:rsidRPr="00A16B88">
        <w:rPr>
          <w:lang w:val="en-GB"/>
        </w:rPr>
        <w:t>No antiviral or vaccines are licenced in Europe or the USA to treat or prevent disease.</w:t>
      </w:r>
    </w:p>
    <w:p w:rsidR="00B66CB8" w:rsidRPr="00A16B88" w:rsidRDefault="00B66CB8" w:rsidP="00B66CB8">
      <w:pPr>
        <w:spacing w:line="480" w:lineRule="auto"/>
        <w:rPr>
          <w:lang w:val="en-GB"/>
        </w:rPr>
      </w:pPr>
    </w:p>
    <w:p w:rsidR="00B66CB8" w:rsidRPr="00A16B88" w:rsidRDefault="00B66CB8" w:rsidP="00B66CB8">
      <w:pPr>
        <w:spacing w:line="480" w:lineRule="auto"/>
        <w:rPr>
          <w:lang w:val="en-GB"/>
        </w:rPr>
      </w:pPr>
      <w:r w:rsidRPr="00A16B88">
        <w:rPr>
          <w:lang w:val="en-GB"/>
        </w:rPr>
        <w:t xml:space="preserve">What this study adds: </w:t>
      </w:r>
    </w:p>
    <w:p w:rsidR="00B66CB8" w:rsidRPr="00A16B88" w:rsidRDefault="00B66CB8" w:rsidP="00B66CB8">
      <w:pPr>
        <w:pStyle w:val="ListParagraph"/>
        <w:numPr>
          <w:ilvl w:val="0"/>
          <w:numId w:val="5"/>
        </w:numPr>
        <w:spacing w:line="480" w:lineRule="auto"/>
        <w:rPr>
          <w:lang w:val="en-GB"/>
        </w:rPr>
      </w:pPr>
      <w:r w:rsidRPr="00A16B88">
        <w:rPr>
          <w:lang w:val="en-GB"/>
        </w:rPr>
        <w:t>In UK infants, the combined incidence of EV (0.79/1,000 live-births) and HPeV (0.04/1,000 live-births) meningitis is more than double that for bacterial meningitis</w:t>
      </w:r>
    </w:p>
    <w:p w:rsidR="00B66CB8" w:rsidRPr="00A16B88" w:rsidRDefault="00B66CB8" w:rsidP="00B66CB8">
      <w:pPr>
        <w:pStyle w:val="ListParagraph"/>
        <w:numPr>
          <w:ilvl w:val="0"/>
          <w:numId w:val="5"/>
        </w:numPr>
        <w:spacing w:line="480" w:lineRule="auto"/>
        <w:rPr>
          <w:lang w:val="en-GB"/>
        </w:rPr>
      </w:pPr>
      <w:r w:rsidRPr="00A16B88">
        <w:rPr>
          <w:lang w:val="en-GB"/>
        </w:rPr>
        <w:t xml:space="preserve">More than half the infants had absent CSF pleocytosis and low inflammatory markers. </w:t>
      </w:r>
    </w:p>
    <w:p w:rsidR="00B66CB8" w:rsidRPr="00A16B88" w:rsidRDefault="00B66CB8" w:rsidP="00B66CB8">
      <w:pPr>
        <w:pStyle w:val="ListParagraph"/>
        <w:numPr>
          <w:ilvl w:val="0"/>
          <w:numId w:val="5"/>
        </w:numPr>
        <w:spacing w:line="480" w:lineRule="auto"/>
        <w:rPr>
          <w:lang w:val="en-GB"/>
        </w:rPr>
      </w:pPr>
      <w:r w:rsidRPr="00A16B88">
        <w:rPr>
          <w:lang w:val="en-GB"/>
        </w:rPr>
        <w:t>Less than 1% of infants develop</w:t>
      </w:r>
      <w:r w:rsidR="00CD197F">
        <w:rPr>
          <w:lang w:val="en-GB"/>
        </w:rPr>
        <w:t>ed</w:t>
      </w:r>
      <w:r w:rsidRPr="00A16B88">
        <w:rPr>
          <w:lang w:val="en-GB"/>
        </w:rPr>
        <w:t xml:space="preserve"> significant complications or die</w:t>
      </w:r>
      <w:r w:rsidR="00CD197F">
        <w:rPr>
          <w:lang w:val="en-GB"/>
        </w:rPr>
        <w:t>d</w:t>
      </w:r>
      <w:r w:rsidRPr="00A16B88">
        <w:rPr>
          <w:lang w:val="en-GB"/>
        </w:rPr>
        <w:t xml:space="preserve"> of their infection.</w:t>
      </w:r>
    </w:p>
    <w:p w:rsidR="00B66CB8" w:rsidRPr="00A16B88" w:rsidRDefault="00B66CB8" w:rsidP="00B66CB8">
      <w:pPr>
        <w:spacing w:line="480" w:lineRule="auto"/>
        <w:rPr>
          <w:lang w:val="en-GB"/>
        </w:rPr>
      </w:pPr>
    </w:p>
    <w:p w:rsidR="00A16B88" w:rsidRDefault="00A16B88" w:rsidP="00A16B88">
      <w:pPr>
        <w:spacing w:line="480" w:lineRule="auto"/>
        <w:rPr>
          <w:rFonts w:eastAsia="Times New Roman" w:cstheme="minorHAnsi"/>
          <w:color w:val="212121"/>
          <w:shd w:val="clear" w:color="auto" w:fill="FFFFFF"/>
          <w:lang w:val="en-GB"/>
        </w:rPr>
      </w:pPr>
      <w:r w:rsidRPr="00A16B88">
        <w:rPr>
          <w:rFonts w:cstheme="minorHAnsi"/>
          <w:b/>
          <w:lang w:val="en-GB"/>
        </w:rPr>
        <w:t xml:space="preserve">Funding: </w:t>
      </w:r>
      <w:r>
        <w:rPr>
          <w:rFonts w:eastAsia="Times New Roman" w:cstheme="minorHAnsi"/>
          <w:color w:val="212121"/>
          <w:shd w:val="clear" w:color="auto" w:fill="FFFFFF"/>
          <w:lang w:val="en-GB"/>
        </w:rPr>
        <w:t>none declared.</w:t>
      </w:r>
    </w:p>
    <w:p w:rsidR="00A16B88" w:rsidRDefault="00A16B88" w:rsidP="00A16B88">
      <w:pPr>
        <w:spacing w:line="480" w:lineRule="auto"/>
        <w:rPr>
          <w:rFonts w:eastAsia="Times New Roman" w:cstheme="minorHAnsi"/>
          <w:color w:val="212121"/>
          <w:shd w:val="clear" w:color="auto" w:fill="FFFFFF"/>
          <w:lang w:val="en-GB"/>
        </w:rPr>
      </w:pPr>
    </w:p>
    <w:p w:rsidR="00A16B88" w:rsidRDefault="00A16B88" w:rsidP="00A16B88">
      <w:pPr>
        <w:spacing w:line="480" w:lineRule="auto"/>
        <w:rPr>
          <w:rFonts w:eastAsia="Times New Roman" w:cstheme="minorHAnsi"/>
          <w:color w:val="212121"/>
          <w:shd w:val="clear" w:color="auto" w:fill="FFFFFF"/>
          <w:lang w:val="en-GB"/>
        </w:rPr>
      </w:pPr>
    </w:p>
    <w:p w:rsidR="00A16B88" w:rsidRDefault="00A16B88" w:rsidP="00A16B88">
      <w:pPr>
        <w:spacing w:line="480" w:lineRule="auto"/>
        <w:rPr>
          <w:rFonts w:eastAsia="Times New Roman" w:cstheme="minorHAnsi"/>
          <w:color w:val="212121"/>
          <w:shd w:val="clear" w:color="auto" w:fill="FFFFFF"/>
          <w:lang w:val="en-GB"/>
        </w:rPr>
      </w:pPr>
    </w:p>
    <w:p w:rsidR="00A16B88" w:rsidRDefault="00A16B88" w:rsidP="00A16B88">
      <w:pPr>
        <w:spacing w:line="480" w:lineRule="auto"/>
        <w:rPr>
          <w:rFonts w:eastAsia="Times New Roman" w:cstheme="minorHAnsi"/>
          <w:color w:val="212121"/>
          <w:shd w:val="clear" w:color="auto" w:fill="FFFFFF"/>
          <w:lang w:val="en-GB"/>
        </w:rPr>
      </w:pPr>
    </w:p>
    <w:p w:rsidR="00A16B88" w:rsidRDefault="00A16B88" w:rsidP="00A16B88">
      <w:pPr>
        <w:spacing w:line="480" w:lineRule="auto"/>
        <w:rPr>
          <w:rFonts w:eastAsia="Times New Roman" w:cstheme="minorHAnsi"/>
          <w:color w:val="212121"/>
          <w:shd w:val="clear" w:color="auto" w:fill="FFFFFF"/>
          <w:lang w:val="en-GB"/>
        </w:rPr>
      </w:pPr>
    </w:p>
    <w:p w:rsidR="00A16B88" w:rsidRPr="00A16B88" w:rsidRDefault="00A16B88" w:rsidP="00A16B88">
      <w:pPr>
        <w:spacing w:line="480" w:lineRule="auto"/>
        <w:rPr>
          <w:rFonts w:eastAsia="Times New Roman" w:cstheme="minorHAnsi"/>
          <w:lang w:val="en-GB"/>
        </w:rPr>
      </w:pPr>
    </w:p>
    <w:p w:rsidR="00A16B88" w:rsidRPr="00A16B88" w:rsidRDefault="00A16B88" w:rsidP="00A16B88">
      <w:pPr>
        <w:spacing w:line="480" w:lineRule="auto"/>
        <w:rPr>
          <w:lang w:val="en-GB"/>
        </w:rPr>
      </w:pPr>
      <w:r>
        <w:rPr>
          <w:b/>
          <w:lang w:val="en-GB"/>
        </w:rPr>
        <w:t xml:space="preserve">Contributors </w:t>
      </w:r>
      <w:r w:rsidRPr="00A16B88">
        <w:rPr>
          <w:lang w:val="en-GB"/>
        </w:rPr>
        <w:t>S.K and S.L conceptualised and designed the study, drafted the initial manuscript, and reviewed and revised the manuscript. S.B and S.R designed the data collection instruments, collected data and reviewed and revised the manuscript.</w:t>
      </w:r>
    </w:p>
    <w:p w:rsidR="00A16B88" w:rsidRDefault="00A16B88" w:rsidP="00A16B88">
      <w:pPr>
        <w:spacing w:line="480" w:lineRule="auto"/>
        <w:rPr>
          <w:lang w:val="en-GB"/>
        </w:rPr>
      </w:pPr>
      <w:r w:rsidRPr="00A16B88">
        <w:rPr>
          <w:lang w:val="en-GB"/>
        </w:rPr>
        <w:t>D.J.A, R.C, R.P, D.B and M.S conceptualized and designed the study, coordinated and supervised data collection, and critically reviewed the manuscript for important intellectual content.</w:t>
      </w:r>
    </w:p>
    <w:p w:rsidR="00A16B88" w:rsidRDefault="00A16B88" w:rsidP="00A16B88">
      <w:pPr>
        <w:spacing w:line="480" w:lineRule="auto"/>
        <w:rPr>
          <w:lang w:val="en-GB"/>
        </w:rPr>
      </w:pPr>
    </w:p>
    <w:p w:rsidR="00A16B88" w:rsidRDefault="00A16B88" w:rsidP="00A16B88">
      <w:pPr>
        <w:spacing w:line="480" w:lineRule="auto"/>
        <w:rPr>
          <w:lang w:val="en-GB"/>
        </w:rPr>
      </w:pPr>
    </w:p>
    <w:p w:rsidR="00A16B88" w:rsidRDefault="00A16B88" w:rsidP="00A16B88">
      <w:pPr>
        <w:spacing w:line="480" w:lineRule="auto"/>
        <w:rPr>
          <w:lang w:val="en-GB"/>
        </w:rPr>
      </w:pPr>
    </w:p>
    <w:p w:rsidR="00A16B88" w:rsidRDefault="00A16B88" w:rsidP="00A16B88">
      <w:pPr>
        <w:spacing w:line="480" w:lineRule="auto"/>
        <w:rPr>
          <w:lang w:val="en-GB"/>
        </w:rPr>
      </w:pPr>
    </w:p>
    <w:p w:rsidR="00A16B88" w:rsidRDefault="00A16B88" w:rsidP="00A16B88">
      <w:pPr>
        <w:spacing w:line="480" w:lineRule="auto"/>
        <w:rPr>
          <w:lang w:val="en-GB"/>
        </w:rPr>
      </w:pPr>
    </w:p>
    <w:p w:rsidR="00A16B88" w:rsidRDefault="00A16B88" w:rsidP="00A16B88">
      <w:pPr>
        <w:spacing w:line="480" w:lineRule="auto"/>
        <w:rPr>
          <w:lang w:val="en-GB"/>
        </w:rPr>
      </w:pPr>
    </w:p>
    <w:p w:rsidR="00A16B88" w:rsidRDefault="00A16B88" w:rsidP="00A16B88">
      <w:pPr>
        <w:spacing w:line="480" w:lineRule="auto"/>
        <w:rPr>
          <w:lang w:val="en-GB"/>
        </w:rPr>
      </w:pPr>
    </w:p>
    <w:p w:rsidR="00A16B88" w:rsidRDefault="00A16B88" w:rsidP="00A16B88">
      <w:pPr>
        <w:spacing w:line="480" w:lineRule="auto"/>
        <w:rPr>
          <w:lang w:val="en-GB"/>
        </w:rPr>
      </w:pPr>
    </w:p>
    <w:p w:rsidR="00A16B88" w:rsidRDefault="00A16B88" w:rsidP="00A16B88">
      <w:pPr>
        <w:spacing w:line="480" w:lineRule="auto"/>
        <w:rPr>
          <w:lang w:val="en-GB"/>
        </w:rPr>
      </w:pPr>
    </w:p>
    <w:p w:rsidR="00A16B88" w:rsidRDefault="00A16B88" w:rsidP="00A16B88">
      <w:pPr>
        <w:spacing w:line="480" w:lineRule="auto"/>
        <w:rPr>
          <w:lang w:val="en-GB"/>
        </w:rPr>
      </w:pPr>
    </w:p>
    <w:p w:rsidR="00A16B88" w:rsidRDefault="00A16B88" w:rsidP="00A16B88">
      <w:pPr>
        <w:spacing w:line="480" w:lineRule="auto"/>
        <w:rPr>
          <w:lang w:val="en-GB"/>
        </w:rPr>
      </w:pPr>
    </w:p>
    <w:p w:rsidR="00A16B88" w:rsidRDefault="00A16B88" w:rsidP="00A16B88">
      <w:pPr>
        <w:spacing w:line="480" w:lineRule="auto"/>
        <w:rPr>
          <w:lang w:val="en-GB"/>
        </w:rPr>
      </w:pPr>
    </w:p>
    <w:p w:rsidR="00A16B88" w:rsidRDefault="00A16B88" w:rsidP="00A16B88">
      <w:pPr>
        <w:spacing w:line="480" w:lineRule="auto"/>
        <w:rPr>
          <w:lang w:val="en-GB"/>
        </w:rPr>
      </w:pPr>
    </w:p>
    <w:p w:rsidR="00A16B88" w:rsidRDefault="00A16B88" w:rsidP="00A16B88">
      <w:pPr>
        <w:spacing w:line="480" w:lineRule="auto"/>
        <w:rPr>
          <w:lang w:val="en-GB"/>
        </w:rPr>
      </w:pPr>
    </w:p>
    <w:p w:rsidR="00A16B88" w:rsidRDefault="00A16B88" w:rsidP="00A16B88">
      <w:pPr>
        <w:spacing w:line="480" w:lineRule="auto"/>
        <w:rPr>
          <w:lang w:val="en-GB"/>
        </w:rPr>
      </w:pPr>
    </w:p>
    <w:p w:rsidR="00A16B88" w:rsidRDefault="00A16B88" w:rsidP="00A16B88">
      <w:pPr>
        <w:spacing w:line="480" w:lineRule="auto"/>
        <w:rPr>
          <w:lang w:val="en-GB"/>
        </w:rPr>
      </w:pPr>
    </w:p>
    <w:p w:rsidR="00A16B88" w:rsidRDefault="00A16B88" w:rsidP="00A16B88">
      <w:pPr>
        <w:spacing w:line="480" w:lineRule="auto"/>
        <w:rPr>
          <w:lang w:val="en-GB"/>
        </w:rPr>
      </w:pPr>
    </w:p>
    <w:p w:rsidR="00A16B88" w:rsidRPr="00A16B88" w:rsidRDefault="00A16B88" w:rsidP="00A16B88">
      <w:pPr>
        <w:spacing w:line="480" w:lineRule="auto"/>
        <w:rPr>
          <w:lang w:val="en-GB"/>
        </w:rPr>
      </w:pPr>
    </w:p>
    <w:p w:rsidR="00B66CB8" w:rsidRPr="00A16B88" w:rsidRDefault="00B66CB8" w:rsidP="00B66CB8">
      <w:pPr>
        <w:spacing w:line="480" w:lineRule="auto"/>
        <w:outlineLvl w:val="0"/>
        <w:rPr>
          <w:b/>
          <w:lang w:val="en-GB"/>
        </w:rPr>
      </w:pPr>
      <w:r w:rsidRPr="00A16B88">
        <w:rPr>
          <w:b/>
          <w:lang w:val="en-GB"/>
        </w:rPr>
        <w:t>References</w:t>
      </w:r>
    </w:p>
    <w:p w:rsidR="00B66CB8" w:rsidRPr="00A16B88" w:rsidRDefault="00B66CB8" w:rsidP="00B66CB8">
      <w:pPr>
        <w:spacing w:line="480" w:lineRule="auto"/>
        <w:rPr>
          <w:b/>
          <w:lang w:val="en-GB"/>
        </w:rPr>
      </w:pP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b/>
          <w:lang w:val="en-GB"/>
        </w:rPr>
        <w:fldChar w:fldCharType="begin" w:fldLock="1"/>
      </w:r>
      <w:r w:rsidRPr="00A16B88">
        <w:rPr>
          <w:b/>
          <w:lang w:val="en-GB"/>
        </w:rPr>
        <w:instrText xml:space="preserve">ADDIN Mendeley Bibliography CSL_BIBLIOGRAPHY </w:instrText>
      </w:r>
      <w:r w:rsidRPr="00A16B88">
        <w:rPr>
          <w:b/>
          <w:lang w:val="en-GB"/>
        </w:rPr>
        <w:fldChar w:fldCharType="separate"/>
      </w:r>
      <w:r w:rsidRPr="00A16B88">
        <w:rPr>
          <w:rFonts w:ascii="Calibri" w:hAnsi="Calibri" w:cs="Calibri"/>
          <w:noProof/>
        </w:rPr>
        <w:t xml:space="preserve">1. </w:t>
      </w:r>
      <w:r w:rsidRPr="00A16B88">
        <w:rPr>
          <w:rFonts w:ascii="Calibri" w:hAnsi="Calibri" w:cs="Calibri"/>
          <w:noProof/>
        </w:rPr>
        <w:tab/>
        <w:t xml:space="preserve">Martin NG, Iro MA, Sadarangani M, Goldacre R, Pollard AJ, Goldacre MJ. Hospital admissions for viral meningitis in children in England over five decades: a population-based observational study. Lancet Infect Dis. 2016;16(11):1279–87. </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2. </w:t>
      </w:r>
      <w:r w:rsidRPr="00A16B88">
        <w:rPr>
          <w:rFonts w:ascii="Calibri" w:hAnsi="Calibri" w:cs="Calibri"/>
          <w:noProof/>
        </w:rPr>
        <w:tab/>
        <w:t>Kadambari S, Okike I, Ribeiro S, Ramsay ME, Heath PT, Sharland M, et al. Seven-fold increase in viral meningo-encephalitis reports in England and Wales during 2004-2013. J Infect [Internet]. Elsevier Ltd; 2014 Jun 2 [cited 2014 Jul 24]; Available from: http://www.ncbi.nlm.nih.gov/pubmed/24887614</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3. </w:t>
      </w:r>
      <w:r w:rsidRPr="00A16B88">
        <w:rPr>
          <w:rFonts w:ascii="Calibri" w:hAnsi="Calibri" w:cs="Calibri"/>
          <w:noProof/>
        </w:rPr>
        <w:tab/>
        <w:t>Harvala H, Simmonds P. Human parechoviruses: biology, epidemiology and clinical significance. J Clin Virol [Internet]. 2009 May [cited 2014 Jul 24];45(1):1–9. Available from: http://www.ncbi.nlm.nih.gov/pubmed/19372062</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4. </w:t>
      </w:r>
      <w:r w:rsidRPr="00A16B88">
        <w:rPr>
          <w:rFonts w:ascii="Calibri" w:hAnsi="Calibri" w:cs="Calibri"/>
          <w:noProof/>
        </w:rPr>
        <w:tab/>
        <w:t>Vergnano S, Kadambari S, Whalley K, Menson EN, Martinez-Alier N, Cooper M, et al. Characteristics and outcomes of human parechovirus infection in infants (2008-2012). Eur J Pediatr [Internet]. 2015 Jan 10 [cited 2015 May 19]; Available from: http://www.ncbi.nlm.nih.gov/pubmed/25573462</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5. </w:t>
      </w:r>
      <w:r w:rsidRPr="00A16B88">
        <w:rPr>
          <w:rFonts w:ascii="Calibri" w:hAnsi="Calibri" w:cs="Calibri"/>
          <w:noProof/>
        </w:rPr>
        <w:tab/>
        <w:t>Sharp J, Harrison CJ, Puckett K, Selvaraju SB, Penaranda S, Nix WA, et al. Characteristics of young infants in whom human parechovirus, enterovirus or neither were detected in cerebrospinal fluid during sepsis evaluations. Pediatr Infect Dis J [Internet]. 2013 Mar [cited 2014 Dec 14];32(3):213–6. Available from: http://www.ncbi.nlm.nih.gov/pubmed/23042051</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6. </w:t>
      </w:r>
      <w:r w:rsidRPr="00A16B88">
        <w:rPr>
          <w:rFonts w:ascii="Calibri" w:hAnsi="Calibri" w:cs="Calibri"/>
          <w:noProof/>
        </w:rPr>
        <w:tab/>
        <w:t xml:space="preserve">Khatami A, McMullan BJ, Webber M, Stewart P, Francis S, Timmers KJ, et al. Sepsis-like disease in infants due to human parechovirus type 3 during an outbreak in Australia. Clinical Infectious Diseases. 2015. p. 228–36. </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7. </w:t>
      </w:r>
      <w:r w:rsidRPr="00A16B88">
        <w:rPr>
          <w:rFonts w:ascii="Calibri" w:hAnsi="Calibri" w:cs="Calibri"/>
          <w:noProof/>
        </w:rPr>
        <w:tab/>
        <w:t xml:space="preserve">Wildenbeest JG, Benschop KSM, Minnaar RP, Bouma-de Jongh S, Wolthers KC, Pajkrt D. Clinical relevance of positive human parechovirus type 1 and 3 PCR in stool samples. Clin Microbiol Infect. 2014;20(10):O640–7. </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8. </w:t>
      </w:r>
      <w:r w:rsidRPr="00A16B88">
        <w:rPr>
          <w:rFonts w:ascii="Calibri" w:hAnsi="Calibri" w:cs="Calibri"/>
          <w:noProof/>
        </w:rPr>
        <w:tab/>
        <w:t>Sadarangani M, Willis L, Kadambari S, Gormley S, Young Z, Beckley R, et al. Childhood meningitis in the conjugate vaccine era: a prospective cohort study. Arch Dis Child [Internet]. 2015;100(3):292–4. Available from: http://www.ncbi.nlm.nih.gov/pubmed/25256088</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9. </w:t>
      </w:r>
      <w:r w:rsidRPr="00A16B88">
        <w:rPr>
          <w:rFonts w:ascii="Calibri" w:hAnsi="Calibri" w:cs="Calibri"/>
          <w:noProof/>
        </w:rPr>
        <w:tab/>
        <w:t>Tebruegge M, Curtis N. Enterovirus infections in neonates. Semin Fetal Neonatal Med [Internet]. 2009 Aug [cited 2014 Mar 3];14(4):222–7. Available from: http://www.sciencedirect.com/science/article/pii/S1744165X09000237</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10. </w:t>
      </w:r>
      <w:r w:rsidRPr="00A16B88">
        <w:rPr>
          <w:rFonts w:ascii="Calibri" w:hAnsi="Calibri" w:cs="Calibri"/>
          <w:noProof/>
        </w:rPr>
        <w:tab/>
        <w:t>Abzug MJ, Loeffelholz M, Rotbart HA. Diagnosis of neonatal enterovirus infection by polymerase chain reaction. J Pediatr [Internet]. 1995 Mar [cited 2014 Aug 27];126(3):447–50. Available from: http://www.ncbi.nlm.nih.gov/pubmed/7869209</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11. </w:t>
      </w:r>
      <w:r w:rsidRPr="00A16B88">
        <w:rPr>
          <w:rFonts w:ascii="Calibri" w:hAnsi="Calibri" w:cs="Calibri"/>
          <w:noProof/>
        </w:rPr>
        <w:tab/>
        <w:t xml:space="preserve">Maguire HC, Atkinson P, Sharland M BJ. Enterovirus infections in England and Wales: laboratory surveillance data: 1975 to 1994. Commun Dis Public Heal. 1999;(2):122–5. </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12. </w:t>
      </w:r>
      <w:r w:rsidRPr="00A16B88">
        <w:rPr>
          <w:rFonts w:ascii="Calibri" w:hAnsi="Calibri" w:cs="Calibri"/>
          <w:noProof/>
        </w:rPr>
        <w:tab/>
        <w:t>Hall SM, Nicoll A. The British Paediatric Surveillance Unit- a pioneering method for investigating the less common disorders of childhood. Child Care Health Dev [Internet]. 1998;24(2):129–43. Available from: http://onlinelibrary.wiley.com.eresources.shef.ac.uk/doi/10.1046/j.1365-2214.1998.00052.x/epdf</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13. </w:t>
      </w:r>
      <w:r w:rsidRPr="00A16B88">
        <w:rPr>
          <w:rFonts w:ascii="Calibri" w:hAnsi="Calibri" w:cs="Calibri"/>
          <w:noProof/>
        </w:rPr>
        <w:tab/>
        <w:t>Okike IO, Johnson AP, Henderson KL, Blackburn RM, Muller-Pebody B, Ladhani SN, et al. Incidence, etiology, and outcome of bacterial meningitis in infants aged. Clin Infect Dis [Internet]. 2014;59(10):e150-7. Available from: http://www.ncbi.nlm.nih.gov/pubmed/24997051</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14. </w:t>
      </w:r>
      <w:r w:rsidRPr="00A16B88">
        <w:rPr>
          <w:rFonts w:ascii="Calibri" w:hAnsi="Calibri" w:cs="Calibri"/>
          <w:noProof/>
        </w:rPr>
        <w:tab/>
        <w:t xml:space="preserve">Poelman R, Schölvinck EH, Borger R, Niesters HGM, Van Leer-Buter C. The emergence of enterovirus D68 in a Dutch University Medical Center and the necessity for routinely screening for respiratory viruses. J Clin Virol. 2015;62:1–5. </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15. </w:t>
      </w:r>
      <w:r w:rsidRPr="00A16B88">
        <w:rPr>
          <w:rFonts w:ascii="Calibri" w:hAnsi="Calibri" w:cs="Calibri"/>
          <w:noProof/>
        </w:rPr>
        <w:tab/>
        <w:t>Hamilton MS, Jackson MA, Abel D. Clinical utility of polymerase chain reaction testing for enteroviral meningitis. Pediatr Infect Dis J [Internet]. 1999 Jun [cited 2014 Aug 27];18(6):533–7. Available from: http://www.ncbi.nlm.nih.gov/pubmed/10391184</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16. </w:t>
      </w:r>
      <w:r w:rsidRPr="00A16B88">
        <w:rPr>
          <w:rFonts w:ascii="Calibri" w:hAnsi="Calibri" w:cs="Calibri"/>
          <w:noProof/>
        </w:rPr>
        <w:tab/>
        <w:t xml:space="preserve">Ramers C, Billman G, Hartin M, Sm MTA, Sawyer MH. Impact of a Diagnostic Cerebrospinal Fluid on Patient Management. 2013;283(20):2680–5. </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17. </w:t>
      </w:r>
      <w:r w:rsidRPr="00A16B88">
        <w:rPr>
          <w:rFonts w:ascii="Calibri" w:hAnsi="Calibri" w:cs="Calibri"/>
          <w:noProof/>
        </w:rPr>
        <w:tab/>
        <w:t xml:space="preserve">Modlin JF, Polk BF, Horton P, Etkind P, Crane E, Spiliotes A. Perinatal ECHOvirus Infection: Risk of Transmission during a Community Outbreak. N Engl J Med. 1981; </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18. </w:t>
      </w:r>
      <w:r w:rsidRPr="00A16B88">
        <w:rPr>
          <w:rFonts w:ascii="Calibri" w:hAnsi="Calibri" w:cs="Calibri"/>
          <w:noProof/>
        </w:rPr>
        <w:tab/>
        <w:t>Yun KW, Choi EH, Cheon DS, Lee J, Choi CW, Hwang H, et al. Enteroviral meningitis without pleocytosis in children. Arch Dis Child [Internet]. 2012 Oct [cited 2014 Aug 19];97(10):874–8. Available from: http://www.ncbi.nlm.nih.gov/pubmed/22814522</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19. </w:t>
      </w:r>
      <w:r w:rsidRPr="00A16B88">
        <w:rPr>
          <w:rFonts w:ascii="Calibri" w:hAnsi="Calibri" w:cs="Calibri"/>
          <w:noProof/>
        </w:rPr>
        <w:tab/>
        <w:t>Sells CJ, Carpenter RL, Ray CG. Sequelae of central-nervous-system enterovirus infections. N Engl J Med [Internet]. 1975 Jul 3 [cited 2014 Aug 26];293(1):1–4. Available from: http://www.ncbi.nlm.nih.gov/pubmed/1168853</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20. </w:t>
      </w:r>
      <w:r w:rsidRPr="00A16B88">
        <w:rPr>
          <w:rFonts w:ascii="Calibri" w:hAnsi="Calibri" w:cs="Calibri"/>
          <w:noProof/>
        </w:rPr>
        <w:tab/>
        <w:t xml:space="preserve">Balasubramanian H, Wagh D, Rao S, Keil AD MJ. Developmental outcomes in cerebrospinal fluid proven enteroviral meningitis in neonates &gt;32 weesk of gestation. J Paediatr Child Heal. 2016;53(3):327–32. </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21. </w:t>
      </w:r>
      <w:r w:rsidRPr="00A16B88">
        <w:rPr>
          <w:rFonts w:ascii="Calibri" w:hAnsi="Calibri" w:cs="Calibri"/>
          <w:noProof/>
        </w:rPr>
        <w:tab/>
        <w:t>Farmer K, MacArthur BA, Clay MM. A follow-up study of 15 cases of neonatal meningoencephalitis due to Coxsackie virus B5. J Pediatr [Internet]. 1975 Oct [cited 2014 Aug 26];87(4):568–71. Available from: http://www.ncbi.nlm.nih.gov/pubmed/1159585</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22. </w:t>
      </w:r>
      <w:r w:rsidRPr="00A16B88">
        <w:rPr>
          <w:rFonts w:ascii="Calibri" w:hAnsi="Calibri" w:cs="Calibri"/>
          <w:noProof/>
        </w:rPr>
        <w:tab/>
        <w:t>Bergman I, Painter MJ, Wald ER, Chiponis D, Holland AL, Taylor HG. Outcome in children with enteroviral meningitis during the first year of life. J Pediatr [Internet]. 1987 May [cited 2014 Aug 26];110(5):705–9. Available from: http://www.ncbi.nlm.nih.gov/pubmed/2437277</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23. </w:t>
      </w:r>
      <w:r w:rsidRPr="00A16B88">
        <w:rPr>
          <w:rFonts w:ascii="Calibri" w:hAnsi="Calibri" w:cs="Calibri"/>
          <w:noProof/>
        </w:rPr>
        <w:tab/>
        <w:t>Rorabaugh ML, Berlin LE, Heldrich F, Roberts K, Rosenberg LA, Doran T, et al. Aseptic meningitis in infants younger than 2 years of age: acute illness and neurologic complications. Pediatrics [Internet]. 1993 Aug [cited 2014 Aug 26];92(2):206–11. Available from: http://www.ncbi.nlm.nih.gov/pubmed/8337018</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24. </w:t>
      </w:r>
      <w:r w:rsidRPr="00A16B88">
        <w:rPr>
          <w:rFonts w:ascii="Calibri" w:hAnsi="Calibri" w:cs="Calibri"/>
          <w:noProof/>
        </w:rPr>
        <w:tab/>
        <w:t>Baker RC, Kummer AW, Schultz JR, Ho M, Gonzalez del Rey J. Neurodevelopmental outcome of infants with viral meningitis in the first three months of life. Clin Pediatr (Phila) [Internet]. 1996 Jun [cited 2014 Aug 26];35(6):295–301. Available from: http://www.ncbi.nlm.nih.gov/pubmed/8782953</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25. </w:t>
      </w:r>
      <w:r w:rsidRPr="00A16B88">
        <w:rPr>
          <w:rFonts w:ascii="Calibri" w:hAnsi="Calibri" w:cs="Calibri"/>
          <w:noProof/>
        </w:rPr>
        <w:tab/>
        <w:t xml:space="preserve">Ferreras Antolín L, Kadambari S, Braccio S, Tang JW, Xerry J, Allen DJ LSPSN. Increased detection of human parechovirus infection in infants in England during 2016: epidemiology and clinical characteristics. Arch Dis Child. 2018; </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26. </w:t>
      </w:r>
      <w:r w:rsidRPr="00A16B88">
        <w:rPr>
          <w:rFonts w:ascii="Calibri" w:hAnsi="Calibri" w:cs="Calibri"/>
          <w:noProof/>
        </w:rPr>
        <w:tab/>
        <w:t>Piralla A, Furione M, Rovida F, Marchi A, Stronati M, Gerna G, et al. Human parechovirus infections in patients admitted to hospital in Northern Italy, 2008-2010. J Med Virol [Internet]. 2012;84(4):686–90. Available from: http://www.ncbi.nlm.nih.gov/pubmed/22337310</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27. </w:t>
      </w:r>
      <w:r w:rsidRPr="00A16B88">
        <w:rPr>
          <w:rFonts w:ascii="Calibri" w:hAnsi="Calibri" w:cs="Calibri"/>
          <w:noProof/>
        </w:rPr>
        <w:tab/>
        <w:t xml:space="preserve">Harvala H, Calvert J, Van Nguyen D, Clasper L, Gadsby N, Molyneaux P, et al. Comparison of diagnostic clinical samples and environmental sampling for enterovirus and parechovirus surveillance in Scotland, 2010 to 2012. Eurosurveillance. 2014;19(15). </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28. </w:t>
      </w:r>
      <w:r w:rsidRPr="00A16B88">
        <w:rPr>
          <w:rFonts w:ascii="Calibri" w:hAnsi="Calibri" w:cs="Calibri"/>
          <w:noProof/>
        </w:rPr>
        <w:tab/>
        <w:t xml:space="preserve">Tang JW, Holmes CW, Elsanousi FA, Patel A, Adam F, Speight R, Shenoy S, Bronnert D, Stiefel G, Sundaram P, Pande S, Sridhar A, Kairamkonda V BS. Cluster of human parechovirus infections as the predominant cause of sepsis in neonates and infants, Leicester, United Kingdom, 8 May to 2 August 2016. Eurosurveillance. 2016;21(34). </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29. </w:t>
      </w:r>
      <w:r w:rsidRPr="00A16B88">
        <w:rPr>
          <w:rFonts w:ascii="Calibri" w:hAnsi="Calibri" w:cs="Calibri"/>
          <w:noProof/>
        </w:rPr>
        <w:tab/>
        <w:t>Britton PN, Dale RC, Nissen MD, Crawford N, Elliot E, Macartney K, et al. Parechovirus Encephalitis and Neurodevelopmental Outcomes. Pediatrics [Internet]. 2016 Jan 20 [cited 2016 Feb 18];137(2):1–11. Available from: http://www.ncbi.nlm.nih.gov/pubmed/26791970</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30. </w:t>
      </w:r>
      <w:r w:rsidRPr="00A16B88">
        <w:rPr>
          <w:rFonts w:ascii="Calibri" w:hAnsi="Calibri" w:cs="Calibri"/>
          <w:noProof/>
        </w:rPr>
        <w:tab/>
        <w:t xml:space="preserve">Verboon-Maciolek MA, Groenendaal F, Hahn CD, Hellmann J, Van Loon AM, Boivin G, et al. Human parechovirus causes encephalitis with white matter injury in neonates. Ann Neurol. 2008;64(3):266–73. </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31. </w:t>
      </w:r>
      <w:r w:rsidRPr="00A16B88">
        <w:rPr>
          <w:rFonts w:ascii="Calibri" w:hAnsi="Calibri" w:cs="Calibri"/>
          <w:noProof/>
        </w:rPr>
        <w:tab/>
        <w:t>Kadambari S, Bukasa  a, Okike I, Pebody R, Brown D, Gallimore C, et al. Enterovirus infections in england and wales, 2000-2011: the impact of increased molecular diagnostics. Clin Microbiol Infect [Internet]. 2014 Jul 4 [cited 2014 Jul 24]; Available from: http://www.ncbi.nlm.nih.gov/pubmed/25039903</w:t>
      </w:r>
    </w:p>
    <w:p w:rsidR="00B66CB8" w:rsidRPr="00A16B88" w:rsidRDefault="00B66CB8" w:rsidP="00B66CB8">
      <w:pPr>
        <w:widowControl w:val="0"/>
        <w:autoSpaceDE w:val="0"/>
        <w:autoSpaceDN w:val="0"/>
        <w:adjustRightInd w:val="0"/>
        <w:spacing w:line="480" w:lineRule="auto"/>
        <w:ind w:left="640" w:hanging="640"/>
        <w:rPr>
          <w:rFonts w:ascii="Calibri" w:hAnsi="Calibri" w:cs="Calibri"/>
          <w:noProof/>
        </w:rPr>
      </w:pPr>
      <w:r w:rsidRPr="00A16B88">
        <w:rPr>
          <w:rFonts w:ascii="Calibri" w:hAnsi="Calibri" w:cs="Calibri"/>
          <w:noProof/>
        </w:rPr>
        <w:t xml:space="preserve">32. </w:t>
      </w:r>
      <w:r w:rsidRPr="00A16B88">
        <w:rPr>
          <w:rFonts w:ascii="Calibri" w:hAnsi="Calibri" w:cs="Calibri"/>
          <w:noProof/>
        </w:rPr>
        <w:tab/>
        <w:t>Kestenbaum LA, Ebberson J, Zorc JJ, Hodinka RL, Shah SS. Defining cerebrospinal fluid white blood cell count reference values in neonates and young infants. Pediatrics [Internet]. 2010;125(2):257–64. Available from: http://www.pubmedcentral.nih.gov/articlerender.fcgi?artid=3033868&amp;tool=pmcentrez&amp;rendertype=abstract</w:t>
      </w:r>
    </w:p>
    <w:p w:rsidR="00B66CB8" w:rsidRPr="00A16B88" w:rsidRDefault="00B66CB8" w:rsidP="00B66CB8">
      <w:pPr>
        <w:widowControl w:val="0"/>
        <w:autoSpaceDE w:val="0"/>
        <w:autoSpaceDN w:val="0"/>
        <w:adjustRightInd w:val="0"/>
        <w:spacing w:line="480" w:lineRule="auto"/>
        <w:ind w:left="640" w:hanging="640"/>
        <w:rPr>
          <w:b/>
          <w:lang w:val="en-GB"/>
        </w:rPr>
      </w:pPr>
      <w:r w:rsidRPr="00A16B88">
        <w:rPr>
          <w:b/>
          <w:lang w:val="en-GB"/>
        </w:rPr>
        <w:fldChar w:fldCharType="end"/>
      </w:r>
    </w:p>
    <w:p w:rsidR="00B66CB8" w:rsidRPr="00A16B88" w:rsidRDefault="00B66CB8" w:rsidP="00B66CB8">
      <w:pPr>
        <w:widowControl w:val="0"/>
        <w:autoSpaceDE w:val="0"/>
        <w:autoSpaceDN w:val="0"/>
        <w:adjustRightInd w:val="0"/>
        <w:spacing w:line="480" w:lineRule="auto"/>
        <w:ind w:left="640" w:hanging="640"/>
        <w:rPr>
          <w:b/>
          <w:lang w:val="en-GB"/>
        </w:rPr>
      </w:pPr>
    </w:p>
    <w:p w:rsidR="00B66CB8" w:rsidRPr="00A16B88" w:rsidRDefault="00B66CB8" w:rsidP="00B66CB8">
      <w:pPr>
        <w:widowControl w:val="0"/>
        <w:autoSpaceDE w:val="0"/>
        <w:autoSpaceDN w:val="0"/>
        <w:adjustRightInd w:val="0"/>
        <w:spacing w:line="480" w:lineRule="auto"/>
        <w:ind w:left="640" w:hanging="640"/>
        <w:rPr>
          <w:b/>
          <w:lang w:val="en-GB"/>
        </w:rPr>
      </w:pPr>
    </w:p>
    <w:p w:rsidR="00B66CB8" w:rsidRPr="00A16B88" w:rsidRDefault="00B66CB8" w:rsidP="00B66CB8">
      <w:pPr>
        <w:widowControl w:val="0"/>
        <w:autoSpaceDE w:val="0"/>
        <w:autoSpaceDN w:val="0"/>
        <w:adjustRightInd w:val="0"/>
        <w:spacing w:line="480" w:lineRule="auto"/>
        <w:ind w:left="640" w:hanging="640"/>
        <w:rPr>
          <w:b/>
          <w:lang w:val="en-GB"/>
        </w:rPr>
      </w:pPr>
    </w:p>
    <w:p w:rsidR="00B66CB8" w:rsidRPr="00A16B88" w:rsidRDefault="00B66CB8" w:rsidP="00B66CB8">
      <w:pPr>
        <w:rPr>
          <w:lang w:val="en-GB"/>
        </w:rPr>
      </w:pPr>
    </w:p>
    <w:p w:rsidR="00B66CB8" w:rsidRPr="00A16B88" w:rsidRDefault="00B66CB8" w:rsidP="00B66CB8">
      <w:pPr>
        <w:widowControl w:val="0"/>
        <w:autoSpaceDE w:val="0"/>
        <w:autoSpaceDN w:val="0"/>
        <w:adjustRightInd w:val="0"/>
        <w:spacing w:line="480" w:lineRule="auto"/>
        <w:outlineLvl w:val="0"/>
        <w:rPr>
          <w:lang w:val="en-GB"/>
        </w:rPr>
      </w:pPr>
    </w:p>
    <w:tbl>
      <w:tblPr>
        <w:tblStyle w:val="TableGrid"/>
        <w:tblW w:w="0" w:type="auto"/>
        <w:tblLook w:val="04A0" w:firstRow="1" w:lastRow="0" w:firstColumn="1" w:lastColumn="0" w:noHBand="0" w:noVBand="1"/>
      </w:tblPr>
      <w:tblGrid>
        <w:gridCol w:w="4506"/>
        <w:gridCol w:w="4504"/>
      </w:tblGrid>
      <w:tr w:rsidR="00B66CB8" w:rsidRPr="00A16B88" w:rsidTr="007E305C">
        <w:tc>
          <w:tcPr>
            <w:tcW w:w="4506" w:type="dxa"/>
          </w:tcPr>
          <w:p w:rsidR="00B66CB8" w:rsidRPr="00A16B88" w:rsidRDefault="00B66CB8" w:rsidP="007E305C">
            <w:pPr>
              <w:widowControl w:val="0"/>
              <w:autoSpaceDE w:val="0"/>
              <w:autoSpaceDN w:val="0"/>
              <w:adjustRightInd w:val="0"/>
              <w:spacing w:line="480" w:lineRule="auto"/>
              <w:outlineLvl w:val="0"/>
              <w:rPr>
                <w:b/>
                <w:lang w:val="en-GB"/>
              </w:rPr>
            </w:pPr>
            <w:r w:rsidRPr="00A16B88">
              <w:rPr>
                <w:b/>
                <w:lang w:val="en-GB"/>
              </w:rPr>
              <w:t>Parameter</w:t>
            </w:r>
          </w:p>
        </w:tc>
        <w:tc>
          <w:tcPr>
            <w:tcW w:w="4504" w:type="dxa"/>
          </w:tcPr>
          <w:p w:rsidR="00B66CB8" w:rsidRPr="00A16B88" w:rsidRDefault="00B66CB8" w:rsidP="007E305C">
            <w:pPr>
              <w:widowControl w:val="0"/>
              <w:autoSpaceDE w:val="0"/>
              <w:autoSpaceDN w:val="0"/>
              <w:adjustRightInd w:val="0"/>
              <w:spacing w:line="480" w:lineRule="auto"/>
              <w:outlineLvl w:val="0"/>
              <w:rPr>
                <w:b/>
                <w:lang w:val="en-GB"/>
              </w:rPr>
            </w:pPr>
            <w:r w:rsidRPr="00A16B88">
              <w:rPr>
                <w:b/>
                <w:lang w:val="en-GB"/>
              </w:rPr>
              <w:t xml:space="preserve">Definition </w:t>
            </w:r>
          </w:p>
        </w:tc>
      </w:tr>
      <w:tr w:rsidR="00B66CB8" w:rsidRPr="00A16B88" w:rsidTr="007E305C">
        <w:tc>
          <w:tcPr>
            <w:tcW w:w="4506" w:type="dxa"/>
          </w:tcPr>
          <w:p w:rsidR="00B66CB8" w:rsidRPr="00A16B88" w:rsidRDefault="00B66CB8" w:rsidP="007E305C">
            <w:pPr>
              <w:widowControl w:val="0"/>
              <w:autoSpaceDE w:val="0"/>
              <w:autoSpaceDN w:val="0"/>
              <w:adjustRightInd w:val="0"/>
              <w:spacing w:line="480" w:lineRule="auto"/>
              <w:outlineLvl w:val="0"/>
              <w:rPr>
                <w:b/>
                <w:lang w:val="en-GB"/>
              </w:rPr>
            </w:pPr>
            <w:r w:rsidRPr="00A16B88">
              <w:rPr>
                <w:rFonts w:eastAsia="Times New Roman" w:cs="Arial"/>
                <w:color w:val="000000"/>
                <w:shd w:val="clear" w:color="auto" w:fill="FFFFFF"/>
              </w:rPr>
              <w:t>Early-onset</w:t>
            </w:r>
          </w:p>
        </w:tc>
        <w:tc>
          <w:tcPr>
            <w:tcW w:w="4504" w:type="dxa"/>
          </w:tcPr>
          <w:p w:rsidR="00B66CB8" w:rsidRPr="00A16B88" w:rsidRDefault="00B66CB8" w:rsidP="007E305C">
            <w:pPr>
              <w:widowControl w:val="0"/>
              <w:autoSpaceDE w:val="0"/>
              <w:autoSpaceDN w:val="0"/>
              <w:adjustRightInd w:val="0"/>
              <w:spacing w:line="480" w:lineRule="auto"/>
              <w:outlineLvl w:val="0"/>
              <w:rPr>
                <w:lang w:val="en-GB"/>
              </w:rPr>
            </w:pPr>
            <w:r w:rsidRPr="00A16B88">
              <w:rPr>
                <w:rFonts w:eastAsia="Times New Roman" w:cs="Arial"/>
                <w:color w:val="000000"/>
                <w:shd w:val="clear" w:color="auto" w:fill="FFFFFF"/>
              </w:rPr>
              <w:t>0-6 days</w:t>
            </w:r>
          </w:p>
        </w:tc>
      </w:tr>
      <w:tr w:rsidR="00B66CB8" w:rsidRPr="00A16B88" w:rsidTr="007E305C">
        <w:tc>
          <w:tcPr>
            <w:tcW w:w="4506" w:type="dxa"/>
          </w:tcPr>
          <w:p w:rsidR="00B66CB8" w:rsidRPr="00A16B88" w:rsidRDefault="00B66CB8" w:rsidP="007E305C">
            <w:pPr>
              <w:widowControl w:val="0"/>
              <w:autoSpaceDE w:val="0"/>
              <w:autoSpaceDN w:val="0"/>
              <w:adjustRightInd w:val="0"/>
              <w:spacing w:line="480" w:lineRule="auto"/>
              <w:outlineLvl w:val="0"/>
              <w:rPr>
                <w:b/>
                <w:lang w:val="en-GB"/>
              </w:rPr>
            </w:pPr>
            <w:r w:rsidRPr="00A16B88">
              <w:rPr>
                <w:rFonts w:eastAsia="Times New Roman" w:cs="Arial"/>
                <w:color w:val="000000"/>
                <w:shd w:val="clear" w:color="auto" w:fill="FFFFFF"/>
              </w:rPr>
              <w:t>Late-onset</w:t>
            </w:r>
          </w:p>
        </w:tc>
        <w:tc>
          <w:tcPr>
            <w:tcW w:w="4504" w:type="dxa"/>
          </w:tcPr>
          <w:p w:rsidR="00B66CB8" w:rsidRPr="00A16B88" w:rsidRDefault="00B66CB8" w:rsidP="007E305C">
            <w:pPr>
              <w:widowControl w:val="0"/>
              <w:autoSpaceDE w:val="0"/>
              <w:autoSpaceDN w:val="0"/>
              <w:adjustRightInd w:val="0"/>
              <w:spacing w:line="480" w:lineRule="auto"/>
              <w:outlineLvl w:val="0"/>
              <w:rPr>
                <w:b/>
                <w:lang w:val="en-GB"/>
              </w:rPr>
            </w:pPr>
            <w:r w:rsidRPr="00A16B88">
              <w:rPr>
                <w:rFonts w:eastAsia="Times New Roman" w:cs="Arial"/>
                <w:color w:val="000000"/>
                <w:shd w:val="clear" w:color="auto" w:fill="FFFFFF"/>
              </w:rPr>
              <w:t>7-89 days</w:t>
            </w:r>
          </w:p>
        </w:tc>
      </w:tr>
      <w:tr w:rsidR="00B66CB8" w:rsidRPr="00A16B88" w:rsidTr="007E305C">
        <w:tc>
          <w:tcPr>
            <w:tcW w:w="4506" w:type="dxa"/>
          </w:tcPr>
          <w:p w:rsidR="00B66CB8" w:rsidRPr="00A16B88" w:rsidRDefault="00B66CB8" w:rsidP="007E305C">
            <w:pPr>
              <w:widowControl w:val="0"/>
              <w:autoSpaceDE w:val="0"/>
              <w:autoSpaceDN w:val="0"/>
              <w:adjustRightInd w:val="0"/>
              <w:spacing w:line="480" w:lineRule="auto"/>
              <w:outlineLvl w:val="0"/>
              <w:rPr>
                <w:b/>
                <w:lang w:val="en-GB"/>
              </w:rPr>
            </w:pPr>
            <w:r w:rsidRPr="00A16B88">
              <w:rPr>
                <w:rFonts w:eastAsia="Times New Roman" w:cs="Arial"/>
                <w:color w:val="000000"/>
                <w:shd w:val="clear" w:color="auto" w:fill="FFFFFF"/>
              </w:rPr>
              <w:t>Preterm</w:t>
            </w:r>
          </w:p>
        </w:tc>
        <w:tc>
          <w:tcPr>
            <w:tcW w:w="4504" w:type="dxa"/>
          </w:tcPr>
          <w:p w:rsidR="00B66CB8" w:rsidRPr="00A16B88" w:rsidRDefault="00B66CB8" w:rsidP="007E305C">
            <w:pPr>
              <w:widowControl w:val="0"/>
              <w:autoSpaceDE w:val="0"/>
              <w:autoSpaceDN w:val="0"/>
              <w:adjustRightInd w:val="0"/>
              <w:spacing w:line="480" w:lineRule="auto"/>
              <w:outlineLvl w:val="0"/>
              <w:rPr>
                <w:b/>
                <w:lang w:val="en-GB"/>
              </w:rPr>
            </w:pPr>
            <w:r w:rsidRPr="00A16B88">
              <w:rPr>
                <w:rFonts w:eastAsia="Times New Roman" w:cs="Arial"/>
                <w:color w:val="000000"/>
                <w:shd w:val="clear" w:color="auto" w:fill="FFFFFF"/>
              </w:rPr>
              <w:t>&lt;37 weeks gestation</w:t>
            </w:r>
          </w:p>
        </w:tc>
      </w:tr>
      <w:tr w:rsidR="00B66CB8" w:rsidRPr="00A16B88" w:rsidTr="007E305C">
        <w:tc>
          <w:tcPr>
            <w:tcW w:w="4506" w:type="dxa"/>
          </w:tcPr>
          <w:p w:rsidR="00B66CB8" w:rsidRPr="00A16B88" w:rsidRDefault="00B66CB8" w:rsidP="007E305C">
            <w:pPr>
              <w:widowControl w:val="0"/>
              <w:autoSpaceDE w:val="0"/>
              <w:autoSpaceDN w:val="0"/>
              <w:adjustRightInd w:val="0"/>
              <w:spacing w:line="480" w:lineRule="auto"/>
              <w:outlineLvl w:val="0"/>
              <w:rPr>
                <w:lang w:val="en-GB"/>
              </w:rPr>
            </w:pPr>
            <w:r w:rsidRPr="00A16B88">
              <w:rPr>
                <w:lang w:val="en-GB"/>
              </w:rPr>
              <w:t>Term</w:t>
            </w:r>
          </w:p>
        </w:tc>
        <w:tc>
          <w:tcPr>
            <w:tcW w:w="4504" w:type="dxa"/>
          </w:tcPr>
          <w:p w:rsidR="00B66CB8" w:rsidRPr="00A16B88" w:rsidRDefault="00B66CB8" w:rsidP="007E305C">
            <w:pPr>
              <w:widowControl w:val="0"/>
              <w:autoSpaceDE w:val="0"/>
              <w:autoSpaceDN w:val="0"/>
              <w:adjustRightInd w:val="0"/>
              <w:spacing w:line="480" w:lineRule="auto"/>
              <w:outlineLvl w:val="0"/>
              <w:rPr>
                <w:b/>
                <w:lang w:val="en-GB"/>
              </w:rPr>
            </w:pPr>
            <w:r w:rsidRPr="00A16B88">
              <w:rPr>
                <w:rFonts w:eastAsia="Times New Roman" w:cs="Arial"/>
                <w:color w:val="000000"/>
                <w:shd w:val="clear" w:color="auto" w:fill="FFFFFF"/>
              </w:rPr>
              <w:t>≥37 weeks</w:t>
            </w:r>
          </w:p>
        </w:tc>
      </w:tr>
      <w:tr w:rsidR="00B66CB8" w:rsidRPr="00A16B88" w:rsidTr="007E305C">
        <w:tc>
          <w:tcPr>
            <w:tcW w:w="4506" w:type="dxa"/>
          </w:tcPr>
          <w:p w:rsidR="00B66CB8" w:rsidRPr="00A16B88" w:rsidRDefault="00B66CB8" w:rsidP="007E305C">
            <w:pPr>
              <w:widowControl w:val="0"/>
              <w:autoSpaceDE w:val="0"/>
              <w:autoSpaceDN w:val="0"/>
              <w:adjustRightInd w:val="0"/>
              <w:spacing w:line="480" w:lineRule="auto"/>
              <w:outlineLvl w:val="0"/>
              <w:rPr>
                <w:b/>
                <w:lang w:val="en-GB"/>
              </w:rPr>
            </w:pPr>
            <w:r w:rsidRPr="00A16B88">
              <w:rPr>
                <w:rFonts w:eastAsia="Times New Roman" w:cs="Arial"/>
                <w:color w:val="000000"/>
                <w:shd w:val="clear" w:color="auto" w:fill="FFFFFF"/>
              </w:rPr>
              <w:t>CSF pleocytosis</w:t>
            </w:r>
          </w:p>
        </w:tc>
        <w:tc>
          <w:tcPr>
            <w:tcW w:w="4504" w:type="dxa"/>
          </w:tcPr>
          <w:p w:rsidR="00B66CB8" w:rsidRPr="00A16B88" w:rsidRDefault="003C380D" w:rsidP="007E305C">
            <w:pPr>
              <w:widowControl w:val="0"/>
              <w:autoSpaceDE w:val="0"/>
              <w:autoSpaceDN w:val="0"/>
              <w:adjustRightInd w:val="0"/>
              <w:spacing w:line="480" w:lineRule="auto"/>
              <w:outlineLvl w:val="0"/>
              <w:rPr>
                <w:b/>
                <w:lang w:val="en-GB"/>
              </w:rPr>
            </w:pPr>
            <w:r>
              <w:rPr>
                <w:lang w:val="en-GB"/>
              </w:rPr>
              <w:t>&gt;</w:t>
            </w:r>
            <w:r w:rsidR="00B66CB8" w:rsidRPr="00A16B88">
              <w:rPr>
                <w:lang w:val="en-GB"/>
              </w:rPr>
              <w:t>20 white cells per mm</w:t>
            </w:r>
            <w:r w:rsidR="00B66CB8" w:rsidRPr="00A16B88">
              <w:rPr>
                <w:vertAlign w:val="superscript"/>
                <w:lang w:val="en-GB"/>
              </w:rPr>
              <w:t>3</w:t>
            </w:r>
            <w:r w:rsidR="00B66CB8" w:rsidRPr="00A16B88">
              <w:rPr>
                <w:vertAlign w:val="superscript"/>
                <w:lang w:val="en-GB"/>
              </w:rPr>
              <w:fldChar w:fldCharType="begin" w:fldLock="1"/>
            </w:r>
            <w:r w:rsidR="00B66CB8" w:rsidRPr="00A16B88">
              <w:rPr>
                <w:vertAlign w:val="superscript"/>
                <w:lang w:val="en-GB"/>
              </w:rPr>
              <w:instrText>ADDIN CSL_CITATION {"citationItems":[{"id":"ITEM-1","itemData":{"DOI":"10.1542/peds.2009-1181","ISBN":"1098-4275 (Electronic) 0031-4005 (Linking)","ISSN":"1098-4275","PMID":"20064869","abstract":"OBJECTIVE: Cerebrospinal fluid (CSF) white blood cell (WBC) counts for neonates and young infants are usually interpreted on the basis of values reported in reference texts or handbooks; however, current reference texts either present normal CSF parameters without citation or cite studies with significant limitations. The objective of this study was to determine accurate, age-specific reference values for CSF WBC counts in a large population of neonates and young infants.\\n\\nMETHODS: This cross-sectional study included patients who were aged &lt; or =56 days and had a lumbar puncture performed in the emergency department from January 1, 2005, to June 30, 2007. Patients were excluded from analysis for conditions that are suspected to cause CSF pleocytosis, including traumatic lumbar puncture, serious bacterial infection, congenital infection, seizure, and presence of a ventricular shunt. Children who tested positive for enterovirus (EV) in the CSF by polymerase chain reaction were also excluded. Two-sample Wilcoxon rank-sum tests were used to compare median CSF WBC values of those who had negative EV testing with those who did not have EV testing.\\n\\nRESULTS: A total of 380 (36%) of 1064 patients met inclusion criteria; 54% were male, 15% were preterm, and 39% presented during EV season. The median CSF WBC count was significantly higher in infants who were aged &lt; or =28 days (3/microL, 95th percentile: 19/microL) than in infants who were aged 29 to 56 days (2/microL, 95th percentile: 9/microL; P &lt; .001). In both age groups, infants with a negative EV PCR had a higher upper bound of the 95% confidence interval of the mean values compared with infants who did not have EV testing performed.\\n\\nCONCLUSIONS: We determined age-specific CSF WBC reference values in a large cohort of neonates and young infants that can be used to interpret accurately the results of lumbar punctures in this population.","author":[{"dropping-particle":"","family":"Kestenbaum","given":"Lori A","non-dropping-particle":"","parse-names":false,"suffix":""},{"dropping-particle":"","family":"Ebberson","given":"Jessica","non-dropping-particle":"","parse-names":false,"suffix":""},{"dropping-particle":"","family":"Zorc","given":"Joseph J","non-dropping-particle":"","parse-names":false,"suffix":""},{"dropping-particle":"","family":"Hodinka","given":"Richard L","non-dropping-particle":"","parse-names":false,"suffix":""},{"dropping-particle":"","family":"Shah","given":"Samir S","non-dropping-particle":"","parse-names":false,"suffix":""}],"container-title":"Pediatrics","id":"ITEM-1","issue":"2","issued":{"date-parts":[["2010"]]},"page":"257-64","title":"Defining cerebrospinal fluid white blood cell count reference values in neonates and young infants.","type":"article-journal","volume":"125"},"uris":["http://www.mendeley.com/documents/?uuid=cfbd07a1-098c-4fd7-b533-102900335673"]}],"mendeley":{"formattedCitation":"(32)","plainTextFormattedCitation":"(32)","previouslyFormattedCitation":"(31)"},"properties":{"noteIndex":0},"schema":"https://github.com/citation-style-language/schema/raw/master/csl-citation.json"}</w:instrText>
            </w:r>
            <w:r w:rsidR="00B66CB8" w:rsidRPr="00A16B88">
              <w:rPr>
                <w:vertAlign w:val="superscript"/>
                <w:lang w:val="en-GB"/>
              </w:rPr>
              <w:fldChar w:fldCharType="separate"/>
            </w:r>
            <w:r w:rsidR="00B66CB8" w:rsidRPr="00A16B88">
              <w:rPr>
                <w:noProof/>
                <w:lang w:val="en-GB"/>
              </w:rPr>
              <w:t>(32)</w:t>
            </w:r>
            <w:r w:rsidR="00B66CB8" w:rsidRPr="00A16B88">
              <w:rPr>
                <w:vertAlign w:val="superscript"/>
                <w:lang w:val="en-GB"/>
              </w:rPr>
              <w:fldChar w:fldCharType="end"/>
            </w:r>
          </w:p>
        </w:tc>
      </w:tr>
      <w:tr w:rsidR="00B66CB8" w:rsidRPr="00A16B88" w:rsidTr="007E305C">
        <w:tc>
          <w:tcPr>
            <w:tcW w:w="9010" w:type="dxa"/>
            <w:gridSpan w:val="2"/>
          </w:tcPr>
          <w:p w:rsidR="00B66CB8" w:rsidRPr="00A16B88" w:rsidRDefault="00B66CB8" w:rsidP="007E305C">
            <w:pPr>
              <w:widowControl w:val="0"/>
              <w:autoSpaceDE w:val="0"/>
              <w:autoSpaceDN w:val="0"/>
              <w:adjustRightInd w:val="0"/>
              <w:outlineLvl w:val="0"/>
              <w:rPr>
                <w:color w:val="000000" w:themeColor="text1"/>
                <w:lang w:val="en-GB"/>
              </w:rPr>
            </w:pPr>
            <w:r w:rsidRPr="00A16B88">
              <w:rPr>
                <w:rFonts w:eastAsia="Times New Roman" w:cs="Arial"/>
                <w:color w:val="000000"/>
                <w:shd w:val="clear" w:color="auto" w:fill="FFFFFF"/>
              </w:rPr>
              <w:t xml:space="preserve">Features of </w:t>
            </w:r>
            <w:r w:rsidRPr="00A16B88">
              <w:rPr>
                <w:lang w:val="en-GB"/>
              </w:rPr>
              <w:t xml:space="preserve">circulatory shock included </w:t>
            </w:r>
            <w:r w:rsidRPr="00A16B88">
              <w:rPr>
                <w:color w:val="000000" w:themeColor="text1"/>
                <w:lang w:val="en-GB"/>
              </w:rPr>
              <w:t>any combination of hypotension, mottled skin, capillary refill time &gt;2 seconds, tachycardia &gt;160 beats/min</w:t>
            </w:r>
            <w:r w:rsidR="003C380D">
              <w:rPr>
                <w:color w:val="000000" w:themeColor="text1"/>
                <w:lang w:val="en-GB"/>
              </w:rPr>
              <w:t xml:space="preserve"> </w:t>
            </w:r>
            <w:r w:rsidRPr="00A16B88">
              <w:rPr>
                <w:color w:val="000000" w:themeColor="text1"/>
                <w:lang w:val="en-GB"/>
              </w:rPr>
              <w:t>and/or reduced urinary output &lt;2mls/kg/hr.</w:t>
            </w:r>
          </w:p>
        </w:tc>
      </w:tr>
    </w:tbl>
    <w:p w:rsidR="00B66CB8" w:rsidRPr="00A16B88" w:rsidRDefault="00B66CB8" w:rsidP="00B66CB8">
      <w:pPr>
        <w:widowControl w:val="0"/>
        <w:autoSpaceDE w:val="0"/>
        <w:autoSpaceDN w:val="0"/>
        <w:adjustRightInd w:val="0"/>
        <w:spacing w:line="480" w:lineRule="auto"/>
        <w:outlineLvl w:val="0"/>
        <w:rPr>
          <w:b/>
          <w:lang w:val="en-GB"/>
        </w:rPr>
      </w:pPr>
    </w:p>
    <w:p w:rsidR="00B66CB8" w:rsidRPr="00A16B88" w:rsidRDefault="00B66CB8" w:rsidP="00B66CB8">
      <w:pPr>
        <w:widowControl w:val="0"/>
        <w:autoSpaceDE w:val="0"/>
        <w:autoSpaceDN w:val="0"/>
        <w:adjustRightInd w:val="0"/>
        <w:spacing w:line="480" w:lineRule="auto"/>
        <w:outlineLvl w:val="0"/>
        <w:rPr>
          <w:b/>
          <w:lang w:val="en-GB"/>
        </w:rPr>
      </w:pPr>
      <w:r w:rsidRPr="00A16B88">
        <w:rPr>
          <w:b/>
          <w:lang w:val="en-GB"/>
        </w:rPr>
        <w:t xml:space="preserve">Table 1: </w:t>
      </w:r>
      <w:r w:rsidRPr="00A16B88">
        <w:rPr>
          <w:lang w:val="en-GB"/>
        </w:rPr>
        <w:t xml:space="preserve">Definitions of demographic and clinical parameters </w:t>
      </w:r>
    </w:p>
    <w:p w:rsidR="00B66CB8" w:rsidRPr="00A16B88" w:rsidRDefault="00B66CB8" w:rsidP="00B66CB8">
      <w:pPr>
        <w:widowControl w:val="0"/>
        <w:autoSpaceDE w:val="0"/>
        <w:autoSpaceDN w:val="0"/>
        <w:adjustRightInd w:val="0"/>
        <w:spacing w:line="480" w:lineRule="auto"/>
        <w:outlineLvl w:val="0"/>
        <w:rPr>
          <w:b/>
          <w:lang w:val="en-GB"/>
        </w:rPr>
      </w:pPr>
    </w:p>
    <w:p w:rsidR="00B66CB8" w:rsidRPr="00A16B88" w:rsidRDefault="00B66CB8" w:rsidP="00B66CB8">
      <w:pPr>
        <w:widowControl w:val="0"/>
        <w:autoSpaceDE w:val="0"/>
        <w:autoSpaceDN w:val="0"/>
        <w:adjustRightInd w:val="0"/>
        <w:spacing w:line="480" w:lineRule="auto"/>
        <w:outlineLvl w:val="0"/>
        <w:rPr>
          <w:b/>
          <w:lang w:val="en-GB"/>
        </w:rPr>
      </w:pPr>
    </w:p>
    <w:p w:rsidR="00B66CB8" w:rsidRPr="00A16B88" w:rsidRDefault="00B66CB8" w:rsidP="00B66CB8">
      <w:pPr>
        <w:widowControl w:val="0"/>
        <w:autoSpaceDE w:val="0"/>
        <w:autoSpaceDN w:val="0"/>
        <w:adjustRightInd w:val="0"/>
        <w:spacing w:line="480" w:lineRule="auto"/>
        <w:outlineLvl w:val="0"/>
        <w:rPr>
          <w:b/>
          <w:lang w:val="en-GB"/>
        </w:rPr>
      </w:pPr>
    </w:p>
    <w:p w:rsidR="00B66CB8" w:rsidRPr="00A16B88" w:rsidRDefault="00B66CB8" w:rsidP="00B66CB8">
      <w:pPr>
        <w:widowControl w:val="0"/>
        <w:autoSpaceDE w:val="0"/>
        <w:autoSpaceDN w:val="0"/>
        <w:adjustRightInd w:val="0"/>
        <w:spacing w:line="480" w:lineRule="auto"/>
        <w:outlineLvl w:val="0"/>
        <w:rPr>
          <w:b/>
          <w:lang w:val="en-GB"/>
        </w:rPr>
      </w:pPr>
    </w:p>
    <w:p w:rsidR="00B66CB8" w:rsidRPr="00A16B88" w:rsidRDefault="00B66CB8" w:rsidP="00B66CB8">
      <w:pPr>
        <w:widowControl w:val="0"/>
        <w:autoSpaceDE w:val="0"/>
        <w:autoSpaceDN w:val="0"/>
        <w:adjustRightInd w:val="0"/>
        <w:spacing w:line="480" w:lineRule="auto"/>
        <w:outlineLvl w:val="0"/>
        <w:rPr>
          <w:b/>
          <w:lang w:val="en-GB"/>
        </w:rPr>
      </w:pPr>
    </w:p>
    <w:p w:rsidR="00B66CB8" w:rsidRPr="00A16B88" w:rsidRDefault="00B66CB8" w:rsidP="00B66CB8">
      <w:pPr>
        <w:widowControl w:val="0"/>
        <w:autoSpaceDE w:val="0"/>
        <w:autoSpaceDN w:val="0"/>
        <w:adjustRightInd w:val="0"/>
        <w:spacing w:line="480" w:lineRule="auto"/>
        <w:outlineLvl w:val="0"/>
        <w:rPr>
          <w:b/>
          <w:lang w:val="en-GB"/>
        </w:rPr>
      </w:pPr>
    </w:p>
    <w:p w:rsidR="00B66CB8" w:rsidRPr="00A16B88" w:rsidRDefault="00B66CB8" w:rsidP="00B66CB8">
      <w:pPr>
        <w:widowControl w:val="0"/>
        <w:autoSpaceDE w:val="0"/>
        <w:autoSpaceDN w:val="0"/>
        <w:adjustRightInd w:val="0"/>
        <w:spacing w:line="480" w:lineRule="auto"/>
        <w:outlineLvl w:val="0"/>
        <w:rPr>
          <w:b/>
          <w:lang w:val="en-GB"/>
        </w:rPr>
      </w:pPr>
    </w:p>
    <w:p w:rsidR="00B66CB8" w:rsidRPr="00A16B88" w:rsidRDefault="00B66CB8" w:rsidP="00B66CB8">
      <w:pPr>
        <w:widowControl w:val="0"/>
        <w:autoSpaceDE w:val="0"/>
        <w:autoSpaceDN w:val="0"/>
        <w:adjustRightInd w:val="0"/>
        <w:spacing w:line="480" w:lineRule="auto"/>
        <w:outlineLvl w:val="0"/>
        <w:rPr>
          <w:b/>
          <w:lang w:val="en-GB"/>
        </w:rPr>
      </w:pPr>
    </w:p>
    <w:p w:rsidR="00B66CB8" w:rsidRPr="00A16B88" w:rsidRDefault="00B66CB8" w:rsidP="00B66CB8">
      <w:pPr>
        <w:widowControl w:val="0"/>
        <w:autoSpaceDE w:val="0"/>
        <w:autoSpaceDN w:val="0"/>
        <w:adjustRightInd w:val="0"/>
        <w:spacing w:line="480" w:lineRule="auto"/>
        <w:outlineLvl w:val="0"/>
        <w:rPr>
          <w:b/>
          <w:lang w:val="en-GB"/>
        </w:rPr>
      </w:pPr>
    </w:p>
    <w:p w:rsidR="00B66CB8" w:rsidRDefault="00B66CB8" w:rsidP="00B66CB8">
      <w:pPr>
        <w:widowControl w:val="0"/>
        <w:autoSpaceDE w:val="0"/>
        <w:autoSpaceDN w:val="0"/>
        <w:adjustRightInd w:val="0"/>
        <w:spacing w:line="480" w:lineRule="auto"/>
        <w:outlineLvl w:val="0"/>
        <w:rPr>
          <w:b/>
          <w:lang w:val="en-GB"/>
        </w:rPr>
      </w:pPr>
    </w:p>
    <w:p w:rsidR="00537792" w:rsidRDefault="00537792" w:rsidP="00B66CB8">
      <w:pPr>
        <w:widowControl w:val="0"/>
        <w:autoSpaceDE w:val="0"/>
        <w:autoSpaceDN w:val="0"/>
        <w:adjustRightInd w:val="0"/>
        <w:spacing w:line="480" w:lineRule="auto"/>
        <w:outlineLvl w:val="0"/>
        <w:rPr>
          <w:b/>
          <w:lang w:val="en-GB"/>
        </w:rPr>
      </w:pPr>
    </w:p>
    <w:p w:rsidR="00537792" w:rsidRDefault="00537792" w:rsidP="00B66CB8">
      <w:pPr>
        <w:widowControl w:val="0"/>
        <w:autoSpaceDE w:val="0"/>
        <w:autoSpaceDN w:val="0"/>
        <w:adjustRightInd w:val="0"/>
        <w:spacing w:line="480" w:lineRule="auto"/>
        <w:outlineLvl w:val="0"/>
        <w:rPr>
          <w:b/>
          <w:lang w:val="en-GB"/>
        </w:rPr>
      </w:pPr>
    </w:p>
    <w:p w:rsidR="00537792" w:rsidRPr="00A16B88" w:rsidRDefault="00537792" w:rsidP="00B66CB8">
      <w:pPr>
        <w:widowControl w:val="0"/>
        <w:autoSpaceDE w:val="0"/>
        <w:autoSpaceDN w:val="0"/>
        <w:adjustRightInd w:val="0"/>
        <w:spacing w:line="480" w:lineRule="auto"/>
        <w:outlineLvl w:val="0"/>
        <w:rPr>
          <w:b/>
          <w:lang w:val="en-GB"/>
        </w:rPr>
      </w:pPr>
    </w:p>
    <w:p w:rsidR="00B66CB8" w:rsidRPr="00A16B88" w:rsidRDefault="00B66CB8" w:rsidP="00B66CB8">
      <w:pPr>
        <w:widowControl w:val="0"/>
        <w:autoSpaceDE w:val="0"/>
        <w:autoSpaceDN w:val="0"/>
        <w:adjustRightInd w:val="0"/>
        <w:spacing w:line="480" w:lineRule="auto"/>
        <w:outlineLvl w:val="0"/>
        <w:rPr>
          <w:b/>
          <w:lang w:val="en-GB"/>
        </w:rPr>
      </w:pPr>
    </w:p>
    <w:tbl>
      <w:tblPr>
        <w:tblStyle w:val="TableGrid"/>
        <w:tblW w:w="0" w:type="auto"/>
        <w:tblLook w:val="04A0" w:firstRow="1" w:lastRow="0" w:firstColumn="1" w:lastColumn="0" w:noHBand="0" w:noVBand="1"/>
      </w:tblPr>
      <w:tblGrid>
        <w:gridCol w:w="2039"/>
        <w:gridCol w:w="1775"/>
        <w:gridCol w:w="1775"/>
        <w:gridCol w:w="1775"/>
        <w:gridCol w:w="1646"/>
      </w:tblGrid>
      <w:tr w:rsidR="00B66CB8" w:rsidRPr="00A16B88" w:rsidTr="007E305C">
        <w:tc>
          <w:tcPr>
            <w:tcW w:w="2039" w:type="dxa"/>
          </w:tcPr>
          <w:p w:rsidR="00B66CB8" w:rsidRPr="00A16B88" w:rsidRDefault="00B66CB8" w:rsidP="007E305C">
            <w:pPr>
              <w:tabs>
                <w:tab w:val="left" w:pos="1720"/>
              </w:tabs>
            </w:pPr>
          </w:p>
        </w:tc>
        <w:tc>
          <w:tcPr>
            <w:tcW w:w="6971" w:type="dxa"/>
            <w:gridSpan w:val="4"/>
          </w:tcPr>
          <w:p w:rsidR="00B66CB8" w:rsidRPr="00A16B88" w:rsidRDefault="00B66CB8" w:rsidP="007E305C">
            <w:pPr>
              <w:tabs>
                <w:tab w:val="left" w:pos="1720"/>
              </w:tabs>
              <w:jc w:val="center"/>
              <w:rPr>
                <w:b/>
              </w:rPr>
            </w:pPr>
            <w:r w:rsidRPr="00A16B88">
              <w:rPr>
                <w:b/>
              </w:rPr>
              <w:t xml:space="preserve">Age at diagnosis </w:t>
            </w:r>
          </w:p>
        </w:tc>
      </w:tr>
      <w:tr w:rsidR="00B66CB8" w:rsidRPr="00A16B88" w:rsidTr="007E305C">
        <w:tc>
          <w:tcPr>
            <w:tcW w:w="2039" w:type="dxa"/>
          </w:tcPr>
          <w:p w:rsidR="00B66CB8" w:rsidRPr="00A16B88" w:rsidRDefault="00B66CB8" w:rsidP="007E305C">
            <w:pPr>
              <w:tabs>
                <w:tab w:val="left" w:pos="1720"/>
              </w:tabs>
            </w:pPr>
          </w:p>
        </w:tc>
        <w:tc>
          <w:tcPr>
            <w:tcW w:w="1775" w:type="dxa"/>
          </w:tcPr>
          <w:p w:rsidR="00B66CB8" w:rsidRPr="00A16B88" w:rsidRDefault="00B66CB8" w:rsidP="007E305C">
            <w:pPr>
              <w:tabs>
                <w:tab w:val="left" w:pos="1720"/>
              </w:tabs>
              <w:jc w:val="center"/>
              <w:rPr>
                <w:b/>
              </w:rPr>
            </w:pPr>
            <w:r w:rsidRPr="00A16B88">
              <w:rPr>
                <w:b/>
              </w:rPr>
              <w:t>0-6 days</w:t>
            </w:r>
          </w:p>
        </w:tc>
        <w:tc>
          <w:tcPr>
            <w:tcW w:w="1775" w:type="dxa"/>
          </w:tcPr>
          <w:p w:rsidR="00B66CB8" w:rsidRPr="00A16B88" w:rsidRDefault="00B66CB8" w:rsidP="007E305C">
            <w:pPr>
              <w:tabs>
                <w:tab w:val="left" w:pos="1720"/>
              </w:tabs>
              <w:jc w:val="center"/>
              <w:rPr>
                <w:b/>
              </w:rPr>
            </w:pPr>
            <w:r w:rsidRPr="00A16B88">
              <w:rPr>
                <w:b/>
              </w:rPr>
              <w:t>7 – 28 days</w:t>
            </w:r>
          </w:p>
        </w:tc>
        <w:tc>
          <w:tcPr>
            <w:tcW w:w="1775" w:type="dxa"/>
          </w:tcPr>
          <w:p w:rsidR="00B66CB8" w:rsidRPr="00A16B88" w:rsidRDefault="00B66CB8" w:rsidP="007E305C">
            <w:pPr>
              <w:tabs>
                <w:tab w:val="left" w:pos="1720"/>
              </w:tabs>
              <w:jc w:val="center"/>
              <w:rPr>
                <w:b/>
              </w:rPr>
            </w:pPr>
            <w:r w:rsidRPr="00A16B88">
              <w:rPr>
                <w:b/>
              </w:rPr>
              <w:t>29 – 89 days</w:t>
            </w:r>
          </w:p>
        </w:tc>
        <w:tc>
          <w:tcPr>
            <w:tcW w:w="1646" w:type="dxa"/>
          </w:tcPr>
          <w:p w:rsidR="00B66CB8" w:rsidRPr="00A16B88" w:rsidRDefault="00B66CB8" w:rsidP="007E305C">
            <w:pPr>
              <w:tabs>
                <w:tab w:val="left" w:pos="1720"/>
              </w:tabs>
              <w:jc w:val="center"/>
              <w:rPr>
                <w:b/>
              </w:rPr>
            </w:pPr>
            <w:r w:rsidRPr="00A16B88">
              <w:rPr>
                <w:b/>
              </w:rPr>
              <w:t>All cases</w:t>
            </w:r>
          </w:p>
        </w:tc>
      </w:tr>
      <w:tr w:rsidR="00B66CB8" w:rsidRPr="00A16B88" w:rsidTr="007E305C">
        <w:trPr>
          <w:trHeight w:val="912"/>
        </w:trPr>
        <w:tc>
          <w:tcPr>
            <w:tcW w:w="2039" w:type="dxa"/>
          </w:tcPr>
          <w:p w:rsidR="00B66CB8" w:rsidRPr="00A16B88" w:rsidRDefault="00B66CB8" w:rsidP="007E305C">
            <w:pPr>
              <w:tabs>
                <w:tab w:val="left" w:pos="1720"/>
              </w:tabs>
              <w:jc w:val="center"/>
              <w:rPr>
                <w:b/>
              </w:rPr>
            </w:pPr>
            <w:r w:rsidRPr="00A16B88">
              <w:rPr>
                <w:b/>
              </w:rPr>
              <w:t>Virus:</w:t>
            </w:r>
          </w:p>
          <w:p w:rsidR="00B66CB8" w:rsidRPr="00A16B88" w:rsidRDefault="00B66CB8" w:rsidP="007E305C">
            <w:pPr>
              <w:tabs>
                <w:tab w:val="left" w:pos="1720"/>
              </w:tabs>
              <w:jc w:val="center"/>
            </w:pPr>
            <w:r w:rsidRPr="00A16B88">
              <w:t>EV</w:t>
            </w:r>
          </w:p>
          <w:p w:rsidR="00B66CB8" w:rsidRPr="00A16B88" w:rsidRDefault="00B66CB8" w:rsidP="007E305C">
            <w:pPr>
              <w:tabs>
                <w:tab w:val="left" w:pos="1720"/>
              </w:tabs>
              <w:jc w:val="center"/>
            </w:pPr>
            <w:r w:rsidRPr="00A16B88">
              <w:t>HPeV</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64 (91)</w:t>
            </w:r>
          </w:p>
          <w:p w:rsidR="00B66CB8" w:rsidRPr="00A16B88" w:rsidRDefault="00B66CB8" w:rsidP="007E305C">
            <w:pPr>
              <w:tabs>
                <w:tab w:val="left" w:pos="1720"/>
              </w:tabs>
              <w:jc w:val="center"/>
            </w:pPr>
            <w:r w:rsidRPr="00A16B88">
              <w:t>6 (9)</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207 (94)</w:t>
            </w:r>
          </w:p>
          <w:p w:rsidR="00B66CB8" w:rsidRPr="00A16B88" w:rsidRDefault="00B66CB8" w:rsidP="007E305C">
            <w:pPr>
              <w:tabs>
                <w:tab w:val="left" w:pos="1720"/>
              </w:tabs>
              <w:jc w:val="center"/>
            </w:pPr>
            <w:r w:rsidRPr="00A16B88">
              <w:t>13 (6)</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372 (96)</w:t>
            </w:r>
          </w:p>
          <w:p w:rsidR="00B66CB8" w:rsidRPr="00A16B88" w:rsidRDefault="00B66CB8" w:rsidP="007E305C">
            <w:pPr>
              <w:tabs>
                <w:tab w:val="left" w:pos="1720"/>
              </w:tabs>
              <w:jc w:val="center"/>
            </w:pPr>
            <w:r w:rsidRPr="00A16B88">
              <w:t>15 (4)</w:t>
            </w:r>
          </w:p>
        </w:tc>
        <w:tc>
          <w:tcPr>
            <w:tcW w:w="1646"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643 (95)</w:t>
            </w:r>
          </w:p>
          <w:p w:rsidR="00B66CB8" w:rsidRPr="00A16B88" w:rsidRDefault="00B66CB8" w:rsidP="007E305C">
            <w:pPr>
              <w:tabs>
                <w:tab w:val="left" w:pos="1720"/>
              </w:tabs>
              <w:jc w:val="center"/>
            </w:pPr>
            <w:r w:rsidRPr="00A16B88">
              <w:t>34 (5)</w:t>
            </w:r>
          </w:p>
        </w:tc>
      </w:tr>
      <w:tr w:rsidR="00B66CB8" w:rsidRPr="00A16B88" w:rsidTr="007E305C">
        <w:trPr>
          <w:trHeight w:val="1527"/>
        </w:trPr>
        <w:tc>
          <w:tcPr>
            <w:tcW w:w="2039" w:type="dxa"/>
          </w:tcPr>
          <w:p w:rsidR="00B66CB8" w:rsidRPr="00A16B88" w:rsidRDefault="00B66CB8" w:rsidP="007E305C">
            <w:pPr>
              <w:tabs>
                <w:tab w:val="left" w:pos="1720"/>
              </w:tabs>
              <w:jc w:val="center"/>
              <w:rPr>
                <w:b/>
              </w:rPr>
            </w:pPr>
            <w:r w:rsidRPr="00A16B88">
              <w:rPr>
                <w:b/>
              </w:rPr>
              <w:t>Site of admission:</w:t>
            </w:r>
          </w:p>
          <w:p w:rsidR="00B66CB8" w:rsidRPr="00A16B88" w:rsidRDefault="00B66CB8" w:rsidP="007E305C">
            <w:pPr>
              <w:tabs>
                <w:tab w:val="left" w:pos="1720"/>
              </w:tabs>
              <w:jc w:val="center"/>
            </w:pPr>
            <w:r w:rsidRPr="00A16B88">
              <w:t>PICU</w:t>
            </w:r>
          </w:p>
          <w:p w:rsidR="00B66CB8" w:rsidRPr="00A16B88" w:rsidRDefault="00B66CB8" w:rsidP="007E305C">
            <w:pPr>
              <w:tabs>
                <w:tab w:val="left" w:pos="1720"/>
              </w:tabs>
              <w:jc w:val="center"/>
            </w:pPr>
            <w:r w:rsidRPr="00A16B88">
              <w:t>HDU</w:t>
            </w:r>
          </w:p>
          <w:p w:rsidR="00B66CB8" w:rsidRPr="00A16B88" w:rsidRDefault="00B66CB8" w:rsidP="007E305C">
            <w:pPr>
              <w:tabs>
                <w:tab w:val="left" w:pos="1720"/>
              </w:tabs>
              <w:jc w:val="center"/>
            </w:pPr>
            <w:r w:rsidRPr="00A16B88">
              <w:t>Ward</w:t>
            </w:r>
          </w:p>
          <w:p w:rsidR="00B66CB8" w:rsidRPr="00A16B88" w:rsidRDefault="00B66CB8" w:rsidP="007E305C">
            <w:pPr>
              <w:tabs>
                <w:tab w:val="left" w:pos="1720"/>
              </w:tabs>
              <w:jc w:val="center"/>
            </w:pPr>
            <w:r w:rsidRPr="00A16B88">
              <w:t>PAU</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29 (42)</w:t>
            </w:r>
          </w:p>
          <w:p w:rsidR="00B66CB8" w:rsidRPr="00A16B88" w:rsidRDefault="00B66CB8" w:rsidP="007E305C">
            <w:pPr>
              <w:tabs>
                <w:tab w:val="left" w:pos="1720"/>
              </w:tabs>
              <w:jc w:val="center"/>
            </w:pPr>
            <w:r w:rsidRPr="00A16B88">
              <w:t>5 (7)</w:t>
            </w:r>
          </w:p>
          <w:p w:rsidR="00B66CB8" w:rsidRPr="00A16B88" w:rsidRDefault="00B66CB8" w:rsidP="007E305C">
            <w:pPr>
              <w:tabs>
                <w:tab w:val="left" w:pos="1720"/>
              </w:tabs>
              <w:jc w:val="center"/>
            </w:pPr>
            <w:r w:rsidRPr="00A16B88">
              <w:t>35 (51)</w:t>
            </w:r>
          </w:p>
          <w:p w:rsidR="00B66CB8" w:rsidRPr="00A16B88" w:rsidRDefault="00B66CB8" w:rsidP="007E305C">
            <w:pPr>
              <w:tabs>
                <w:tab w:val="left" w:pos="1720"/>
              </w:tabs>
              <w:jc w:val="center"/>
            </w:pPr>
            <w:r w:rsidRPr="00A16B88">
              <w:t>0</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16 (7)</w:t>
            </w:r>
          </w:p>
          <w:p w:rsidR="00B66CB8" w:rsidRPr="00A16B88" w:rsidRDefault="00B66CB8" w:rsidP="007E305C">
            <w:pPr>
              <w:tabs>
                <w:tab w:val="left" w:pos="1720"/>
              </w:tabs>
              <w:jc w:val="center"/>
            </w:pPr>
            <w:r w:rsidRPr="00A16B88">
              <w:t>15 (7)</w:t>
            </w:r>
          </w:p>
          <w:p w:rsidR="00B66CB8" w:rsidRPr="00A16B88" w:rsidRDefault="00B66CB8" w:rsidP="007E305C">
            <w:pPr>
              <w:tabs>
                <w:tab w:val="left" w:pos="1720"/>
              </w:tabs>
              <w:jc w:val="center"/>
            </w:pPr>
            <w:r w:rsidRPr="00A16B88">
              <w:t>169 (74)</w:t>
            </w:r>
          </w:p>
          <w:p w:rsidR="00B66CB8" w:rsidRPr="00A16B88" w:rsidRDefault="00B66CB8" w:rsidP="007E305C">
            <w:pPr>
              <w:tabs>
                <w:tab w:val="left" w:pos="1720"/>
              </w:tabs>
              <w:jc w:val="center"/>
            </w:pPr>
            <w:r w:rsidRPr="00A16B88">
              <w:t>29 (13)</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7 (2)</w:t>
            </w:r>
          </w:p>
          <w:p w:rsidR="00B66CB8" w:rsidRPr="00A16B88" w:rsidRDefault="00B66CB8" w:rsidP="007E305C">
            <w:pPr>
              <w:tabs>
                <w:tab w:val="left" w:pos="1720"/>
              </w:tabs>
              <w:jc w:val="center"/>
            </w:pPr>
            <w:r w:rsidRPr="00A16B88">
              <w:t>12 (3)</w:t>
            </w:r>
          </w:p>
          <w:p w:rsidR="00B66CB8" w:rsidRPr="00A16B88" w:rsidRDefault="00B66CB8" w:rsidP="007E305C">
            <w:pPr>
              <w:tabs>
                <w:tab w:val="left" w:pos="1720"/>
              </w:tabs>
              <w:jc w:val="center"/>
            </w:pPr>
            <w:r w:rsidRPr="00A16B88">
              <w:t>335 (86)</w:t>
            </w:r>
          </w:p>
          <w:p w:rsidR="00B66CB8" w:rsidRPr="00A16B88" w:rsidRDefault="00B66CB8" w:rsidP="007E305C">
            <w:pPr>
              <w:tabs>
                <w:tab w:val="left" w:pos="1720"/>
              </w:tabs>
              <w:jc w:val="center"/>
            </w:pPr>
            <w:r w:rsidRPr="00A16B88">
              <w:t>34 (9)</w:t>
            </w:r>
          </w:p>
        </w:tc>
        <w:tc>
          <w:tcPr>
            <w:tcW w:w="1646"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52 (8)</w:t>
            </w:r>
          </w:p>
          <w:p w:rsidR="00B66CB8" w:rsidRPr="00A16B88" w:rsidRDefault="00B66CB8" w:rsidP="007E305C">
            <w:pPr>
              <w:tabs>
                <w:tab w:val="left" w:pos="1720"/>
              </w:tabs>
              <w:jc w:val="center"/>
            </w:pPr>
            <w:r w:rsidRPr="00A16B88">
              <w:t>32 (4)</w:t>
            </w:r>
          </w:p>
          <w:p w:rsidR="00B66CB8" w:rsidRPr="00A16B88" w:rsidRDefault="00B66CB8" w:rsidP="007E305C">
            <w:pPr>
              <w:tabs>
                <w:tab w:val="left" w:pos="1720"/>
              </w:tabs>
              <w:jc w:val="center"/>
            </w:pPr>
            <w:r w:rsidRPr="00A16B88">
              <w:t>539 (79)</w:t>
            </w:r>
          </w:p>
          <w:p w:rsidR="00B66CB8" w:rsidRPr="00A16B88" w:rsidRDefault="00B66CB8" w:rsidP="007E305C">
            <w:pPr>
              <w:tabs>
                <w:tab w:val="left" w:pos="1720"/>
              </w:tabs>
              <w:jc w:val="center"/>
            </w:pPr>
            <w:r w:rsidRPr="00A16B88">
              <w:t>63 (9)</w:t>
            </w:r>
          </w:p>
        </w:tc>
      </w:tr>
      <w:tr w:rsidR="00B66CB8" w:rsidRPr="00A16B88" w:rsidTr="007E305C">
        <w:trPr>
          <w:trHeight w:val="269"/>
        </w:trPr>
        <w:tc>
          <w:tcPr>
            <w:tcW w:w="2039" w:type="dxa"/>
          </w:tcPr>
          <w:p w:rsidR="00B66CB8" w:rsidRPr="00A16B88" w:rsidRDefault="00B66CB8" w:rsidP="007E305C">
            <w:pPr>
              <w:tabs>
                <w:tab w:val="left" w:pos="1720"/>
              </w:tabs>
              <w:jc w:val="center"/>
              <w:rPr>
                <w:b/>
              </w:rPr>
            </w:pPr>
            <w:r w:rsidRPr="00A16B88">
              <w:rPr>
                <w:b/>
              </w:rPr>
              <w:t>Clinical presentation:</w:t>
            </w:r>
          </w:p>
          <w:p w:rsidR="00B66CB8" w:rsidRPr="00A16B88" w:rsidRDefault="00B66CB8" w:rsidP="007E305C">
            <w:pPr>
              <w:tabs>
                <w:tab w:val="left" w:pos="1720"/>
              </w:tabs>
              <w:jc w:val="center"/>
            </w:pPr>
            <w:r w:rsidRPr="00A16B88">
              <w:t>Fever</w:t>
            </w:r>
          </w:p>
          <w:p w:rsidR="00B66CB8" w:rsidRPr="00A16B88" w:rsidRDefault="00B66CB8" w:rsidP="007E305C">
            <w:pPr>
              <w:tabs>
                <w:tab w:val="left" w:pos="1720"/>
              </w:tabs>
              <w:jc w:val="center"/>
            </w:pPr>
            <w:r w:rsidRPr="00A16B88">
              <w:t>Irritability</w:t>
            </w:r>
          </w:p>
          <w:p w:rsidR="00B66CB8" w:rsidRPr="00A16B88" w:rsidRDefault="00B66CB8" w:rsidP="007E305C">
            <w:pPr>
              <w:tabs>
                <w:tab w:val="left" w:pos="1720"/>
              </w:tabs>
              <w:jc w:val="center"/>
            </w:pPr>
            <w:r w:rsidRPr="00A16B88">
              <w:t>Lethargy</w:t>
            </w:r>
          </w:p>
          <w:p w:rsidR="00B66CB8" w:rsidRPr="00A16B88" w:rsidRDefault="00B66CB8" w:rsidP="007E305C">
            <w:pPr>
              <w:tabs>
                <w:tab w:val="left" w:pos="1720"/>
              </w:tabs>
              <w:jc w:val="center"/>
            </w:pPr>
            <w:r w:rsidRPr="00A16B88">
              <w:t>Reduced feeding</w:t>
            </w:r>
          </w:p>
          <w:p w:rsidR="00B66CB8" w:rsidRPr="00A16B88" w:rsidRDefault="00B66CB8" w:rsidP="007E305C">
            <w:pPr>
              <w:tabs>
                <w:tab w:val="left" w:pos="1720"/>
              </w:tabs>
              <w:jc w:val="center"/>
              <w:rPr>
                <w:b/>
              </w:rPr>
            </w:pPr>
            <w:r w:rsidRPr="00A16B88">
              <w:t>Respiratory distress</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49 (68)</w:t>
            </w:r>
          </w:p>
          <w:p w:rsidR="00B66CB8" w:rsidRPr="00A16B88" w:rsidRDefault="00B66CB8" w:rsidP="007E305C">
            <w:pPr>
              <w:tabs>
                <w:tab w:val="left" w:pos="1720"/>
              </w:tabs>
              <w:jc w:val="center"/>
            </w:pPr>
            <w:r w:rsidRPr="00A16B88">
              <w:t>26 (36)</w:t>
            </w:r>
          </w:p>
          <w:p w:rsidR="00B66CB8" w:rsidRPr="00A16B88" w:rsidRDefault="00B66CB8" w:rsidP="007E305C">
            <w:pPr>
              <w:tabs>
                <w:tab w:val="left" w:pos="1720"/>
              </w:tabs>
              <w:jc w:val="center"/>
            </w:pPr>
            <w:r w:rsidRPr="00A16B88">
              <w:t>33 (45)</w:t>
            </w:r>
          </w:p>
          <w:p w:rsidR="00B66CB8" w:rsidRPr="00A16B88" w:rsidRDefault="00B66CB8" w:rsidP="007E305C">
            <w:pPr>
              <w:tabs>
                <w:tab w:val="left" w:pos="1720"/>
              </w:tabs>
              <w:jc w:val="center"/>
            </w:pPr>
            <w:r w:rsidRPr="00A16B88">
              <w:t xml:space="preserve">35 (49) </w:t>
            </w:r>
          </w:p>
          <w:p w:rsidR="00B66CB8" w:rsidRPr="00A16B88" w:rsidRDefault="00B66CB8" w:rsidP="007E305C">
            <w:pPr>
              <w:tabs>
                <w:tab w:val="left" w:pos="1720"/>
              </w:tabs>
              <w:jc w:val="center"/>
            </w:pPr>
            <w:r w:rsidRPr="00A16B88">
              <w:t>19 (26)</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186 (83)</w:t>
            </w:r>
          </w:p>
          <w:p w:rsidR="00B66CB8" w:rsidRPr="00A16B88" w:rsidRDefault="00B66CB8" w:rsidP="007E305C">
            <w:pPr>
              <w:tabs>
                <w:tab w:val="left" w:pos="1720"/>
              </w:tabs>
              <w:jc w:val="center"/>
            </w:pPr>
            <w:r w:rsidRPr="00A16B88">
              <w:t>146 (65)</w:t>
            </w:r>
          </w:p>
          <w:p w:rsidR="00B66CB8" w:rsidRPr="00A16B88" w:rsidRDefault="00B66CB8" w:rsidP="007E305C">
            <w:pPr>
              <w:tabs>
                <w:tab w:val="left" w:pos="1720"/>
              </w:tabs>
              <w:jc w:val="center"/>
            </w:pPr>
            <w:r w:rsidRPr="00A16B88">
              <w:t>88 (39)</w:t>
            </w:r>
          </w:p>
          <w:p w:rsidR="00B66CB8" w:rsidRPr="00A16B88" w:rsidRDefault="00B66CB8" w:rsidP="007E305C">
            <w:pPr>
              <w:tabs>
                <w:tab w:val="left" w:pos="1720"/>
              </w:tabs>
              <w:jc w:val="center"/>
            </w:pPr>
            <w:r w:rsidRPr="00A16B88">
              <w:t>121 (54)</w:t>
            </w:r>
          </w:p>
          <w:p w:rsidR="00B66CB8" w:rsidRPr="00A16B88" w:rsidRDefault="00B66CB8" w:rsidP="007E305C">
            <w:pPr>
              <w:tabs>
                <w:tab w:val="left" w:pos="1720"/>
              </w:tabs>
              <w:jc w:val="center"/>
            </w:pPr>
            <w:r w:rsidRPr="00A16B88">
              <w:t>32 (14)</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342 (90)</w:t>
            </w:r>
          </w:p>
          <w:p w:rsidR="00B66CB8" w:rsidRPr="00A16B88" w:rsidRDefault="00B66CB8" w:rsidP="007E305C">
            <w:pPr>
              <w:tabs>
                <w:tab w:val="left" w:pos="1720"/>
              </w:tabs>
              <w:jc w:val="center"/>
            </w:pPr>
            <w:r w:rsidRPr="00A16B88">
              <w:t>277 (73)</w:t>
            </w:r>
          </w:p>
          <w:p w:rsidR="00B66CB8" w:rsidRPr="00A16B88" w:rsidRDefault="00B66CB8" w:rsidP="007E305C">
            <w:pPr>
              <w:tabs>
                <w:tab w:val="left" w:pos="1720"/>
              </w:tabs>
              <w:jc w:val="center"/>
            </w:pPr>
            <w:r w:rsidRPr="00A16B88">
              <w:t>130 (34)</w:t>
            </w:r>
          </w:p>
          <w:p w:rsidR="00B66CB8" w:rsidRPr="00A16B88" w:rsidRDefault="00B66CB8" w:rsidP="007E305C">
            <w:pPr>
              <w:tabs>
                <w:tab w:val="left" w:pos="1720"/>
              </w:tabs>
              <w:jc w:val="center"/>
            </w:pPr>
            <w:r w:rsidRPr="00A16B88">
              <w:t>211 (55)</w:t>
            </w:r>
          </w:p>
          <w:p w:rsidR="00B66CB8" w:rsidRPr="00A16B88" w:rsidRDefault="00B66CB8" w:rsidP="007E305C">
            <w:pPr>
              <w:tabs>
                <w:tab w:val="left" w:pos="1720"/>
              </w:tabs>
              <w:jc w:val="center"/>
            </w:pPr>
            <w:r w:rsidRPr="00A16B88">
              <w:t>23 (6)</w:t>
            </w:r>
          </w:p>
        </w:tc>
        <w:tc>
          <w:tcPr>
            <w:tcW w:w="1646"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577 (34)</w:t>
            </w:r>
          </w:p>
          <w:p w:rsidR="00B66CB8" w:rsidRPr="00A16B88" w:rsidRDefault="00B66CB8" w:rsidP="007E305C">
            <w:pPr>
              <w:tabs>
                <w:tab w:val="left" w:pos="1720"/>
              </w:tabs>
              <w:jc w:val="center"/>
            </w:pPr>
            <w:r w:rsidRPr="00A16B88">
              <w:t>449 (26)</w:t>
            </w:r>
          </w:p>
          <w:p w:rsidR="00B66CB8" w:rsidRPr="00A16B88" w:rsidRDefault="00B66CB8" w:rsidP="007E305C">
            <w:pPr>
              <w:tabs>
                <w:tab w:val="left" w:pos="1720"/>
              </w:tabs>
              <w:jc w:val="center"/>
            </w:pPr>
            <w:r w:rsidRPr="00A16B88">
              <w:t>251 (15)</w:t>
            </w:r>
          </w:p>
          <w:p w:rsidR="00B66CB8" w:rsidRPr="00A16B88" w:rsidRDefault="00B66CB8" w:rsidP="007E305C">
            <w:pPr>
              <w:tabs>
                <w:tab w:val="left" w:pos="1720"/>
              </w:tabs>
              <w:jc w:val="center"/>
            </w:pPr>
            <w:r w:rsidRPr="00A16B88">
              <w:t>367 (21)</w:t>
            </w:r>
          </w:p>
          <w:p w:rsidR="00B66CB8" w:rsidRPr="00A16B88" w:rsidRDefault="00B66CB8" w:rsidP="007E305C">
            <w:pPr>
              <w:tabs>
                <w:tab w:val="left" w:pos="1720"/>
              </w:tabs>
              <w:jc w:val="center"/>
            </w:pPr>
            <w:r w:rsidRPr="00A16B88">
              <w:t>74 (4)</w:t>
            </w:r>
          </w:p>
          <w:p w:rsidR="00B66CB8" w:rsidRPr="00A16B88" w:rsidRDefault="00B66CB8" w:rsidP="007E305C">
            <w:pPr>
              <w:tabs>
                <w:tab w:val="left" w:pos="1720"/>
              </w:tabs>
            </w:pPr>
          </w:p>
        </w:tc>
      </w:tr>
      <w:tr w:rsidR="00B66CB8" w:rsidRPr="00A16B88" w:rsidTr="007E305C">
        <w:trPr>
          <w:trHeight w:val="269"/>
        </w:trPr>
        <w:tc>
          <w:tcPr>
            <w:tcW w:w="2039" w:type="dxa"/>
          </w:tcPr>
          <w:p w:rsidR="00B66CB8" w:rsidRPr="00A16B88" w:rsidRDefault="00B66CB8" w:rsidP="007E305C">
            <w:pPr>
              <w:tabs>
                <w:tab w:val="left" w:pos="1720"/>
              </w:tabs>
              <w:jc w:val="center"/>
              <w:rPr>
                <w:b/>
              </w:rPr>
            </w:pPr>
            <w:r w:rsidRPr="00A16B88">
              <w:rPr>
                <w:b/>
              </w:rPr>
              <w:t>Laboratory findings:</w:t>
            </w:r>
          </w:p>
          <w:p w:rsidR="00B66CB8" w:rsidRPr="00A16B88" w:rsidRDefault="00B66CB8" w:rsidP="007E305C">
            <w:pPr>
              <w:tabs>
                <w:tab w:val="left" w:pos="1720"/>
              </w:tabs>
              <w:jc w:val="center"/>
            </w:pPr>
            <w:r w:rsidRPr="00A16B88">
              <w:t>WCC</w:t>
            </w:r>
          </w:p>
          <w:p w:rsidR="00B66CB8" w:rsidRPr="00A16B88" w:rsidRDefault="00B66CB8" w:rsidP="007E305C">
            <w:pPr>
              <w:tabs>
                <w:tab w:val="left" w:pos="1720"/>
              </w:tabs>
              <w:jc w:val="center"/>
            </w:pPr>
            <w:r w:rsidRPr="00A16B88">
              <w:t>Neutrophil</w:t>
            </w:r>
          </w:p>
          <w:p w:rsidR="00B66CB8" w:rsidRPr="00A16B88" w:rsidRDefault="00B66CB8" w:rsidP="007E305C">
            <w:pPr>
              <w:tabs>
                <w:tab w:val="left" w:pos="1720"/>
              </w:tabs>
              <w:jc w:val="center"/>
            </w:pPr>
            <w:r w:rsidRPr="00A16B88">
              <w:t>CRP</w:t>
            </w:r>
          </w:p>
          <w:p w:rsidR="00B66CB8" w:rsidRPr="00A16B88" w:rsidRDefault="00B66CB8" w:rsidP="007E305C">
            <w:pPr>
              <w:tabs>
                <w:tab w:val="left" w:pos="1720"/>
              </w:tabs>
              <w:jc w:val="center"/>
              <w:rPr>
                <w:b/>
              </w:rPr>
            </w:pPr>
            <w:r w:rsidRPr="00A16B88">
              <w:t>CSF WCC</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10.3 (8.0 – 14.7)</w:t>
            </w:r>
          </w:p>
          <w:p w:rsidR="00B66CB8" w:rsidRPr="00A16B88" w:rsidRDefault="00B66CB8" w:rsidP="007E305C">
            <w:pPr>
              <w:tabs>
                <w:tab w:val="left" w:pos="1720"/>
              </w:tabs>
              <w:jc w:val="center"/>
            </w:pPr>
            <w:r w:rsidRPr="00A16B88">
              <w:t>6.8 (4 – 10.7)</w:t>
            </w:r>
          </w:p>
          <w:p w:rsidR="00B66CB8" w:rsidRPr="00A16B88" w:rsidRDefault="00B66CB8" w:rsidP="007E305C">
            <w:pPr>
              <w:tabs>
                <w:tab w:val="left" w:pos="1720"/>
              </w:tabs>
              <w:jc w:val="center"/>
            </w:pPr>
            <w:r w:rsidRPr="00A16B88">
              <w:t>14 (5 – 25)</w:t>
            </w:r>
          </w:p>
          <w:p w:rsidR="00B66CB8" w:rsidRPr="00A16B88" w:rsidRDefault="00B66CB8" w:rsidP="007E305C">
            <w:pPr>
              <w:tabs>
                <w:tab w:val="left" w:pos="1720"/>
              </w:tabs>
              <w:jc w:val="center"/>
            </w:pPr>
            <w:r w:rsidRPr="00A16B88">
              <w:t xml:space="preserve">6 (2 – 32) </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9.8 (3.9 – 20.8)</w:t>
            </w:r>
          </w:p>
          <w:p w:rsidR="00B66CB8" w:rsidRPr="00A16B88" w:rsidRDefault="00B66CB8" w:rsidP="007E305C">
            <w:pPr>
              <w:tabs>
                <w:tab w:val="left" w:pos="1720"/>
              </w:tabs>
              <w:jc w:val="center"/>
            </w:pPr>
            <w:r w:rsidRPr="00A16B88">
              <w:t>4.6 (3.5 – 6.8)</w:t>
            </w:r>
          </w:p>
          <w:p w:rsidR="00B66CB8" w:rsidRPr="00A16B88" w:rsidRDefault="00B66CB8" w:rsidP="007E305C">
            <w:pPr>
              <w:tabs>
                <w:tab w:val="left" w:pos="1720"/>
              </w:tabs>
              <w:jc w:val="center"/>
            </w:pPr>
            <w:r w:rsidRPr="00A16B88">
              <w:t>11 (4 – 22)</w:t>
            </w:r>
          </w:p>
          <w:p w:rsidR="00B66CB8" w:rsidRPr="00A16B88" w:rsidRDefault="00B66CB8" w:rsidP="007E305C">
            <w:pPr>
              <w:tabs>
                <w:tab w:val="left" w:pos="1720"/>
              </w:tabs>
              <w:jc w:val="center"/>
            </w:pPr>
            <w:r w:rsidRPr="00A16B88">
              <w:t>8 (2 – 102)</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9.3 (7.2 – 12)</w:t>
            </w:r>
          </w:p>
          <w:p w:rsidR="00B66CB8" w:rsidRPr="00A16B88" w:rsidRDefault="00B66CB8" w:rsidP="007E305C">
            <w:pPr>
              <w:tabs>
                <w:tab w:val="left" w:pos="1720"/>
              </w:tabs>
              <w:jc w:val="center"/>
            </w:pPr>
            <w:r w:rsidRPr="00A16B88">
              <w:t>4.1 (2.9 – 6)</w:t>
            </w:r>
          </w:p>
          <w:p w:rsidR="00B66CB8" w:rsidRPr="00A16B88" w:rsidRDefault="00B66CB8" w:rsidP="007E305C">
            <w:pPr>
              <w:tabs>
                <w:tab w:val="left" w:pos="1720"/>
              </w:tabs>
              <w:jc w:val="center"/>
            </w:pPr>
            <w:r w:rsidRPr="00A16B88">
              <w:t>8 (3.9 – 16.8)</w:t>
            </w:r>
          </w:p>
          <w:p w:rsidR="00B66CB8" w:rsidRPr="00A16B88" w:rsidRDefault="00B66CB8" w:rsidP="007E305C">
            <w:pPr>
              <w:tabs>
                <w:tab w:val="left" w:pos="1720"/>
              </w:tabs>
              <w:jc w:val="center"/>
            </w:pPr>
            <w:r w:rsidRPr="00A16B88">
              <w:t>26 (2 – 122)</w:t>
            </w:r>
          </w:p>
        </w:tc>
        <w:tc>
          <w:tcPr>
            <w:tcW w:w="1646"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9.8</w:t>
            </w:r>
          </w:p>
          <w:p w:rsidR="00B66CB8" w:rsidRPr="00A16B88" w:rsidRDefault="00B66CB8" w:rsidP="007E305C">
            <w:pPr>
              <w:tabs>
                <w:tab w:val="left" w:pos="1720"/>
              </w:tabs>
              <w:jc w:val="center"/>
            </w:pPr>
            <w:r w:rsidRPr="00A16B88">
              <w:t>5.1</w:t>
            </w:r>
          </w:p>
          <w:p w:rsidR="00B66CB8" w:rsidRPr="00A16B88" w:rsidRDefault="00B66CB8" w:rsidP="007E305C">
            <w:pPr>
              <w:tabs>
                <w:tab w:val="left" w:pos="1720"/>
              </w:tabs>
              <w:jc w:val="center"/>
            </w:pPr>
            <w:r w:rsidRPr="00A16B88">
              <w:t>11</w:t>
            </w:r>
          </w:p>
          <w:p w:rsidR="00B66CB8" w:rsidRPr="00A16B88" w:rsidRDefault="00B66CB8" w:rsidP="007E305C">
            <w:pPr>
              <w:tabs>
                <w:tab w:val="left" w:pos="1720"/>
              </w:tabs>
              <w:jc w:val="center"/>
            </w:pPr>
            <w:r w:rsidRPr="00A16B88">
              <w:t>9</w:t>
            </w:r>
          </w:p>
        </w:tc>
      </w:tr>
      <w:tr w:rsidR="00B66CB8" w:rsidRPr="00A16B88" w:rsidTr="007E305C">
        <w:trPr>
          <w:trHeight w:val="269"/>
        </w:trPr>
        <w:tc>
          <w:tcPr>
            <w:tcW w:w="2039" w:type="dxa"/>
          </w:tcPr>
          <w:p w:rsidR="00B66CB8" w:rsidRPr="00A16B88" w:rsidRDefault="00B66CB8" w:rsidP="007E305C">
            <w:pPr>
              <w:tabs>
                <w:tab w:val="left" w:pos="1720"/>
              </w:tabs>
              <w:jc w:val="center"/>
              <w:rPr>
                <w:b/>
              </w:rPr>
            </w:pPr>
            <w:r w:rsidRPr="00A16B88">
              <w:rPr>
                <w:b/>
              </w:rPr>
              <w:t>Outcome at discharge:</w:t>
            </w:r>
          </w:p>
          <w:p w:rsidR="00B66CB8" w:rsidRPr="00A16B88" w:rsidRDefault="00B66CB8" w:rsidP="007E305C">
            <w:pPr>
              <w:tabs>
                <w:tab w:val="left" w:pos="1720"/>
              </w:tabs>
              <w:jc w:val="center"/>
            </w:pPr>
            <w:r w:rsidRPr="00A16B88">
              <w:t>Recovered</w:t>
            </w:r>
          </w:p>
          <w:p w:rsidR="00B66CB8" w:rsidRPr="00A16B88" w:rsidRDefault="00B66CB8" w:rsidP="007E305C">
            <w:pPr>
              <w:tabs>
                <w:tab w:val="left" w:pos="1720"/>
              </w:tabs>
              <w:jc w:val="center"/>
            </w:pPr>
            <w:r w:rsidRPr="00A16B88">
              <w:t>Sequale</w:t>
            </w:r>
          </w:p>
          <w:p w:rsidR="00B66CB8" w:rsidRPr="00A16B88" w:rsidRDefault="00B66CB8" w:rsidP="007E305C">
            <w:pPr>
              <w:tabs>
                <w:tab w:val="left" w:pos="1720"/>
              </w:tabs>
              <w:jc w:val="center"/>
              <w:rPr>
                <w:b/>
              </w:rPr>
            </w:pPr>
            <w:r w:rsidRPr="00A16B88">
              <w:t>Died</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65 (97)</w:t>
            </w:r>
          </w:p>
          <w:p w:rsidR="00B66CB8" w:rsidRPr="00A16B88" w:rsidRDefault="00B66CB8" w:rsidP="007E305C">
            <w:pPr>
              <w:tabs>
                <w:tab w:val="left" w:pos="1720"/>
              </w:tabs>
              <w:jc w:val="center"/>
            </w:pPr>
            <w:r w:rsidRPr="00A16B88">
              <w:t>2 (3)</w:t>
            </w:r>
          </w:p>
          <w:p w:rsidR="00B66CB8" w:rsidRPr="00A16B88" w:rsidRDefault="00B66CB8" w:rsidP="007E305C">
            <w:pPr>
              <w:tabs>
                <w:tab w:val="left" w:pos="1720"/>
              </w:tabs>
              <w:jc w:val="center"/>
            </w:pPr>
            <w:r w:rsidRPr="00A16B88">
              <w:t>0</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202 (98)</w:t>
            </w:r>
          </w:p>
          <w:p w:rsidR="00B66CB8" w:rsidRPr="00A16B88" w:rsidRDefault="00B66CB8" w:rsidP="007E305C">
            <w:pPr>
              <w:tabs>
                <w:tab w:val="left" w:pos="1720"/>
              </w:tabs>
              <w:jc w:val="center"/>
            </w:pPr>
            <w:r w:rsidRPr="00A16B88">
              <w:t>3 (1)</w:t>
            </w:r>
          </w:p>
          <w:p w:rsidR="00B66CB8" w:rsidRPr="00A16B88" w:rsidRDefault="00B66CB8" w:rsidP="007E305C">
            <w:pPr>
              <w:tabs>
                <w:tab w:val="left" w:pos="1720"/>
              </w:tabs>
              <w:jc w:val="center"/>
            </w:pPr>
            <w:r w:rsidRPr="00A16B88">
              <w:t>2 (1)</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340 (98)</w:t>
            </w:r>
          </w:p>
          <w:p w:rsidR="00B66CB8" w:rsidRPr="00A16B88" w:rsidRDefault="00B66CB8" w:rsidP="007E305C">
            <w:pPr>
              <w:tabs>
                <w:tab w:val="left" w:pos="1720"/>
              </w:tabs>
              <w:jc w:val="center"/>
            </w:pPr>
            <w:r w:rsidRPr="00A16B88">
              <w:t>8 (2)</w:t>
            </w:r>
          </w:p>
          <w:p w:rsidR="00B66CB8" w:rsidRPr="00A16B88" w:rsidRDefault="00B66CB8" w:rsidP="007E305C">
            <w:pPr>
              <w:tabs>
                <w:tab w:val="left" w:pos="1720"/>
              </w:tabs>
              <w:jc w:val="center"/>
            </w:pPr>
            <w:r w:rsidRPr="00A16B88">
              <w:t>0</w:t>
            </w:r>
          </w:p>
        </w:tc>
        <w:tc>
          <w:tcPr>
            <w:tcW w:w="1646"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607 (98)</w:t>
            </w:r>
          </w:p>
          <w:p w:rsidR="00B66CB8" w:rsidRPr="00A16B88" w:rsidRDefault="00B66CB8" w:rsidP="007E305C">
            <w:pPr>
              <w:tabs>
                <w:tab w:val="left" w:pos="1720"/>
              </w:tabs>
              <w:jc w:val="center"/>
            </w:pPr>
            <w:r w:rsidRPr="00A16B88">
              <w:t>13 (2)</w:t>
            </w:r>
          </w:p>
          <w:p w:rsidR="00B66CB8" w:rsidRPr="00A16B88" w:rsidRDefault="00B66CB8" w:rsidP="007E305C">
            <w:pPr>
              <w:tabs>
                <w:tab w:val="left" w:pos="1720"/>
              </w:tabs>
              <w:jc w:val="center"/>
            </w:pPr>
            <w:r w:rsidRPr="00A16B88">
              <w:t>2 (0)</w:t>
            </w:r>
          </w:p>
        </w:tc>
      </w:tr>
      <w:tr w:rsidR="00B66CB8" w:rsidRPr="00A16B88" w:rsidTr="007E305C">
        <w:trPr>
          <w:trHeight w:val="269"/>
        </w:trPr>
        <w:tc>
          <w:tcPr>
            <w:tcW w:w="2039" w:type="dxa"/>
          </w:tcPr>
          <w:p w:rsidR="00B66CB8" w:rsidRPr="00A16B88" w:rsidRDefault="00B66CB8" w:rsidP="007E305C">
            <w:pPr>
              <w:tabs>
                <w:tab w:val="left" w:pos="1720"/>
              </w:tabs>
              <w:jc w:val="center"/>
              <w:rPr>
                <w:b/>
              </w:rPr>
            </w:pPr>
            <w:r w:rsidRPr="00A16B88">
              <w:rPr>
                <w:b/>
              </w:rPr>
              <w:t>Serotype</w:t>
            </w:r>
          </w:p>
          <w:p w:rsidR="00B66CB8" w:rsidRPr="00A16B88" w:rsidRDefault="00B66CB8" w:rsidP="007E305C">
            <w:pPr>
              <w:tabs>
                <w:tab w:val="left" w:pos="1720"/>
              </w:tabs>
              <w:jc w:val="center"/>
            </w:pPr>
            <w:r w:rsidRPr="00A16B88">
              <w:t>Coxsackie B4</w:t>
            </w:r>
          </w:p>
          <w:p w:rsidR="00B66CB8" w:rsidRPr="00A16B88" w:rsidRDefault="00B66CB8" w:rsidP="007E305C">
            <w:pPr>
              <w:tabs>
                <w:tab w:val="left" w:pos="1720"/>
              </w:tabs>
              <w:jc w:val="center"/>
            </w:pPr>
            <w:r w:rsidRPr="00A16B88">
              <w:t>Coxsackie B5</w:t>
            </w:r>
          </w:p>
          <w:p w:rsidR="00B66CB8" w:rsidRPr="00A16B88" w:rsidRDefault="00B66CB8" w:rsidP="007E305C">
            <w:pPr>
              <w:tabs>
                <w:tab w:val="left" w:pos="1720"/>
              </w:tabs>
              <w:jc w:val="center"/>
            </w:pPr>
            <w:r w:rsidRPr="00A16B88">
              <w:t>Echovirus 7</w:t>
            </w:r>
          </w:p>
          <w:p w:rsidR="00B66CB8" w:rsidRPr="00A16B88" w:rsidRDefault="00B66CB8" w:rsidP="007E305C">
            <w:pPr>
              <w:tabs>
                <w:tab w:val="left" w:pos="1720"/>
              </w:tabs>
              <w:jc w:val="center"/>
            </w:pPr>
            <w:r w:rsidRPr="00A16B88">
              <w:t>Echovirus 9</w:t>
            </w:r>
          </w:p>
          <w:p w:rsidR="00B66CB8" w:rsidRPr="00A16B88" w:rsidRDefault="00B66CB8" w:rsidP="007E305C">
            <w:pPr>
              <w:tabs>
                <w:tab w:val="left" w:pos="1720"/>
              </w:tabs>
              <w:jc w:val="center"/>
            </w:pPr>
            <w:r w:rsidRPr="00A16B88">
              <w:t>Echovirus 11</w:t>
            </w:r>
          </w:p>
          <w:p w:rsidR="00B66CB8" w:rsidRPr="00A16B88" w:rsidRDefault="00B66CB8" w:rsidP="007E305C">
            <w:pPr>
              <w:tabs>
                <w:tab w:val="left" w:pos="1720"/>
              </w:tabs>
              <w:jc w:val="center"/>
            </w:pPr>
            <w:r w:rsidRPr="00A16B88">
              <w:t>Echovirus 18</w:t>
            </w:r>
          </w:p>
          <w:p w:rsidR="00B66CB8" w:rsidRPr="00A16B88" w:rsidRDefault="00B66CB8" w:rsidP="007E305C">
            <w:pPr>
              <w:tabs>
                <w:tab w:val="left" w:pos="1720"/>
              </w:tabs>
              <w:jc w:val="center"/>
            </w:pPr>
            <w:r w:rsidRPr="00A16B88">
              <w:t>Echovirus 25</w:t>
            </w:r>
          </w:p>
          <w:p w:rsidR="00B66CB8" w:rsidRPr="00A16B88" w:rsidRDefault="00B66CB8" w:rsidP="007E305C">
            <w:pPr>
              <w:tabs>
                <w:tab w:val="left" w:pos="1720"/>
              </w:tabs>
              <w:jc w:val="center"/>
            </w:pPr>
            <w:r w:rsidRPr="00A16B88">
              <w:t xml:space="preserve">Echovirus 30 </w:t>
            </w:r>
          </w:p>
          <w:p w:rsidR="00B66CB8" w:rsidRPr="00A16B88" w:rsidRDefault="00B66CB8" w:rsidP="007E305C">
            <w:pPr>
              <w:tabs>
                <w:tab w:val="left" w:pos="1720"/>
              </w:tabs>
              <w:jc w:val="center"/>
            </w:pPr>
            <w:r w:rsidRPr="00A16B88">
              <w:t>Enterovirus 71</w:t>
            </w:r>
          </w:p>
          <w:p w:rsidR="00B66CB8" w:rsidRPr="00A16B88" w:rsidRDefault="00B66CB8" w:rsidP="007E305C">
            <w:pPr>
              <w:tabs>
                <w:tab w:val="left" w:pos="1720"/>
              </w:tabs>
              <w:jc w:val="center"/>
              <w:rPr>
                <w:b/>
              </w:rPr>
            </w:pPr>
            <w:r w:rsidRPr="00A16B88">
              <w:t>Untyped</w:t>
            </w:r>
          </w:p>
        </w:tc>
        <w:tc>
          <w:tcPr>
            <w:tcW w:w="1775" w:type="dxa"/>
          </w:tcPr>
          <w:p w:rsidR="00B66CB8" w:rsidRPr="00A16B88" w:rsidRDefault="00B66CB8" w:rsidP="007E305C">
            <w:pPr>
              <w:tabs>
                <w:tab w:val="left" w:pos="1720"/>
              </w:tabs>
            </w:pPr>
          </w:p>
          <w:p w:rsidR="00B66CB8" w:rsidRPr="00A16B88" w:rsidRDefault="00B66CB8" w:rsidP="007E305C">
            <w:pPr>
              <w:tabs>
                <w:tab w:val="left" w:pos="1720"/>
              </w:tabs>
              <w:jc w:val="center"/>
            </w:pPr>
            <w:r w:rsidRPr="00A16B88">
              <w:t>4 (10)</w:t>
            </w:r>
          </w:p>
          <w:p w:rsidR="00B66CB8" w:rsidRPr="00A16B88" w:rsidRDefault="00B66CB8" w:rsidP="007E305C">
            <w:pPr>
              <w:tabs>
                <w:tab w:val="left" w:pos="1720"/>
              </w:tabs>
              <w:jc w:val="center"/>
            </w:pPr>
            <w:r w:rsidRPr="00A16B88">
              <w:t>1 (2)</w:t>
            </w:r>
          </w:p>
          <w:p w:rsidR="00B66CB8" w:rsidRPr="00A16B88" w:rsidRDefault="00B66CB8" w:rsidP="007E305C">
            <w:pPr>
              <w:tabs>
                <w:tab w:val="left" w:pos="1720"/>
              </w:tabs>
              <w:jc w:val="center"/>
            </w:pPr>
            <w:r w:rsidRPr="00A16B88">
              <w:t>3 (7)</w:t>
            </w:r>
          </w:p>
          <w:p w:rsidR="00B66CB8" w:rsidRPr="00A16B88" w:rsidRDefault="00B66CB8" w:rsidP="007E305C">
            <w:pPr>
              <w:tabs>
                <w:tab w:val="left" w:pos="1720"/>
              </w:tabs>
              <w:jc w:val="center"/>
            </w:pPr>
            <w:r w:rsidRPr="00A16B88">
              <w:t>9 (22)</w:t>
            </w:r>
          </w:p>
          <w:p w:rsidR="00B66CB8" w:rsidRPr="00A16B88" w:rsidRDefault="00B66CB8" w:rsidP="007E305C">
            <w:pPr>
              <w:tabs>
                <w:tab w:val="left" w:pos="1720"/>
              </w:tabs>
              <w:jc w:val="center"/>
            </w:pPr>
            <w:r w:rsidRPr="00A16B88">
              <w:t>4 (10)</w:t>
            </w:r>
          </w:p>
          <w:p w:rsidR="00B66CB8" w:rsidRPr="00A16B88" w:rsidRDefault="00B66CB8" w:rsidP="007E305C">
            <w:pPr>
              <w:tabs>
                <w:tab w:val="left" w:pos="1720"/>
              </w:tabs>
              <w:jc w:val="center"/>
            </w:pPr>
            <w:r w:rsidRPr="00A16B88">
              <w:t>4 (10)</w:t>
            </w:r>
          </w:p>
          <w:p w:rsidR="00B66CB8" w:rsidRPr="00A16B88" w:rsidRDefault="00B66CB8" w:rsidP="007E305C">
            <w:pPr>
              <w:tabs>
                <w:tab w:val="left" w:pos="1720"/>
              </w:tabs>
              <w:jc w:val="center"/>
            </w:pPr>
            <w:r w:rsidRPr="00A16B88">
              <w:t>3 (7)</w:t>
            </w:r>
          </w:p>
          <w:p w:rsidR="00B66CB8" w:rsidRPr="00A16B88" w:rsidRDefault="00B66CB8" w:rsidP="007E305C">
            <w:pPr>
              <w:tabs>
                <w:tab w:val="left" w:pos="1720"/>
              </w:tabs>
              <w:jc w:val="center"/>
            </w:pPr>
            <w:r w:rsidRPr="00A16B88">
              <w:t>1 (2)</w:t>
            </w:r>
          </w:p>
          <w:p w:rsidR="00B66CB8" w:rsidRPr="00A16B88" w:rsidRDefault="00B66CB8" w:rsidP="007E305C">
            <w:pPr>
              <w:tabs>
                <w:tab w:val="left" w:pos="1720"/>
              </w:tabs>
              <w:jc w:val="center"/>
            </w:pPr>
            <w:r w:rsidRPr="00A16B88">
              <w:t>1 (2)</w:t>
            </w:r>
          </w:p>
          <w:p w:rsidR="00B66CB8" w:rsidRPr="00A16B88" w:rsidRDefault="00B66CB8" w:rsidP="007E305C">
            <w:pPr>
              <w:tabs>
                <w:tab w:val="left" w:pos="1720"/>
              </w:tabs>
              <w:jc w:val="center"/>
            </w:pPr>
            <w:r w:rsidRPr="00A16B88">
              <w:t>5 (12)</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8 (6)</w:t>
            </w:r>
          </w:p>
          <w:p w:rsidR="00B66CB8" w:rsidRPr="00A16B88" w:rsidRDefault="00B66CB8" w:rsidP="007E305C">
            <w:pPr>
              <w:tabs>
                <w:tab w:val="left" w:pos="1720"/>
              </w:tabs>
              <w:jc w:val="center"/>
            </w:pPr>
            <w:r w:rsidRPr="00A16B88">
              <w:t>11 (8)</w:t>
            </w:r>
          </w:p>
          <w:p w:rsidR="00B66CB8" w:rsidRPr="00A16B88" w:rsidRDefault="00B66CB8" w:rsidP="007E305C">
            <w:pPr>
              <w:tabs>
                <w:tab w:val="left" w:pos="1720"/>
              </w:tabs>
              <w:jc w:val="center"/>
            </w:pPr>
            <w:r w:rsidRPr="00A16B88">
              <w:t>12 (9)</w:t>
            </w:r>
          </w:p>
          <w:p w:rsidR="00B66CB8" w:rsidRPr="00A16B88" w:rsidRDefault="00B66CB8" w:rsidP="007E305C">
            <w:pPr>
              <w:tabs>
                <w:tab w:val="left" w:pos="1720"/>
              </w:tabs>
              <w:jc w:val="center"/>
            </w:pPr>
            <w:r w:rsidRPr="00A16B88">
              <w:t>18 (13)</w:t>
            </w:r>
          </w:p>
          <w:p w:rsidR="00B66CB8" w:rsidRPr="00A16B88" w:rsidRDefault="00B66CB8" w:rsidP="007E305C">
            <w:pPr>
              <w:tabs>
                <w:tab w:val="left" w:pos="1720"/>
              </w:tabs>
              <w:jc w:val="center"/>
            </w:pPr>
            <w:r w:rsidRPr="00A16B88">
              <w:t>3 (2)</w:t>
            </w:r>
          </w:p>
          <w:p w:rsidR="00B66CB8" w:rsidRPr="00A16B88" w:rsidRDefault="00B66CB8" w:rsidP="007E305C">
            <w:pPr>
              <w:tabs>
                <w:tab w:val="left" w:pos="1720"/>
              </w:tabs>
              <w:jc w:val="center"/>
            </w:pPr>
            <w:r w:rsidRPr="00A16B88">
              <w:t>13 (9)</w:t>
            </w:r>
          </w:p>
          <w:p w:rsidR="00B66CB8" w:rsidRPr="00A16B88" w:rsidRDefault="00B66CB8" w:rsidP="007E305C">
            <w:pPr>
              <w:tabs>
                <w:tab w:val="left" w:pos="1720"/>
              </w:tabs>
              <w:jc w:val="center"/>
            </w:pPr>
            <w:r w:rsidRPr="00A16B88">
              <w:t>4 (3)</w:t>
            </w:r>
          </w:p>
          <w:p w:rsidR="00B66CB8" w:rsidRPr="00A16B88" w:rsidRDefault="00B66CB8" w:rsidP="007E305C">
            <w:pPr>
              <w:tabs>
                <w:tab w:val="left" w:pos="1720"/>
              </w:tabs>
              <w:jc w:val="center"/>
            </w:pPr>
            <w:r w:rsidRPr="00A16B88">
              <w:t>7 (5)</w:t>
            </w:r>
          </w:p>
          <w:p w:rsidR="00B66CB8" w:rsidRPr="00A16B88" w:rsidRDefault="00B66CB8" w:rsidP="007E305C">
            <w:pPr>
              <w:tabs>
                <w:tab w:val="left" w:pos="1720"/>
              </w:tabs>
              <w:jc w:val="center"/>
            </w:pPr>
            <w:r w:rsidRPr="00A16B88">
              <w:t>10 (7)</w:t>
            </w:r>
          </w:p>
          <w:p w:rsidR="00B66CB8" w:rsidRPr="00A16B88" w:rsidRDefault="00B66CB8" w:rsidP="007E305C">
            <w:pPr>
              <w:tabs>
                <w:tab w:val="left" w:pos="1720"/>
              </w:tabs>
              <w:jc w:val="center"/>
            </w:pPr>
            <w:r w:rsidRPr="00A16B88">
              <w:t>33 (24)</w:t>
            </w:r>
          </w:p>
        </w:tc>
        <w:tc>
          <w:tcPr>
            <w:tcW w:w="1775"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16 (6)</w:t>
            </w:r>
          </w:p>
          <w:p w:rsidR="00B66CB8" w:rsidRPr="00A16B88" w:rsidRDefault="00B66CB8" w:rsidP="007E305C">
            <w:pPr>
              <w:tabs>
                <w:tab w:val="left" w:pos="1720"/>
              </w:tabs>
              <w:jc w:val="center"/>
            </w:pPr>
            <w:r w:rsidRPr="00A16B88">
              <w:t>20 (7)</w:t>
            </w:r>
          </w:p>
          <w:p w:rsidR="00B66CB8" w:rsidRPr="00A16B88" w:rsidRDefault="00B66CB8" w:rsidP="007E305C">
            <w:pPr>
              <w:tabs>
                <w:tab w:val="left" w:pos="1720"/>
              </w:tabs>
              <w:jc w:val="center"/>
            </w:pPr>
            <w:r w:rsidRPr="00A16B88">
              <w:t>24 (9)</w:t>
            </w:r>
          </w:p>
          <w:p w:rsidR="00B66CB8" w:rsidRPr="00A16B88" w:rsidRDefault="00B66CB8" w:rsidP="007E305C">
            <w:pPr>
              <w:tabs>
                <w:tab w:val="left" w:pos="1720"/>
              </w:tabs>
              <w:jc w:val="center"/>
            </w:pPr>
            <w:r w:rsidRPr="00A16B88">
              <w:t>48 (18)</w:t>
            </w:r>
          </w:p>
          <w:p w:rsidR="00B66CB8" w:rsidRPr="00A16B88" w:rsidRDefault="00B66CB8" w:rsidP="007E305C">
            <w:pPr>
              <w:tabs>
                <w:tab w:val="left" w:pos="1720"/>
              </w:tabs>
              <w:jc w:val="center"/>
            </w:pPr>
            <w:r w:rsidRPr="00A16B88">
              <w:t>12 (4)</w:t>
            </w:r>
          </w:p>
          <w:p w:rsidR="00B66CB8" w:rsidRPr="00A16B88" w:rsidRDefault="00B66CB8" w:rsidP="007E305C">
            <w:pPr>
              <w:tabs>
                <w:tab w:val="left" w:pos="1720"/>
              </w:tabs>
              <w:jc w:val="center"/>
            </w:pPr>
            <w:r w:rsidRPr="00A16B88">
              <w:t>26 (10)</w:t>
            </w:r>
          </w:p>
          <w:p w:rsidR="00B66CB8" w:rsidRPr="00A16B88" w:rsidRDefault="00B66CB8" w:rsidP="007E305C">
            <w:pPr>
              <w:tabs>
                <w:tab w:val="left" w:pos="1720"/>
              </w:tabs>
              <w:jc w:val="center"/>
            </w:pPr>
            <w:r w:rsidRPr="00A16B88">
              <w:t>18 (7)</w:t>
            </w:r>
          </w:p>
          <w:p w:rsidR="00B66CB8" w:rsidRPr="00A16B88" w:rsidRDefault="00B66CB8" w:rsidP="007E305C">
            <w:pPr>
              <w:tabs>
                <w:tab w:val="left" w:pos="1720"/>
              </w:tabs>
              <w:jc w:val="center"/>
            </w:pPr>
            <w:r w:rsidRPr="00A16B88">
              <w:t>9 (3)</w:t>
            </w:r>
          </w:p>
          <w:p w:rsidR="00B66CB8" w:rsidRPr="00A16B88" w:rsidRDefault="00B66CB8" w:rsidP="007E305C">
            <w:pPr>
              <w:tabs>
                <w:tab w:val="left" w:pos="1720"/>
              </w:tabs>
              <w:jc w:val="center"/>
            </w:pPr>
            <w:r w:rsidRPr="00A16B88">
              <w:t>6 (2)</w:t>
            </w:r>
          </w:p>
          <w:p w:rsidR="00B66CB8" w:rsidRPr="00A16B88" w:rsidRDefault="00B66CB8" w:rsidP="007E305C">
            <w:pPr>
              <w:tabs>
                <w:tab w:val="left" w:pos="1720"/>
              </w:tabs>
              <w:jc w:val="center"/>
            </w:pPr>
            <w:r w:rsidRPr="00A16B88">
              <w:t>55 (21)</w:t>
            </w:r>
          </w:p>
        </w:tc>
        <w:tc>
          <w:tcPr>
            <w:tcW w:w="1646" w:type="dxa"/>
          </w:tcPr>
          <w:p w:rsidR="00B66CB8" w:rsidRPr="00A16B88" w:rsidRDefault="00B66CB8" w:rsidP="007E305C">
            <w:pPr>
              <w:tabs>
                <w:tab w:val="left" w:pos="1720"/>
              </w:tabs>
              <w:jc w:val="center"/>
            </w:pPr>
          </w:p>
          <w:p w:rsidR="00B66CB8" w:rsidRPr="00A16B88" w:rsidRDefault="00B66CB8" w:rsidP="007E305C">
            <w:pPr>
              <w:tabs>
                <w:tab w:val="left" w:pos="1720"/>
              </w:tabs>
              <w:jc w:val="center"/>
            </w:pPr>
            <w:r w:rsidRPr="00A16B88">
              <w:t>28 (7)</w:t>
            </w:r>
          </w:p>
          <w:p w:rsidR="00B66CB8" w:rsidRPr="00A16B88" w:rsidRDefault="00B66CB8" w:rsidP="007E305C">
            <w:pPr>
              <w:tabs>
                <w:tab w:val="left" w:pos="1720"/>
              </w:tabs>
              <w:jc w:val="center"/>
            </w:pPr>
            <w:r w:rsidRPr="00A16B88">
              <w:t>32 (8)</w:t>
            </w:r>
          </w:p>
          <w:p w:rsidR="00B66CB8" w:rsidRPr="00A16B88" w:rsidRDefault="00B66CB8" w:rsidP="007E305C">
            <w:pPr>
              <w:tabs>
                <w:tab w:val="left" w:pos="1720"/>
              </w:tabs>
              <w:jc w:val="center"/>
            </w:pPr>
            <w:r w:rsidRPr="00A16B88">
              <w:t>39 (10)</w:t>
            </w:r>
          </w:p>
          <w:p w:rsidR="00B66CB8" w:rsidRPr="00A16B88" w:rsidRDefault="00B66CB8" w:rsidP="007E305C">
            <w:pPr>
              <w:tabs>
                <w:tab w:val="left" w:pos="1720"/>
              </w:tabs>
              <w:jc w:val="center"/>
            </w:pPr>
            <w:r w:rsidRPr="00A16B88">
              <w:t>75 (20)</w:t>
            </w:r>
          </w:p>
          <w:p w:rsidR="00B66CB8" w:rsidRPr="00A16B88" w:rsidRDefault="00B66CB8" w:rsidP="007E305C">
            <w:pPr>
              <w:tabs>
                <w:tab w:val="left" w:pos="1720"/>
              </w:tabs>
              <w:jc w:val="center"/>
            </w:pPr>
            <w:r w:rsidRPr="00A16B88">
              <w:t>19 (5)</w:t>
            </w:r>
          </w:p>
          <w:p w:rsidR="00B66CB8" w:rsidRPr="00A16B88" w:rsidRDefault="00B66CB8" w:rsidP="007E305C">
            <w:pPr>
              <w:tabs>
                <w:tab w:val="left" w:pos="1720"/>
              </w:tabs>
              <w:jc w:val="center"/>
            </w:pPr>
            <w:r w:rsidRPr="00A16B88">
              <w:t>43 (12)</w:t>
            </w:r>
          </w:p>
          <w:p w:rsidR="00B66CB8" w:rsidRPr="00A16B88" w:rsidRDefault="00B66CB8" w:rsidP="007E305C">
            <w:pPr>
              <w:tabs>
                <w:tab w:val="left" w:pos="1720"/>
              </w:tabs>
              <w:jc w:val="center"/>
            </w:pPr>
            <w:r w:rsidRPr="00A16B88">
              <w:t>25 (6)</w:t>
            </w:r>
          </w:p>
          <w:p w:rsidR="00B66CB8" w:rsidRPr="00A16B88" w:rsidRDefault="00B66CB8" w:rsidP="007E305C">
            <w:pPr>
              <w:tabs>
                <w:tab w:val="left" w:pos="1720"/>
              </w:tabs>
              <w:jc w:val="center"/>
            </w:pPr>
            <w:r w:rsidRPr="00A16B88">
              <w:t>17 (4)</w:t>
            </w:r>
          </w:p>
          <w:p w:rsidR="00B66CB8" w:rsidRPr="00A16B88" w:rsidRDefault="00B66CB8" w:rsidP="007E305C">
            <w:pPr>
              <w:tabs>
                <w:tab w:val="left" w:pos="1720"/>
              </w:tabs>
              <w:jc w:val="center"/>
            </w:pPr>
            <w:r w:rsidRPr="00A16B88">
              <w:t>17 (4)</w:t>
            </w:r>
          </w:p>
          <w:p w:rsidR="00B66CB8" w:rsidRPr="00A16B88" w:rsidRDefault="00B66CB8" w:rsidP="007E305C">
            <w:pPr>
              <w:tabs>
                <w:tab w:val="left" w:pos="1720"/>
              </w:tabs>
              <w:jc w:val="center"/>
            </w:pPr>
            <w:r w:rsidRPr="00A16B88">
              <w:t>93 (24)</w:t>
            </w:r>
          </w:p>
        </w:tc>
      </w:tr>
    </w:tbl>
    <w:p w:rsidR="00B66CB8" w:rsidRPr="00A16B88" w:rsidRDefault="00B66CB8" w:rsidP="00B66CB8">
      <w:pPr>
        <w:tabs>
          <w:tab w:val="left" w:pos="1720"/>
        </w:tabs>
        <w:outlineLvl w:val="0"/>
        <w:rPr>
          <w:i/>
          <w:sz w:val="20"/>
        </w:rPr>
      </w:pPr>
      <w:r w:rsidRPr="00A16B88">
        <w:rPr>
          <w:i/>
          <w:sz w:val="20"/>
        </w:rPr>
        <w:t>Data are presented as numbers of cases (%)</w:t>
      </w:r>
    </w:p>
    <w:p w:rsidR="00B66CB8" w:rsidRPr="00A16B88" w:rsidRDefault="00B66CB8" w:rsidP="00B66CB8">
      <w:pPr>
        <w:tabs>
          <w:tab w:val="left" w:pos="1720"/>
        </w:tabs>
        <w:rPr>
          <w:b/>
        </w:rPr>
      </w:pPr>
    </w:p>
    <w:p w:rsidR="00B66CB8" w:rsidRPr="00A16B88" w:rsidRDefault="00B66CB8" w:rsidP="00B66CB8">
      <w:pPr>
        <w:tabs>
          <w:tab w:val="left" w:pos="2093"/>
        </w:tabs>
        <w:outlineLvl w:val="0"/>
        <w:rPr>
          <w:b/>
        </w:rPr>
      </w:pPr>
      <w:r w:rsidRPr="00A16B88">
        <w:rPr>
          <w:b/>
        </w:rPr>
        <w:t xml:space="preserve">Table 2: </w:t>
      </w:r>
      <w:r w:rsidRPr="00A16B88">
        <w:t>Characteristics of infants aged &lt;90 day with EV and HPeV meningitis in the United Kingdom and Ireland during July 2014 to July 2015 inclusive</w:t>
      </w:r>
    </w:p>
    <w:p w:rsidR="00B66CB8" w:rsidRPr="00A16B88" w:rsidRDefault="00B66CB8" w:rsidP="00B66CB8">
      <w:pPr>
        <w:tabs>
          <w:tab w:val="left" w:pos="1720"/>
        </w:tabs>
        <w:sectPr w:rsidR="00B66CB8" w:rsidRPr="00A16B88" w:rsidSect="00537792">
          <w:type w:val="continuous"/>
          <w:pgSz w:w="11900" w:h="16840"/>
          <w:pgMar w:top="1440" w:right="1440" w:bottom="1440" w:left="1440" w:header="708" w:footer="708" w:gutter="0"/>
          <w:cols w:space="708"/>
          <w:docGrid w:linePitch="360"/>
        </w:sectPr>
      </w:pPr>
      <w:r w:rsidRPr="00A16B88">
        <w:t xml:space="preserve">EV= enterovirus;  HPeV = Human parechovirus;  PICU = Paediatric intensive Care Unit; HDU = High Dependency unit;  PAU=Paediatric Assessment Unit;   CSF = Cerebrospinal fluid; WCC = white cell count; CRP = C reactive protein </w:t>
      </w:r>
    </w:p>
    <w:p w:rsidR="00B66CB8" w:rsidRPr="00A16B88" w:rsidRDefault="00B66CB8" w:rsidP="00B66CB8"/>
    <w:tbl>
      <w:tblPr>
        <w:tblStyle w:val="TableGrid"/>
        <w:tblW w:w="13716" w:type="dxa"/>
        <w:tblLook w:val="04A0" w:firstRow="1" w:lastRow="0" w:firstColumn="1" w:lastColumn="0" w:noHBand="0" w:noVBand="1"/>
      </w:tblPr>
      <w:tblGrid>
        <w:gridCol w:w="2234"/>
        <w:gridCol w:w="2127"/>
        <w:gridCol w:w="2126"/>
        <w:gridCol w:w="2552"/>
        <w:gridCol w:w="2126"/>
        <w:gridCol w:w="2551"/>
      </w:tblGrid>
      <w:tr w:rsidR="00B66CB8" w:rsidRPr="00A16B88" w:rsidTr="007E305C">
        <w:trPr>
          <w:trHeight w:val="326"/>
        </w:trPr>
        <w:tc>
          <w:tcPr>
            <w:tcW w:w="2234" w:type="dxa"/>
          </w:tcPr>
          <w:p w:rsidR="00B66CB8" w:rsidRPr="00A16B88" w:rsidRDefault="00B66CB8" w:rsidP="007E305C">
            <w:pPr>
              <w:jc w:val="center"/>
              <w:rPr>
                <w:b/>
                <w:sz w:val="20"/>
                <w:szCs w:val="20"/>
              </w:rPr>
            </w:pPr>
          </w:p>
        </w:tc>
        <w:tc>
          <w:tcPr>
            <w:tcW w:w="2127" w:type="dxa"/>
          </w:tcPr>
          <w:p w:rsidR="00B66CB8" w:rsidRPr="00A16B88" w:rsidRDefault="00B66CB8" w:rsidP="007E305C">
            <w:pPr>
              <w:jc w:val="center"/>
              <w:rPr>
                <w:b/>
                <w:sz w:val="20"/>
                <w:szCs w:val="20"/>
              </w:rPr>
            </w:pPr>
            <w:r w:rsidRPr="00A16B88">
              <w:rPr>
                <w:b/>
                <w:sz w:val="20"/>
                <w:szCs w:val="20"/>
              </w:rPr>
              <w:t>Presenting features</w:t>
            </w:r>
          </w:p>
        </w:tc>
        <w:tc>
          <w:tcPr>
            <w:tcW w:w="2126" w:type="dxa"/>
          </w:tcPr>
          <w:p w:rsidR="00B66CB8" w:rsidRPr="00A16B88" w:rsidRDefault="00B66CB8" w:rsidP="007E305C">
            <w:pPr>
              <w:jc w:val="center"/>
              <w:rPr>
                <w:b/>
                <w:sz w:val="20"/>
                <w:szCs w:val="20"/>
              </w:rPr>
            </w:pPr>
            <w:r w:rsidRPr="00A16B88">
              <w:rPr>
                <w:b/>
                <w:sz w:val="20"/>
                <w:szCs w:val="20"/>
              </w:rPr>
              <w:t xml:space="preserve">Admission to Intensive Care </w:t>
            </w:r>
          </w:p>
        </w:tc>
        <w:tc>
          <w:tcPr>
            <w:tcW w:w="2552" w:type="dxa"/>
          </w:tcPr>
          <w:p w:rsidR="00B66CB8" w:rsidRPr="00A16B88" w:rsidRDefault="00B66CB8" w:rsidP="007E305C">
            <w:pPr>
              <w:jc w:val="center"/>
              <w:rPr>
                <w:b/>
                <w:sz w:val="20"/>
                <w:szCs w:val="20"/>
              </w:rPr>
            </w:pPr>
            <w:r w:rsidRPr="00A16B88">
              <w:rPr>
                <w:b/>
                <w:sz w:val="20"/>
                <w:szCs w:val="20"/>
              </w:rPr>
              <w:t>Neuroimaging findings</w:t>
            </w:r>
          </w:p>
        </w:tc>
        <w:tc>
          <w:tcPr>
            <w:tcW w:w="2126" w:type="dxa"/>
          </w:tcPr>
          <w:p w:rsidR="00B66CB8" w:rsidRPr="00A16B88" w:rsidRDefault="00B66CB8" w:rsidP="007E305C">
            <w:pPr>
              <w:jc w:val="center"/>
              <w:rPr>
                <w:b/>
                <w:sz w:val="20"/>
                <w:szCs w:val="20"/>
              </w:rPr>
            </w:pPr>
            <w:r w:rsidRPr="00A16B88">
              <w:rPr>
                <w:b/>
                <w:sz w:val="20"/>
                <w:szCs w:val="20"/>
              </w:rPr>
              <w:t>Outcome at hospital discharge</w:t>
            </w:r>
          </w:p>
        </w:tc>
        <w:tc>
          <w:tcPr>
            <w:tcW w:w="2551" w:type="dxa"/>
          </w:tcPr>
          <w:p w:rsidR="00B66CB8" w:rsidRPr="00A16B88" w:rsidRDefault="00B66CB8" w:rsidP="007E305C">
            <w:pPr>
              <w:jc w:val="center"/>
              <w:rPr>
                <w:b/>
                <w:sz w:val="20"/>
                <w:szCs w:val="20"/>
              </w:rPr>
            </w:pPr>
            <w:r w:rsidRPr="00A16B88">
              <w:rPr>
                <w:b/>
                <w:sz w:val="20"/>
                <w:szCs w:val="20"/>
              </w:rPr>
              <w:t>Outcome at 12 months</w:t>
            </w:r>
          </w:p>
        </w:tc>
      </w:tr>
      <w:tr w:rsidR="00B66CB8" w:rsidRPr="00A16B88" w:rsidTr="007E305C">
        <w:trPr>
          <w:trHeight w:val="200"/>
        </w:trPr>
        <w:tc>
          <w:tcPr>
            <w:tcW w:w="2234" w:type="dxa"/>
          </w:tcPr>
          <w:p w:rsidR="00B66CB8" w:rsidRPr="00A16B88" w:rsidRDefault="00B66CB8" w:rsidP="007E305C">
            <w:pPr>
              <w:keepNext/>
              <w:keepLines/>
              <w:jc w:val="center"/>
              <w:outlineLvl w:val="4"/>
              <w:rPr>
                <w:rFonts w:asciiTheme="majorHAnsi" w:eastAsiaTheme="majorEastAsia" w:hAnsiTheme="majorHAnsi" w:cstheme="majorBidi"/>
                <w:b/>
                <w:color w:val="1F3763" w:themeColor="accent1" w:themeShade="7F"/>
                <w:sz w:val="20"/>
                <w:szCs w:val="20"/>
              </w:rPr>
            </w:pPr>
            <w:r w:rsidRPr="00A16B88">
              <w:rPr>
                <w:b/>
                <w:sz w:val="20"/>
                <w:szCs w:val="20"/>
              </w:rPr>
              <w:t>EV deaths</w:t>
            </w:r>
          </w:p>
        </w:tc>
        <w:tc>
          <w:tcPr>
            <w:tcW w:w="2127" w:type="dxa"/>
          </w:tcPr>
          <w:p w:rsidR="00B66CB8" w:rsidRPr="00A16B88" w:rsidRDefault="00B66CB8" w:rsidP="007E305C">
            <w:pPr>
              <w:rPr>
                <w:rFonts w:ascii="Tahoma" w:hAnsi="Tahoma" w:cs="Tahoma"/>
                <w:sz w:val="20"/>
                <w:szCs w:val="20"/>
              </w:rPr>
            </w:pPr>
          </w:p>
        </w:tc>
        <w:tc>
          <w:tcPr>
            <w:tcW w:w="2126" w:type="dxa"/>
          </w:tcPr>
          <w:p w:rsidR="00B66CB8" w:rsidRPr="00A16B88" w:rsidRDefault="00B66CB8" w:rsidP="007E305C">
            <w:pPr>
              <w:rPr>
                <w:rFonts w:ascii="Tahoma" w:hAnsi="Tahoma" w:cs="Tahoma"/>
                <w:sz w:val="20"/>
                <w:szCs w:val="20"/>
              </w:rPr>
            </w:pPr>
          </w:p>
        </w:tc>
        <w:tc>
          <w:tcPr>
            <w:tcW w:w="2552" w:type="dxa"/>
          </w:tcPr>
          <w:p w:rsidR="00B66CB8" w:rsidRPr="00A16B88" w:rsidRDefault="00B66CB8" w:rsidP="007E305C">
            <w:pPr>
              <w:rPr>
                <w:rFonts w:ascii="Tahoma" w:hAnsi="Tahoma" w:cs="Tahoma"/>
                <w:sz w:val="20"/>
                <w:szCs w:val="20"/>
              </w:rPr>
            </w:pPr>
          </w:p>
        </w:tc>
        <w:tc>
          <w:tcPr>
            <w:tcW w:w="2126" w:type="dxa"/>
          </w:tcPr>
          <w:p w:rsidR="00B66CB8" w:rsidRPr="00A16B88" w:rsidRDefault="00B66CB8" w:rsidP="007E305C">
            <w:pPr>
              <w:rPr>
                <w:rFonts w:ascii="Tahoma" w:hAnsi="Tahoma" w:cs="Tahoma"/>
                <w:sz w:val="20"/>
                <w:szCs w:val="20"/>
              </w:rPr>
            </w:pPr>
          </w:p>
        </w:tc>
        <w:tc>
          <w:tcPr>
            <w:tcW w:w="2551" w:type="dxa"/>
          </w:tcPr>
          <w:p w:rsidR="00B66CB8" w:rsidRPr="00A16B88" w:rsidRDefault="00B66CB8" w:rsidP="007E305C">
            <w:pPr>
              <w:rPr>
                <w:rFonts w:ascii="Tahoma" w:hAnsi="Tahoma" w:cs="Tahoma"/>
                <w:sz w:val="20"/>
                <w:szCs w:val="20"/>
              </w:rPr>
            </w:pPr>
          </w:p>
        </w:tc>
      </w:tr>
      <w:tr w:rsidR="00B66CB8" w:rsidRPr="00A16B88" w:rsidTr="007E305C">
        <w:trPr>
          <w:trHeight w:val="941"/>
        </w:trPr>
        <w:tc>
          <w:tcPr>
            <w:tcW w:w="2234" w:type="dxa"/>
          </w:tcPr>
          <w:p w:rsidR="00B66CB8" w:rsidRPr="00A16B88" w:rsidRDefault="00B66CB8" w:rsidP="007E305C">
            <w:pPr>
              <w:rPr>
                <w:sz w:val="20"/>
                <w:szCs w:val="20"/>
              </w:rPr>
            </w:pPr>
            <w:r w:rsidRPr="00A16B88">
              <w:rPr>
                <w:sz w:val="20"/>
                <w:szCs w:val="20"/>
              </w:rPr>
              <w:t xml:space="preserve">Born at term </w:t>
            </w:r>
          </w:p>
          <w:p w:rsidR="00B66CB8" w:rsidRPr="00A16B88" w:rsidRDefault="00B66CB8" w:rsidP="007E305C">
            <w:pPr>
              <w:rPr>
                <w:sz w:val="20"/>
                <w:szCs w:val="20"/>
              </w:rPr>
            </w:pPr>
            <w:r w:rsidRPr="00A16B88">
              <w:rPr>
                <w:sz w:val="20"/>
                <w:szCs w:val="20"/>
              </w:rPr>
              <w:t xml:space="preserve">&lt;1 week old </w:t>
            </w:r>
          </w:p>
          <w:p w:rsidR="00B66CB8" w:rsidRPr="00A16B88" w:rsidRDefault="00B66CB8" w:rsidP="007E305C">
            <w:pPr>
              <w:rPr>
                <w:sz w:val="20"/>
                <w:szCs w:val="20"/>
              </w:rPr>
            </w:pPr>
            <w:r w:rsidRPr="00A16B88">
              <w:rPr>
                <w:sz w:val="20"/>
                <w:szCs w:val="20"/>
                <w:lang w:val="en-GB"/>
              </w:rPr>
              <w:t>EV11 infection</w:t>
            </w:r>
          </w:p>
        </w:tc>
        <w:tc>
          <w:tcPr>
            <w:tcW w:w="2127" w:type="dxa"/>
          </w:tcPr>
          <w:p w:rsidR="00B66CB8" w:rsidRPr="00A16B88" w:rsidRDefault="00B66CB8" w:rsidP="007E305C">
            <w:pPr>
              <w:rPr>
                <w:sz w:val="20"/>
                <w:szCs w:val="20"/>
              </w:rPr>
            </w:pPr>
            <w:r w:rsidRPr="00A16B88">
              <w:rPr>
                <w:sz w:val="20"/>
                <w:szCs w:val="20"/>
              </w:rPr>
              <w:t xml:space="preserve">Afebrile, lethargic, reduced feeding; developed </w:t>
            </w:r>
            <w:r w:rsidRPr="00A16B88">
              <w:rPr>
                <w:sz w:val="20"/>
                <w:szCs w:val="20"/>
                <w:lang w:val="en-GB"/>
              </w:rPr>
              <w:t>multi-organ failure and shock. CRP 6, CSF WCC clotted</w:t>
            </w:r>
          </w:p>
        </w:tc>
        <w:tc>
          <w:tcPr>
            <w:tcW w:w="2126" w:type="dxa"/>
          </w:tcPr>
          <w:p w:rsidR="00B66CB8" w:rsidRPr="00A16B88" w:rsidRDefault="00B66CB8" w:rsidP="007E305C">
            <w:pPr>
              <w:rPr>
                <w:rFonts w:ascii="Tahoma" w:hAnsi="Tahoma" w:cs="Tahoma"/>
                <w:sz w:val="20"/>
                <w:szCs w:val="20"/>
                <w:lang w:val="en-GB"/>
              </w:rPr>
            </w:pPr>
            <w:r w:rsidRPr="00A16B88">
              <w:rPr>
                <w:sz w:val="20"/>
                <w:szCs w:val="20"/>
              </w:rPr>
              <w:t>Intubated &amp; ventilated (13 d), inotropes (12 d);</w:t>
            </w:r>
            <w:r w:rsidRPr="00A16B88">
              <w:rPr>
                <w:sz w:val="20"/>
                <w:szCs w:val="20"/>
                <w:lang w:val="en-GB"/>
              </w:rPr>
              <w:t xml:space="preserve"> IV </w:t>
            </w:r>
            <w:r w:rsidRPr="00A16B88">
              <w:rPr>
                <w:sz w:val="20"/>
                <w:szCs w:val="20"/>
              </w:rPr>
              <w:t>c</w:t>
            </w:r>
            <w:r w:rsidRPr="00A16B88">
              <w:rPr>
                <w:sz w:val="20"/>
                <w:szCs w:val="20"/>
                <w:lang w:val="en-GB"/>
              </w:rPr>
              <w:t xml:space="preserve">orticosteroids + IVIG </w:t>
            </w:r>
          </w:p>
        </w:tc>
        <w:tc>
          <w:tcPr>
            <w:tcW w:w="2552" w:type="dxa"/>
          </w:tcPr>
          <w:p w:rsidR="00B66CB8" w:rsidRPr="00A16B88" w:rsidRDefault="00B66CB8" w:rsidP="007E305C">
            <w:pPr>
              <w:rPr>
                <w:sz w:val="20"/>
                <w:szCs w:val="20"/>
              </w:rPr>
            </w:pPr>
            <w:r w:rsidRPr="00A16B88">
              <w:rPr>
                <w:sz w:val="20"/>
                <w:szCs w:val="20"/>
              </w:rPr>
              <w:t>Cranial ultrasound scan normal; echocardiogram – mitral valve regurgitation and valvulitis</w:t>
            </w:r>
          </w:p>
        </w:tc>
        <w:tc>
          <w:tcPr>
            <w:tcW w:w="2126" w:type="dxa"/>
          </w:tcPr>
          <w:p w:rsidR="00B66CB8" w:rsidRPr="00A16B88" w:rsidRDefault="00B66CB8" w:rsidP="007E305C">
            <w:pPr>
              <w:rPr>
                <w:sz w:val="20"/>
                <w:szCs w:val="20"/>
              </w:rPr>
            </w:pPr>
            <w:r w:rsidRPr="00A16B88">
              <w:rPr>
                <w:sz w:val="20"/>
                <w:szCs w:val="20"/>
              </w:rPr>
              <w:t>D</w:t>
            </w:r>
            <w:r w:rsidRPr="00A16B88">
              <w:rPr>
                <w:sz w:val="20"/>
                <w:szCs w:val="20"/>
                <w:lang w:val="en-GB"/>
              </w:rPr>
              <w:t xml:space="preserve">ied </w:t>
            </w:r>
            <w:r w:rsidRPr="00A16B88">
              <w:rPr>
                <w:sz w:val="20"/>
                <w:szCs w:val="20"/>
              </w:rPr>
              <w:t xml:space="preserve">after 2 weeks of </w:t>
            </w:r>
            <w:r w:rsidRPr="00A16B88">
              <w:rPr>
                <w:sz w:val="20"/>
                <w:szCs w:val="20"/>
                <w:lang w:val="en-GB"/>
              </w:rPr>
              <w:t>massive pulmonary haemorrhage</w:t>
            </w:r>
          </w:p>
        </w:tc>
        <w:tc>
          <w:tcPr>
            <w:tcW w:w="2551" w:type="dxa"/>
          </w:tcPr>
          <w:p w:rsidR="00B66CB8" w:rsidRPr="00A16B88" w:rsidRDefault="00B66CB8" w:rsidP="007E305C">
            <w:pPr>
              <w:rPr>
                <w:rFonts w:ascii="Tahoma" w:hAnsi="Tahoma" w:cs="Tahoma"/>
                <w:sz w:val="20"/>
                <w:szCs w:val="20"/>
              </w:rPr>
            </w:pPr>
          </w:p>
        </w:tc>
      </w:tr>
      <w:tr w:rsidR="00B66CB8" w:rsidRPr="00A16B88" w:rsidTr="007E305C">
        <w:tc>
          <w:tcPr>
            <w:tcW w:w="2234" w:type="dxa"/>
          </w:tcPr>
          <w:p w:rsidR="00B66CB8" w:rsidRPr="00A16B88" w:rsidRDefault="00B66CB8" w:rsidP="007E305C">
            <w:pPr>
              <w:rPr>
                <w:sz w:val="20"/>
                <w:szCs w:val="20"/>
              </w:rPr>
            </w:pPr>
            <w:r w:rsidRPr="00A16B88">
              <w:rPr>
                <w:sz w:val="20"/>
                <w:szCs w:val="20"/>
              </w:rPr>
              <w:t xml:space="preserve">Born at term </w:t>
            </w:r>
          </w:p>
          <w:p w:rsidR="00B66CB8" w:rsidRPr="00A16B88" w:rsidRDefault="00B66CB8" w:rsidP="007E305C">
            <w:pPr>
              <w:rPr>
                <w:sz w:val="20"/>
                <w:szCs w:val="20"/>
              </w:rPr>
            </w:pPr>
            <w:r w:rsidRPr="00A16B88">
              <w:rPr>
                <w:sz w:val="20"/>
                <w:szCs w:val="20"/>
              </w:rPr>
              <w:t xml:space="preserve">1 month </w:t>
            </w:r>
          </w:p>
          <w:p w:rsidR="00B66CB8" w:rsidRPr="00A16B88" w:rsidRDefault="00B66CB8" w:rsidP="007E305C">
            <w:pPr>
              <w:rPr>
                <w:sz w:val="20"/>
                <w:szCs w:val="20"/>
              </w:rPr>
            </w:pPr>
            <w:r w:rsidRPr="00A16B88">
              <w:rPr>
                <w:sz w:val="20"/>
                <w:szCs w:val="20"/>
              </w:rPr>
              <w:t>EV (not typed)</w:t>
            </w:r>
          </w:p>
        </w:tc>
        <w:tc>
          <w:tcPr>
            <w:tcW w:w="2127" w:type="dxa"/>
          </w:tcPr>
          <w:p w:rsidR="00B66CB8" w:rsidRPr="00A16B88" w:rsidRDefault="00B66CB8" w:rsidP="007E305C">
            <w:pPr>
              <w:keepNext/>
              <w:keepLines/>
              <w:outlineLvl w:val="4"/>
              <w:rPr>
                <w:rFonts w:asciiTheme="majorHAnsi" w:eastAsiaTheme="majorEastAsia" w:hAnsiTheme="majorHAnsi" w:cstheme="majorBidi"/>
                <w:color w:val="1F3763" w:themeColor="accent1" w:themeShade="7F"/>
                <w:sz w:val="20"/>
                <w:szCs w:val="20"/>
                <w:lang w:val="en-GB"/>
              </w:rPr>
            </w:pPr>
            <w:r w:rsidRPr="00A16B88">
              <w:rPr>
                <w:sz w:val="20"/>
                <w:szCs w:val="20"/>
                <w:lang w:val="en-GB"/>
              </w:rPr>
              <w:t xml:space="preserve">Reduced feeding; </w:t>
            </w:r>
            <w:r w:rsidRPr="00A16B88">
              <w:rPr>
                <w:sz w:val="20"/>
                <w:szCs w:val="20"/>
              </w:rPr>
              <w:t>circulatory collapse; r</w:t>
            </w:r>
            <w:r w:rsidRPr="00A16B88">
              <w:rPr>
                <w:sz w:val="20"/>
                <w:szCs w:val="20"/>
                <w:lang w:val="en-GB"/>
              </w:rPr>
              <w:t>apid deterioration CRP 52; CSF WCC 0</w:t>
            </w:r>
          </w:p>
          <w:p w:rsidR="00B66CB8" w:rsidRPr="00A16B88" w:rsidRDefault="00B66CB8" w:rsidP="007E305C">
            <w:pPr>
              <w:rPr>
                <w:rFonts w:ascii="Tahoma" w:hAnsi="Tahoma" w:cs="Tahoma"/>
                <w:sz w:val="20"/>
                <w:szCs w:val="20"/>
              </w:rPr>
            </w:pPr>
          </w:p>
        </w:tc>
        <w:tc>
          <w:tcPr>
            <w:tcW w:w="2126" w:type="dxa"/>
          </w:tcPr>
          <w:p w:rsidR="00B66CB8" w:rsidRPr="00A16B88" w:rsidRDefault="00B66CB8" w:rsidP="007E305C">
            <w:pPr>
              <w:rPr>
                <w:rFonts w:ascii="Tahoma" w:hAnsi="Tahoma" w:cs="Tahoma"/>
                <w:sz w:val="20"/>
                <w:szCs w:val="20"/>
                <w:lang w:val="en-GB"/>
              </w:rPr>
            </w:pPr>
            <w:r w:rsidRPr="00A16B88">
              <w:rPr>
                <w:sz w:val="20"/>
                <w:szCs w:val="20"/>
              </w:rPr>
              <w:t xml:space="preserve">Intubated &amp; ventilated (1 d), inotropes (1 d) </w:t>
            </w:r>
          </w:p>
        </w:tc>
        <w:tc>
          <w:tcPr>
            <w:tcW w:w="2552" w:type="dxa"/>
          </w:tcPr>
          <w:p w:rsidR="00B66CB8" w:rsidRPr="00A16B88" w:rsidRDefault="00B66CB8" w:rsidP="007E305C">
            <w:pPr>
              <w:rPr>
                <w:sz w:val="20"/>
                <w:szCs w:val="20"/>
              </w:rPr>
            </w:pPr>
            <w:r w:rsidRPr="00A16B88">
              <w:rPr>
                <w:sz w:val="20"/>
                <w:szCs w:val="20"/>
              </w:rPr>
              <w:t>Not performed</w:t>
            </w:r>
          </w:p>
        </w:tc>
        <w:tc>
          <w:tcPr>
            <w:tcW w:w="2126" w:type="dxa"/>
          </w:tcPr>
          <w:p w:rsidR="00B66CB8" w:rsidRPr="00A16B88" w:rsidRDefault="00B66CB8" w:rsidP="007E305C">
            <w:pPr>
              <w:rPr>
                <w:sz w:val="20"/>
                <w:szCs w:val="20"/>
              </w:rPr>
            </w:pPr>
            <w:r w:rsidRPr="00A16B88">
              <w:rPr>
                <w:sz w:val="20"/>
                <w:szCs w:val="20"/>
              </w:rPr>
              <w:t>Died within 48 hours; EV isolated from heart and brain tissue at post mortem</w:t>
            </w:r>
          </w:p>
        </w:tc>
        <w:tc>
          <w:tcPr>
            <w:tcW w:w="2551" w:type="dxa"/>
          </w:tcPr>
          <w:p w:rsidR="00B66CB8" w:rsidRPr="00A16B88" w:rsidRDefault="00B66CB8" w:rsidP="007E305C">
            <w:pPr>
              <w:rPr>
                <w:rFonts w:ascii="Tahoma" w:hAnsi="Tahoma" w:cs="Tahoma"/>
                <w:sz w:val="20"/>
                <w:szCs w:val="20"/>
              </w:rPr>
            </w:pPr>
          </w:p>
        </w:tc>
      </w:tr>
      <w:tr w:rsidR="00B66CB8" w:rsidRPr="00A16B88" w:rsidTr="007E305C">
        <w:tc>
          <w:tcPr>
            <w:tcW w:w="2234" w:type="dxa"/>
          </w:tcPr>
          <w:p w:rsidR="00B66CB8" w:rsidRPr="00A16B88" w:rsidRDefault="00B66CB8" w:rsidP="007E305C">
            <w:pPr>
              <w:jc w:val="center"/>
              <w:rPr>
                <w:b/>
                <w:sz w:val="20"/>
                <w:szCs w:val="20"/>
              </w:rPr>
            </w:pPr>
            <w:r w:rsidRPr="00A16B88">
              <w:rPr>
                <w:b/>
                <w:sz w:val="20"/>
                <w:szCs w:val="20"/>
              </w:rPr>
              <w:t>EV sequelae</w:t>
            </w:r>
          </w:p>
        </w:tc>
        <w:tc>
          <w:tcPr>
            <w:tcW w:w="2127" w:type="dxa"/>
          </w:tcPr>
          <w:p w:rsidR="00B66CB8" w:rsidRPr="00A16B88" w:rsidRDefault="00B66CB8" w:rsidP="007E305C">
            <w:pPr>
              <w:rPr>
                <w:sz w:val="20"/>
                <w:szCs w:val="20"/>
              </w:rPr>
            </w:pPr>
          </w:p>
        </w:tc>
        <w:tc>
          <w:tcPr>
            <w:tcW w:w="2126" w:type="dxa"/>
          </w:tcPr>
          <w:p w:rsidR="00B66CB8" w:rsidRPr="00A16B88" w:rsidRDefault="00B66CB8" w:rsidP="007E305C">
            <w:pPr>
              <w:rPr>
                <w:sz w:val="20"/>
                <w:szCs w:val="20"/>
              </w:rPr>
            </w:pPr>
          </w:p>
        </w:tc>
        <w:tc>
          <w:tcPr>
            <w:tcW w:w="2552" w:type="dxa"/>
          </w:tcPr>
          <w:p w:rsidR="00B66CB8" w:rsidRPr="00A16B88" w:rsidRDefault="00B66CB8" w:rsidP="007E305C">
            <w:pPr>
              <w:rPr>
                <w:sz w:val="20"/>
                <w:szCs w:val="20"/>
              </w:rPr>
            </w:pPr>
          </w:p>
        </w:tc>
        <w:tc>
          <w:tcPr>
            <w:tcW w:w="2126" w:type="dxa"/>
          </w:tcPr>
          <w:p w:rsidR="00B66CB8" w:rsidRPr="00A16B88" w:rsidRDefault="00B66CB8" w:rsidP="007E305C">
            <w:pPr>
              <w:rPr>
                <w:sz w:val="20"/>
                <w:szCs w:val="20"/>
              </w:rPr>
            </w:pPr>
          </w:p>
        </w:tc>
        <w:tc>
          <w:tcPr>
            <w:tcW w:w="2551" w:type="dxa"/>
          </w:tcPr>
          <w:p w:rsidR="00B66CB8" w:rsidRPr="00A16B88" w:rsidRDefault="00B66CB8" w:rsidP="007E305C">
            <w:pPr>
              <w:rPr>
                <w:sz w:val="20"/>
                <w:szCs w:val="20"/>
              </w:rPr>
            </w:pPr>
          </w:p>
        </w:tc>
      </w:tr>
      <w:tr w:rsidR="00B66CB8" w:rsidRPr="00A16B88" w:rsidTr="007E305C">
        <w:trPr>
          <w:trHeight w:val="674"/>
        </w:trPr>
        <w:tc>
          <w:tcPr>
            <w:tcW w:w="2234" w:type="dxa"/>
          </w:tcPr>
          <w:p w:rsidR="00B66CB8" w:rsidRPr="00A16B88" w:rsidRDefault="00B66CB8" w:rsidP="007E305C">
            <w:pPr>
              <w:rPr>
                <w:sz w:val="20"/>
                <w:szCs w:val="20"/>
              </w:rPr>
            </w:pPr>
            <w:r w:rsidRPr="00A16B88">
              <w:rPr>
                <w:sz w:val="20"/>
                <w:szCs w:val="20"/>
              </w:rPr>
              <w:t xml:space="preserve">Premature (33-36 wks) </w:t>
            </w:r>
          </w:p>
          <w:p w:rsidR="00B66CB8" w:rsidRPr="00A16B88" w:rsidRDefault="00B66CB8" w:rsidP="007E305C">
            <w:pPr>
              <w:rPr>
                <w:sz w:val="20"/>
                <w:szCs w:val="20"/>
              </w:rPr>
            </w:pPr>
            <w:r w:rsidRPr="00A16B88">
              <w:rPr>
                <w:sz w:val="20"/>
                <w:szCs w:val="20"/>
              </w:rPr>
              <w:t xml:space="preserve">1 month old </w:t>
            </w:r>
          </w:p>
          <w:p w:rsidR="00B66CB8" w:rsidRPr="00A16B88" w:rsidRDefault="00B66CB8" w:rsidP="007E305C">
            <w:pPr>
              <w:rPr>
                <w:sz w:val="20"/>
                <w:szCs w:val="20"/>
              </w:rPr>
            </w:pPr>
            <w:r w:rsidRPr="00A16B88">
              <w:rPr>
                <w:sz w:val="20"/>
                <w:szCs w:val="20"/>
              </w:rPr>
              <w:t>EV11 infection</w:t>
            </w:r>
          </w:p>
        </w:tc>
        <w:tc>
          <w:tcPr>
            <w:tcW w:w="2127" w:type="dxa"/>
          </w:tcPr>
          <w:p w:rsidR="00B66CB8" w:rsidRPr="00A16B88" w:rsidRDefault="00B66CB8" w:rsidP="007E305C">
            <w:pPr>
              <w:rPr>
                <w:sz w:val="20"/>
                <w:szCs w:val="20"/>
              </w:rPr>
            </w:pPr>
            <w:r w:rsidRPr="00A16B88">
              <w:rPr>
                <w:sz w:val="20"/>
                <w:szCs w:val="20"/>
              </w:rPr>
              <w:t>Respiratory distress, apnoea</w:t>
            </w:r>
          </w:p>
          <w:p w:rsidR="00B66CB8" w:rsidRPr="00A16B88" w:rsidRDefault="00B66CB8" w:rsidP="007E305C">
            <w:pPr>
              <w:rPr>
                <w:sz w:val="20"/>
                <w:szCs w:val="20"/>
              </w:rPr>
            </w:pPr>
            <w:r w:rsidRPr="00A16B88">
              <w:rPr>
                <w:sz w:val="20"/>
                <w:szCs w:val="20"/>
              </w:rPr>
              <w:t>CRP 4.6, CSF WCC 0</w:t>
            </w:r>
          </w:p>
        </w:tc>
        <w:tc>
          <w:tcPr>
            <w:tcW w:w="2126" w:type="dxa"/>
          </w:tcPr>
          <w:p w:rsidR="00B66CB8" w:rsidRPr="00A16B88" w:rsidRDefault="00B66CB8" w:rsidP="007E305C">
            <w:pPr>
              <w:rPr>
                <w:sz w:val="20"/>
                <w:szCs w:val="20"/>
              </w:rPr>
            </w:pPr>
            <w:r w:rsidRPr="00A16B88">
              <w:rPr>
                <w:sz w:val="20"/>
                <w:szCs w:val="20"/>
              </w:rPr>
              <w:t>Intubated &amp; ventilated (1 d), inotropes (2 d), haemofiltration (1d)</w:t>
            </w:r>
          </w:p>
        </w:tc>
        <w:tc>
          <w:tcPr>
            <w:tcW w:w="2552" w:type="dxa"/>
          </w:tcPr>
          <w:p w:rsidR="00B66CB8" w:rsidRPr="00A16B88" w:rsidRDefault="00B66CB8" w:rsidP="007E305C">
            <w:pPr>
              <w:rPr>
                <w:sz w:val="20"/>
                <w:szCs w:val="20"/>
              </w:rPr>
            </w:pPr>
            <w:r w:rsidRPr="00A16B88">
              <w:rPr>
                <w:sz w:val="20"/>
                <w:szCs w:val="20"/>
              </w:rPr>
              <w:t>MRI: diffuse encephalitis and microcephaly.</w:t>
            </w:r>
          </w:p>
        </w:tc>
        <w:tc>
          <w:tcPr>
            <w:tcW w:w="2126" w:type="dxa"/>
          </w:tcPr>
          <w:p w:rsidR="00B66CB8" w:rsidRPr="00A16B88" w:rsidRDefault="00B66CB8" w:rsidP="007E305C">
            <w:pPr>
              <w:rPr>
                <w:sz w:val="20"/>
                <w:szCs w:val="20"/>
              </w:rPr>
            </w:pPr>
            <w:r w:rsidRPr="00A16B88">
              <w:rPr>
                <w:sz w:val="20"/>
                <w:szCs w:val="20"/>
              </w:rPr>
              <w:t>Reduced tone trunk, increased tone in the limbs</w:t>
            </w:r>
          </w:p>
        </w:tc>
        <w:tc>
          <w:tcPr>
            <w:tcW w:w="2551" w:type="dxa"/>
          </w:tcPr>
          <w:p w:rsidR="00B66CB8" w:rsidRPr="00A16B88" w:rsidRDefault="00B66CB8" w:rsidP="007E305C">
            <w:pPr>
              <w:rPr>
                <w:sz w:val="20"/>
                <w:szCs w:val="20"/>
              </w:rPr>
            </w:pPr>
            <w:r w:rsidRPr="00A16B88">
              <w:rPr>
                <w:sz w:val="20"/>
                <w:szCs w:val="20"/>
              </w:rPr>
              <w:t>Reduced vision, reduced truncal tone, increased tone in the limbs; seizures</w:t>
            </w:r>
          </w:p>
        </w:tc>
      </w:tr>
      <w:tr w:rsidR="00B66CB8" w:rsidRPr="00A16B88" w:rsidTr="007E305C">
        <w:tc>
          <w:tcPr>
            <w:tcW w:w="2234" w:type="dxa"/>
          </w:tcPr>
          <w:p w:rsidR="00B66CB8" w:rsidRPr="00A16B88" w:rsidRDefault="00B66CB8" w:rsidP="007E305C">
            <w:pPr>
              <w:rPr>
                <w:sz w:val="20"/>
                <w:szCs w:val="20"/>
              </w:rPr>
            </w:pPr>
            <w:r w:rsidRPr="00A16B88">
              <w:rPr>
                <w:sz w:val="20"/>
                <w:szCs w:val="20"/>
              </w:rPr>
              <w:t>Born at term</w:t>
            </w:r>
          </w:p>
          <w:p w:rsidR="00B66CB8" w:rsidRPr="00A16B88" w:rsidRDefault="00B66CB8" w:rsidP="007E305C">
            <w:pPr>
              <w:rPr>
                <w:sz w:val="20"/>
                <w:szCs w:val="20"/>
              </w:rPr>
            </w:pPr>
            <w:r w:rsidRPr="00A16B88">
              <w:rPr>
                <w:sz w:val="20"/>
                <w:szCs w:val="20"/>
              </w:rPr>
              <w:t>&lt;1 week old</w:t>
            </w:r>
          </w:p>
          <w:p w:rsidR="00B66CB8" w:rsidRPr="00A16B88" w:rsidRDefault="00B66CB8" w:rsidP="007E305C">
            <w:pPr>
              <w:rPr>
                <w:sz w:val="20"/>
                <w:szCs w:val="20"/>
              </w:rPr>
            </w:pPr>
            <w:r w:rsidRPr="00A16B88">
              <w:rPr>
                <w:sz w:val="20"/>
                <w:szCs w:val="20"/>
              </w:rPr>
              <w:t>Coxsackie B4 infection</w:t>
            </w:r>
          </w:p>
        </w:tc>
        <w:tc>
          <w:tcPr>
            <w:tcW w:w="2127" w:type="dxa"/>
          </w:tcPr>
          <w:p w:rsidR="00B66CB8" w:rsidRPr="00A16B88" w:rsidRDefault="00B66CB8" w:rsidP="007E305C">
            <w:pPr>
              <w:rPr>
                <w:sz w:val="20"/>
                <w:szCs w:val="20"/>
              </w:rPr>
            </w:pPr>
            <w:r w:rsidRPr="00A16B88">
              <w:rPr>
                <w:sz w:val="20"/>
                <w:szCs w:val="20"/>
              </w:rPr>
              <w:t>Fever, irritability, respiratory distress, bulging fontanelle, cardiovascular shock CRP 45, CSF WCC 20</w:t>
            </w:r>
          </w:p>
        </w:tc>
        <w:tc>
          <w:tcPr>
            <w:tcW w:w="2126" w:type="dxa"/>
          </w:tcPr>
          <w:p w:rsidR="00B66CB8" w:rsidRPr="00A16B88" w:rsidRDefault="00B66CB8" w:rsidP="007E305C">
            <w:pPr>
              <w:rPr>
                <w:sz w:val="20"/>
                <w:szCs w:val="20"/>
              </w:rPr>
            </w:pPr>
            <w:r w:rsidRPr="00A16B88">
              <w:rPr>
                <w:sz w:val="20"/>
                <w:szCs w:val="20"/>
              </w:rPr>
              <w:t>Intubated &amp; ventilated (35 d) ionotropic support; 1 dose IVIG</w:t>
            </w:r>
          </w:p>
        </w:tc>
        <w:tc>
          <w:tcPr>
            <w:tcW w:w="2552" w:type="dxa"/>
          </w:tcPr>
          <w:p w:rsidR="00B66CB8" w:rsidRPr="00A16B88" w:rsidRDefault="00B66CB8" w:rsidP="007E305C">
            <w:pPr>
              <w:rPr>
                <w:sz w:val="20"/>
                <w:szCs w:val="20"/>
              </w:rPr>
            </w:pPr>
            <w:r w:rsidRPr="00A16B88">
              <w:rPr>
                <w:sz w:val="20"/>
                <w:szCs w:val="20"/>
              </w:rPr>
              <w:t xml:space="preserve">MRI: acute infarction, right anterior corona </w:t>
            </w:r>
          </w:p>
        </w:tc>
        <w:tc>
          <w:tcPr>
            <w:tcW w:w="2126" w:type="dxa"/>
          </w:tcPr>
          <w:p w:rsidR="00B66CB8" w:rsidRPr="00A16B88" w:rsidRDefault="00B66CB8" w:rsidP="007E305C">
            <w:pPr>
              <w:rPr>
                <w:sz w:val="20"/>
                <w:szCs w:val="20"/>
              </w:rPr>
            </w:pPr>
            <w:r w:rsidRPr="00A16B88">
              <w:rPr>
                <w:sz w:val="20"/>
                <w:szCs w:val="20"/>
              </w:rPr>
              <w:t>Poor ventricular function requiring medical treatment</w:t>
            </w:r>
          </w:p>
        </w:tc>
        <w:tc>
          <w:tcPr>
            <w:tcW w:w="2551" w:type="dxa"/>
          </w:tcPr>
          <w:p w:rsidR="00B66CB8" w:rsidRPr="00A16B88" w:rsidRDefault="00B66CB8" w:rsidP="007E305C">
            <w:pPr>
              <w:rPr>
                <w:sz w:val="20"/>
                <w:szCs w:val="20"/>
              </w:rPr>
            </w:pPr>
            <w:r w:rsidRPr="00A16B88">
              <w:rPr>
                <w:sz w:val="20"/>
                <w:szCs w:val="20"/>
                <w:lang w:val="en-GB"/>
              </w:rPr>
              <w:t xml:space="preserve">Poor ventricular function, on captopril </w:t>
            </w:r>
          </w:p>
        </w:tc>
      </w:tr>
      <w:tr w:rsidR="00B66CB8" w:rsidRPr="00A16B88" w:rsidTr="007E305C">
        <w:tc>
          <w:tcPr>
            <w:tcW w:w="2234" w:type="dxa"/>
          </w:tcPr>
          <w:p w:rsidR="00B66CB8" w:rsidRPr="00A16B88" w:rsidRDefault="00B66CB8" w:rsidP="007E305C">
            <w:pPr>
              <w:jc w:val="center"/>
              <w:rPr>
                <w:b/>
                <w:sz w:val="20"/>
                <w:szCs w:val="20"/>
              </w:rPr>
            </w:pPr>
            <w:r w:rsidRPr="00A16B88">
              <w:rPr>
                <w:b/>
                <w:sz w:val="20"/>
                <w:szCs w:val="20"/>
              </w:rPr>
              <w:t>HPeV sequelae</w:t>
            </w:r>
          </w:p>
        </w:tc>
        <w:tc>
          <w:tcPr>
            <w:tcW w:w="2127" w:type="dxa"/>
          </w:tcPr>
          <w:p w:rsidR="00B66CB8" w:rsidRPr="00A16B88" w:rsidRDefault="00B66CB8" w:rsidP="007E305C">
            <w:pPr>
              <w:rPr>
                <w:sz w:val="20"/>
                <w:szCs w:val="20"/>
              </w:rPr>
            </w:pPr>
          </w:p>
        </w:tc>
        <w:tc>
          <w:tcPr>
            <w:tcW w:w="2126" w:type="dxa"/>
          </w:tcPr>
          <w:p w:rsidR="00B66CB8" w:rsidRPr="00A16B88" w:rsidRDefault="00B66CB8" w:rsidP="007E305C">
            <w:pPr>
              <w:rPr>
                <w:sz w:val="20"/>
                <w:szCs w:val="20"/>
              </w:rPr>
            </w:pPr>
          </w:p>
        </w:tc>
        <w:tc>
          <w:tcPr>
            <w:tcW w:w="2552" w:type="dxa"/>
          </w:tcPr>
          <w:p w:rsidR="00B66CB8" w:rsidRPr="00A16B88" w:rsidRDefault="00B66CB8" w:rsidP="007E305C">
            <w:pPr>
              <w:rPr>
                <w:sz w:val="20"/>
                <w:szCs w:val="20"/>
              </w:rPr>
            </w:pPr>
          </w:p>
        </w:tc>
        <w:tc>
          <w:tcPr>
            <w:tcW w:w="2126" w:type="dxa"/>
          </w:tcPr>
          <w:p w:rsidR="00B66CB8" w:rsidRPr="00A16B88" w:rsidRDefault="00B66CB8" w:rsidP="007E305C">
            <w:pPr>
              <w:rPr>
                <w:sz w:val="20"/>
                <w:szCs w:val="20"/>
              </w:rPr>
            </w:pPr>
          </w:p>
        </w:tc>
        <w:tc>
          <w:tcPr>
            <w:tcW w:w="2551" w:type="dxa"/>
          </w:tcPr>
          <w:p w:rsidR="00B66CB8" w:rsidRPr="00A16B88" w:rsidRDefault="00B66CB8" w:rsidP="007E305C">
            <w:pPr>
              <w:rPr>
                <w:sz w:val="20"/>
                <w:szCs w:val="20"/>
              </w:rPr>
            </w:pPr>
          </w:p>
        </w:tc>
      </w:tr>
      <w:tr w:rsidR="00B66CB8" w:rsidRPr="00945850" w:rsidTr="007E305C">
        <w:trPr>
          <w:trHeight w:val="750"/>
        </w:trPr>
        <w:tc>
          <w:tcPr>
            <w:tcW w:w="2234" w:type="dxa"/>
          </w:tcPr>
          <w:p w:rsidR="00B66CB8" w:rsidRPr="00A16B88" w:rsidRDefault="00B66CB8" w:rsidP="007E305C">
            <w:pPr>
              <w:rPr>
                <w:sz w:val="20"/>
                <w:szCs w:val="20"/>
              </w:rPr>
            </w:pPr>
            <w:r w:rsidRPr="00A16B88">
              <w:rPr>
                <w:sz w:val="20"/>
                <w:szCs w:val="20"/>
              </w:rPr>
              <w:t>Born at term</w:t>
            </w:r>
          </w:p>
          <w:p w:rsidR="00B66CB8" w:rsidRPr="00A16B88" w:rsidRDefault="00B66CB8" w:rsidP="007E305C">
            <w:pPr>
              <w:rPr>
                <w:sz w:val="20"/>
                <w:szCs w:val="20"/>
              </w:rPr>
            </w:pPr>
            <w:r w:rsidRPr="00A16B88">
              <w:rPr>
                <w:sz w:val="20"/>
                <w:szCs w:val="20"/>
              </w:rPr>
              <w:t>1 week old</w:t>
            </w:r>
          </w:p>
          <w:p w:rsidR="00B66CB8" w:rsidRPr="00A16B88" w:rsidRDefault="00B66CB8" w:rsidP="007E305C">
            <w:pPr>
              <w:rPr>
                <w:sz w:val="20"/>
                <w:szCs w:val="20"/>
              </w:rPr>
            </w:pPr>
            <w:r w:rsidRPr="00A16B88">
              <w:rPr>
                <w:sz w:val="20"/>
                <w:szCs w:val="20"/>
              </w:rPr>
              <w:t>HPeV (not typed)</w:t>
            </w:r>
          </w:p>
        </w:tc>
        <w:tc>
          <w:tcPr>
            <w:tcW w:w="2127" w:type="dxa"/>
          </w:tcPr>
          <w:p w:rsidR="00B66CB8" w:rsidRPr="00A16B88" w:rsidRDefault="00B66CB8" w:rsidP="007E305C">
            <w:pPr>
              <w:rPr>
                <w:sz w:val="20"/>
                <w:szCs w:val="20"/>
              </w:rPr>
            </w:pPr>
            <w:r w:rsidRPr="00A16B88">
              <w:rPr>
                <w:sz w:val="20"/>
                <w:szCs w:val="20"/>
              </w:rPr>
              <w:t>Irritability poor feeding, respiratory distress, signs of shock</w:t>
            </w:r>
          </w:p>
          <w:p w:rsidR="00B66CB8" w:rsidRPr="00A16B88" w:rsidRDefault="00B66CB8" w:rsidP="007E305C">
            <w:pPr>
              <w:rPr>
                <w:sz w:val="20"/>
                <w:szCs w:val="20"/>
              </w:rPr>
            </w:pPr>
            <w:r w:rsidRPr="00A16B88">
              <w:rPr>
                <w:sz w:val="20"/>
                <w:szCs w:val="20"/>
              </w:rPr>
              <w:t>CRP 8, CSF WCC 2</w:t>
            </w:r>
          </w:p>
        </w:tc>
        <w:tc>
          <w:tcPr>
            <w:tcW w:w="2126" w:type="dxa"/>
          </w:tcPr>
          <w:p w:rsidR="00B66CB8" w:rsidRPr="00A16B88" w:rsidRDefault="00B66CB8" w:rsidP="007E305C">
            <w:pPr>
              <w:rPr>
                <w:sz w:val="20"/>
                <w:szCs w:val="20"/>
              </w:rPr>
            </w:pPr>
            <w:r w:rsidRPr="00A16B88">
              <w:rPr>
                <w:sz w:val="20"/>
                <w:szCs w:val="20"/>
              </w:rPr>
              <w:t xml:space="preserve">Not admitted </w:t>
            </w:r>
          </w:p>
        </w:tc>
        <w:tc>
          <w:tcPr>
            <w:tcW w:w="2552" w:type="dxa"/>
          </w:tcPr>
          <w:p w:rsidR="00B66CB8" w:rsidRPr="00A16B88" w:rsidRDefault="00B66CB8" w:rsidP="007E305C">
            <w:pPr>
              <w:rPr>
                <w:sz w:val="20"/>
                <w:szCs w:val="20"/>
              </w:rPr>
            </w:pPr>
            <w:r w:rsidRPr="00A16B88">
              <w:rPr>
                <w:sz w:val="20"/>
                <w:szCs w:val="20"/>
              </w:rPr>
              <w:t xml:space="preserve">Not performed </w:t>
            </w:r>
          </w:p>
        </w:tc>
        <w:tc>
          <w:tcPr>
            <w:tcW w:w="2126" w:type="dxa"/>
          </w:tcPr>
          <w:p w:rsidR="00B66CB8" w:rsidRPr="00A16B88" w:rsidRDefault="00B66CB8" w:rsidP="007E305C">
            <w:pPr>
              <w:rPr>
                <w:sz w:val="20"/>
                <w:szCs w:val="20"/>
              </w:rPr>
            </w:pPr>
            <w:r w:rsidRPr="00A16B88">
              <w:rPr>
                <w:sz w:val="20"/>
                <w:szCs w:val="20"/>
              </w:rPr>
              <w:t>Transaminitis (</w:t>
            </w:r>
            <w:r w:rsidRPr="00A16B88">
              <w:rPr>
                <w:sz w:val="20"/>
                <w:szCs w:val="20"/>
                <w:lang w:val="en-GB"/>
              </w:rPr>
              <w:t xml:space="preserve">normal abdominal ultrasound) </w:t>
            </w:r>
            <w:r w:rsidRPr="00A16B88">
              <w:rPr>
                <w:sz w:val="20"/>
                <w:szCs w:val="20"/>
              </w:rPr>
              <w:t xml:space="preserve">at discharge </w:t>
            </w:r>
          </w:p>
        </w:tc>
        <w:tc>
          <w:tcPr>
            <w:tcW w:w="2551" w:type="dxa"/>
          </w:tcPr>
          <w:p w:rsidR="00B66CB8" w:rsidRPr="00945850" w:rsidRDefault="00B66CB8" w:rsidP="007E305C">
            <w:pPr>
              <w:rPr>
                <w:sz w:val="20"/>
                <w:szCs w:val="20"/>
                <w:lang w:val="en-GB"/>
              </w:rPr>
            </w:pPr>
            <w:r w:rsidRPr="00A16B88">
              <w:rPr>
                <w:sz w:val="20"/>
                <w:szCs w:val="20"/>
              </w:rPr>
              <w:t>Well</w:t>
            </w:r>
          </w:p>
        </w:tc>
      </w:tr>
      <w:tr w:rsidR="00B66CB8" w:rsidRPr="00945850" w:rsidTr="007E305C">
        <w:tc>
          <w:tcPr>
            <w:tcW w:w="2234" w:type="dxa"/>
          </w:tcPr>
          <w:p w:rsidR="00B66CB8" w:rsidRPr="00945850" w:rsidRDefault="00B66CB8" w:rsidP="007E305C">
            <w:pPr>
              <w:jc w:val="center"/>
              <w:rPr>
                <w:sz w:val="20"/>
                <w:szCs w:val="20"/>
              </w:rPr>
            </w:pPr>
            <w:r w:rsidRPr="00945850">
              <w:rPr>
                <w:b/>
                <w:sz w:val="20"/>
                <w:szCs w:val="20"/>
              </w:rPr>
              <w:t>12 month follow-up</w:t>
            </w:r>
          </w:p>
        </w:tc>
        <w:tc>
          <w:tcPr>
            <w:tcW w:w="2127" w:type="dxa"/>
          </w:tcPr>
          <w:p w:rsidR="00B66CB8" w:rsidRPr="00A16B88" w:rsidRDefault="00B66CB8" w:rsidP="007E305C">
            <w:pPr>
              <w:rPr>
                <w:sz w:val="20"/>
                <w:szCs w:val="20"/>
              </w:rPr>
            </w:pPr>
          </w:p>
        </w:tc>
        <w:tc>
          <w:tcPr>
            <w:tcW w:w="2126" w:type="dxa"/>
          </w:tcPr>
          <w:p w:rsidR="00B66CB8" w:rsidRPr="00945850" w:rsidRDefault="00B66CB8" w:rsidP="007E305C">
            <w:pPr>
              <w:rPr>
                <w:sz w:val="20"/>
                <w:szCs w:val="20"/>
                <w:lang w:val="en-GB"/>
              </w:rPr>
            </w:pPr>
          </w:p>
        </w:tc>
        <w:tc>
          <w:tcPr>
            <w:tcW w:w="2552" w:type="dxa"/>
          </w:tcPr>
          <w:p w:rsidR="00B66CB8" w:rsidRPr="00945850" w:rsidRDefault="00B66CB8" w:rsidP="007E305C">
            <w:pPr>
              <w:rPr>
                <w:sz w:val="20"/>
                <w:szCs w:val="20"/>
              </w:rPr>
            </w:pPr>
          </w:p>
        </w:tc>
        <w:tc>
          <w:tcPr>
            <w:tcW w:w="2126" w:type="dxa"/>
          </w:tcPr>
          <w:p w:rsidR="00B66CB8" w:rsidRPr="00945850" w:rsidRDefault="00B66CB8" w:rsidP="007E305C">
            <w:pPr>
              <w:rPr>
                <w:sz w:val="20"/>
                <w:szCs w:val="20"/>
              </w:rPr>
            </w:pPr>
          </w:p>
        </w:tc>
        <w:tc>
          <w:tcPr>
            <w:tcW w:w="2551" w:type="dxa"/>
          </w:tcPr>
          <w:p w:rsidR="00B66CB8" w:rsidRPr="00945850" w:rsidRDefault="00B66CB8" w:rsidP="007E305C">
            <w:pPr>
              <w:rPr>
                <w:sz w:val="20"/>
                <w:szCs w:val="20"/>
              </w:rPr>
            </w:pPr>
          </w:p>
        </w:tc>
      </w:tr>
      <w:tr w:rsidR="00B66CB8" w:rsidRPr="00945850" w:rsidTr="007E305C">
        <w:trPr>
          <w:trHeight w:val="619"/>
        </w:trPr>
        <w:tc>
          <w:tcPr>
            <w:tcW w:w="2234" w:type="dxa"/>
          </w:tcPr>
          <w:p w:rsidR="00B66CB8" w:rsidRPr="00945850" w:rsidRDefault="00B66CB8" w:rsidP="007E305C">
            <w:pPr>
              <w:rPr>
                <w:sz w:val="20"/>
                <w:szCs w:val="20"/>
              </w:rPr>
            </w:pPr>
            <w:r w:rsidRPr="00945850">
              <w:rPr>
                <w:sz w:val="20"/>
                <w:szCs w:val="20"/>
              </w:rPr>
              <w:t>Premature (28-32 wks)</w:t>
            </w:r>
          </w:p>
          <w:p w:rsidR="00B66CB8" w:rsidRPr="00945850" w:rsidRDefault="00B66CB8" w:rsidP="007E305C">
            <w:pPr>
              <w:rPr>
                <w:sz w:val="20"/>
                <w:szCs w:val="20"/>
              </w:rPr>
            </w:pPr>
            <w:r w:rsidRPr="00945850">
              <w:rPr>
                <w:sz w:val="20"/>
                <w:szCs w:val="20"/>
              </w:rPr>
              <w:t>1 month old</w:t>
            </w:r>
          </w:p>
          <w:p w:rsidR="00B66CB8" w:rsidRPr="00945850" w:rsidRDefault="00B66CB8" w:rsidP="007E305C">
            <w:pPr>
              <w:rPr>
                <w:sz w:val="20"/>
                <w:szCs w:val="20"/>
              </w:rPr>
            </w:pPr>
            <w:r w:rsidRPr="00945850">
              <w:rPr>
                <w:sz w:val="20"/>
                <w:szCs w:val="20"/>
              </w:rPr>
              <w:t>EV (not typed)</w:t>
            </w:r>
          </w:p>
        </w:tc>
        <w:tc>
          <w:tcPr>
            <w:tcW w:w="2127" w:type="dxa"/>
          </w:tcPr>
          <w:p w:rsidR="00B66CB8" w:rsidRPr="00A16B88" w:rsidRDefault="00B66CB8" w:rsidP="007E305C">
            <w:pPr>
              <w:rPr>
                <w:sz w:val="20"/>
                <w:szCs w:val="20"/>
              </w:rPr>
            </w:pPr>
            <w:r w:rsidRPr="00A16B88">
              <w:rPr>
                <w:sz w:val="20"/>
                <w:szCs w:val="20"/>
              </w:rPr>
              <w:t xml:space="preserve">Lethargy, reduced feeding, apnoea </w:t>
            </w:r>
          </w:p>
          <w:p w:rsidR="00B66CB8" w:rsidRPr="00A16B88" w:rsidRDefault="00B66CB8" w:rsidP="007E305C">
            <w:pPr>
              <w:rPr>
                <w:sz w:val="20"/>
                <w:szCs w:val="20"/>
              </w:rPr>
            </w:pPr>
            <w:r w:rsidRPr="00A16B88">
              <w:rPr>
                <w:sz w:val="20"/>
                <w:szCs w:val="20"/>
              </w:rPr>
              <w:t>CRP 5, CSF WCC 13</w:t>
            </w:r>
          </w:p>
        </w:tc>
        <w:tc>
          <w:tcPr>
            <w:tcW w:w="2126" w:type="dxa"/>
          </w:tcPr>
          <w:p w:rsidR="00B66CB8" w:rsidRPr="00945850" w:rsidRDefault="00B66CB8" w:rsidP="007E305C">
            <w:pPr>
              <w:rPr>
                <w:sz w:val="20"/>
                <w:szCs w:val="20"/>
              </w:rPr>
            </w:pPr>
            <w:r w:rsidRPr="00945850">
              <w:rPr>
                <w:sz w:val="20"/>
                <w:szCs w:val="20"/>
              </w:rPr>
              <w:t>Intubated &amp; ventilated (5 d),</w:t>
            </w:r>
          </w:p>
        </w:tc>
        <w:tc>
          <w:tcPr>
            <w:tcW w:w="2552" w:type="dxa"/>
          </w:tcPr>
          <w:p w:rsidR="00B66CB8" w:rsidRPr="00945850" w:rsidRDefault="00B66CB8" w:rsidP="007E305C">
            <w:pPr>
              <w:tabs>
                <w:tab w:val="left" w:pos="2738"/>
              </w:tabs>
              <w:rPr>
                <w:sz w:val="20"/>
                <w:szCs w:val="20"/>
              </w:rPr>
            </w:pPr>
            <w:r w:rsidRPr="00945850">
              <w:rPr>
                <w:sz w:val="20"/>
                <w:szCs w:val="20"/>
              </w:rPr>
              <w:t xml:space="preserve">MRI: </w:t>
            </w:r>
            <w:r>
              <w:rPr>
                <w:sz w:val="20"/>
                <w:szCs w:val="20"/>
              </w:rPr>
              <w:t>s</w:t>
            </w:r>
            <w:r w:rsidRPr="00945850">
              <w:rPr>
                <w:sz w:val="20"/>
                <w:szCs w:val="20"/>
              </w:rPr>
              <w:t>evere cystic encephalomalacia, multiple</w:t>
            </w:r>
            <w:r>
              <w:rPr>
                <w:sz w:val="20"/>
                <w:szCs w:val="20"/>
              </w:rPr>
              <w:t xml:space="preserve"> </w:t>
            </w:r>
            <w:r w:rsidRPr="00945850">
              <w:rPr>
                <w:sz w:val="20"/>
                <w:szCs w:val="20"/>
              </w:rPr>
              <w:t xml:space="preserve">fluid filled cysts in frontal, parietal &amp; temporal lobes </w:t>
            </w:r>
          </w:p>
        </w:tc>
        <w:tc>
          <w:tcPr>
            <w:tcW w:w="2126" w:type="dxa"/>
          </w:tcPr>
          <w:p w:rsidR="00B66CB8" w:rsidRPr="00945850" w:rsidRDefault="00B66CB8" w:rsidP="007E305C">
            <w:pPr>
              <w:rPr>
                <w:sz w:val="20"/>
                <w:szCs w:val="20"/>
              </w:rPr>
            </w:pPr>
            <w:r w:rsidRPr="00945850">
              <w:rPr>
                <w:sz w:val="20"/>
                <w:szCs w:val="20"/>
              </w:rPr>
              <w:t>No clinical symptoms or signs</w:t>
            </w:r>
          </w:p>
        </w:tc>
        <w:tc>
          <w:tcPr>
            <w:tcW w:w="2551" w:type="dxa"/>
          </w:tcPr>
          <w:p w:rsidR="00B66CB8" w:rsidRPr="00945850" w:rsidRDefault="00B66CB8" w:rsidP="007E305C">
            <w:pPr>
              <w:rPr>
                <w:sz w:val="20"/>
                <w:szCs w:val="20"/>
              </w:rPr>
            </w:pPr>
            <w:r w:rsidRPr="00945850">
              <w:rPr>
                <w:sz w:val="20"/>
                <w:szCs w:val="20"/>
              </w:rPr>
              <w:t>Seizures controlled on anti</w:t>
            </w:r>
            <w:r>
              <w:rPr>
                <w:sz w:val="20"/>
                <w:szCs w:val="20"/>
              </w:rPr>
              <w:t>-</w:t>
            </w:r>
            <w:r w:rsidRPr="00945850">
              <w:rPr>
                <w:sz w:val="20"/>
                <w:szCs w:val="20"/>
              </w:rPr>
              <w:t>epileptic</w:t>
            </w:r>
            <w:r>
              <w:rPr>
                <w:sz w:val="20"/>
                <w:szCs w:val="20"/>
              </w:rPr>
              <w:t>s</w:t>
            </w:r>
          </w:p>
        </w:tc>
      </w:tr>
      <w:tr w:rsidR="00B66CB8" w:rsidRPr="00945850" w:rsidTr="007E305C">
        <w:tc>
          <w:tcPr>
            <w:tcW w:w="2234" w:type="dxa"/>
          </w:tcPr>
          <w:p w:rsidR="00B66CB8" w:rsidRPr="00945850" w:rsidRDefault="00B66CB8" w:rsidP="007E305C">
            <w:pPr>
              <w:rPr>
                <w:sz w:val="20"/>
                <w:szCs w:val="20"/>
              </w:rPr>
            </w:pPr>
            <w:r w:rsidRPr="00945850">
              <w:rPr>
                <w:sz w:val="20"/>
                <w:szCs w:val="20"/>
              </w:rPr>
              <w:t xml:space="preserve">Born at </w:t>
            </w:r>
            <w:r>
              <w:rPr>
                <w:sz w:val="20"/>
                <w:szCs w:val="20"/>
              </w:rPr>
              <w:t>t</w:t>
            </w:r>
            <w:r w:rsidRPr="00945850">
              <w:rPr>
                <w:sz w:val="20"/>
                <w:szCs w:val="20"/>
              </w:rPr>
              <w:t>erm</w:t>
            </w:r>
          </w:p>
          <w:p w:rsidR="00B66CB8" w:rsidRPr="00945850" w:rsidRDefault="00B66CB8" w:rsidP="007E305C">
            <w:pPr>
              <w:rPr>
                <w:sz w:val="20"/>
                <w:szCs w:val="20"/>
              </w:rPr>
            </w:pPr>
            <w:r w:rsidRPr="00945850">
              <w:rPr>
                <w:sz w:val="20"/>
                <w:szCs w:val="20"/>
              </w:rPr>
              <w:t>1 week old</w:t>
            </w:r>
          </w:p>
          <w:p w:rsidR="00B66CB8" w:rsidRPr="00945850" w:rsidRDefault="00B66CB8" w:rsidP="007E305C">
            <w:pPr>
              <w:rPr>
                <w:sz w:val="20"/>
                <w:szCs w:val="20"/>
              </w:rPr>
            </w:pPr>
            <w:r w:rsidRPr="00945850">
              <w:rPr>
                <w:sz w:val="20"/>
                <w:szCs w:val="20"/>
              </w:rPr>
              <w:t>EV (not typed)</w:t>
            </w:r>
          </w:p>
        </w:tc>
        <w:tc>
          <w:tcPr>
            <w:tcW w:w="2127" w:type="dxa"/>
          </w:tcPr>
          <w:p w:rsidR="00B66CB8" w:rsidRPr="00A16B88" w:rsidRDefault="00B66CB8" w:rsidP="007E305C">
            <w:pPr>
              <w:rPr>
                <w:sz w:val="20"/>
                <w:szCs w:val="20"/>
              </w:rPr>
            </w:pPr>
            <w:r w:rsidRPr="00A16B88">
              <w:rPr>
                <w:sz w:val="20"/>
                <w:szCs w:val="20"/>
              </w:rPr>
              <w:t>Fever, irritability, rash, seizure; CRP 99; CSF WCC 90</w:t>
            </w:r>
          </w:p>
        </w:tc>
        <w:tc>
          <w:tcPr>
            <w:tcW w:w="2126" w:type="dxa"/>
          </w:tcPr>
          <w:p w:rsidR="00B66CB8" w:rsidRPr="00945850" w:rsidRDefault="00B66CB8" w:rsidP="007E305C">
            <w:pPr>
              <w:rPr>
                <w:sz w:val="20"/>
                <w:szCs w:val="20"/>
                <w:lang w:val="en-GB"/>
              </w:rPr>
            </w:pPr>
            <w:r w:rsidRPr="00945850">
              <w:rPr>
                <w:sz w:val="20"/>
                <w:szCs w:val="20"/>
                <w:lang w:val="en-GB"/>
              </w:rPr>
              <w:t xml:space="preserve">Not admitted </w:t>
            </w:r>
          </w:p>
        </w:tc>
        <w:tc>
          <w:tcPr>
            <w:tcW w:w="2552" w:type="dxa"/>
          </w:tcPr>
          <w:p w:rsidR="00B66CB8" w:rsidRPr="00945850" w:rsidRDefault="00B66CB8" w:rsidP="007E305C">
            <w:pPr>
              <w:rPr>
                <w:sz w:val="20"/>
                <w:szCs w:val="20"/>
              </w:rPr>
            </w:pPr>
            <w:r w:rsidRPr="00945850">
              <w:rPr>
                <w:sz w:val="20"/>
                <w:szCs w:val="20"/>
              </w:rPr>
              <w:t>Cranial ultrasound normal</w:t>
            </w:r>
          </w:p>
        </w:tc>
        <w:tc>
          <w:tcPr>
            <w:tcW w:w="2126" w:type="dxa"/>
          </w:tcPr>
          <w:p w:rsidR="00B66CB8" w:rsidRPr="00945850" w:rsidRDefault="00B66CB8" w:rsidP="007E305C">
            <w:pPr>
              <w:rPr>
                <w:sz w:val="20"/>
                <w:szCs w:val="20"/>
              </w:rPr>
            </w:pPr>
            <w:r w:rsidRPr="00945850">
              <w:rPr>
                <w:sz w:val="20"/>
                <w:szCs w:val="20"/>
              </w:rPr>
              <w:t xml:space="preserve">Well at discharge </w:t>
            </w:r>
          </w:p>
        </w:tc>
        <w:tc>
          <w:tcPr>
            <w:tcW w:w="2551" w:type="dxa"/>
          </w:tcPr>
          <w:p w:rsidR="00B66CB8" w:rsidRPr="00945850" w:rsidRDefault="00B66CB8" w:rsidP="007E305C">
            <w:pPr>
              <w:rPr>
                <w:sz w:val="20"/>
                <w:szCs w:val="20"/>
              </w:rPr>
            </w:pPr>
            <w:r>
              <w:rPr>
                <w:sz w:val="20"/>
                <w:szCs w:val="20"/>
              </w:rPr>
              <w:t>T</w:t>
            </w:r>
            <w:r w:rsidRPr="00945850">
              <w:rPr>
                <w:sz w:val="20"/>
                <w:szCs w:val="20"/>
              </w:rPr>
              <w:t>onic clonic seizures; not on regular anticonvulsants</w:t>
            </w:r>
          </w:p>
        </w:tc>
      </w:tr>
    </w:tbl>
    <w:p w:rsidR="00B66CB8" w:rsidRPr="0072598A" w:rsidRDefault="00B66CB8" w:rsidP="00B66CB8">
      <w:pPr>
        <w:spacing w:line="276" w:lineRule="auto"/>
      </w:pPr>
      <w:r>
        <w:rPr>
          <w:b/>
        </w:rPr>
        <w:t>Table 3</w:t>
      </w:r>
      <w:r w:rsidRPr="00CC7349">
        <w:rPr>
          <w:b/>
        </w:rPr>
        <w:t xml:space="preserve">. </w:t>
      </w:r>
      <w:r>
        <w:t>Death and Sequelae among infants aged &lt;90 days with enterovirus (EV) and human parechovirus (HPeV) meningitis in the United Kingdom and Ireland during July 2014 to July 2015 inclusive. IVIG, intravenous immunoglobulin; CRP, c-reactive protein.mg/dl; CSF WCC, cerebrospinal fluid white cell count/per mm</w:t>
      </w:r>
      <w:r>
        <w:rPr>
          <w:vertAlign w:val="superscript"/>
        </w:rPr>
        <w:t>3</w:t>
      </w:r>
      <w:r>
        <w:t xml:space="preserve">; </w:t>
      </w:r>
    </w:p>
    <w:p w:rsidR="004E67EA" w:rsidRDefault="004E67EA"/>
    <w:sectPr w:rsidR="004E67EA" w:rsidSect="00537792">
      <w:type w:val="continuous"/>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631F2"/>
    <w:multiLevelType w:val="hybridMultilevel"/>
    <w:tmpl w:val="939A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96CBF"/>
    <w:multiLevelType w:val="hybridMultilevel"/>
    <w:tmpl w:val="FE8C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332D4"/>
    <w:multiLevelType w:val="hybridMultilevel"/>
    <w:tmpl w:val="CB78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65516"/>
    <w:multiLevelType w:val="hybridMultilevel"/>
    <w:tmpl w:val="7E42067E"/>
    <w:lvl w:ilvl="0" w:tplc="6DD4B72A">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646B"/>
    <w:multiLevelType w:val="hybridMultilevel"/>
    <w:tmpl w:val="774E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B8"/>
    <w:rsid w:val="000835A2"/>
    <w:rsid w:val="002A69A3"/>
    <w:rsid w:val="003C380D"/>
    <w:rsid w:val="004E67EA"/>
    <w:rsid w:val="00537792"/>
    <w:rsid w:val="005F60E2"/>
    <w:rsid w:val="007102F8"/>
    <w:rsid w:val="008F4E25"/>
    <w:rsid w:val="0097600E"/>
    <w:rsid w:val="00A16B88"/>
    <w:rsid w:val="00A3687D"/>
    <w:rsid w:val="00B66CB8"/>
    <w:rsid w:val="00CD197F"/>
    <w:rsid w:val="00DD10F8"/>
    <w:rsid w:val="00F022D8"/>
    <w:rsid w:val="00F0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6A982-85BF-454B-8373-9D698FC7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CB8"/>
    <w:rPr>
      <w:lang w:val="en-US"/>
    </w:rPr>
  </w:style>
  <w:style w:type="paragraph" w:styleId="Heading1">
    <w:name w:val="heading 1"/>
    <w:basedOn w:val="Normal"/>
    <w:next w:val="Normal"/>
    <w:link w:val="Heading1Char"/>
    <w:uiPriority w:val="9"/>
    <w:qFormat/>
    <w:rsid w:val="00B66C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CB8"/>
    <w:rPr>
      <w:rFonts w:asciiTheme="majorHAnsi" w:eastAsiaTheme="majorEastAsia" w:hAnsiTheme="majorHAnsi" w:cstheme="majorBidi"/>
      <w:color w:val="2F5496" w:themeColor="accent1" w:themeShade="BF"/>
      <w:sz w:val="32"/>
      <w:szCs w:val="32"/>
      <w:lang w:val="en-US"/>
    </w:rPr>
  </w:style>
  <w:style w:type="character" w:customStyle="1" w:styleId="apple-converted-space">
    <w:name w:val="apple-converted-space"/>
    <w:basedOn w:val="DefaultParagraphFont"/>
    <w:rsid w:val="00B66CB8"/>
  </w:style>
  <w:style w:type="table" w:styleId="TableGrid">
    <w:name w:val="Table Grid"/>
    <w:basedOn w:val="TableNormal"/>
    <w:uiPriority w:val="59"/>
    <w:rsid w:val="00B66CB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CB8"/>
    <w:pPr>
      <w:ind w:left="720"/>
      <w:contextualSpacing/>
    </w:pPr>
  </w:style>
  <w:style w:type="paragraph" w:styleId="BalloonText">
    <w:name w:val="Balloon Text"/>
    <w:basedOn w:val="Normal"/>
    <w:link w:val="BalloonTextChar"/>
    <w:uiPriority w:val="99"/>
    <w:semiHidden/>
    <w:unhideWhenUsed/>
    <w:rsid w:val="00B66CB8"/>
    <w:rPr>
      <w:rFonts w:ascii="Tahoma" w:hAnsi="Tahoma" w:cs="Tahoma"/>
      <w:sz w:val="16"/>
      <w:szCs w:val="16"/>
    </w:rPr>
  </w:style>
  <w:style w:type="character" w:customStyle="1" w:styleId="BalloonTextChar">
    <w:name w:val="Balloon Text Char"/>
    <w:basedOn w:val="DefaultParagraphFont"/>
    <w:link w:val="BalloonText"/>
    <w:uiPriority w:val="99"/>
    <w:semiHidden/>
    <w:rsid w:val="00B66CB8"/>
    <w:rPr>
      <w:rFonts w:ascii="Tahoma" w:hAnsi="Tahoma" w:cs="Tahoma"/>
      <w:sz w:val="16"/>
      <w:szCs w:val="16"/>
      <w:lang w:val="en-US"/>
    </w:rPr>
  </w:style>
  <w:style w:type="character" w:styleId="CommentReference">
    <w:name w:val="annotation reference"/>
    <w:basedOn w:val="DefaultParagraphFont"/>
    <w:uiPriority w:val="99"/>
    <w:semiHidden/>
    <w:unhideWhenUsed/>
    <w:rsid w:val="00B66CB8"/>
    <w:rPr>
      <w:sz w:val="16"/>
      <w:szCs w:val="16"/>
    </w:rPr>
  </w:style>
  <w:style w:type="paragraph" w:styleId="CommentText">
    <w:name w:val="annotation text"/>
    <w:basedOn w:val="Normal"/>
    <w:link w:val="CommentTextChar"/>
    <w:uiPriority w:val="99"/>
    <w:semiHidden/>
    <w:unhideWhenUsed/>
    <w:rsid w:val="00B66CB8"/>
    <w:rPr>
      <w:sz w:val="20"/>
      <w:szCs w:val="20"/>
    </w:rPr>
  </w:style>
  <w:style w:type="character" w:customStyle="1" w:styleId="CommentTextChar">
    <w:name w:val="Comment Text Char"/>
    <w:basedOn w:val="DefaultParagraphFont"/>
    <w:link w:val="CommentText"/>
    <w:uiPriority w:val="99"/>
    <w:semiHidden/>
    <w:rsid w:val="00B66CB8"/>
    <w:rPr>
      <w:sz w:val="20"/>
      <w:szCs w:val="20"/>
      <w:lang w:val="en-US"/>
    </w:rPr>
  </w:style>
  <w:style w:type="paragraph" w:styleId="CommentSubject">
    <w:name w:val="annotation subject"/>
    <w:basedOn w:val="CommentText"/>
    <w:next w:val="CommentText"/>
    <w:link w:val="CommentSubjectChar"/>
    <w:uiPriority w:val="99"/>
    <w:semiHidden/>
    <w:unhideWhenUsed/>
    <w:rsid w:val="00B66CB8"/>
    <w:rPr>
      <w:b/>
      <w:bCs/>
    </w:rPr>
  </w:style>
  <w:style w:type="character" w:customStyle="1" w:styleId="CommentSubjectChar">
    <w:name w:val="Comment Subject Char"/>
    <w:basedOn w:val="CommentTextChar"/>
    <w:link w:val="CommentSubject"/>
    <w:uiPriority w:val="99"/>
    <w:semiHidden/>
    <w:rsid w:val="00B66CB8"/>
    <w:rPr>
      <w:b/>
      <w:bCs/>
      <w:sz w:val="20"/>
      <w:szCs w:val="20"/>
      <w:lang w:val="en-US"/>
    </w:rPr>
  </w:style>
  <w:style w:type="paragraph" w:styleId="Revision">
    <w:name w:val="Revision"/>
    <w:hidden/>
    <w:uiPriority w:val="99"/>
    <w:semiHidden/>
    <w:rsid w:val="00B66CB8"/>
    <w:rPr>
      <w:lang w:val="en-US"/>
    </w:rPr>
  </w:style>
  <w:style w:type="character" w:styleId="PlaceholderText">
    <w:name w:val="Placeholder Text"/>
    <w:basedOn w:val="DefaultParagraphFont"/>
    <w:uiPriority w:val="99"/>
    <w:semiHidden/>
    <w:rsid w:val="00B66CB8"/>
    <w:rPr>
      <w:color w:val="808080"/>
    </w:rPr>
  </w:style>
  <w:style w:type="character" w:styleId="LineNumber">
    <w:name w:val="line number"/>
    <w:basedOn w:val="DefaultParagraphFont"/>
    <w:uiPriority w:val="99"/>
    <w:semiHidden/>
    <w:unhideWhenUsed/>
    <w:rsid w:val="00B66CB8"/>
  </w:style>
  <w:style w:type="character" w:styleId="Hyperlink">
    <w:name w:val="Hyperlink"/>
    <w:basedOn w:val="DefaultParagraphFont"/>
    <w:uiPriority w:val="99"/>
    <w:unhideWhenUsed/>
    <w:rsid w:val="00B66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9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B629D-60DB-4D5F-BFD6-36503735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20908</Words>
  <Characters>119178</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seilesh kadambari</dc:creator>
  <cp:keywords/>
  <dc:description/>
  <cp:lastModifiedBy>Sana Ibrahim</cp:lastModifiedBy>
  <cp:revision>2</cp:revision>
  <dcterms:created xsi:type="dcterms:W3CDTF">2019-01-16T13:59:00Z</dcterms:created>
  <dcterms:modified xsi:type="dcterms:W3CDTF">2019-01-16T13:59:00Z</dcterms:modified>
</cp:coreProperties>
</file>