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3A" w:rsidRPr="0027413A" w:rsidRDefault="0027413A" w:rsidP="0027413A">
      <w:r w:rsidRPr="0027413A">
        <w:t>The authors regret that errors have appeared in the above article published online on 15 March 2018. The errors listed below have now been corrected online.</w:t>
      </w:r>
    </w:p>
    <w:p w:rsidR="0027413A" w:rsidRPr="0027413A" w:rsidRDefault="0027413A" w:rsidP="0027413A">
      <w:r w:rsidRPr="0027413A">
        <w:t>In the Abstract, the 3rd sentence of the Results section should correctly read:</w:t>
      </w:r>
    </w:p>
    <w:p w:rsidR="0027413A" w:rsidRPr="0027413A" w:rsidRDefault="0027413A" w:rsidP="0027413A">
      <w:r w:rsidRPr="0027413A">
        <w:t>“Out of 200 separate aneurysms with IAAs &gt;10 cm</w:t>
      </w:r>
      <w:r w:rsidRPr="0027413A">
        <w:rPr>
          <w:vertAlign w:val="superscript"/>
        </w:rPr>
        <w:t>2</w:t>
      </w:r>
      <w:r w:rsidRPr="0027413A">
        <w:t>/m between the mid-sinus and mid-ascending aorta, 139 (69.5%) would not warrant surgery according to existing guidelines”.</w:t>
      </w:r>
    </w:p>
    <w:p w:rsidR="0027413A" w:rsidRPr="0027413A" w:rsidRDefault="0027413A" w:rsidP="0027413A">
      <w:r w:rsidRPr="0027413A">
        <w:t>In the Results, the 2nd paragraph of sub-section “Relationship between indexed aortic areas and aortic diameter in aneurysms” should correctly read:</w:t>
      </w:r>
    </w:p>
    <w:p w:rsidR="0027413A" w:rsidRPr="0027413A" w:rsidRDefault="0027413A" w:rsidP="0027413A">
      <w:r w:rsidRPr="0027413A">
        <w:t>“A considerable 85.1% of patients with an IAA &gt;10 cm</w:t>
      </w:r>
      <w:r w:rsidRPr="0027413A">
        <w:rPr>
          <w:vertAlign w:val="superscript"/>
        </w:rPr>
        <w:t>2</w:t>
      </w:r>
      <w:r w:rsidRPr="0027413A">
        <w:t xml:space="preserve">/m based on mid-sinus measurements had a mean aortic diameter below the current 5.5 cm threshold for surgical intervention. Similarly, at the </w:t>
      </w:r>
      <w:proofErr w:type="spellStart"/>
      <w:r w:rsidRPr="0027413A">
        <w:t>sinotubular</w:t>
      </w:r>
      <w:proofErr w:type="spellEnd"/>
      <w:r w:rsidRPr="0027413A">
        <w:t xml:space="preserve"> junction, some 65% of patients with an abnormal IAA had a mean aortic diameter &lt;5.5 cm. At the mid-ascending aortic location, 59.4% of the at-risk patients with an abnormally high IAA had a mean aortic diameter &lt;5.5 cm.”</w:t>
      </w:r>
    </w:p>
    <w:p w:rsidR="0027413A" w:rsidRPr="0027413A" w:rsidRDefault="0027413A" w:rsidP="0027413A">
      <w:r w:rsidRPr="0027413A">
        <w:t>In the Results, the 3rd paragraph of sub-section “Relationship between indexed aortic areas and aortic diameter in aneurysms” should correctly read:</w:t>
      </w:r>
    </w:p>
    <w:p w:rsidR="0027413A" w:rsidRPr="0027413A" w:rsidRDefault="0027413A" w:rsidP="0027413A">
      <w:r w:rsidRPr="0027413A">
        <w:t>“Hundred and thirty-nine (69.5%) patients out of the entire cohort of 200 patients who have an IAA &gt;10 cm</w:t>
      </w:r>
      <w:r w:rsidRPr="0027413A">
        <w:rPr>
          <w:vertAlign w:val="superscript"/>
        </w:rPr>
        <w:t>2</w:t>
      </w:r>
      <w:r w:rsidRPr="0027413A">
        <w:t>/m between the mid-sinus of Valsalva and mid-ascending aorta would not be eligible for surgical intervention for the aortic root/ascending aorta on the basis of existing guidelines”.</w:t>
      </w:r>
    </w:p>
    <w:p w:rsidR="0027413A" w:rsidRPr="0027413A" w:rsidRDefault="0027413A" w:rsidP="0027413A">
      <w:r w:rsidRPr="0027413A">
        <w:t>In the Discussion, the 6th paragraph should correctly read:</w:t>
      </w:r>
    </w:p>
    <w:p w:rsidR="0027413A" w:rsidRPr="0027413A" w:rsidRDefault="0027413A" w:rsidP="0027413A">
      <w:r w:rsidRPr="0027413A">
        <w:t>“We showed that between 59.4 and 85.1% (Table 6) of our study population (depending on the aortic location considered) who were at increased risk of aortic complications according to IAAs, would not have been eligible for aortic surgery according to contemporary guidelines”.</w:t>
      </w:r>
    </w:p>
    <w:p w:rsidR="0027413A" w:rsidRPr="0027413A" w:rsidRDefault="0027413A" w:rsidP="0027413A">
      <w:r w:rsidRPr="0027413A">
        <w:t xml:space="preserve">There were errors regarding the numerical values within brackets in Table 6. The correct version of Table 6 is shown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00"/>
        <w:gridCol w:w="500"/>
        <w:gridCol w:w="515"/>
      </w:tblGrid>
      <w:tr w:rsidR="0027413A" w:rsidRPr="0027413A" w:rsidTr="0027413A">
        <w:trPr>
          <w:tblHeader/>
          <w:tblCellSpacing w:w="15" w:type="dxa"/>
        </w:trPr>
        <w:tc>
          <w:tcPr>
            <w:tcW w:w="0" w:type="auto"/>
            <w:vAlign w:val="center"/>
            <w:hideMark/>
          </w:tcPr>
          <w:p w:rsidR="0027413A" w:rsidRPr="0027413A" w:rsidRDefault="0027413A" w:rsidP="0027413A"/>
        </w:tc>
        <w:tc>
          <w:tcPr>
            <w:tcW w:w="0" w:type="auto"/>
            <w:gridSpan w:val="3"/>
            <w:vAlign w:val="center"/>
            <w:hideMark/>
          </w:tcPr>
          <w:p w:rsidR="0027413A" w:rsidRPr="0027413A" w:rsidRDefault="0027413A" w:rsidP="0027413A">
            <w:pPr>
              <w:rPr>
                <w:b/>
                <w:bCs/>
              </w:rPr>
            </w:pPr>
            <w:r w:rsidRPr="0027413A">
              <w:rPr>
                <w:b/>
                <w:bCs/>
              </w:rPr>
              <w:pict>
                <v:rect id="_x0000_i1025" style="width:0;height:1.5pt" o:hralign="center" o:hrstd="t" o:hr="t" fillcolor="#a0a0a0" stroked="f"/>
              </w:pict>
            </w:r>
          </w:p>
        </w:tc>
      </w:tr>
      <w:tr w:rsidR="0027413A" w:rsidRPr="0027413A" w:rsidTr="0027413A">
        <w:trPr>
          <w:tblHeader/>
          <w:tblCellSpacing w:w="15" w:type="dxa"/>
        </w:trPr>
        <w:tc>
          <w:tcPr>
            <w:tcW w:w="0" w:type="auto"/>
            <w:vMerge w:val="restart"/>
            <w:vAlign w:val="center"/>
            <w:hideMark/>
          </w:tcPr>
          <w:p w:rsidR="0027413A" w:rsidRPr="0027413A" w:rsidRDefault="0027413A" w:rsidP="0027413A">
            <w:pPr>
              <w:rPr>
                <w:b/>
                <w:bCs/>
              </w:rPr>
            </w:pPr>
          </w:p>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r>
      <w:tr w:rsidR="0027413A" w:rsidRPr="0027413A" w:rsidTr="0027413A">
        <w:trPr>
          <w:tblHeader/>
          <w:tblCellSpacing w:w="15" w:type="dxa"/>
        </w:trPr>
        <w:tc>
          <w:tcPr>
            <w:tcW w:w="0" w:type="auto"/>
            <w:vMerge/>
            <w:vAlign w:val="center"/>
            <w:hideMark/>
          </w:tcPr>
          <w:p w:rsidR="0027413A" w:rsidRPr="0027413A" w:rsidRDefault="0027413A" w:rsidP="0027413A">
            <w:pPr>
              <w:rPr>
                <w:b/>
                <w:bCs/>
              </w:rPr>
            </w:pPr>
          </w:p>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r>
      <w:tr w:rsidR="0027413A" w:rsidRPr="0027413A" w:rsidTr="0027413A">
        <w:trPr>
          <w:tblCellSpacing w:w="15" w:type="dxa"/>
        </w:trPr>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r>
      <w:tr w:rsidR="0027413A" w:rsidRPr="0027413A" w:rsidTr="0027413A">
        <w:trPr>
          <w:tblCellSpacing w:w="15" w:type="dxa"/>
        </w:trPr>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r>
      <w:tr w:rsidR="0027413A" w:rsidRPr="0027413A" w:rsidTr="0027413A">
        <w:trPr>
          <w:tblCellSpacing w:w="15" w:type="dxa"/>
        </w:trPr>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c>
          <w:tcPr>
            <w:tcW w:w="0" w:type="auto"/>
            <w:vAlign w:val="center"/>
            <w:hideMark/>
          </w:tcPr>
          <w:p w:rsidR="0027413A" w:rsidRPr="0027413A" w:rsidRDefault="0027413A" w:rsidP="0027413A"/>
        </w:tc>
      </w:tr>
    </w:tbl>
    <w:p w:rsidR="0027413A" w:rsidRPr="0027413A" w:rsidRDefault="0027413A" w:rsidP="0027413A">
      <w:r w:rsidRPr="0027413A">
        <w:t>Table 6:</w:t>
      </w:r>
    </w:p>
    <w:p w:rsidR="0027413A" w:rsidRPr="0027413A" w:rsidRDefault="0027413A" w:rsidP="0027413A">
      <w:r w:rsidRPr="0027413A">
        <w:t>Relationship between mean aortic diameters and indexed aortic area ranges in aneurysms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3"/>
        <w:gridCol w:w="1994"/>
        <w:gridCol w:w="2989"/>
        <w:gridCol w:w="2310"/>
      </w:tblGrid>
      <w:tr w:rsidR="0027413A" w:rsidRPr="0027413A" w:rsidTr="0027413A">
        <w:trPr>
          <w:tblHeader/>
          <w:tblCellSpacing w:w="15" w:type="dxa"/>
        </w:trPr>
        <w:tc>
          <w:tcPr>
            <w:tcW w:w="0" w:type="auto"/>
            <w:vAlign w:val="center"/>
            <w:hideMark/>
          </w:tcPr>
          <w:p w:rsidR="0027413A" w:rsidRPr="0027413A" w:rsidRDefault="0027413A" w:rsidP="0027413A">
            <w:pPr>
              <w:rPr>
                <w:b/>
                <w:bCs/>
              </w:rPr>
            </w:pPr>
            <w:r w:rsidRPr="0027413A">
              <w:rPr>
                <w:b/>
                <w:bCs/>
              </w:rPr>
              <w:t> </w:t>
            </w:r>
          </w:p>
        </w:tc>
        <w:tc>
          <w:tcPr>
            <w:tcW w:w="0" w:type="auto"/>
            <w:gridSpan w:val="3"/>
            <w:vAlign w:val="center"/>
            <w:hideMark/>
          </w:tcPr>
          <w:p w:rsidR="0027413A" w:rsidRPr="0027413A" w:rsidRDefault="0027413A" w:rsidP="0027413A">
            <w:pPr>
              <w:rPr>
                <w:b/>
                <w:bCs/>
              </w:rPr>
            </w:pPr>
            <w:r w:rsidRPr="0027413A">
              <w:rPr>
                <w:b/>
                <w:bCs/>
              </w:rPr>
              <w:t>Mean aortic diameter (cm) according to aortic location (</w:t>
            </w:r>
            <w:r w:rsidRPr="0027413A">
              <w:rPr>
                <w:b/>
                <w:bCs/>
                <w:i/>
                <w:iCs/>
              </w:rPr>
              <w:t>n</w:t>
            </w:r>
            <w:r w:rsidRPr="0027413A">
              <w:rPr>
                <w:b/>
                <w:bCs/>
              </w:rPr>
              <w:t>, % of aortic segments with indexed aortic area &gt;10 cm</w:t>
            </w:r>
            <w:r w:rsidRPr="0027413A">
              <w:rPr>
                <w:b/>
                <w:bCs/>
                <w:vertAlign w:val="superscript"/>
              </w:rPr>
              <w:t>2</w:t>
            </w:r>
            <w:r w:rsidRPr="0027413A">
              <w:rPr>
                <w:b/>
                <w:bCs/>
              </w:rPr>
              <w:t>/m per aortic location)</w:t>
            </w:r>
          </w:p>
          <w:p w:rsidR="0027413A" w:rsidRPr="0027413A" w:rsidRDefault="0027413A" w:rsidP="0027413A">
            <w:pPr>
              <w:rPr>
                <w:b/>
                <w:bCs/>
              </w:rPr>
            </w:pPr>
            <w:r w:rsidRPr="0027413A">
              <w:rPr>
                <w:b/>
                <w:bCs/>
              </w:rPr>
              <w:pict>
                <v:rect id="_x0000_i1026" style="width:0;height:1.5pt" o:hralign="center" o:hrstd="t" o:hr="t" fillcolor="#a0a0a0" stroked="f"/>
              </w:pict>
            </w:r>
          </w:p>
          <w:p w:rsidR="0027413A" w:rsidRPr="0027413A" w:rsidRDefault="0027413A" w:rsidP="0027413A">
            <w:pPr>
              <w:rPr>
                <w:b/>
                <w:bCs/>
              </w:rPr>
            </w:pPr>
            <w:r w:rsidRPr="0027413A">
              <w:rPr>
                <w:b/>
                <w:bCs/>
              </w:rPr>
              <w:t> </w:t>
            </w:r>
          </w:p>
        </w:tc>
      </w:tr>
      <w:tr w:rsidR="0027413A" w:rsidRPr="0027413A" w:rsidTr="0027413A">
        <w:trPr>
          <w:tblHeader/>
          <w:tblCellSpacing w:w="15" w:type="dxa"/>
        </w:trPr>
        <w:tc>
          <w:tcPr>
            <w:tcW w:w="0" w:type="auto"/>
            <w:vMerge w:val="restart"/>
            <w:vAlign w:val="center"/>
            <w:hideMark/>
          </w:tcPr>
          <w:p w:rsidR="0027413A" w:rsidRPr="0027413A" w:rsidRDefault="0027413A" w:rsidP="0027413A">
            <w:pPr>
              <w:rPr>
                <w:b/>
                <w:bCs/>
              </w:rPr>
            </w:pPr>
            <w:r w:rsidRPr="0027413A">
              <w:rPr>
                <w:b/>
                <w:bCs/>
              </w:rPr>
              <w:t>Indexed aortic area (cm</w:t>
            </w:r>
            <w:r w:rsidRPr="0027413A">
              <w:rPr>
                <w:b/>
                <w:bCs/>
                <w:vertAlign w:val="superscript"/>
              </w:rPr>
              <w:t>2</w:t>
            </w:r>
            <w:r w:rsidRPr="0027413A">
              <w:rPr>
                <w:b/>
                <w:bCs/>
              </w:rPr>
              <w:t>/m) </w:t>
            </w:r>
          </w:p>
        </w:tc>
        <w:tc>
          <w:tcPr>
            <w:tcW w:w="0" w:type="auto"/>
            <w:vAlign w:val="center"/>
            <w:hideMark/>
          </w:tcPr>
          <w:p w:rsidR="0027413A" w:rsidRPr="0027413A" w:rsidRDefault="0027413A" w:rsidP="0027413A">
            <w:pPr>
              <w:rPr>
                <w:b/>
                <w:bCs/>
              </w:rPr>
            </w:pPr>
            <w:r w:rsidRPr="0027413A">
              <w:rPr>
                <w:b/>
                <w:bCs/>
              </w:rPr>
              <w:t>Mid-sinus </w:t>
            </w:r>
          </w:p>
        </w:tc>
        <w:tc>
          <w:tcPr>
            <w:tcW w:w="0" w:type="auto"/>
            <w:vAlign w:val="center"/>
            <w:hideMark/>
          </w:tcPr>
          <w:p w:rsidR="0027413A" w:rsidRPr="0027413A" w:rsidRDefault="0027413A" w:rsidP="0027413A">
            <w:pPr>
              <w:rPr>
                <w:b/>
                <w:bCs/>
              </w:rPr>
            </w:pPr>
            <w:proofErr w:type="spellStart"/>
            <w:r w:rsidRPr="0027413A">
              <w:rPr>
                <w:b/>
                <w:bCs/>
              </w:rPr>
              <w:t>Sinotubular</w:t>
            </w:r>
            <w:proofErr w:type="spellEnd"/>
            <w:r w:rsidRPr="0027413A">
              <w:rPr>
                <w:b/>
                <w:bCs/>
              </w:rPr>
              <w:t xml:space="preserve"> junction </w:t>
            </w:r>
          </w:p>
        </w:tc>
        <w:tc>
          <w:tcPr>
            <w:tcW w:w="0" w:type="auto"/>
            <w:vAlign w:val="center"/>
            <w:hideMark/>
          </w:tcPr>
          <w:p w:rsidR="0027413A" w:rsidRPr="0027413A" w:rsidRDefault="0027413A" w:rsidP="0027413A">
            <w:pPr>
              <w:rPr>
                <w:b/>
                <w:bCs/>
              </w:rPr>
            </w:pPr>
            <w:r w:rsidRPr="0027413A">
              <w:rPr>
                <w:b/>
                <w:bCs/>
              </w:rPr>
              <w:t>Mid-ascending </w:t>
            </w:r>
          </w:p>
        </w:tc>
      </w:tr>
      <w:tr w:rsidR="0027413A" w:rsidRPr="0027413A" w:rsidTr="0027413A">
        <w:trPr>
          <w:tblHeader/>
          <w:tblCellSpacing w:w="15" w:type="dxa"/>
        </w:trPr>
        <w:tc>
          <w:tcPr>
            <w:tcW w:w="0" w:type="auto"/>
            <w:vMerge/>
            <w:vAlign w:val="center"/>
            <w:hideMark/>
          </w:tcPr>
          <w:p w:rsidR="0027413A" w:rsidRPr="0027413A" w:rsidRDefault="0027413A" w:rsidP="0027413A">
            <w:pPr>
              <w:rPr>
                <w:b/>
                <w:bCs/>
              </w:rPr>
            </w:pPr>
          </w:p>
        </w:tc>
        <w:tc>
          <w:tcPr>
            <w:tcW w:w="0" w:type="auto"/>
            <w:vAlign w:val="center"/>
            <w:hideMark/>
          </w:tcPr>
          <w:p w:rsidR="0027413A" w:rsidRPr="0027413A" w:rsidRDefault="0027413A" w:rsidP="0027413A">
            <w:pPr>
              <w:rPr>
                <w:b/>
                <w:bCs/>
              </w:rPr>
            </w:pPr>
            <w:r w:rsidRPr="0027413A">
              <w:rPr>
                <w:b/>
                <w:bCs/>
                <w:i/>
                <w:iCs/>
              </w:rPr>
              <w:t>N</w:t>
            </w:r>
            <w:r w:rsidRPr="0027413A">
              <w:rPr>
                <w:b/>
                <w:bCs/>
              </w:rPr>
              <w:t xml:space="preserve"> = 74 </w:t>
            </w:r>
          </w:p>
        </w:tc>
        <w:tc>
          <w:tcPr>
            <w:tcW w:w="0" w:type="auto"/>
            <w:vAlign w:val="center"/>
            <w:hideMark/>
          </w:tcPr>
          <w:p w:rsidR="0027413A" w:rsidRPr="0027413A" w:rsidRDefault="0027413A" w:rsidP="0027413A">
            <w:pPr>
              <w:rPr>
                <w:b/>
                <w:bCs/>
              </w:rPr>
            </w:pPr>
            <w:r w:rsidRPr="0027413A">
              <w:rPr>
                <w:b/>
                <w:bCs/>
                <w:i/>
                <w:iCs/>
              </w:rPr>
              <w:t>N</w:t>
            </w:r>
            <w:r w:rsidRPr="0027413A">
              <w:rPr>
                <w:b/>
                <w:bCs/>
              </w:rPr>
              <w:t xml:space="preserve"> = 20 </w:t>
            </w:r>
          </w:p>
        </w:tc>
        <w:tc>
          <w:tcPr>
            <w:tcW w:w="0" w:type="auto"/>
            <w:vAlign w:val="center"/>
            <w:hideMark/>
          </w:tcPr>
          <w:p w:rsidR="0027413A" w:rsidRPr="0027413A" w:rsidRDefault="0027413A" w:rsidP="0027413A">
            <w:pPr>
              <w:rPr>
                <w:b/>
                <w:bCs/>
              </w:rPr>
            </w:pPr>
            <w:r w:rsidRPr="0027413A">
              <w:rPr>
                <w:b/>
                <w:bCs/>
                <w:i/>
                <w:iCs/>
              </w:rPr>
              <w:t>N</w:t>
            </w:r>
            <w:r w:rsidRPr="0027413A">
              <w:rPr>
                <w:b/>
                <w:bCs/>
              </w:rPr>
              <w:t xml:space="preserve"> =106 </w:t>
            </w:r>
          </w:p>
        </w:tc>
      </w:tr>
      <w:tr w:rsidR="0027413A" w:rsidRPr="0027413A" w:rsidTr="0027413A">
        <w:trPr>
          <w:tblCellSpacing w:w="15" w:type="dxa"/>
        </w:trPr>
        <w:tc>
          <w:tcPr>
            <w:tcW w:w="0" w:type="auto"/>
            <w:vAlign w:val="center"/>
            <w:hideMark/>
          </w:tcPr>
          <w:p w:rsidR="0027413A" w:rsidRPr="0027413A" w:rsidRDefault="0027413A" w:rsidP="0027413A">
            <w:r w:rsidRPr="0027413A">
              <w:t>10-12 </w:t>
            </w:r>
          </w:p>
        </w:tc>
        <w:tc>
          <w:tcPr>
            <w:tcW w:w="0" w:type="auto"/>
            <w:vAlign w:val="center"/>
            <w:hideMark/>
          </w:tcPr>
          <w:p w:rsidR="0027413A" w:rsidRPr="0027413A" w:rsidRDefault="0027413A" w:rsidP="0027413A">
            <w:r w:rsidRPr="0027413A">
              <w:t>4.98 (45, 60.8) </w:t>
            </w:r>
          </w:p>
        </w:tc>
        <w:tc>
          <w:tcPr>
            <w:tcW w:w="0" w:type="auto"/>
            <w:vAlign w:val="center"/>
            <w:hideMark/>
          </w:tcPr>
          <w:p w:rsidR="0027413A" w:rsidRPr="0027413A" w:rsidRDefault="0027413A" w:rsidP="0027413A">
            <w:r w:rsidRPr="0027413A">
              <w:t>5.04 (9, 45.0) </w:t>
            </w:r>
          </w:p>
        </w:tc>
        <w:tc>
          <w:tcPr>
            <w:tcW w:w="0" w:type="auto"/>
            <w:vAlign w:val="center"/>
            <w:hideMark/>
          </w:tcPr>
          <w:p w:rsidR="0027413A" w:rsidRPr="0027413A" w:rsidRDefault="0027413A" w:rsidP="0027413A">
            <w:r w:rsidRPr="0027413A">
              <w:t>4.92 (46, 43.4) </w:t>
            </w:r>
          </w:p>
        </w:tc>
      </w:tr>
      <w:tr w:rsidR="0027413A" w:rsidRPr="0027413A" w:rsidTr="0027413A">
        <w:trPr>
          <w:tblCellSpacing w:w="15" w:type="dxa"/>
        </w:trPr>
        <w:tc>
          <w:tcPr>
            <w:tcW w:w="0" w:type="auto"/>
            <w:vAlign w:val="center"/>
            <w:hideMark/>
          </w:tcPr>
          <w:p w:rsidR="0027413A" w:rsidRPr="0027413A" w:rsidRDefault="0027413A" w:rsidP="0027413A">
            <w:r w:rsidRPr="0027413A">
              <w:t>12-14 </w:t>
            </w:r>
          </w:p>
        </w:tc>
        <w:tc>
          <w:tcPr>
            <w:tcW w:w="0" w:type="auto"/>
            <w:vAlign w:val="center"/>
            <w:hideMark/>
          </w:tcPr>
          <w:p w:rsidR="0027413A" w:rsidRPr="0027413A" w:rsidRDefault="0027413A" w:rsidP="0027413A">
            <w:r w:rsidRPr="0027413A">
              <w:t>5.46 (18, 24.3) </w:t>
            </w:r>
          </w:p>
        </w:tc>
        <w:tc>
          <w:tcPr>
            <w:tcW w:w="0" w:type="auto"/>
            <w:vAlign w:val="center"/>
            <w:hideMark/>
          </w:tcPr>
          <w:p w:rsidR="0027413A" w:rsidRPr="0027413A" w:rsidRDefault="0027413A" w:rsidP="0027413A">
            <w:r w:rsidRPr="0027413A">
              <w:t>5.35 (4, 20.0) </w:t>
            </w:r>
          </w:p>
        </w:tc>
        <w:tc>
          <w:tcPr>
            <w:tcW w:w="0" w:type="auto"/>
            <w:vAlign w:val="center"/>
            <w:hideMark/>
          </w:tcPr>
          <w:p w:rsidR="0027413A" w:rsidRPr="0027413A" w:rsidRDefault="0027413A" w:rsidP="0027413A">
            <w:r w:rsidRPr="0027413A">
              <w:t>5.37 (17, 16.0) </w:t>
            </w:r>
          </w:p>
        </w:tc>
      </w:tr>
      <w:tr w:rsidR="0027413A" w:rsidRPr="0027413A" w:rsidTr="0027413A">
        <w:trPr>
          <w:tblCellSpacing w:w="15" w:type="dxa"/>
        </w:trPr>
        <w:tc>
          <w:tcPr>
            <w:tcW w:w="0" w:type="auto"/>
            <w:vAlign w:val="center"/>
            <w:hideMark/>
          </w:tcPr>
          <w:p w:rsidR="0027413A" w:rsidRPr="0027413A" w:rsidRDefault="0027413A" w:rsidP="0027413A">
            <w:r w:rsidRPr="0027413A">
              <w:lastRenderedPageBreak/>
              <w:t>&gt;14 </w:t>
            </w:r>
          </w:p>
        </w:tc>
        <w:tc>
          <w:tcPr>
            <w:tcW w:w="0" w:type="auto"/>
            <w:vAlign w:val="center"/>
            <w:hideMark/>
          </w:tcPr>
          <w:p w:rsidR="0027413A" w:rsidRPr="0027413A" w:rsidRDefault="0027413A" w:rsidP="0027413A">
            <w:r w:rsidRPr="0027413A">
              <w:t>6.25 (11, 14.9) </w:t>
            </w:r>
          </w:p>
        </w:tc>
        <w:tc>
          <w:tcPr>
            <w:tcW w:w="0" w:type="auto"/>
            <w:vAlign w:val="center"/>
            <w:hideMark/>
          </w:tcPr>
          <w:p w:rsidR="0027413A" w:rsidRPr="0027413A" w:rsidRDefault="0027413A" w:rsidP="0027413A">
            <w:r w:rsidRPr="0027413A">
              <w:t>6.19 (7, 35.0) </w:t>
            </w:r>
          </w:p>
        </w:tc>
        <w:tc>
          <w:tcPr>
            <w:tcW w:w="0" w:type="auto"/>
            <w:vAlign w:val="center"/>
            <w:hideMark/>
          </w:tcPr>
          <w:p w:rsidR="0027413A" w:rsidRPr="0027413A" w:rsidRDefault="0027413A" w:rsidP="0027413A">
            <w:r w:rsidRPr="0027413A">
              <w:t>6.54 (43, 40.6) </w:t>
            </w:r>
          </w:p>
        </w:tc>
      </w:tr>
    </w:tbl>
    <w:p w:rsidR="0009267D" w:rsidRDefault="0009267D">
      <w:bookmarkStart w:id="0" w:name="_GoBack"/>
      <w:bookmarkEnd w:id="0"/>
    </w:p>
    <w:sectPr w:rsidR="00092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3A"/>
    <w:rsid w:val="0009267D"/>
    <w:rsid w:val="0027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ADDDF-AFC0-4576-8C3B-D0B33DF0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23590">
      <w:bodyDiv w:val="1"/>
      <w:marLeft w:val="0"/>
      <w:marRight w:val="0"/>
      <w:marTop w:val="0"/>
      <w:marBottom w:val="0"/>
      <w:divBdr>
        <w:top w:val="none" w:sz="0" w:space="0" w:color="auto"/>
        <w:left w:val="none" w:sz="0" w:space="0" w:color="auto"/>
        <w:bottom w:val="none" w:sz="0" w:space="0" w:color="auto"/>
        <w:right w:val="none" w:sz="0" w:space="0" w:color="auto"/>
      </w:divBdr>
      <w:divsChild>
        <w:div w:id="1864199617">
          <w:marLeft w:val="0"/>
          <w:marRight w:val="0"/>
          <w:marTop w:val="0"/>
          <w:marBottom w:val="0"/>
          <w:divBdr>
            <w:top w:val="none" w:sz="0" w:space="0" w:color="auto"/>
            <w:left w:val="none" w:sz="0" w:space="0" w:color="auto"/>
            <w:bottom w:val="none" w:sz="0" w:space="0" w:color="auto"/>
            <w:right w:val="none" w:sz="0" w:space="0" w:color="auto"/>
          </w:divBdr>
          <w:divsChild>
            <w:div w:id="1651253990">
              <w:marLeft w:val="0"/>
              <w:marRight w:val="0"/>
              <w:marTop w:val="0"/>
              <w:marBottom w:val="0"/>
              <w:divBdr>
                <w:top w:val="none" w:sz="0" w:space="0" w:color="auto"/>
                <w:left w:val="none" w:sz="0" w:space="0" w:color="auto"/>
                <w:bottom w:val="none" w:sz="0" w:space="0" w:color="auto"/>
                <w:right w:val="none" w:sz="0" w:space="0" w:color="auto"/>
              </w:divBdr>
              <w:divsChild>
                <w:div w:id="187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1120">
          <w:marLeft w:val="0"/>
          <w:marRight w:val="0"/>
          <w:marTop w:val="0"/>
          <w:marBottom w:val="0"/>
          <w:divBdr>
            <w:top w:val="none" w:sz="0" w:space="0" w:color="auto"/>
            <w:left w:val="none" w:sz="0" w:space="0" w:color="auto"/>
            <w:bottom w:val="none" w:sz="0" w:space="0" w:color="auto"/>
            <w:right w:val="none" w:sz="0" w:space="0" w:color="auto"/>
          </w:divBdr>
          <w:divsChild>
            <w:div w:id="1589999032">
              <w:marLeft w:val="0"/>
              <w:marRight w:val="0"/>
              <w:marTop w:val="0"/>
              <w:marBottom w:val="0"/>
              <w:divBdr>
                <w:top w:val="none" w:sz="0" w:space="0" w:color="auto"/>
                <w:left w:val="none" w:sz="0" w:space="0" w:color="auto"/>
                <w:bottom w:val="none" w:sz="0" w:space="0" w:color="auto"/>
                <w:right w:val="none" w:sz="0" w:space="0" w:color="auto"/>
              </w:divBdr>
              <w:divsChild>
                <w:div w:id="466702156">
                  <w:marLeft w:val="0"/>
                  <w:marRight w:val="0"/>
                  <w:marTop w:val="0"/>
                  <w:marBottom w:val="0"/>
                  <w:divBdr>
                    <w:top w:val="none" w:sz="0" w:space="0" w:color="auto"/>
                    <w:left w:val="none" w:sz="0" w:space="0" w:color="auto"/>
                    <w:bottom w:val="none" w:sz="0" w:space="0" w:color="auto"/>
                    <w:right w:val="none" w:sz="0" w:space="0" w:color="auto"/>
                  </w:divBdr>
                </w:div>
                <w:div w:id="1172066632">
                  <w:marLeft w:val="0"/>
                  <w:marRight w:val="0"/>
                  <w:marTop w:val="0"/>
                  <w:marBottom w:val="0"/>
                  <w:divBdr>
                    <w:top w:val="none" w:sz="0" w:space="0" w:color="auto"/>
                    <w:left w:val="none" w:sz="0" w:space="0" w:color="auto"/>
                    <w:bottom w:val="none" w:sz="0" w:space="0" w:color="auto"/>
                    <w:right w:val="none" w:sz="0" w:space="0" w:color="auto"/>
                  </w:divBdr>
                </w:div>
              </w:divsChild>
            </w:div>
            <w:div w:id="10464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350">
      <w:bodyDiv w:val="1"/>
      <w:marLeft w:val="0"/>
      <w:marRight w:val="0"/>
      <w:marTop w:val="0"/>
      <w:marBottom w:val="0"/>
      <w:divBdr>
        <w:top w:val="none" w:sz="0" w:space="0" w:color="auto"/>
        <w:left w:val="none" w:sz="0" w:space="0" w:color="auto"/>
        <w:bottom w:val="none" w:sz="0" w:space="0" w:color="auto"/>
        <w:right w:val="none" w:sz="0" w:space="0" w:color="auto"/>
      </w:divBdr>
      <w:divsChild>
        <w:div w:id="1821969056">
          <w:marLeft w:val="0"/>
          <w:marRight w:val="0"/>
          <w:marTop w:val="0"/>
          <w:marBottom w:val="0"/>
          <w:divBdr>
            <w:top w:val="none" w:sz="0" w:space="0" w:color="auto"/>
            <w:left w:val="none" w:sz="0" w:space="0" w:color="auto"/>
            <w:bottom w:val="none" w:sz="0" w:space="0" w:color="auto"/>
            <w:right w:val="none" w:sz="0" w:space="0" w:color="auto"/>
          </w:divBdr>
          <w:divsChild>
            <w:div w:id="1189834906">
              <w:marLeft w:val="0"/>
              <w:marRight w:val="0"/>
              <w:marTop w:val="0"/>
              <w:marBottom w:val="0"/>
              <w:divBdr>
                <w:top w:val="none" w:sz="0" w:space="0" w:color="auto"/>
                <w:left w:val="none" w:sz="0" w:space="0" w:color="auto"/>
                <w:bottom w:val="none" w:sz="0" w:space="0" w:color="auto"/>
                <w:right w:val="none" w:sz="0" w:space="0" w:color="auto"/>
              </w:divBdr>
              <w:divsChild>
                <w:div w:id="1527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9099">
          <w:marLeft w:val="0"/>
          <w:marRight w:val="0"/>
          <w:marTop w:val="0"/>
          <w:marBottom w:val="0"/>
          <w:divBdr>
            <w:top w:val="none" w:sz="0" w:space="0" w:color="auto"/>
            <w:left w:val="none" w:sz="0" w:space="0" w:color="auto"/>
            <w:bottom w:val="none" w:sz="0" w:space="0" w:color="auto"/>
            <w:right w:val="none" w:sz="0" w:space="0" w:color="auto"/>
          </w:divBdr>
          <w:divsChild>
            <w:div w:id="1207840185">
              <w:marLeft w:val="0"/>
              <w:marRight w:val="0"/>
              <w:marTop w:val="0"/>
              <w:marBottom w:val="0"/>
              <w:divBdr>
                <w:top w:val="none" w:sz="0" w:space="0" w:color="auto"/>
                <w:left w:val="none" w:sz="0" w:space="0" w:color="auto"/>
                <w:bottom w:val="none" w:sz="0" w:space="0" w:color="auto"/>
                <w:right w:val="none" w:sz="0" w:space="0" w:color="auto"/>
              </w:divBdr>
              <w:divsChild>
                <w:div w:id="554439523">
                  <w:marLeft w:val="0"/>
                  <w:marRight w:val="0"/>
                  <w:marTop w:val="0"/>
                  <w:marBottom w:val="0"/>
                  <w:divBdr>
                    <w:top w:val="none" w:sz="0" w:space="0" w:color="auto"/>
                    <w:left w:val="none" w:sz="0" w:space="0" w:color="auto"/>
                    <w:bottom w:val="none" w:sz="0" w:space="0" w:color="auto"/>
                    <w:right w:val="none" w:sz="0" w:space="0" w:color="auto"/>
                  </w:divBdr>
                </w:div>
                <w:div w:id="1323971836">
                  <w:marLeft w:val="0"/>
                  <w:marRight w:val="0"/>
                  <w:marTop w:val="0"/>
                  <w:marBottom w:val="0"/>
                  <w:divBdr>
                    <w:top w:val="none" w:sz="0" w:space="0" w:color="auto"/>
                    <w:left w:val="none" w:sz="0" w:space="0" w:color="auto"/>
                    <w:bottom w:val="none" w:sz="0" w:space="0" w:color="auto"/>
                    <w:right w:val="none" w:sz="0" w:space="0" w:color="auto"/>
                  </w:divBdr>
                </w:div>
              </w:divsChild>
            </w:div>
            <w:div w:id="495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Hughes</dc:creator>
  <cp:keywords/>
  <dc:description/>
  <cp:lastModifiedBy>Jennifer Hughes</cp:lastModifiedBy>
  <cp:revision>1</cp:revision>
  <dcterms:created xsi:type="dcterms:W3CDTF">2018-09-06T10:12:00Z</dcterms:created>
  <dcterms:modified xsi:type="dcterms:W3CDTF">2018-09-06T10:13:00Z</dcterms:modified>
</cp:coreProperties>
</file>