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440" w14:textId="4A2AB60C" w:rsidR="00284DBC" w:rsidRPr="00A2572E" w:rsidRDefault="002E4BCA">
      <w:pPr>
        <w:rPr>
          <w:b/>
        </w:rPr>
      </w:pPr>
      <w:r w:rsidRPr="00A2572E">
        <w:rPr>
          <w:b/>
        </w:rPr>
        <w:t>G</w:t>
      </w:r>
      <w:r w:rsidR="00CB72B3" w:rsidRPr="00A2572E">
        <w:rPr>
          <w:b/>
        </w:rPr>
        <w:t>rey matter atrophy, retin</w:t>
      </w:r>
      <w:r w:rsidRPr="00A2572E">
        <w:rPr>
          <w:b/>
        </w:rPr>
        <w:t>al vessel dilatation &amp; reduc</w:t>
      </w:r>
      <w:r w:rsidR="005B1031" w:rsidRPr="00A2572E">
        <w:rPr>
          <w:b/>
        </w:rPr>
        <w:t>tion in</w:t>
      </w:r>
      <w:r w:rsidR="00CB72B3" w:rsidRPr="00A2572E">
        <w:rPr>
          <w:b/>
        </w:rPr>
        <w:t xml:space="preserve"> aortic </w:t>
      </w:r>
      <w:proofErr w:type="spellStart"/>
      <w:r w:rsidR="00CB72B3" w:rsidRPr="00A2572E">
        <w:rPr>
          <w:b/>
        </w:rPr>
        <w:t>distensibility</w:t>
      </w:r>
      <w:proofErr w:type="spellEnd"/>
      <w:r w:rsidRPr="00A2572E">
        <w:rPr>
          <w:b/>
        </w:rPr>
        <w:t xml:space="preserve"> in COPD</w:t>
      </w:r>
      <w:r w:rsidR="00CB72B3" w:rsidRPr="00A2572E">
        <w:rPr>
          <w:b/>
        </w:rPr>
        <w:t xml:space="preserve">: </w:t>
      </w:r>
      <w:r w:rsidR="005B1031" w:rsidRPr="00A2572E">
        <w:rPr>
          <w:b/>
        </w:rPr>
        <w:t>T</w:t>
      </w:r>
      <w:r w:rsidR="00AA44C6" w:rsidRPr="00A2572E">
        <w:rPr>
          <w:b/>
        </w:rPr>
        <w:t>he relationship between multi-organ vascular measures</w:t>
      </w:r>
      <w:r w:rsidR="005B1031" w:rsidRPr="00A2572E">
        <w:rPr>
          <w:b/>
        </w:rPr>
        <w:t>.</w:t>
      </w:r>
    </w:p>
    <w:p w14:paraId="3F94E49B" w14:textId="139CB383" w:rsidR="00CB72B3" w:rsidRDefault="00DC4C91">
      <w:r w:rsidRPr="00DC4C91">
        <w:rPr>
          <w:vertAlign w:val="superscript"/>
        </w:rPr>
        <w:t xml:space="preserve">1 </w:t>
      </w:r>
      <w:r w:rsidR="00CB72B3">
        <w:t>Dodd JW,</w:t>
      </w:r>
      <w:r>
        <w:t xml:space="preserve"> </w:t>
      </w:r>
      <w:r w:rsidRPr="00DC4C91">
        <w:rPr>
          <w:vertAlign w:val="superscript"/>
        </w:rPr>
        <w:t>2</w:t>
      </w:r>
      <w:r w:rsidR="00CB72B3">
        <w:t>Spilling C</w:t>
      </w:r>
      <w:r w:rsidR="000A071A">
        <w:t>A</w:t>
      </w:r>
      <w:r w:rsidR="00CB72B3">
        <w:t>,</w:t>
      </w:r>
      <w:r w:rsidR="00CB72B3" w:rsidRPr="00DC4C91">
        <w:rPr>
          <w:vertAlign w:val="superscript"/>
        </w:rPr>
        <w:t xml:space="preserve"> </w:t>
      </w:r>
      <w:r w:rsidRPr="00DC4C91">
        <w:rPr>
          <w:vertAlign w:val="superscript"/>
        </w:rPr>
        <w:t>3</w:t>
      </w:r>
      <w:r>
        <w:t xml:space="preserve"> </w:t>
      </w:r>
      <w:r w:rsidR="00CB72B3">
        <w:t xml:space="preserve">De </w:t>
      </w:r>
      <w:proofErr w:type="spellStart"/>
      <w:r w:rsidR="00CB72B3">
        <w:t>Garate</w:t>
      </w:r>
      <w:proofErr w:type="spellEnd"/>
      <w:r w:rsidR="00CB72B3">
        <w:t xml:space="preserve"> E, </w:t>
      </w:r>
      <w:r w:rsidRPr="00DC4C91">
        <w:rPr>
          <w:vertAlign w:val="superscript"/>
        </w:rPr>
        <w:t>2,5</w:t>
      </w:r>
      <w:r>
        <w:t xml:space="preserve"> </w:t>
      </w:r>
      <w:r w:rsidR="00CB72B3">
        <w:t>Baj</w:t>
      </w:r>
      <w:r w:rsidR="000A071A">
        <w:t>aj M-P</w:t>
      </w:r>
      <w:r w:rsidR="00B521A5">
        <w:t>K</w:t>
      </w:r>
      <w:r w:rsidR="00CB72B3">
        <w:t xml:space="preserve">, </w:t>
      </w:r>
      <w:r w:rsidRPr="00DC4C91">
        <w:rPr>
          <w:vertAlign w:val="superscript"/>
        </w:rPr>
        <w:t>2,5</w:t>
      </w:r>
      <w:r>
        <w:t xml:space="preserve"> </w:t>
      </w:r>
      <w:r w:rsidR="00CB72B3">
        <w:t>Burrage D</w:t>
      </w:r>
      <w:r w:rsidR="000A071A">
        <w:t>R</w:t>
      </w:r>
      <w:r w:rsidR="00CB72B3">
        <w:t xml:space="preserve">, </w:t>
      </w:r>
      <w:r w:rsidRPr="00DC4C91">
        <w:rPr>
          <w:vertAlign w:val="superscript"/>
        </w:rPr>
        <w:t>2,5</w:t>
      </w:r>
      <w:r>
        <w:t xml:space="preserve"> </w:t>
      </w:r>
      <w:r w:rsidR="00CB72B3">
        <w:t>Ruickbie S,</w:t>
      </w:r>
      <w:r w:rsidRPr="00DC4C91">
        <w:rPr>
          <w:vertAlign w:val="superscript"/>
        </w:rPr>
        <w:t>4</w:t>
      </w:r>
      <w:r w:rsidR="00CB72B3">
        <w:t xml:space="preserve"> McKay G</w:t>
      </w:r>
      <w:r w:rsidR="006947CA">
        <w:t>J</w:t>
      </w:r>
      <w:r w:rsidR="00CB72B3">
        <w:t xml:space="preserve">, </w:t>
      </w:r>
      <w:r>
        <w:rPr>
          <w:vertAlign w:val="superscript"/>
        </w:rPr>
        <w:t>3</w:t>
      </w:r>
      <w:r w:rsidR="00014F58">
        <w:t>Bucc</w:t>
      </w:r>
      <w:r w:rsidR="00CB72B3">
        <w:t xml:space="preserve">iarelli-Ducci C, </w:t>
      </w:r>
      <w:r>
        <w:rPr>
          <w:vertAlign w:val="superscript"/>
        </w:rPr>
        <w:t>2,5</w:t>
      </w:r>
      <w:r>
        <w:t xml:space="preserve"> </w:t>
      </w:r>
      <w:r w:rsidR="00CB72B3">
        <w:t xml:space="preserve">Baker EH, </w:t>
      </w:r>
      <w:r w:rsidRPr="00DC4C91">
        <w:rPr>
          <w:vertAlign w:val="superscript"/>
        </w:rPr>
        <w:t>2</w:t>
      </w:r>
      <w:r>
        <w:t xml:space="preserve"> </w:t>
      </w:r>
      <w:r w:rsidR="00CB72B3">
        <w:t>Barrick T</w:t>
      </w:r>
      <w:r w:rsidR="000A071A">
        <w:t>R</w:t>
      </w:r>
      <w:r w:rsidR="00CB72B3">
        <w:t>,</w:t>
      </w:r>
      <w:r>
        <w:t xml:space="preserve"> </w:t>
      </w:r>
      <w:r w:rsidRPr="00DC4C91">
        <w:rPr>
          <w:vertAlign w:val="superscript"/>
        </w:rPr>
        <w:t>5</w:t>
      </w:r>
      <w:r w:rsidR="00CB72B3">
        <w:t xml:space="preserve"> Jones PW</w:t>
      </w:r>
    </w:p>
    <w:p w14:paraId="4E12E17A" w14:textId="622A246C" w:rsidR="000A071A" w:rsidRDefault="000A071A">
      <w:r>
        <w:t>1</w:t>
      </w:r>
      <w:r w:rsidR="00DC4C91">
        <w:t xml:space="preserve"> </w:t>
      </w:r>
      <w:r w:rsidRPr="000A071A">
        <w:t>Academic Respiratory Unit</w:t>
      </w:r>
      <w:r w:rsidR="00DC4C91">
        <w:t>, Southmead Hospital – Bristol/</w:t>
      </w:r>
      <w:r w:rsidRPr="000A071A">
        <w:t xml:space="preserve">UK </w:t>
      </w:r>
    </w:p>
    <w:p w14:paraId="4560F6FD" w14:textId="14DAD575" w:rsidR="000A071A" w:rsidRDefault="000A071A">
      <w:r>
        <w:t>2</w:t>
      </w:r>
      <w:r w:rsidR="00DC4C91">
        <w:t xml:space="preserve"> </w:t>
      </w:r>
      <w:r w:rsidRPr="000A071A">
        <w:t xml:space="preserve">Neuroscience Research Centre, Molecular and Clinical Sciences Research Institute, St George's, University of London - London/UK, </w:t>
      </w:r>
    </w:p>
    <w:p w14:paraId="33F01071" w14:textId="0E23C016" w:rsidR="000A071A" w:rsidRDefault="000A071A">
      <w:proofErr w:type="gramStart"/>
      <w:r>
        <w:t>3</w:t>
      </w:r>
      <w:r w:rsidR="00DC4C91">
        <w:t xml:space="preserve"> </w:t>
      </w:r>
      <w:r>
        <w:t>Bristol Heart Institute</w:t>
      </w:r>
      <w:r w:rsidR="00DC4C91">
        <w:t>, University Hospital</w:t>
      </w:r>
      <w:r w:rsidR="00E8129C">
        <w:t>s</w:t>
      </w:r>
      <w:r w:rsidR="00DC4C91">
        <w:t xml:space="preserve"> Bristol, Bristol/UK.</w:t>
      </w:r>
      <w:bookmarkStart w:id="0" w:name="_GoBack"/>
      <w:bookmarkEnd w:id="0"/>
      <w:proofErr w:type="gramEnd"/>
    </w:p>
    <w:p w14:paraId="1BB3924C" w14:textId="4F40D57B" w:rsidR="000A071A" w:rsidRDefault="000A071A">
      <w:r>
        <w:t>4</w:t>
      </w:r>
      <w:r w:rsidR="00DC4C91">
        <w:t xml:space="preserve"> </w:t>
      </w:r>
      <w:proofErr w:type="gramStart"/>
      <w:r w:rsidR="006947CA">
        <w:t>Centre</w:t>
      </w:r>
      <w:proofErr w:type="gramEnd"/>
      <w:r w:rsidR="006947CA">
        <w:t xml:space="preserve"> for Public Health, </w:t>
      </w:r>
      <w:r>
        <w:t>Queens University Belfast</w:t>
      </w:r>
    </w:p>
    <w:p w14:paraId="53003FE1" w14:textId="06CDF435" w:rsidR="000A071A" w:rsidRDefault="000A071A">
      <w:r>
        <w:t>5</w:t>
      </w:r>
      <w:r w:rsidR="00DC4C91">
        <w:t xml:space="preserve"> </w:t>
      </w:r>
      <w:r w:rsidRPr="000A071A">
        <w:t xml:space="preserve">Clinical Pharmacology, </w:t>
      </w:r>
      <w:r w:rsidR="00B521A5">
        <w:t xml:space="preserve">Institute of </w:t>
      </w:r>
      <w:r w:rsidRPr="000A071A">
        <w:t xml:space="preserve">Infection and Immunity Institute, St George’s, University of London – London/UK, </w:t>
      </w:r>
    </w:p>
    <w:p w14:paraId="4B9F8583" w14:textId="77777777" w:rsidR="00272E4E" w:rsidRDefault="00272E4E" w:rsidP="000A071A">
      <w:pPr>
        <w:spacing w:line="240" w:lineRule="auto"/>
      </w:pPr>
    </w:p>
    <w:p w14:paraId="41D1C636" w14:textId="77777777" w:rsidR="001740E2" w:rsidRDefault="001740E2" w:rsidP="000A071A">
      <w:pPr>
        <w:spacing w:line="240" w:lineRule="auto"/>
      </w:pPr>
      <w:r>
        <w:t>Background</w:t>
      </w:r>
    </w:p>
    <w:p w14:paraId="27ADD45E" w14:textId="7F1F0DE8" w:rsidR="00272E4E" w:rsidRDefault="00272E4E" w:rsidP="000A071A">
      <w:pPr>
        <w:spacing w:line="240" w:lineRule="auto"/>
      </w:pPr>
      <w:r>
        <w:t xml:space="preserve">COPD </w:t>
      </w:r>
      <w:r w:rsidR="001740E2">
        <w:t xml:space="preserve">is linked </w:t>
      </w:r>
      <w:r w:rsidR="00A2572E">
        <w:t>to</w:t>
      </w:r>
      <w:r w:rsidR="001740E2">
        <w:t xml:space="preserve"> </w:t>
      </w:r>
      <w:r>
        <w:t>risk of MI</w:t>
      </w:r>
      <w:r w:rsidR="00337FBB">
        <w:t>,</w:t>
      </w:r>
      <w:r>
        <w:t xml:space="preserve"> stroke</w:t>
      </w:r>
      <w:r w:rsidR="00337FBB" w:rsidRPr="00337FBB">
        <w:t xml:space="preserve"> </w:t>
      </w:r>
      <w:r w:rsidR="00337FBB">
        <w:t xml:space="preserve">and </w:t>
      </w:r>
      <w:r w:rsidR="00337FBB" w:rsidRPr="006C2F87">
        <w:t>white</w:t>
      </w:r>
      <w:r w:rsidR="005B1031">
        <w:t xml:space="preserve"> matter</w:t>
      </w:r>
      <w:r w:rsidR="00337FBB" w:rsidRPr="006C2F87">
        <w:t xml:space="preserve"> </w:t>
      </w:r>
      <w:r w:rsidR="002505E5">
        <w:t>brain lesions</w:t>
      </w:r>
      <w:r w:rsidR="00337FBB">
        <w:t>, b</w:t>
      </w:r>
      <w:r w:rsidR="0013078E">
        <w:t xml:space="preserve">ut there </w:t>
      </w:r>
      <w:r w:rsidR="002505E5">
        <w:t>is</w:t>
      </w:r>
      <w:r>
        <w:t xml:space="preserve"> no recognised method of identifying </w:t>
      </w:r>
      <w:r w:rsidR="002505E5">
        <w:t>those</w:t>
      </w:r>
      <w:r>
        <w:t xml:space="preserve"> who go on to have acute vascular events</w:t>
      </w:r>
      <w:r w:rsidR="006C2F87">
        <w:t xml:space="preserve">. </w:t>
      </w:r>
      <w:r>
        <w:t xml:space="preserve"> </w:t>
      </w:r>
      <w:r w:rsidR="004826D5">
        <w:t>I</w:t>
      </w:r>
      <w:r>
        <w:t xml:space="preserve">t </w:t>
      </w:r>
      <w:r w:rsidR="004826D5">
        <w:t xml:space="preserve">also </w:t>
      </w:r>
      <w:r>
        <w:t xml:space="preserve">remains unclear if vascular risk in COPD is truly </w:t>
      </w:r>
      <w:r w:rsidR="001740E2">
        <w:t>independent</w:t>
      </w:r>
      <w:r>
        <w:t xml:space="preserve"> of smoking. </w:t>
      </w:r>
      <w:r w:rsidR="001F0A42" w:rsidRPr="001F0A42">
        <w:t>The Novel Vascular Manifestations of COPD (</w:t>
      </w:r>
      <w:proofErr w:type="spellStart"/>
      <w:r w:rsidR="001F0A42" w:rsidRPr="001F0A42">
        <w:t>NoVasC</w:t>
      </w:r>
      <w:proofErr w:type="spellEnd"/>
      <w:r w:rsidR="001F0A42" w:rsidRPr="001F0A42">
        <w:t>) study was designed to address this limitation through direct comparison of COP</w:t>
      </w:r>
      <w:r w:rsidR="008C32EA">
        <w:t>D patients and smoking controls using</w:t>
      </w:r>
      <w:r>
        <w:t xml:space="preserve"> multimodal </w:t>
      </w:r>
      <w:r w:rsidR="00A32459">
        <w:t xml:space="preserve">brain </w:t>
      </w:r>
      <w:r>
        <w:t>MRI, retinal photography, c</w:t>
      </w:r>
      <w:r w:rsidR="001F0A42">
        <w:t>ardiac MRI</w:t>
      </w:r>
      <w:r w:rsidR="00016C93">
        <w:t xml:space="preserve"> (CMR)</w:t>
      </w:r>
      <w:r w:rsidR="001F0A42">
        <w:t xml:space="preserve"> and aortic stiffness in addition to cognitive and disease severity measures.</w:t>
      </w:r>
    </w:p>
    <w:p w14:paraId="52B8F051" w14:textId="77777777" w:rsidR="00272E4E" w:rsidRDefault="00272E4E" w:rsidP="000A071A">
      <w:pPr>
        <w:spacing w:line="240" w:lineRule="auto"/>
      </w:pPr>
      <w:r>
        <w:t>Method</w:t>
      </w:r>
      <w:r w:rsidR="001F0A42">
        <w:t>s</w:t>
      </w:r>
    </w:p>
    <w:p w14:paraId="1BE828EC" w14:textId="3361A7D5" w:rsidR="00272E4E" w:rsidRDefault="007E09E3" w:rsidP="000A071A">
      <w:pPr>
        <w:spacing w:line="240" w:lineRule="auto"/>
      </w:pPr>
      <w:r>
        <w:t>MR</w:t>
      </w:r>
      <w:r w:rsidR="001740E2">
        <w:t xml:space="preserve"> brain volumes,</w:t>
      </w:r>
      <w:r>
        <w:t xml:space="preserve"> diffusion, blood flow and white matter lesions</w:t>
      </w:r>
      <w:r w:rsidR="001740E2">
        <w:t xml:space="preserve"> were acquired for </w:t>
      </w:r>
      <w:r w:rsidR="00272E4E" w:rsidRPr="000A071A">
        <w:t>27 COPD patients (age 67±8, 41% male, pack years 39±21, FEV</w:t>
      </w:r>
      <w:r w:rsidR="00272E4E" w:rsidRPr="000A071A">
        <w:rPr>
          <w:vertAlign w:val="subscript"/>
        </w:rPr>
        <w:t>1</w:t>
      </w:r>
      <w:r w:rsidR="00272E4E" w:rsidRPr="000A071A">
        <w:t xml:space="preserve"> 58±18% predicted) and 23 controls (age 63±9, 48% male, pack years 30±14, FEV</w:t>
      </w:r>
      <w:r w:rsidR="00272E4E" w:rsidRPr="000A071A">
        <w:rPr>
          <w:vertAlign w:val="subscript"/>
        </w:rPr>
        <w:t>1</w:t>
      </w:r>
      <w:r w:rsidR="00272E4E" w:rsidRPr="000A071A">
        <w:t xml:space="preserve"> 101±19% predicted)</w:t>
      </w:r>
      <w:r>
        <w:t xml:space="preserve">. </w:t>
      </w:r>
      <w:r w:rsidR="00632D09">
        <w:t>CMR</w:t>
      </w:r>
      <w:r w:rsidR="001740E2">
        <w:t xml:space="preserve"> of LV and RV function</w:t>
      </w:r>
      <w:r>
        <w:t>,</w:t>
      </w:r>
      <w:r w:rsidR="001740E2">
        <w:t xml:space="preserve"> volumes </w:t>
      </w:r>
      <w:r w:rsidR="002505E5">
        <w:t xml:space="preserve">and </w:t>
      </w:r>
      <w:r w:rsidR="001740E2">
        <w:t xml:space="preserve">aortic </w:t>
      </w:r>
      <w:proofErr w:type="spellStart"/>
      <w:r w:rsidR="001740E2">
        <w:t>distensibility</w:t>
      </w:r>
      <w:proofErr w:type="spellEnd"/>
      <w:r w:rsidRPr="007E09E3">
        <w:t xml:space="preserve"> </w:t>
      </w:r>
      <w:r w:rsidR="006947CA">
        <w:t xml:space="preserve">were captured </w:t>
      </w:r>
      <w:r>
        <w:t>using</w:t>
      </w:r>
      <w:r w:rsidRPr="000A071A">
        <w:t xml:space="preserve"> a 3-Telsa MR scanner.</w:t>
      </w:r>
      <w:r>
        <w:t xml:space="preserve"> Pulse wave velocity and augmentation index were acquired using </w:t>
      </w:r>
      <w:proofErr w:type="spellStart"/>
      <w:r>
        <w:t>Vicorder</w:t>
      </w:r>
      <w:proofErr w:type="spellEnd"/>
      <w:r>
        <w:t>.</w:t>
      </w:r>
      <w:r w:rsidRPr="001740E2">
        <w:t xml:space="preserve"> </w:t>
      </w:r>
      <w:r>
        <w:t xml:space="preserve"> </w:t>
      </w:r>
      <w:r w:rsidR="006947CA">
        <w:t xml:space="preserve">Retinal fundus </w:t>
      </w:r>
      <w:r>
        <w:t>photographs were analy</w:t>
      </w:r>
      <w:r w:rsidR="00016C93">
        <w:t xml:space="preserve">sed using </w:t>
      </w:r>
      <w:r>
        <w:t>validated automated software (S</w:t>
      </w:r>
      <w:r w:rsidR="004826D5">
        <w:t>I</w:t>
      </w:r>
      <w:r>
        <w:t xml:space="preserve">VA). </w:t>
      </w:r>
      <w:r w:rsidR="006947CA">
        <w:t>Analyses adjusted</w:t>
      </w:r>
      <w:r w:rsidR="001740E2">
        <w:t xml:space="preserve"> for differences in age, gender, blood pressure and pack year</w:t>
      </w:r>
      <w:r w:rsidR="006947CA">
        <w:t>s</w:t>
      </w:r>
      <w:r w:rsidR="001740E2">
        <w:t xml:space="preserve"> smoked</w:t>
      </w:r>
      <w:r w:rsidR="001F0A42">
        <w:t>.</w:t>
      </w:r>
    </w:p>
    <w:p w14:paraId="3476A2E0" w14:textId="77777777" w:rsidR="001740E2" w:rsidRDefault="001740E2" w:rsidP="000A071A">
      <w:pPr>
        <w:spacing w:line="240" w:lineRule="auto"/>
      </w:pPr>
      <w:r>
        <w:t>Results</w:t>
      </w:r>
    </w:p>
    <w:p w14:paraId="46534D9B" w14:textId="60A38C38" w:rsidR="001740E2" w:rsidRDefault="001740E2" w:rsidP="000A071A">
      <w:pPr>
        <w:spacing w:line="240" w:lineRule="auto"/>
      </w:pPr>
      <w:r>
        <w:t>Significant differences in grey matter volume (p</w:t>
      </w:r>
      <w:r w:rsidR="002505E5">
        <w:t>=</w:t>
      </w:r>
      <w:r>
        <w:t>0.004), retinal</w:t>
      </w:r>
      <w:r w:rsidR="00B13708">
        <w:t xml:space="preserve"> vessels </w:t>
      </w:r>
      <w:r>
        <w:t xml:space="preserve">(p=0.005) and </w:t>
      </w:r>
      <w:r w:rsidR="00632D09">
        <w:t>CMR</w:t>
      </w:r>
      <w:r>
        <w:t xml:space="preserve"> (p=0.01) were identified</w:t>
      </w:r>
      <w:r w:rsidR="009B7DBE">
        <w:t xml:space="preserve"> in COPD</w:t>
      </w:r>
      <w:r w:rsidR="0043698B">
        <w:t xml:space="preserve"> (Table 1)</w:t>
      </w:r>
      <w:r>
        <w:t xml:space="preserve">. </w:t>
      </w:r>
      <w:r w:rsidR="00B72D91">
        <w:t>There was significant correlation</w:t>
      </w:r>
      <w:r w:rsidR="00016C93">
        <w:t xml:space="preserve"> between</w:t>
      </w:r>
      <w:r w:rsidR="001F0A42">
        <w:t xml:space="preserve"> g</w:t>
      </w:r>
      <w:r>
        <w:t>rey matter volu</w:t>
      </w:r>
      <w:r w:rsidR="006C2F87">
        <w:t xml:space="preserve">me </w:t>
      </w:r>
      <w:r w:rsidR="001F0A42">
        <w:t>and</w:t>
      </w:r>
      <w:r>
        <w:t xml:space="preserve"> BMI (</w:t>
      </w:r>
      <w:r w:rsidR="00E8129C">
        <w:t xml:space="preserve">r=-0.42 </w:t>
      </w:r>
      <w:r>
        <w:t>p</w:t>
      </w:r>
      <w:r w:rsidR="003B35C0">
        <w:t>=0</w:t>
      </w:r>
      <w:r>
        <w:t>.005)</w:t>
      </w:r>
      <w:r w:rsidR="001F0A42">
        <w:t xml:space="preserve"> only. </w:t>
      </w:r>
      <w:r w:rsidR="004826D5">
        <w:t>White matter l</w:t>
      </w:r>
      <w:r w:rsidR="001F0A42">
        <w:t xml:space="preserve">esion volume was associated with </w:t>
      </w:r>
      <w:r w:rsidR="00E8129C">
        <w:t>FEV1/FVC</w:t>
      </w:r>
      <w:r w:rsidR="001F0A42">
        <w:t xml:space="preserve"> and creatinine (</w:t>
      </w:r>
      <w:r w:rsidR="00E8129C">
        <w:t xml:space="preserve">r=0.29 </w:t>
      </w:r>
      <w:r w:rsidR="001F0A42">
        <w:t xml:space="preserve">p=0.048 and </w:t>
      </w:r>
      <w:r w:rsidR="00E8129C">
        <w:t>r=-0.33 p=0.027). C</w:t>
      </w:r>
      <w:r w:rsidR="001F0A42">
        <w:t xml:space="preserve">erebral blood flow </w:t>
      </w:r>
      <w:r w:rsidR="006947CA">
        <w:t>was associated</w:t>
      </w:r>
      <w:r w:rsidR="001F0A42">
        <w:t xml:space="preserve"> with arterial pH in COPD (</w:t>
      </w:r>
      <w:r w:rsidR="00E8129C">
        <w:t xml:space="preserve">r=-0.49 </w:t>
      </w:r>
      <w:r w:rsidR="001F0A42">
        <w:t>p=0.019).There were no significant association</w:t>
      </w:r>
      <w:r w:rsidR="006947CA">
        <w:t>s</w:t>
      </w:r>
      <w:r w:rsidR="001F0A42">
        <w:t xml:space="preserve"> identified between</w:t>
      </w:r>
      <w:r w:rsidR="00A2572E">
        <w:t xml:space="preserve"> other</w:t>
      </w:r>
      <w:r w:rsidR="001F0A42">
        <w:t xml:space="preserve"> MR brain</w:t>
      </w:r>
      <w:r w:rsidR="00016C93">
        <w:t>,</w:t>
      </w:r>
      <w:r>
        <w:t xml:space="preserve"> </w:t>
      </w:r>
      <w:r w:rsidR="004826D5">
        <w:t>cognition</w:t>
      </w:r>
      <w:r>
        <w:t>, disease severity</w:t>
      </w:r>
      <w:r w:rsidR="00A2572E">
        <w:t xml:space="preserve"> or</w:t>
      </w:r>
      <w:r w:rsidR="00E851FA">
        <w:t xml:space="preserve"> </w:t>
      </w:r>
      <w:r>
        <w:t xml:space="preserve">retinal measures. </w:t>
      </w:r>
      <w:r w:rsidR="00632D09">
        <w:t xml:space="preserve">Significant correlations were identified between </w:t>
      </w:r>
      <w:r w:rsidR="00016C93">
        <w:t xml:space="preserve">CMR </w:t>
      </w:r>
      <w:r w:rsidR="00E8129C">
        <w:t xml:space="preserve">and </w:t>
      </w:r>
      <w:r w:rsidR="00016C93">
        <w:t>white matter damage (DTI</w:t>
      </w:r>
      <w:r w:rsidR="0089453C">
        <w:t xml:space="preserve"> r=0.5</w:t>
      </w:r>
      <w:r w:rsidR="00B72D91">
        <w:t>0</w:t>
      </w:r>
      <w:r w:rsidR="00016C93">
        <w:t xml:space="preserve"> p=0.0</w:t>
      </w:r>
      <w:r w:rsidR="0089453C">
        <w:t>0</w:t>
      </w:r>
      <w:r w:rsidR="00016C93">
        <w:t>1)</w:t>
      </w:r>
      <w:r w:rsidR="0089453C">
        <w:t xml:space="preserve"> and FEV1/FVC</w:t>
      </w:r>
      <w:r w:rsidR="00016C93">
        <w:t xml:space="preserve"> (</w:t>
      </w:r>
      <w:r w:rsidR="00B72D91">
        <w:t>r=0.447</w:t>
      </w:r>
      <w:r w:rsidR="0089453C">
        <w:t xml:space="preserve"> </w:t>
      </w:r>
      <w:r w:rsidR="00B72D91">
        <w:t>p=0.003</w:t>
      </w:r>
      <w:r w:rsidR="00016C93">
        <w:t>)</w:t>
      </w:r>
      <w:r w:rsidR="00632D09">
        <w:t xml:space="preserve"> and r</w:t>
      </w:r>
      <w:r w:rsidR="006C2F87">
        <w:t xml:space="preserve">etinal </w:t>
      </w:r>
      <w:r w:rsidR="00016C93">
        <w:t xml:space="preserve">measures with </w:t>
      </w:r>
      <w:r w:rsidR="001F0A42">
        <w:t xml:space="preserve">FEV1 % </w:t>
      </w:r>
      <w:proofErr w:type="spellStart"/>
      <w:r w:rsidR="001F0A42">
        <w:t>pred</w:t>
      </w:r>
      <w:proofErr w:type="spellEnd"/>
      <w:r w:rsidR="007E09E3">
        <w:t xml:space="preserve"> </w:t>
      </w:r>
      <w:r w:rsidR="00016C93">
        <w:t>(</w:t>
      </w:r>
      <w:r w:rsidR="0089453C">
        <w:t xml:space="preserve">r=-0.43 </w:t>
      </w:r>
      <w:r w:rsidR="006C2F87">
        <w:t>p=0.006</w:t>
      </w:r>
      <w:r w:rsidR="00016C93">
        <w:t>).</w:t>
      </w:r>
    </w:p>
    <w:p w14:paraId="04D5122C" w14:textId="77777777" w:rsidR="000A071A" w:rsidRDefault="000A071A" w:rsidP="000A071A">
      <w:r>
        <w:lastRenderedPageBreak/>
        <w:t>Conclusions</w:t>
      </w:r>
    </w:p>
    <w:p w14:paraId="7D26D3CF" w14:textId="345A2151" w:rsidR="009B7DBE" w:rsidRDefault="009B7DBE" w:rsidP="000A071A">
      <w:r>
        <w:t>Grey matter atrophy, retinal vessel dilatati</w:t>
      </w:r>
      <w:r w:rsidR="002505E5">
        <w:t xml:space="preserve">on, and aortic </w:t>
      </w:r>
      <w:proofErr w:type="spellStart"/>
      <w:r w:rsidR="002505E5">
        <w:t>distensibility</w:t>
      </w:r>
      <w:proofErr w:type="spellEnd"/>
      <w:r w:rsidR="002505E5">
        <w:t xml:space="preserve"> are present in</w:t>
      </w:r>
      <w:r>
        <w:t xml:space="preserve"> COPD. </w:t>
      </w:r>
      <w:r w:rsidR="00B13708">
        <w:t>Whit</w:t>
      </w:r>
      <w:r w:rsidR="00A2572E">
        <w:t>e matter lesions volume is associated with lung function but there was no relationship between other</w:t>
      </w:r>
      <w:r>
        <w:t xml:space="preserve"> MRI brain</w:t>
      </w:r>
      <w:r w:rsidR="00A2572E">
        <w:t xml:space="preserve"> measures</w:t>
      </w:r>
      <w:r w:rsidR="0056756C">
        <w:t xml:space="preserve">, </w:t>
      </w:r>
      <w:r w:rsidR="002505E5">
        <w:t>cognition or disease severity. N</w:t>
      </w:r>
      <w:r>
        <w:t>on</w:t>
      </w:r>
      <w:r w:rsidR="002505E5">
        <w:t>-</w:t>
      </w:r>
      <w:r>
        <w:t xml:space="preserve">invasive </w:t>
      </w:r>
      <w:r w:rsidR="002505E5">
        <w:t xml:space="preserve">vascular </w:t>
      </w:r>
      <w:r>
        <w:t xml:space="preserve">measures of retinal </w:t>
      </w:r>
      <w:r w:rsidR="008C32EA">
        <w:t xml:space="preserve">vessels </w:t>
      </w:r>
      <w:r>
        <w:t xml:space="preserve">and cardiac </w:t>
      </w:r>
      <w:r w:rsidR="008C32EA">
        <w:t>MR</w:t>
      </w:r>
      <w:r w:rsidR="002505E5">
        <w:t xml:space="preserve"> appear to</w:t>
      </w:r>
      <w:r>
        <w:t xml:space="preserve"> relate </w:t>
      </w:r>
      <w:r w:rsidR="002505E5">
        <w:t xml:space="preserve">to </w:t>
      </w:r>
      <w:r w:rsidR="00B13708">
        <w:t>lung function and white matter damage</w:t>
      </w:r>
      <w:r w:rsidR="002505E5">
        <w:t xml:space="preserve"> and warrant further investigation in larger longitudinal studies of vascular events in COPD.</w:t>
      </w:r>
    </w:p>
    <w:p w14:paraId="595CCAE5" w14:textId="77777777" w:rsidR="00032CD0" w:rsidRDefault="00032CD0" w:rsidP="000A071A"/>
    <w:p w14:paraId="57E0A635" w14:textId="2E4F2292" w:rsidR="00032CD0" w:rsidRDefault="00032CD0">
      <w:r>
        <w:br w:type="page"/>
      </w:r>
    </w:p>
    <w:p w14:paraId="2CEDF928" w14:textId="308AE2D0" w:rsidR="00032CD0" w:rsidRDefault="0043698B" w:rsidP="000A071A">
      <w:r>
        <w:lastRenderedPageBreak/>
        <w:t xml:space="preserve">Table 1 </w:t>
      </w:r>
      <w:r w:rsidR="005C7295">
        <w:t>COPD group vs. smoker controls ANOVA corrected for age, gender, mean arterial blood pressure and pack years smoked</w:t>
      </w: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2260"/>
        <w:gridCol w:w="2380"/>
        <w:gridCol w:w="2420"/>
        <w:gridCol w:w="1360"/>
        <w:gridCol w:w="1400"/>
        <w:gridCol w:w="1000"/>
        <w:gridCol w:w="1000"/>
      </w:tblGrid>
      <w:tr w:rsidR="00032CD0" w:rsidRPr="00032CD0" w14:paraId="7EFFE202" w14:textId="77777777" w:rsidTr="00032CD0">
        <w:trPr>
          <w:trHeight w:val="582"/>
        </w:trPr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432FE660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FA5BCA1" w14:textId="77777777" w:rsidR="00032CD0" w:rsidRPr="00032CD0" w:rsidRDefault="00032CD0" w:rsidP="00032CD0">
            <w:r w:rsidRPr="00032CD0">
              <w:t>Sum of Squares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4423877" w14:textId="77777777" w:rsidR="00032CD0" w:rsidRPr="00032CD0" w:rsidRDefault="00032CD0" w:rsidP="00032CD0">
            <w:proofErr w:type="spellStart"/>
            <w:r w:rsidRPr="00032CD0">
              <w:t>df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6B7D0E1C" w14:textId="77777777" w:rsidR="00032CD0" w:rsidRPr="00032CD0" w:rsidRDefault="00032CD0" w:rsidP="00032CD0">
            <w:r w:rsidRPr="00032CD0">
              <w:t>Mean Square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793430E" w14:textId="77777777" w:rsidR="00032CD0" w:rsidRPr="00032CD0" w:rsidRDefault="00032CD0" w:rsidP="00032CD0">
            <w:r w:rsidRPr="00032CD0"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278045BB" w14:textId="77777777" w:rsidR="00032CD0" w:rsidRPr="00032CD0" w:rsidRDefault="00032CD0" w:rsidP="00032CD0">
            <w:r w:rsidRPr="00032CD0">
              <w:t>Sig.</w:t>
            </w:r>
          </w:p>
        </w:tc>
      </w:tr>
      <w:tr w:rsidR="00032CD0" w:rsidRPr="00032CD0" w14:paraId="2DE27B22" w14:textId="77777777" w:rsidTr="00032CD0">
        <w:trPr>
          <w:trHeight w:val="342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4702FC" w14:textId="0A1B4D80" w:rsidR="00032CD0" w:rsidRDefault="0043698B" w:rsidP="00032CD0">
            <w:r>
              <w:t>Normalised White Matter Volume</w:t>
            </w:r>
          </w:p>
          <w:p w14:paraId="398E6714" w14:textId="70509798" w:rsidR="00032CD0" w:rsidRPr="00032CD0" w:rsidRDefault="0043698B" w:rsidP="00032CD0">
            <w:r>
              <w:t>Voxel based Morphometry. (</w:t>
            </w:r>
            <w:r w:rsidR="00032CD0">
              <w:t>VBM)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271549F3" w14:textId="77777777" w:rsidR="00032CD0" w:rsidRPr="00032CD0" w:rsidRDefault="00032CD0" w:rsidP="00032CD0">
            <w:r w:rsidRPr="00032CD0">
              <w:t>Between Groups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6C2C764" w14:textId="77777777" w:rsidR="00032CD0" w:rsidRPr="00032CD0" w:rsidRDefault="00032CD0" w:rsidP="00032CD0">
            <w:r w:rsidRPr="00032CD0">
              <w:t>0.625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968388C" w14:textId="77777777" w:rsidR="00032CD0" w:rsidRPr="00032CD0" w:rsidRDefault="00032CD0" w:rsidP="00032CD0">
            <w:r w:rsidRPr="00032CD0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E4E1805" w14:textId="77777777" w:rsidR="00032CD0" w:rsidRPr="00032CD0" w:rsidRDefault="00032CD0" w:rsidP="00032CD0">
            <w:r w:rsidRPr="00032CD0">
              <w:t>0.625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4FC4465" w14:textId="77777777" w:rsidR="00032CD0" w:rsidRPr="00032CD0" w:rsidRDefault="00032CD0" w:rsidP="00032CD0">
            <w:r w:rsidRPr="00032CD0">
              <w:t>0.115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4CD8A298" w14:textId="77777777" w:rsidR="00032CD0" w:rsidRPr="00032CD0" w:rsidRDefault="00032CD0" w:rsidP="00032CD0">
            <w:r w:rsidRPr="00032CD0">
              <w:t>0.736</w:t>
            </w:r>
          </w:p>
        </w:tc>
      </w:tr>
      <w:tr w:rsidR="00032CD0" w:rsidRPr="00032CD0" w14:paraId="12E2B6A9" w14:textId="77777777" w:rsidTr="00032CD0">
        <w:trPr>
          <w:trHeight w:val="342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A9FFD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1AF8A88B" w14:textId="77777777" w:rsidR="00032CD0" w:rsidRPr="00032CD0" w:rsidRDefault="00032CD0" w:rsidP="00032CD0">
            <w:r w:rsidRPr="00032CD0">
              <w:t>Within Groups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066AB18" w14:textId="77777777" w:rsidR="00032CD0" w:rsidRPr="00032CD0" w:rsidRDefault="00032CD0" w:rsidP="00032CD0">
            <w:r w:rsidRPr="00032CD0">
              <w:t>260.862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DBEA651" w14:textId="77777777" w:rsidR="00032CD0" w:rsidRPr="00032CD0" w:rsidRDefault="00032CD0" w:rsidP="00032CD0">
            <w:r w:rsidRPr="00032CD0"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5FF28CC" w14:textId="77777777" w:rsidR="00032CD0" w:rsidRPr="00032CD0" w:rsidRDefault="00032CD0" w:rsidP="00032CD0">
            <w:r w:rsidRPr="00032CD0">
              <w:t>5.435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hideMark/>
          </w:tcPr>
          <w:p w14:paraId="08CCFCDE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14:paraId="3B0D938F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4A69624F" w14:textId="77777777" w:rsidTr="00032CD0">
        <w:trPr>
          <w:trHeight w:val="342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61F7A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7259FF" w14:textId="77777777" w:rsidR="00032CD0" w:rsidRPr="00032CD0" w:rsidRDefault="00032CD0" w:rsidP="00032CD0">
            <w:r w:rsidRPr="00032CD0"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FF35AD6" w14:textId="77777777" w:rsidR="00032CD0" w:rsidRPr="00032CD0" w:rsidRDefault="00032CD0" w:rsidP="00032CD0">
            <w:r w:rsidRPr="00032CD0">
              <w:t>261.487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F09D5C" w14:textId="77777777" w:rsidR="00032CD0" w:rsidRPr="00032CD0" w:rsidRDefault="00032CD0" w:rsidP="00032CD0">
            <w:r w:rsidRPr="00032CD0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1AD18F31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746F0A30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C6E6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1B4720BE" w14:textId="77777777" w:rsidTr="00032CD0">
        <w:trPr>
          <w:trHeight w:val="342"/>
        </w:trPr>
        <w:tc>
          <w:tcPr>
            <w:tcW w:w="2260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ED5B19" w14:textId="5478E3AB" w:rsidR="00032CD0" w:rsidRPr="00032CD0" w:rsidRDefault="00032CD0" w:rsidP="00032CD0">
            <w:r>
              <w:t>Normalised Grey Matter Volume</w:t>
            </w:r>
            <w:r w:rsidR="0043698B">
              <w:t>.</w:t>
            </w:r>
            <w:r>
              <w:t xml:space="preserve"> VBM</w:t>
            </w:r>
          </w:p>
        </w:tc>
        <w:tc>
          <w:tcPr>
            <w:tcW w:w="238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77CCA538" w14:textId="77777777" w:rsidR="00032CD0" w:rsidRPr="00032CD0" w:rsidRDefault="00032CD0" w:rsidP="00032CD0">
            <w:r w:rsidRPr="00032CD0">
              <w:t>Between Groups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0EB5F11" w14:textId="77777777" w:rsidR="00032CD0" w:rsidRPr="00032CD0" w:rsidRDefault="00032CD0" w:rsidP="00032CD0">
            <w:r w:rsidRPr="00032CD0">
              <w:t>19.169</w:t>
            </w:r>
          </w:p>
        </w:tc>
        <w:tc>
          <w:tcPr>
            <w:tcW w:w="136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0AABD41" w14:textId="77777777" w:rsidR="00032CD0" w:rsidRPr="00032CD0" w:rsidRDefault="00032CD0" w:rsidP="00032CD0">
            <w:r w:rsidRPr="00032CD0">
              <w:t>1</w:t>
            </w:r>
          </w:p>
        </w:tc>
        <w:tc>
          <w:tcPr>
            <w:tcW w:w="14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12B5BA8" w14:textId="77777777" w:rsidR="00032CD0" w:rsidRPr="00032CD0" w:rsidRDefault="00032CD0" w:rsidP="00032CD0">
            <w:r w:rsidRPr="00032CD0">
              <w:t>19.169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767F055" w14:textId="77777777" w:rsidR="00032CD0" w:rsidRPr="00032CD0" w:rsidRDefault="00032CD0" w:rsidP="00032CD0">
            <w:r w:rsidRPr="00032CD0">
              <w:t>9.181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797BBE79" w14:textId="66DA5089" w:rsidR="00032CD0" w:rsidRPr="00032CD0" w:rsidRDefault="00032CD0" w:rsidP="00032CD0">
            <w:pPr>
              <w:rPr>
                <w:b/>
              </w:rPr>
            </w:pPr>
            <w:r w:rsidRPr="00032CD0">
              <w:rPr>
                <w:b/>
              </w:rPr>
              <w:t>0.004</w:t>
            </w:r>
            <w:r>
              <w:rPr>
                <w:rFonts w:cstheme="minorHAnsi"/>
                <w:b/>
              </w:rPr>
              <w:t>†</w:t>
            </w:r>
          </w:p>
        </w:tc>
      </w:tr>
      <w:tr w:rsidR="00032CD0" w:rsidRPr="00032CD0" w14:paraId="2101C03A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12BFEB5F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67B566E3" w14:textId="77777777" w:rsidR="00032CD0" w:rsidRPr="00032CD0" w:rsidRDefault="00032CD0" w:rsidP="00032CD0">
            <w:r w:rsidRPr="00032CD0">
              <w:t>Within Groups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5390854" w14:textId="77777777" w:rsidR="00032CD0" w:rsidRPr="00032CD0" w:rsidRDefault="00032CD0" w:rsidP="00032CD0">
            <w:r w:rsidRPr="00032CD0">
              <w:t>100.216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8014DA3" w14:textId="77777777" w:rsidR="00032CD0" w:rsidRPr="00032CD0" w:rsidRDefault="00032CD0" w:rsidP="00032CD0">
            <w:r w:rsidRPr="00032CD0"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50C5F3A" w14:textId="77777777" w:rsidR="00032CD0" w:rsidRPr="00032CD0" w:rsidRDefault="00032CD0" w:rsidP="00032CD0">
            <w:r w:rsidRPr="00032CD0">
              <w:t>2.088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hideMark/>
          </w:tcPr>
          <w:p w14:paraId="16ADF4F6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14:paraId="2A9B4062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34C8635C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5B3835A1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6E430C" w14:textId="77777777" w:rsidR="00032CD0" w:rsidRPr="00032CD0" w:rsidRDefault="00032CD0" w:rsidP="00032CD0">
            <w:r w:rsidRPr="00032CD0"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F0EE9DF" w14:textId="77777777" w:rsidR="00032CD0" w:rsidRPr="00032CD0" w:rsidRDefault="00032CD0" w:rsidP="00032CD0">
            <w:r w:rsidRPr="00032CD0">
              <w:t>119.385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A2EC091" w14:textId="77777777" w:rsidR="00032CD0" w:rsidRPr="00032CD0" w:rsidRDefault="00032CD0" w:rsidP="00032CD0">
            <w:r w:rsidRPr="00032CD0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0E9E4921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69683148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7D22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3BC86313" w14:textId="77777777" w:rsidTr="00032CD0">
        <w:trPr>
          <w:trHeight w:val="342"/>
        </w:trPr>
        <w:tc>
          <w:tcPr>
            <w:tcW w:w="2260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DDE3B9" w14:textId="0E7D15EB" w:rsidR="00032CD0" w:rsidRPr="00032CD0" w:rsidRDefault="00032CD0" w:rsidP="00032CD0">
            <w:r>
              <w:t xml:space="preserve">Retina </w:t>
            </w:r>
            <w:r w:rsidRPr="00032CD0">
              <w:t>Factor</w:t>
            </w:r>
          </w:p>
        </w:tc>
        <w:tc>
          <w:tcPr>
            <w:tcW w:w="238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0B763702" w14:textId="77777777" w:rsidR="00032CD0" w:rsidRPr="00032CD0" w:rsidRDefault="00032CD0" w:rsidP="00032CD0">
            <w:r w:rsidRPr="00032CD0">
              <w:t>Between Groups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128F283" w14:textId="77777777" w:rsidR="00032CD0" w:rsidRPr="00032CD0" w:rsidRDefault="00032CD0" w:rsidP="00032CD0">
            <w:r w:rsidRPr="00032CD0">
              <w:t>7.589</w:t>
            </w:r>
          </w:p>
        </w:tc>
        <w:tc>
          <w:tcPr>
            <w:tcW w:w="136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AEC5A91" w14:textId="77777777" w:rsidR="00032CD0" w:rsidRPr="00032CD0" w:rsidRDefault="00032CD0" w:rsidP="00032CD0">
            <w:r w:rsidRPr="00032CD0">
              <w:t>1</w:t>
            </w:r>
          </w:p>
        </w:tc>
        <w:tc>
          <w:tcPr>
            <w:tcW w:w="14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85B3163" w14:textId="77777777" w:rsidR="00032CD0" w:rsidRPr="00032CD0" w:rsidRDefault="00032CD0" w:rsidP="00032CD0">
            <w:r w:rsidRPr="00032CD0">
              <w:t>7.589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D826C18" w14:textId="77777777" w:rsidR="00032CD0" w:rsidRPr="00032CD0" w:rsidRDefault="00032CD0" w:rsidP="00032CD0">
            <w:r w:rsidRPr="00032CD0">
              <w:t>8.925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3F79B959" w14:textId="68B82F4C" w:rsidR="00032CD0" w:rsidRPr="00032CD0" w:rsidRDefault="00032CD0" w:rsidP="00032CD0">
            <w:pPr>
              <w:rPr>
                <w:b/>
              </w:rPr>
            </w:pPr>
            <w:r w:rsidRPr="00032CD0">
              <w:rPr>
                <w:b/>
              </w:rPr>
              <w:t>0.005†</w:t>
            </w:r>
          </w:p>
        </w:tc>
      </w:tr>
      <w:tr w:rsidR="00032CD0" w:rsidRPr="00032CD0" w14:paraId="2CD5E9F8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118D9E48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00FDE37C" w14:textId="77777777" w:rsidR="00032CD0" w:rsidRPr="00032CD0" w:rsidRDefault="00032CD0" w:rsidP="00032CD0">
            <w:r w:rsidRPr="00032CD0">
              <w:t>Within Groups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70CCFC9" w14:textId="77777777" w:rsidR="00032CD0" w:rsidRPr="00032CD0" w:rsidRDefault="00032CD0" w:rsidP="00032CD0">
            <w:r w:rsidRPr="00032CD0">
              <w:t>37.411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18C0D4A" w14:textId="77777777" w:rsidR="00032CD0" w:rsidRPr="00032CD0" w:rsidRDefault="00032CD0" w:rsidP="00032CD0">
            <w:r w:rsidRPr="00032CD0"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4E6A8DC" w14:textId="77777777" w:rsidR="00032CD0" w:rsidRPr="00032CD0" w:rsidRDefault="00032CD0" w:rsidP="00032CD0">
            <w:r w:rsidRPr="00032CD0">
              <w:t>0.850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hideMark/>
          </w:tcPr>
          <w:p w14:paraId="7FE8E15D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14:paraId="241AA26D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182430C7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257D95AE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E3EBBB" w14:textId="77777777" w:rsidR="00032CD0" w:rsidRPr="00032CD0" w:rsidRDefault="00032CD0" w:rsidP="00032CD0">
            <w:r w:rsidRPr="00032CD0"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BD755A1" w14:textId="77777777" w:rsidR="00032CD0" w:rsidRPr="00032CD0" w:rsidRDefault="00032CD0" w:rsidP="00032CD0">
            <w:r w:rsidRPr="00032CD0">
              <w:t>45.000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EFCBC28" w14:textId="77777777" w:rsidR="00032CD0" w:rsidRPr="00032CD0" w:rsidRDefault="00032CD0" w:rsidP="00032CD0">
            <w:r w:rsidRPr="00032CD0"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20CB2CFD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2D89B350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0CFE5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79DA7990" w14:textId="77777777" w:rsidTr="00032CD0">
        <w:trPr>
          <w:trHeight w:val="342"/>
        </w:trPr>
        <w:tc>
          <w:tcPr>
            <w:tcW w:w="2260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6FF8B1" w14:textId="33A13401" w:rsidR="00032CD0" w:rsidRPr="00032CD0" w:rsidRDefault="00032CD0" w:rsidP="00032CD0">
            <w:r>
              <w:t>C</w:t>
            </w:r>
            <w:r w:rsidR="0043698B">
              <w:t xml:space="preserve">ardiac </w:t>
            </w:r>
            <w:r>
              <w:t xml:space="preserve">MR </w:t>
            </w:r>
            <w:r w:rsidRPr="00032CD0">
              <w:t>Factor</w:t>
            </w:r>
          </w:p>
        </w:tc>
        <w:tc>
          <w:tcPr>
            <w:tcW w:w="238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45A47332" w14:textId="77777777" w:rsidR="00032CD0" w:rsidRPr="00032CD0" w:rsidRDefault="00032CD0" w:rsidP="00032CD0">
            <w:r w:rsidRPr="00032CD0">
              <w:t>Between Groups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0E41749" w14:textId="77777777" w:rsidR="00032CD0" w:rsidRPr="00032CD0" w:rsidRDefault="00032CD0" w:rsidP="00032CD0">
            <w:r w:rsidRPr="00032CD0">
              <w:t>6.204</w:t>
            </w:r>
          </w:p>
        </w:tc>
        <w:tc>
          <w:tcPr>
            <w:tcW w:w="136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95E285B" w14:textId="77777777" w:rsidR="00032CD0" w:rsidRPr="00032CD0" w:rsidRDefault="00032CD0" w:rsidP="00032CD0">
            <w:r w:rsidRPr="00032CD0">
              <w:t>1</w:t>
            </w:r>
          </w:p>
        </w:tc>
        <w:tc>
          <w:tcPr>
            <w:tcW w:w="14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C3F06ED" w14:textId="77777777" w:rsidR="00032CD0" w:rsidRPr="00032CD0" w:rsidRDefault="00032CD0" w:rsidP="00032CD0">
            <w:r w:rsidRPr="00032CD0">
              <w:t>6.204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8F959BC" w14:textId="77777777" w:rsidR="00032CD0" w:rsidRPr="00032CD0" w:rsidRDefault="00032CD0" w:rsidP="00032CD0">
            <w:r w:rsidRPr="00032CD0">
              <w:t>7.015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40F45E82" w14:textId="686E2EE5" w:rsidR="00032CD0" w:rsidRPr="00032CD0" w:rsidRDefault="00032CD0" w:rsidP="00032CD0">
            <w:pPr>
              <w:rPr>
                <w:b/>
              </w:rPr>
            </w:pPr>
            <w:r w:rsidRPr="00032CD0">
              <w:rPr>
                <w:b/>
              </w:rPr>
              <w:t>0.011†</w:t>
            </w:r>
          </w:p>
        </w:tc>
      </w:tr>
      <w:tr w:rsidR="00032CD0" w:rsidRPr="00032CD0" w14:paraId="4F1BEE57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4D768F6F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5869748F" w14:textId="77777777" w:rsidR="00032CD0" w:rsidRPr="00032CD0" w:rsidRDefault="00032CD0" w:rsidP="00032CD0">
            <w:r w:rsidRPr="00032CD0">
              <w:t>Within Groups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0A9669E" w14:textId="77777777" w:rsidR="00032CD0" w:rsidRPr="00032CD0" w:rsidRDefault="00032CD0" w:rsidP="00032CD0">
            <w:r w:rsidRPr="00032CD0">
              <w:t>39.796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DD29EFA" w14:textId="77777777" w:rsidR="00032CD0" w:rsidRPr="00032CD0" w:rsidRDefault="00032CD0" w:rsidP="00032CD0">
            <w:r w:rsidRPr="00032CD0"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429C604" w14:textId="77777777" w:rsidR="00032CD0" w:rsidRPr="00032CD0" w:rsidRDefault="00032CD0" w:rsidP="00032CD0">
            <w:r w:rsidRPr="00032CD0">
              <w:t>0.884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hideMark/>
          </w:tcPr>
          <w:p w14:paraId="019E888F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14:paraId="39E9883A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47A817DE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7D9359AA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E3DBB3" w14:textId="77777777" w:rsidR="00032CD0" w:rsidRPr="00032CD0" w:rsidRDefault="00032CD0" w:rsidP="00032CD0">
            <w:r w:rsidRPr="00032CD0"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8702F20" w14:textId="77777777" w:rsidR="00032CD0" w:rsidRPr="00032CD0" w:rsidRDefault="00032CD0" w:rsidP="00032CD0">
            <w:r w:rsidRPr="00032CD0">
              <w:t>46.000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2CCDB4F" w14:textId="77777777" w:rsidR="00032CD0" w:rsidRPr="00032CD0" w:rsidRDefault="00032CD0" w:rsidP="00032CD0">
            <w:r w:rsidRPr="00032CD0"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080622C5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6E709477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9334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3E14A5AF" w14:textId="77777777" w:rsidTr="00032CD0">
        <w:trPr>
          <w:trHeight w:val="342"/>
        </w:trPr>
        <w:tc>
          <w:tcPr>
            <w:tcW w:w="2260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A881BB" w14:textId="0602114B" w:rsidR="00032CD0" w:rsidRPr="00032CD0" w:rsidRDefault="00032CD0" w:rsidP="00032CD0">
            <w:r>
              <w:t xml:space="preserve">Cerebral Diffusion Tensor </w:t>
            </w:r>
          </w:p>
        </w:tc>
        <w:tc>
          <w:tcPr>
            <w:tcW w:w="238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5985B3DB" w14:textId="77777777" w:rsidR="00032CD0" w:rsidRPr="00032CD0" w:rsidRDefault="00032CD0" w:rsidP="00032CD0">
            <w:r w:rsidRPr="00032CD0">
              <w:t>Between Groups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951B8FD" w14:textId="77777777" w:rsidR="00032CD0" w:rsidRPr="00032CD0" w:rsidRDefault="00032CD0" w:rsidP="00032CD0">
            <w:r w:rsidRPr="00032CD0">
              <w:t>2.283</w:t>
            </w:r>
          </w:p>
        </w:tc>
        <w:tc>
          <w:tcPr>
            <w:tcW w:w="136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F32B958" w14:textId="77777777" w:rsidR="00032CD0" w:rsidRPr="00032CD0" w:rsidRDefault="00032CD0" w:rsidP="00032CD0">
            <w:r w:rsidRPr="00032CD0">
              <w:t>1</w:t>
            </w:r>
          </w:p>
        </w:tc>
        <w:tc>
          <w:tcPr>
            <w:tcW w:w="14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7FD537C" w14:textId="77777777" w:rsidR="00032CD0" w:rsidRPr="00032CD0" w:rsidRDefault="00032CD0" w:rsidP="00032CD0">
            <w:r w:rsidRPr="00032CD0">
              <w:t>2.283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C78B92C" w14:textId="77777777" w:rsidR="00032CD0" w:rsidRPr="00032CD0" w:rsidRDefault="00032CD0" w:rsidP="00032CD0">
            <w:r w:rsidRPr="00032CD0">
              <w:t>2.345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3E64DA3A" w14:textId="77777777" w:rsidR="00032CD0" w:rsidRPr="00032CD0" w:rsidRDefault="00032CD0" w:rsidP="00032CD0">
            <w:r w:rsidRPr="00032CD0">
              <w:t>0.132</w:t>
            </w:r>
          </w:p>
        </w:tc>
      </w:tr>
      <w:tr w:rsidR="00032CD0" w:rsidRPr="00032CD0" w14:paraId="5BFFC580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3924F068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5927AAB5" w14:textId="77777777" w:rsidR="00032CD0" w:rsidRPr="00032CD0" w:rsidRDefault="00032CD0" w:rsidP="00032CD0">
            <w:r w:rsidRPr="00032CD0">
              <w:t>Within Groups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1CCD54B" w14:textId="77777777" w:rsidR="00032CD0" w:rsidRPr="00032CD0" w:rsidRDefault="00032CD0" w:rsidP="00032CD0">
            <w:r w:rsidRPr="00032CD0">
              <w:t>46.717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A1F7B89" w14:textId="77777777" w:rsidR="00032CD0" w:rsidRPr="00032CD0" w:rsidRDefault="00032CD0" w:rsidP="00032CD0">
            <w:r w:rsidRPr="00032CD0"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4D2EFB6" w14:textId="77777777" w:rsidR="00032CD0" w:rsidRPr="00032CD0" w:rsidRDefault="00032CD0" w:rsidP="00032CD0">
            <w:r w:rsidRPr="00032CD0">
              <w:t>0.973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hideMark/>
          </w:tcPr>
          <w:p w14:paraId="5B431B1E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14:paraId="38742D6F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686CB263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7E48B8F5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EC79B4" w14:textId="77777777" w:rsidR="00032CD0" w:rsidRPr="00032CD0" w:rsidRDefault="00032CD0" w:rsidP="00032CD0">
            <w:r w:rsidRPr="00032CD0"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905BB0A" w14:textId="77777777" w:rsidR="00032CD0" w:rsidRPr="00032CD0" w:rsidRDefault="00032CD0" w:rsidP="00032CD0">
            <w:r w:rsidRPr="00032CD0">
              <w:t>49.000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E567DD" w14:textId="77777777" w:rsidR="00032CD0" w:rsidRPr="00032CD0" w:rsidRDefault="00032CD0" w:rsidP="00032CD0">
            <w:r w:rsidRPr="00032CD0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5ACE8597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3FE7D8E2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2693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3C0CFDED" w14:textId="77777777" w:rsidTr="00032CD0">
        <w:trPr>
          <w:trHeight w:val="342"/>
        </w:trPr>
        <w:tc>
          <w:tcPr>
            <w:tcW w:w="2260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0469C4" w14:textId="77AEBFD4" w:rsidR="00032CD0" w:rsidRPr="00032CD0" w:rsidRDefault="00032CD0" w:rsidP="00032CD0">
            <w:r>
              <w:t>Cerebral Blood Flow</w:t>
            </w:r>
          </w:p>
        </w:tc>
        <w:tc>
          <w:tcPr>
            <w:tcW w:w="238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1D5A49F7" w14:textId="77777777" w:rsidR="00032CD0" w:rsidRPr="00032CD0" w:rsidRDefault="00032CD0" w:rsidP="00032CD0">
            <w:r w:rsidRPr="00032CD0">
              <w:t>Between Groups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BD44054" w14:textId="77777777" w:rsidR="00032CD0" w:rsidRPr="00032CD0" w:rsidRDefault="00032CD0" w:rsidP="00032CD0">
            <w:r w:rsidRPr="00032CD0">
              <w:t>0.454</w:t>
            </w:r>
          </w:p>
        </w:tc>
        <w:tc>
          <w:tcPr>
            <w:tcW w:w="136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8B4A7D1" w14:textId="77777777" w:rsidR="00032CD0" w:rsidRPr="00032CD0" w:rsidRDefault="00032CD0" w:rsidP="00032CD0">
            <w:r w:rsidRPr="00032CD0">
              <w:t>1</w:t>
            </w:r>
          </w:p>
        </w:tc>
        <w:tc>
          <w:tcPr>
            <w:tcW w:w="14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596B37A" w14:textId="77777777" w:rsidR="00032CD0" w:rsidRPr="00032CD0" w:rsidRDefault="00032CD0" w:rsidP="00032CD0">
            <w:r w:rsidRPr="00032CD0">
              <w:t>0.454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1700BC9" w14:textId="77777777" w:rsidR="00032CD0" w:rsidRPr="00032CD0" w:rsidRDefault="00032CD0" w:rsidP="00032CD0">
            <w:r w:rsidRPr="00032CD0">
              <w:t>0.449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52810E43" w14:textId="77777777" w:rsidR="00032CD0" w:rsidRPr="00032CD0" w:rsidRDefault="00032CD0" w:rsidP="00032CD0">
            <w:r w:rsidRPr="00032CD0">
              <w:t>0.506</w:t>
            </w:r>
          </w:p>
        </w:tc>
      </w:tr>
      <w:tr w:rsidR="00032CD0" w:rsidRPr="00032CD0" w14:paraId="736DCD3E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597641EA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28CB9F87" w14:textId="77777777" w:rsidR="00032CD0" w:rsidRPr="00032CD0" w:rsidRDefault="00032CD0" w:rsidP="00032CD0">
            <w:r w:rsidRPr="00032CD0">
              <w:t>Within Groups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6B3B8A4" w14:textId="77777777" w:rsidR="00032CD0" w:rsidRPr="00032CD0" w:rsidRDefault="00032CD0" w:rsidP="00032CD0">
            <w:r w:rsidRPr="00032CD0">
              <w:t>48.546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7BF20B3" w14:textId="77777777" w:rsidR="00032CD0" w:rsidRPr="00032CD0" w:rsidRDefault="00032CD0" w:rsidP="00032CD0">
            <w:r w:rsidRPr="00032CD0"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A566AE9" w14:textId="77777777" w:rsidR="00032CD0" w:rsidRPr="00032CD0" w:rsidRDefault="00032CD0" w:rsidP="00032CD0">
            <w:r w:rsidRPr="00032CD0">
              <w:t>1.011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hideMark/>
          </w:tcPr>
          <w:p w14:paraId="40505E76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14:paraId="6644AB55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6E4729A9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14:paraId="5667BCE8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C6F402" w14:textId="77777777" w:rsidR="00032CD0" w:rsidRPr="00032CD0" w:rsidRDefault="00032CD0" w:rsidP="00032CD0">
            <w:r w:rsidRPr="00032CD0"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F8BE7DD" w14:textId="77777777" w:rsidR="00032CD0" w:rsidRPr="00032CD0" w:rsidRDefault="00032CD0" w:rsidP="00032CD0">
            <w:r w:rsidRPr="00032CD0">
              <w:t>49.000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54ADBC7" w14:textId="77777777" w:rsidR="00032CD0" w:rsidRPr="00032CD0" w:rsidRDefault="00032CD0" w:rsidP="00032CD0">
            <w:r w:rsidRPr="00032CD0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53DE60F8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hideMark/>
          </w:tcPr>
          <w:p w14:paraId="153AF7B7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F75B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5D8BF904" w14:textId="77777777" w:rsidTr="00032CD0">
        <w:trPr>
          <w:trHeight w:val="342"/>
        </w:trPr>
        <w:tc>
          <w:tcPr>
            <w:tcW w:w="2260" w:type="dxa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3E60D70C" w14:textId="6ED7C62B" w:rsidR="00032CD0" w:rsidRPr="00032CD0" w:rsidRDefault="00032CD0" w:rsidP="00032CD0">
            <w:r>
              <w:t>White Matter Lesions</w:t>
            </w:r>
          </w:p>
        </w:tc>
        <w:tc>
          <w:tcPr>
            <w:tcW w:w="238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2426AB2C" w14:textId="77777777" w:rsidR="00032CD0" w:rsidRPr="00032CD0" w:rsidRDefault="00032CD0" w:rsidP="00032CD0">
            <w:r w:rsidRPr="00032CD0">
              <w:t>Between Groups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A817938" w14:textId="77777777" w:rsidR="00032CD0" w:rsidRPr="00032CD0" w:rsidRDefault="00032CD0" w:rsidP="00032CD0">
            <w:r w:rsidRPr="00032CD0">
              <w:t>0.412</w:t>
            </w:r>
          </w:p>
        </w:tc>
        <w:tc>
          <w:tcPr>
            <w:tcW w:w="136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4144910" w14:textId="77777777" w:rsidR="00032CD0" w:rsidRPr="00032CD0" w:rsidRDefault="00032CD0" w:rsidP="00032CD0">
            <w:r w:rsidRPr="00032CD0">
              <w:t>1</w:t>
            </w:r>
          </w:p>
        </w:tc>
        <w:tc>
          <w:tcPr>
            <w:tcW w:w="14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943BE0F" w14:textId="77777777" w:rsidR="00032CD0" w:rsidRPr="00032CD0" w:rsidRDefault="00032CD0" w:rsidP="00032CD0">
            <w:r w:rsidRPr="00032CD0">
              <w:t>0.412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6DF17B9" w14:textId="77777777" w:rsidR="00032CD0" w:rsidRPr="00032CD0" w:rsidRDefault="00032CD0" w:rsidP="00032CD0">
            <w:r w:rsidRPr="00032CD0">
              <w:t>0.407</w:t>
            </w:r>
          </w:p>
        </w:tc>
        <w:tc>
          <w:tcPr>
            <w:tcW w:w="10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579DD89E" w14:textId="77777777" w:rsidR="00032CD0" w:rsidRPr="00032CD0" w:rsidRDefault="00032CD0" w:rsidP="00032CD0">
            <w:r w:rsidRPr="00032CD0">
              <w:t>0.526</w:t>
            </w:r>
          </w:p>
        </w:tc>
      </w:tr>
      <w:tr w:rsidR="00032CD0" w:rsidRPr="00032CD0" w14:paraId="6C994299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5DDD0391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E0E0E0"/>
            <w:hideMark/>
          </w:tcPr>
          <w:p w14:paraId="02DEA7D9" w14:textId="77777777" w:rsidR="00032CD0" w:rsidRPr="00032CD0" w:rsidRDefault="00032CD0" w:rsidP="00032CD0">
            <w:r w:rsidRPr="00032CD0">
              <w:t>Within Groups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2D9DEF7" w14:textId="77777777" w:rsidR="00032CD0" w:rsidRPr="00032CD0" w:rsidRDefault="00032CD0" w:rsidP="00032CD0">
            <w:r w:rsidRPr="00032CD0">
              <w:t>48.588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B4B66DF" w14:textId="77777777" w:rsidR="00032CD0" w:rsidRPr="00032CD0" w:rsidRDefault="00032CD0" w:rsidP="00032CD0">
            <w:r w:rsidRPr="00032CD0"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6B6723F" w14:textId="77777777" w:rsidR="00032CD0" w:rsidRPr="00032CD0" w:rsidRDefault="00032CD0" w:rsidP="00032CD0">
            <w:r w:rsidRPr="00032CD0">
              <w:t>1.012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hideMark/>
          </w:tcPr>
          <w:p w14:paraId="6049B0D4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14:paraId="06119BF9" w14:textId="77777777" w:rsidR="00032CD0" w:rsidRPr="00032CD0" w:rsidRDefault="00032CD0" w:rsidP="00032CD0">
            <w:r w:rsidRPr="00032CD0">
              <w:t> </w:t>
            </w:r>
          </w:p>
        </w:tc>
      </w:tr>
      <w:tr w:rsidR="00032CD0" w:rsidRPr="00032CD0" w14:paraId="2FFAE3D3" w14:textId="77777777" w:rsidTr="00032CD0">
        <w:trPr>
          <w:trHeight w:val="342"/>
        </w:trPr>
        <w:tc>
          <w:tcPr>
            <w:tcW w:w="2260" w:type="dxa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4E9CC8B0" w14:textId="77777777" w:rsidR="00032CD0" w:rsidRPr="00032CD0" w:rsidRDefault="00032CD0" w:rsidP="00032CD0"/>
        </w:tc>
        <w:tc>
          <w:tcPr>
            <w:tcW w:w="238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6FCBF15C" w14:textId="77777777" w:rsidR="00032CD0" w:rsidRPr="00032CD0" w:rsidRDefault="00032CD0" w:rsidP="00032CD0">
            <w:r w:rsidRPr="00032CD0"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DF74610" w14:textId="77777777" w:rsidR="00032CD0" w:rsidRPr="00032CD0" w:rsidRDefault="00032CD0" w:rsidP="00032CD0">
            <w:r w:rsidRPr="00032CD0">
              <w:t>49.000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247C688" w14:textId="77777777" w:rsidR="00032CD0" w:rsidRPr="00032CD0" w:rsidRDefault="00032CD0" w:rsidP="00032CD0">
            <w:r w:rsidRPr="00032CD0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hideMark/>
          </w:tcPr>
          <w:p w14:paraId="6698067A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hideMark/>
          </w:tcPr>
          <w:p w14:paraId="713D6390" w14:textId="77777777" w:rsidR="00032CD0" w:rsidRPr="00032CD0" w:rsidRDefault="00032CD0" w:rsidP="00032CD0">
            <w:r w:rsidRPr="00032CD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hideMark/>
          </w:tcPr>
          <w:p w14:paraId="5B218512" w14:textId="77777777" w:rsidR="00032CD0" w:rsidRPr="00032CD0" w:rsidRDefault="00032CD0" w:rsidP="00032CD0">
            <w:r w:rsidRPr="00032CD0">
              <w:t> </w:t>
            </w:r>
          </w:p>
        </w:tc>
      </w:tr>
    </w:tbl>
    <w:p w14:paraId="6055121F" w14:textId="77777777" w:rsidR="00032CD0" w:rsidRDefault="00032CD0" w:rsidP="000A071A"/>
    <w:p w14:paraId="06D2DA53" w14:textId="5B2C18A8" w:rsidR="0043698B" w:rsidRPr="00032CD0" w:rsidRDefault="00032CD0" w:rsidP="000A071A">
      <w:r w:rsidRPr="00032CD0">
        <w:rPr>
          <w:b/>
        </w:rPr>
        <w:t>†</w:t>
      </w:r>
      <w:r>
        <w:t>p value &lt; 0.01</w:t>
      </w:r>
    </w:p>
    <w:sectPr w:rsidR="0043698B" w:rsidRPr="00032CD0" w:rsidSect="00032C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209CF6" w15:done="0"/>
  <w15:commentEx w15:paraId="33F4E801" w15:done="0"/>
  <w15:commentEx w15:paraId="022546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barrick">
    <w15:presenceInfo w15:providerId="None" w15:userId="tbarr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3"/>
    <w:rsid w:val="00014F58"/>
    <w:rsid w:val="00016C93"/>
    <w:rsid w:val="00032CD0"/>
    <w:rsid w:val="00091041"/>
    <w:rsid w:val="000A071A"/>
    <w:rsid w:val="0013078E"/>
    <w:rsid w:val="001740E2"/>
    <w:rsid w:val="001F0A42"/>
    <w:rsid w:val="00237B66"/>
    <w:rsid w:val="002505E5"/>
    <w:rsid w:val="00272E4E"/>
    <w:rsid w:val="002E4BCA"/>
    <w:rsid w:val="00337FBB"/>
    <w:rsid w:val="003B35C0"/>
    <w:rsid w:val="0043698B"/>
    <w:rsid w:val="004826D5"/>
    <w:rsid w:val="0056756C"/>
    <w:rsid w:val="005A7600"/>
    <w:rsid w:val="005B1031"/>
    <w:rsid w:val="005C7295"/>
    <w:rsid w:val="005D4836"/>
    <w:rsid w:val="00632D09"/>
    <w:rsid w:val="006947CA"/>
    <w:rsid w:val="006C2F87"/>
    <w:rsid w:val="006D2A2F"/>
    <w:rsid w:val="007E09E3"/>
    <w:rsid w:val="00840D60"/>
    <w:rsid w:val="0089453C"/>
    <w:rsid w:val="008B1E00"/>
    <w:rsid w:val="008C32EA"/>
    <w:rsid w:val="0096583D"/>
    <w:rsid w:val="009B7DBE"/>
    <w:rsid w:val="00A2572E"/>
    <w:rsid w:val="00A32459"/>
    <w:rsid w:val="00AA44C6"/>
    <w:rsid w:val="00B13708"/>
    <w:rsid w:val="00B43A58"/>
    <w:rsid w:val="00B521A5"/>
    <w:rsid w:val="00B72D91"/>
    <w:rsid w:val="00C63301"/>
    <w:rsid w:val="00CB72B3"/>
    <w:rsid w:val="00D8306A"/>
    <w:rsid w:val="00DC4C91"/>
    <w:rsid w:val="00E8129C"/>
    <w:rsid w:val="00E8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7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Dodd</dc:creator>
  <cp:lastModifiedBy>Administrator</cp:lastModifiedBy>
  <cp:revision>7</cp:revision>
  <dcterms:created xsi:type="dcterms:W3CDTF">2017-07-20T10:11:00Z</dcterms:created>
  <dcterms:modified xsi:type="dcterms:W3CDTF">2017-07-20T10:33:00Z</dcterms:modified>
</cp:coreProperties>
</file>