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764A25" w14:textId="77777777" w:rsidR="00597826" w:rsidRPr="007C4030" w:rsidRDefault="00597826" w:rsidP="00375DCA">
      <w:pPr>
        <w:tabs>
          <w:tab w:val="left" w:pos="1418"/>
        </w:tabs>
        <w:rPr>
          <w:b/>
          <w:sz w:val="24"/>
          <w:szCs w:val="24"/>
        </w:rPr>
      </w:pPr>
      <w:bookmarkStart w:id="0" w:name="_GoBack"/>
      <w:bookmarkEnd w:id="0"/>
      <w:r w:rsidRPr="007C4030">
        <w:rPr>
          <w:b/>
          <w:sz w:val="24"/>
          <w:szCs w:val="24"/>
        </w:rPr>
        <w:t>SCREENING FOR ATRIAL FIBRILLATION: A REPORT OF THE AF-SCREEN INTERNATIONAL COLLABORATION</w:t>
      </w:r>
    </w:p>
    <w:p w14:paraId="32AFD1A8" w14:textId="451C88C5" w:rsidR="00597826" w:rsidRPr="004D04BF" w:rsidRDefault="00597826" w:rsidP="00375DCA">
      <w:pPr>
        <w:rPr>
          <w:sz w:val="24"/>
          <w:szCs w:val="24"/>
        </w:rPr>
      </w:pPr>
      <w:r>
        <w:rPr>
          <w:b/>
          <w:sz w:val="24"/>
          <w:szCs w:val="24"/>
        </w:rPr>
        <w:t xml:space="preserve">Ben Freedman </w:t>
      </w:r>
      <w:r w:rsidRPr="008B4536">
        <w:rPr>
          <w:sz w:val="24"/>
          <w:szCs w:val="24"/>
        </w:rPr>
        <w:t>MB</w:t>
      </w:r>
      <w:r>
        <w:rPr>
          <w:sz w:val="24"/>
          <w:szCs w:val="24"/>
        </w:rPr>
        <w:t>BS</w:t>
      </w:r>
      <w:r w:rsidRPr="008B4536">
        <w:rPr>
          <w:sz w:val="24"/>
          <w:szCs w:val="24"/>
        </w:rPr>
        <w:t xml:space="preserve"> </w:t>
      </w:r>
      <w:r w:rsidRPr="00E532CD">
        <w:rPr>
          <w:sz w:val="24"/>
          <w:szCs w:val="24"/>
        </w:rPr>
        <w:t>PhD FAHA</w:t>
      </w:r>
      <w:r w:rsidRPr="002920B7">
        <w:rPr>
          <w:sz w:val="24"/>
          <w:szCs w:val="24"/>
          <w:vertAlign w:val="superscript"/>
        </w:rPr>
        <w:t>1</w:t>
      </w:r>
      <w:r w:rsidRPr="002920B7">
        <w:rPr>
          <w:sz w:val="24"/>
          <w:szCs w:val="24"/>
        </w:rPr>
        <w:t>*</w:t>
      </w:r>
      <w:r w:rsidRPr="002920B7">
        <w:rPr>
          <w:rFonts w:ascii="Calibri" w:hAnsi="Calibri"/>
          <w:sz w:val="24"/>
          <w:szCs w:val="24"/>
        </w:rPr>
        <w:t>‡</w:t>
      </w:r>
      <w:r w:rsidRPr="002920B7">
        <w:rPr>
          <w:sz w:val="24"/>
          <w:szCs w:val="24"/>
        </w:rPr>
        <w:t>; John Camm</w:t>
      </w:r>
      <w:r w:rsidRPr="00C771B6">
        <w:rPr>
          <w:sz w:val="24"/>
          <w:szCs w:val="24"/>
        </w:rPr>
        <w:t xml:space="preserve"> MD</w:t>
      </w:r>
      <w:r w:rsidRPr="00E532CD">
        <w:rPr>
          <w:sz w:val="24"/>
          <w:szCs w:val="24"/>
          <w:vertAlign w:val="superscript"/>
        </w:rPr>
        <w:t>2</w:t>
      </w:r>
      <w:r w:rsidRPr="00E532CD">
        <w:rPr>
          <w:rFonts w:ascii="Calibri" w:hAnsi="Calibri"/>
          <w:sz w:val="24"/>
          <w:szCs w:val="24"/>
        </w:rPr>
        <w:t>‡</w:t>
      </w:r>
      <w:r w:rsidRPr="002920B7">
        <w:rPr>
          <w:sz w:val="24"/>
          <w:szCs w:val="24"/>
        </w:rPr>
        <w:t>; Hugh</w:t>
      </w:r>
      <w:r w:rsidRPr="002920B7">
        <w:rPr>
          <w:sz w:val="24"/>
          <w:szCs w:val="24"/>
          <w:vertAlign w:val="superscript"/>
        </w:rPr>
        <w:t xml:space="preserve">  </w:t>
      </w:r>
      <w:r w:rsidRPr="002920B7">
        <w:rPr>
          <w:sz w:val="24"/>
          <w:szCs w:val="24"/>
        </w:rPr>
        <w:t>Calkins</w:t>
      </w:r>
      <w:r>
        <w:rPr>
          <w:sz w:val="24"/>
          <w:szCs w:val="24"/>
        </w:rPr>
        <w:t xml:space="preserve"> MD</w:t>
      </w:r>
      <w:r w:rsidRPr="00CA7335">
        <w:rPr>
          <w:sz w:val="24"/>
          <w:szCs w:val="24"/>
          <w:vertAlign w:val="superscript"/>
        </w:rPr>
        <w:t>3</w:t>
      </w:r>
      <w:r>
        <w:rPr>
          <w:rFonts w:ascii="Calibri" w:hAnsi="Calibri"/>
          <w:sz w:val="24"/>
          <w:szCs w:val="24"/>
        </w:rPr>
        <w:t>‡</w:t>
      </w:r>
      <w:r>
        <w:rPr>
          <w:sz w:val="24"/>
          <w:szCs w:val="24"/>
        </w:rPr>
        <w:t>;</w:t>
      </w:r>
      <w:r w:rsidRPr="00CA7335">
        <w:rPr>
          <w:sz w:val="24"/>
          <w:szCs w:val="24"/>
          <w:vertAlign w:val="superscript"/>
        </w:rPr>
        <w:t xml:space="preserve"> </w:t>
      </w:r>
      <w:r>
        <w:rPr>
          <w:sz w:val="24"/>
          <w:szCs w:val="24"/>
        </w:rPr>
        <w:t>Jeffrey S. Healey MD MSc</w:t>
      </w:r>
      <w:r w:rsidRPr="00CA7335">
        <w:rPr>
          <w:sz w:val="24"/>
          <w:szCs w:val="24"/>
          <w:vertAlign w:val="superscript"/>
        </w:rPr>
        <w:t>4</w:t>
      </w:r>
      <w:r>
        <w:rPr>
          <w:rFonts w:ascii="Calibri" w:hAnsi="Calibri"/>
          <w:sz w:val="24"/>
          <w:szCs w:val="24"/>
        </w:rPr>
        <w:t>‡</w:t>
      </w:r>
      <w:r>
        <w:rPr>
          <w:sz w:val="24"/>
          <w:szCs w:val="24"/>
        </w:rPr>
        <w:t>;</w:t>
      </w:r>
      <w:r w:rsidRPr="00CA7335">
        <w:rPr>
          <w:sz w:val="24"/>
          <w:szCs w:val="24"/>
          <w:vertAlign w:val="superscript"/>
        </w:rPr>
        <w:t xml:space="preserve"> </w:t>
      </w:r>
      <w:r>
        <w:rPr>
          <w:sz w:val="24"/>
          <w:szCs w:val="24"/>
        </w:rPr>
        <w:t>M</w:t>
      </w:r>
      <w:r w:rsidRPr="004667AF">
        <w:rPr>
          <w:sz w:val="24"/>
          <w:szCs w:val="24"/>
        </w:rPr>
        <w:t>å</w:t>
      </w:r>
      <w:r>
        <w:rPr>
          <w:sz w:val="24"/>
          <w:szCs w:val="24"/>
        </w:rPr>
        <w:t>rten Rosenqvist MD</w:t>
      </w:r>
      <w:r w:rsidR="00CC5B13">
        <w:rPr>
          <w:sz w:val="24"/>
          <w:szCs w:val="24"/>
        </w:rPr>
        <w:t xml:space="preserve"> PhD</w:t>
      </w:r>
      <w:r w:rsidRPr="00CA7335">
        <w:rPr>
          <w:sz w:val="24"/>
          <w:szCs w:val="24"/>
          <w:vertAlign w:val="superscript"/>
        </w:rPr>
        <w:t>5</w:t>
      </w:r>
      <w:r>
        <w:rPr>
          <w:rFonts w:ascii="Calibri" w:hAnsi="Calibri"/>
          <w:sz w:val="24"/>
          <w:szCs w:val="24"/>
        </w:rPr>
        <w:t>‡</w:t>
      </w:r>
      <w:r>
        <w:rPr>
          <w:sz w:val="24"/>
          <w:szCs w:val="24"/>
        </w:rPr>
        <w:t>; Jiguang Wang MD PhD</w:t>
      </w:r>
      <w:r w:rsidRPr="00CA7335">
        <w:rPr>
          <w:sz w:val="24"/>
          <w:szCs w:val="24"/>
          <w:vertAlign w:val="superscript"/>
        </w:rPr>
        <w:t>6</w:t>
      </w:r>
      <w:r>
        <w:rPr>
          <w:rFonts w:ascii="Calibri" w:hAnsi="Calibri"/>
          <w:sz w:val="24"/>
          <w:szCs w:val="24"/>
        </w:rPr>
        <w:t>‡</w:t>
      </w:r>
      <w:r w:rsidRPr="00CA7335">
        <w:rPr>
          <w:sz w:val="24"/>
          <w:szCs w:val="24"/>
          <w:vertAlign w:val="superscript"/>
        </w:rPr>
        <w:t xml:space="preserve"> </w:t>
      </w:r>
      <w:r>
        <w:rPr>
          <w:sz w:val="24"/>
          <w:szCs w:val="24"/>
        </w:rPr>
        <w:t xml:space="preserve">; </w:t>
      </w:r>
      <w:r w:rsidRPr="007C70BF">
        <w:rPr>
          <w:sz w:val="24"/>
          <w:szCs w:val="24"/>
        </w:rPr>
        <w:t>Christine M. Albert MD MPH</w:t>
      </w:r>
      <w:r w:rsidRPr="007C70BF">
        <w:rPr>
          <w:sz w:val="24"/>
          <w:szCs w:val="24"/>
          <w:vertAlign w:val="superscript"/>
        </w:rPr>
        <w:t>7</w:t>
      </w:r>
      <w:r w:rsidRPr="007C70BF">
        <w:rPr>
          <w:sz w:val="24"/>
          <w:szCs w:val="24"/>
        </w:rPr>
        <w:t>; Craig</w:t>
      </w:r>
      <w:r w:rsidRPr="00A22F58">
        <w:rPr>
          <w:sz w:val="24"/>
          <w:szCs w:val="24"/>
        </w:rPr>
        <w:t xml:space="preserve"> S. Anderson PhD</w:t>
      </w:r>
      <w:r w:rsidRPr="00A22F58">
        <w:rPr>
          <w:sz w:val="24"/>
          <w:szCs w:val="24"/>
          <w:vertAlign w:val="superscript"/>
        </w:rPr>
        <w:t>8</w:t>
      </w:r>
      <w:r w:rsidRPr="00A22F58">
        <w:rPr>
          <w:sz w:val="24"/>
          <w:szCs w:val="24"/>
        </w:rPr>
        <w:t xml:space="preserve">; </w:t>
      </w:r>
      <w:r w:rsidRPr="00FA1578">
        <w:rPr>
          <w:sz w:val="24"/>
          <w:szCs w:val="24"/>
        </w:rPr>
        <w:t>Sotiris Antoniou</w:t>
      </w:r>
      <w:r>
        <w:rPr>
          <w:sz w:val="24"/>
          <w:szCs w:val="24"/>
        </w:rPr>
        <w:t xml:space="preserve"> BPharm(Hons) MSc</w:t>
      </w:r>
      <w:r w:rsidRPr="00FA1578">
        <w:rPr>
          <w:sz w:val="24"/>
          <w:szCs w:val="24"/>
          <w:vertAlign w:val="superscript"/>
        </w:rPr>
        <w:t>9</w:t>
      </w:r>
      <w:r w:rsidRPr="00506BE8">
        <w:rPr>
          <w:sz w:val="24"/>
          <w:szCs w:val="24"/>
        </w:rPr>
        <w:t>; Emelia J. Benjamin MD ScM</w:t>
      </w:r>
      <w:r w:rsidR="0051572C">
        <w:rPr>
          <w:sz w:val="24"/>
          <w:szCs w:val="24"/>
        </w:rPr>
        <w:t xml:space="preserve"> FAHA</w:t>
      </w:r>
      <w:r w:rsidRPr="00506BE8">
        <w:rPr>
          <w:sz w:val="24"/>
          <w:szCs w:val="24"/>
          <w:vertAlign w:val="superscript"/>
        </w:rPr>
        <w:t>10</w:t>
      </w:r>
      <w:r w:rsidRPr="00506BE8">
        <w:rPr>
          <w:sz w:val="24"/>
          <w:szCs w:val="24"/>
        </w:rPr>
        <w:t xml:space="preserve">; </w:t>
      </w:r>
      <w:r w:rsidRPr="00CB6317">
        <w:rPr>
          <w:sz w:val="24"/>
          <w:szCs w:val="24"/>
        </w:rPr>
        <w:t>Giuseppe Boriani MD PhD</w:t>
      </w:r>
      <w:r w:rsidRPr="00CB6317">
        <w:rPr>
          <w:sz w:val="24"/>
          <w:szCs w:val="24"/>
          <w:vertAlign w:val="superscript"/>
        </w:rPr>
        <w:t>11</w:t>
      </w:r>
      <w:r w:rsidRPr="00C771B6">
        <w:rPr>
          <w:sz w:val="24"/>
          <w:szCs w:val="24"/>
        </w:rPr>
        <w:t>; Johannes Brachmann MD PhD</w:t>
      </w:r>
      <w:r w:rsidRPr="00C771B6">
        <w:rPr>
          <w:sz w:val="24"/>
          <w:szCs w:val="24"/>
          <w:vertAlign w:val="superscript"/>
        </w:rPr>
        <w:t>12</w:t>
      </w:r>
      <w:r w:rsidRPr="00C771B6">
        <w:rPr>
          <w:sz w:val="24"/>
          <w:szCs w:val="24"/>
        </w:rPr>
        <w:t xml:space="preserve">; </w:t>
      </w:r>
      <w:r w:rsidRPr="0003556A">
        <w:rPr>
          <w:sz w:val="24"/>
          <w:szCs w:val="24"/>
        </w:rPr>
        <w:t>Axel Brandes MD DMSc</w:t>
      </w:r>
      <w:r w:rsidRPr="0003556A">
        <w:rPr>
          <w:sz w:val="24"/>
          <w:szCs w:val="24"/>
          <w:vertAlign w:val="superscript"/>
        </w:rPr>
        <w:t>13</w:t>
      </w:r>
      <w:r w:rsidRPr="0003556A">
        <w:rPr>
          <w:sz w:val="24"/>
          <w:szCs w:val="24"/>
        </w:rPr>
        <w:t xml:space="preserve">; </w:t>
      </w:r>
      <w:r w:rsidRPr="00212B5B">
        <w:rPr>
          <w:sz w:val="24"/>
          <w:szCs w:val="24"/>
        </w:rPr>
        <w:t xml:space="preserve">Tze-Fan Chao MD </w:t>
      </w:r>
      <w:r w:rsidRPr="006A009C">
        <w:rPr>
          <w:sz w:val="24"/>
          <w:szCs w:val="24"/>
        </w:rPr>
        <w:t>PhD</w:t>
      </w:r>
      <w:r w:rsidRPr="006A009C">
        <w:rPr>
          <w:sz w:val="24"/>
          <w:szCs w:val="24"/>
          <w:vertAlign w:val="superscript"/>
        </w:rPr>
        <w:t>14</w:t>
      </w:r>
      <w:r w:rsidRPr="006A009C">
        <w:rPr>
          <w:sz w:val="24"/>
          <w:szCs w:val="24"/>
        </w:rPr>
        <w:t>; David Conen MD MPH</w:t>
      </w:r>
      <w:r w:rsidRPr="006A009C">
        <w:rPr>
          <w:sz w:val="24"/>
          <w:szCs w:val="24"/>
          <w:vertAlign w:val="superscript"/>
        </w:rPr>
        <w:t>15,4</w:t>
      </w:r>
      <w:r w:rsidRPr="006A009C">
        <w:rPr>
          <w:sz w:val="24"/>
          <w:szCs w:val="24"/>
        </w:rPr>
        <w:t>; J</w:t>
      </w:r>
      <w:r w:rsidRPr="00714803">
        <w:rPr>
          <w:sz w:val="24"/>
          <w:szCs w:val="24"/>
        </w:rPr>
        <w:t>ohan Engdahl MD PhD</w:t>
      </w:r>
      <w:r w:rsidRPr="00714803">
        <w:rPr>
          <w:sz w:val="24"/>
          <w:szCs w:val="24"/>
          <w:vertAlign w:val="superscript"/>
        </w:rPr>
        <w:t>16</w:t>
      </w:r>
      <w:r w:rsidRPr="00714803">
        <w:rPr>
          <w:sz w:val="24"/>
          <w:szCs w:val="24"/>
        </w:rPr>
        <w:t>; L</w:t>
      </w:r>
      <w:r w:rsidRPr="0061553A">
        <w:rPr>
          <w:sz w:val="24"/>
          <w:szCs w:val="24"/>
        </w:rPr>
        <w:t>aurent Fauchier MD</w:t>
      </w:r>
      <w:r w:rsidR="00D32193">
        <w:rPr>
          <w:sz w:val="24"/>
          <w:szCs w:val="24"/>
        </w:rPr>
        <w:t xml:space="preserve"> PhD</w:t>
      </w:r>
      <w:r w:rsidRPr="0061553A">
        <w:rPr>
          <w:sz w:val="24"/>
          <w:szCs w:val="24"/>
          <w:vertAlign w:val="superscript"/>
        </w:rPr>
        <w:t>17</w:t>
      </w:r>
      <w:r w:rsidRPr="0061553A">
        <w:rPr>
          <w:sz w:val="24"/>
          <w:szCs w:val="24"/>
        </w:rPr>
        <w:t xml:space="preserve">; </w:t>
      </w:r>
      <w:r w:rsidRPr="00F477C6">
        <w:rPr>
          <w:sz w:val="24"/>
          <w:szCs w:val="24"/>
        </w:rPr>
        <w:t>David A. Fitzmaurice MD</w:t>
      </w:r>
      <w:r w:rsidRPr="00F477C6">
        <w:rPr>
          <w:sz w:val="24"/>
          <w:szCs w:val="24"/>
          <w:vertAlign w:val="superscript"/>
        </w:rPr>
        <w:t>18</w:t>
      </w:r>
      <w:r w:rsidRPr="00F477C6">
        <w:rPr>
          <w:sz w:val="24"/>
          <w:szCs w:val="24"/>
        </w:rPr>
        <w:t xml:space="preserve">; </w:t>
      </w:r>
      <w:r w:rsidRPr="00653380">
        <w:rPr>
          <w:sz w:val="24"/>
          <w:szCs w:val="24"/>
        </w:rPr>
        <w:t>Leif Friberg MD PhD</w:t>
      </w:r>
      <w:r w:rsidRPr="00653380">
        <w:rPr>
          <w:sz w:val="24"/>
          <w:szCs w:val="24"/>
          <w:vertAlign w:val="superscript"/>
        </w:rPr>
        <w:t>19</w:t>
      </w:r>
      <w:r w:rsidRPr="00653380">
        <w:rPr>
          <w:sz w:val="24"/>
          <w:szCs w:val="24"/>
        </w:rPr>
        <w:t xml:space="preserve">; </w:t>
      </w:r>
      <w:r w:rsidRPr="009B07A5">
        <w:rPr>
          <w:sz w:val="24"/>
          <w:szCs w:val="24"/>
        </w:rPr>
        <w:t xml:space="preserve">Bernard J. Gersh </w:t>
      </w:r>
      <w:r w:rsidRPr="009B07A5">
        <w:t>MB,ChB DPhil</w:t>
      </w:r>
      <w:r w:rsidRPr="009B07A5">
        <w:rPr>
          <w:sz w:val="24"/>
          <w:szCs w:val="24"/>
          <w:vertAlign w:val="superscript"/>
        </w:rPr>
        <w:t>20</w:t>
      </w:r>
      <w:r w:rsidRPr="001F6855">
        <w:rPr>
          <w:sz w:val="24"/>
          <w:szCs w:val="24"/>
        </w:rPr>
        <w:t xml:space="preserve">; </w:t>
      </w:r>
      <w:r w:rsidRPr="00C771B6">
        <w:rPr>
          <w:sz w:val="24"/>
          <w:szCs w:val="24"/>
        </w:rPr>
        <w:t>David J. Gladstone MD PhD</w:t>
      </w:r>
      <w:r w:rsidRPr="00C771B6">
        <w:rPr>
          <w:sz w:val="24"/>
          <w:szCs w:val="24"/>
          <w:vertAlign w:val="superscript"/>
        </w:rPr>
        <w:t>21</w:t>
      </w:r>
      <w:r w:rsidRPr="00C771B6">
        <w:rPr>
          <w:sz w:val="24"/>
          <w:szCs w:val="24"/>
        </w:rPr>
        <w:t xml:space="preserve">; </w:t>
      </w:r>
      <w:r w:rsidRPr="001F6855">
        <w:rPr>
          <w:sz w:val="24"/>
          <w:szCs w:val="24"/>
        </w:rPr>
        <w:t>Taya V. Glotzer MD</w:t>
      </w:r>
      <w:r w:rsidRPr="001F6855">
        <w:rPr>
          <w:sz w:val="24"/>
          <w:szCs w:val="24"/>
          <w:vertAlign w:val="superscript"/>
        </w:rPr>
        <w:t>22</w:t>
      </w:r>
      <w:r w:rsidRPr="007F503E">
        <w:rPr>
          <w:sz w:val="24"/>
          <w:szCs w:val="24"/>
        </w:rPr>
        <w:t xml:space="preserve">; Kylie Gwynne </w:t>
      </w:r>
      <w:r w:rsidRPr="007F503E">
        <w:rPr>
          <w:color w:val="000000" w:themeColor="text1"/>
          <w:sz w:val="24"/>
          <w:szCs w:val="24"/>
        </w:rPr>
        <w:t>MA</w:t>
      </w:r>
      <w:r w:rsidRPr="007F503E">
        <w:rPr>
          <w:color w:val="000000" w:themeColor="text1"/>
          <w:sz w:val="24"/>
          <w:szCs w:val="24"/>
          <w:vertAlign w:val="superscript"/>
        </w:rPr>
        <w:t>23</w:t>
      </w:r>
      <w:r w:rsidRPr="007F503E">
        <w:rPr>
          <w:sz w:val="24"/>
          <w:szCs w:val="24"/>
        </w:rPr>
        <w:t>; Graeme J. Hankey MD</w:t>
      </w:r>
      <w:r w:rsidRPr="007F503E">
        <w:rPr>
          <w:sz w:val="24"/>
          <w:szCs w:val="24"/>
          <w:vertAlign w:val="superscript"/>
        </w:rPr>
        <w:t>24</w:t>
      </w:r>
      <w:r w:rsidRPr="007F503E">
        <w:rPr>
          <w:sz w:val="24"/>
          <w:szCs w:val="24"/>
        </w:rPr>
        <w:t>; Joseph Harbison MD</w:t>
      </w:r>
      <w:r w:rsidRPr="007F503E">
        <w:rPr>
          <w:sz w:val="24"/>
          <w:szCs w:val="24"/>
          <w:vertAlign w:val="superscript"/>
        </w:rPr>
        <w:t>25</w:t>
      </w:r>
      <w:r w:rsidRPr="007F503E">
        <w:rPr>
          <w:sz w:val="24"/>
          <w:szCs w:val="24"/>
        </w:rPr>
        <w:t>; Graham S. Hillis MBChB PhD</w:t>
      </w:r>
      <w:r w:rsidRPr="007F503E">
        <w:rPr>
          <w:sz w:val="24"/>
          <w:szCs w:val="24"/>
          <w:vertAlign w:val="superscript"/>
        </w:rPr>
        <w:t>26</w:t>
      </w:r>
      <w:r w:rsidRPr="007F503E">
        <w:rPr>
          <w:sz w:val="24"/>
          <w:szCs w:val="24"/>
        </w:rPr>
        <w:t xml:space="preserve">; </w:t>
      </w:r>
      <w:r w:rsidRPr="005F471F">
        <w:rPr>
          <w:sz w:val="24"/>
          <w:szCs w:val="24"/>
        </w:rPr>
        <w:t>Mellanie T. Hills</w:t>
      </w:r>
      <w:r w:rsidRPr="00C771B6">
        <w:rPr>
          <w:sz w:val="24"/>
          <w:szCs w:val="24"/>
        </w:rPr>
        <w:t xml:space="preserve"> BSc</w:t>
      </w:r>
      <w:r w:rsidRPr="005F471F">
        <w:rPr>
          <w:sz w:val="24"/>
          <w:szCs w:val="24"/>
          <w:vertAlign w:val="superscript"/>
        </w:rPr>
        <w:t>27</w:t>
      </w:r>
      <w:r w:rsidRPr="0087413E">
        <w:rPr>
          <w:sz w:val="24"/>
          <w:szCs w:val="24"/>
        </w:rPr>
        <w:t xml:space="preserve">; </w:t>
      </w:r>
      <w:r w:rsidRPr="00FA1578">
        <w:rPr>
          <w:sz w:val="24"/>
          <w:szCs w:val="24"/>
        </w:rPr>
        <w:t>Hooman Kamel MD</w:t>
      </w:r>
      <w:r w:rsidRPr="00FA1578">
        <w:rPr>
          <w:sz w:val="24"/>
          <w:szCs w:val="24"/>
          <w:vertAlign w:val="superscript"/>
        </w:rPr>
        <w:t>28</w:t>
      </w:r>
      <w:r w:rsidRPr="00E32B3F">
        <w:rPr>
          <w:sz w:val="24"/>
          <w:szCs w:val="24"/>
        </w:rPr>
        <w:t>; Paulus Kirchhof</w:t>
      </w:r>
      <w:r>
        <w:rPr>
          <w:sz w:val="24"/>
          <w:szCs w:val="24"/>
        </w:rPr>
        <w:t xml:space="preserve"> MD</w:t>
      </w:r>
      <w:r w:rsidRPr="00E32B3F">
        <w:rPr>
          <w:sz w:val="24"/>
          <w:szCs w:val="24"/>
          <w:vertAlign w:val="superscript"/>
        </w:rPr>
        <w:t>29</w:t>
      </w:r>
      <w:r w:rsidRPr="00E32B3F">
        <w:rPr>
          <w:sz w:val="24"/>
          <w:szCs w:val="24"/>
        </w:rPr>
        <w:t>; Peter R.</w:t>
      </w:r>
      <w:r w:rsidRPr="00A22F58">
        <w:rPr>
          <w:sz w:val="24"/>
          <w:szCs w:val="24"/>
        </w:rPr>
        <w:t xml:space="preserve"> </w:t>
      </w:r>
      <w:r w:rsidRPr="0054603F">
        <w:rPr>
          <w:sz w:val="24"/>
          <w:szCs w:val="24"/>
        </w:rPr>
        <w:t>Kowey</w:t>
      </w:r>
      <w:r w:rsidRPr="0054603F">
        <w:rPr>
          <w:sz w:val="24"/>
          <w:szCs w:val="24"/>
          <w:vertAlign w:val="superscript"/>
        </w:rPr>
        <w:t>30</w:t>
      </w:r>
      <w:r w:rsidRPr="0054603F">
        <w:rPr>
          <w:sz w:val="24"/>
          <w:szCs w:val="24"/>
        </w:rPr>
        <w:t>; Derk Krieger MD PhD</w:t>
      </w:r>
      <w:r w:rsidRPr="0054603F">
        <w:rPr>
          <w:sz w:val="24"/>
          <w:szCs w:val="24"/>
          <w:vertAlign w:val="superscript"/>
        </w:rPr>
        <w:t>31</w:t>
      </w:r>
      <w:r w:rsidRPr="0054603F">
        <w:rPr>
          <w:sz w:val="24"/>
          <w:szCs w:val="24"/>
        </w:rPr>
        <w:t xml:space="preserve">; Vivian WY Lee </w:t>
      </w:r>
      <w:r>
        <w:rPr>
          <w:sz w:val="24"/>
          <w:szCs w:val="24"/>
        </w:rPr>
        <w:t xml:space="preserve">BSc </w:t>
      </w:r>
      <w:r w:rsidRPr="0054603F">
        <w:rPr>
          <w:sz w:val="24"/>
          <w:szCs w:val="24"/>
        </w:rPr>
        <w:t>PharmD</w:t>
      </w:r>
      <w:r w:rsidRPr="0054603F">
        <w:rPr>
          <w:sz w:val="24"/>
          <w:szCs w:val="24"/>
          <w:vertAlign w:val="superscript"/>
        </w:rPr>
        <w:t>32</w:t>
      </w:r>
      <w:r w:rsidRPr="0054603F">
        <w:rPr>
          <w:sz w:val="24"/>
          <w:szCs w:val="24"/>
        </w:rPr>
        <w:t>; Lars-Åke Levin PhD</w:t>
      </w:r>
      <w:r w:rsidRPr="0054603F">
        <w:rPr>
          <w:sz w:val="24"/>
          <w:szCs w:val="24"/>
          <w:vertAlign w:val="superscript"/>
        </w:rPr>
        <w:t>33</w:t>
      </w:r>
      <w:r w:rsidRPr="0054603F">
        <w:rPr>
          <w:sz w:val="24"/>
          <w:szCs w:val="24"/>
        </w:rPr>
        <w:t>; Gregory Y.</w:t>
      </w:r>
      <w:r w:rsidRPr="00C85FFA">
        <w:rPr>
          <w:sz w:val="24"/>
          <w:szCs w:val="24"/>
        </w:rPr>
        <w:t xml:space="preserve"> H. Lip </w:t>
      </w:r>
      <w:r w:rsidRPr="001F6855">
        <w:rPr>
          <w:sz w:val="24"/>
          <w:szCs w:val="24"/>
        </w:rPr>
        <w:t>MD</w:t>
      </w:r>
      <w:r w:rsidRPr="001F6855">
        <w:rPr>
          <w:sz w:val="24"/>
          <w:szCs w:val="24"/>
          <w:vertAlign w:val="superscript"/>
        </w:rPr>
        <w:t>34</w:t>
      </w:r>
      <w:r w:rsidRPr="001F6855">
        <w:rPr>
          <w:sz w:val="24"/>
          <w:szCs w:val="24"/>
        </w:rPr>
        <w:t>; Trudie Lobban</w:t>
      </w:r>
      <w:r w:rsidRPr="001F6855">
        <w:rPr>
          <w:sz w:val="24"/>
          <w:szCs w:val="24"/>
          <w:vertAlign w:val="superscript"/>
        </w:rPr>
        <w:t>35</w:t>
      </w:r>
      <w:r w:rsidRPr="007F503E">
        <w:rPr>
          <w:sz w:val="24"/>
          <w:szCs w:val="24"/>
        </w:rPr>
        <w:t>; Nicole Lowres PhD</w:t>
      </w:r>
      <w:r w:rsidRPr="007F503E">
        <w:rPr>
          <w:sz w:val="24"/>
          <w:szCs w:val="24"/>
          <w:vertAlign w:val="superscript"/>
        </w:rPr>
        <w:t>36</w:t>
      </w:r>
      <w:r w:rsidRPr="007F503E">
        <w:rPr>
          <w:sz w:val="24"/>
          <w:szCs w:val="24"/>
        </w:rPr>
        <w:t>; Georges H. Mairesse</w:t>
      </w:r>
      <w:r>
        <w:rPr>
          <w:sz w:val="24"/>
          <w:szCs w:val="24"/>
        </w:rPr>
        <w:t xml:space="preserve"> MD</w:t>
      </w:r>
      <w:r w:rsidRPr="007F503E">
        <w:rPr>
          <w:sz w:val="24"/>
          <w:szCs w:val="24"/>
          <w:vertAlign w:val="superscript"/>
        </w:rPr>
        <w:t>37</w:t>
      </w:r>
      <w:r w:rsidRPr="007F503E">
        <w:rPr>
          <w:sz w:val="24"/>
          <w:szCs w:val="24"/>
        </w:rPr>
        <w:t>; Carlos Martinez MD MSc</w:t>
      </w:r>
      <w:r w:rsidRPr="007F503E">
        <w:rPr>
          <w:sz w:val="24"/>
          <w:szCs w:val="24"/>
          <w:vertAlign w:val="superscript"/>
        </w:rPr>
        <w:t>38</w:t>
      </w:r>
      <w:r w:rsidRPr="007F503E">
        <w:rPr>
          <w:sz w:val="24"/>
          <w:szCs w:val="24"/>
        </w:rPr>
        <w:t>; Lis Neubeck</w:t>
      </w:r>
      <w:r>
        <w:rPr>
          <w:sz w:val="24"/>
          <w:szCs w:val="24"/>
        </w:rPr>
        <w:t xml:space="preserve"> BA(Hons)</w:t>
      </w:r>
      <w:r w:rsidRPr="007F503E">
        <w:rPr>
          <w:sz w:val="24"/>
          <w:szCs w:val="24"/>
        </w:rPr>
        <w:t xml:space="preserve"> PhD</w:t>
      </w:r>
      <w:r w:rsidRPr="007F503E">
        <w:rPr>
          <w:sz w:val="24"/>
          <w:szCs w:val="24"/>
          <w:vertAlign w:val="superscript"/>
        </w:rPr>
        <w:t>39</w:t>
      </w:r>
      <w:r w:rsidRPr="007F503E">
        <w:rPr>
          <w:sz w:val="24"/>
          <w:szCs w:val="24"/>
        </w:rPr>
        <w:t>; Jessica</w:t>
      </w:r>
      <w:r w:rsidRPr="00CB6317">
        <w:rPr>
          <w:sz w:val="24"/>
          <w:szCs w:val="24"/>
        </w:rPr>
        <w:t xml:space="preserve"> Orchard </w:t>
      </w:r>
      <w:r>
        <w:rPr>
          <w:sz w:val="24"/>
          <w:szCs w:val="24"/>
        </w:rPr>
        <w:t xml:space="preserve">B.Ec/LLB </w:t>
      </w:r>
      <w:r w:rsidRPr="001560D0">
        <w:rPr>
          <w:sz w:val="24"/>
          <w:szCs w:val="24"/>
        </w:rPr>
        <w:t>MPH</w:t>
      </w:r>
      <w:r w:rsidRPr="001560D0">
        <w:rPr>
          <w:sz w:val="24"/>
          <w:szCs w:val="24"/>
          <w:vertAlign w:val="superscript"/>
        </w:rPr>
        <w:t>40</w:t>
      </w:r>
      <w:r w:rsidRPr="001560D0">
        <w:rPr>
          <w:sz w:val="24"/>
          <w:szCs w:val="24"/>
        </w:rPr>
        <w:t>; Jonathan P. Piccini</w:t>
      </w:r>
      <w:r>
        <w:rPr>
          <w:sz w:val="24"/>
          <w:szCs w:val="24"/>
        </w:rPr>
        <w:t xml:space="preserve"> MD MHS</w:t>
      </w:r>
      <w:r w:rsidRPr="001560D0">
        <w:rPr>
          <w:sz w:val="24"/>
          <w:szCs w:val="24"/>
          <w:vertAlign w:val="superscript"/>
        </w:rPr>
        <w:t>41</w:t>
      </w:r>
      <w:r w:rsidRPr="001560D0">
        <w:rPr>
          <w:sz w:val="24"/>
          <w:szCs w:val="24"/>
        </w:rPr>
        <w:t xml:space="preserve">; </w:t>
      </w:r>
      <w:r w:rsidRPr="0032750D">
        <w:rPr>
          <w:sz w:val="24"/>
          <w:szCs w:val="24"/>
        </w:rPr>
        <w:t xml:space="preserve">Katrina </w:t>
      </w:r>
      <w:r w:rsidRPr="007F503E">
        <w:rPr>
          <w:sz w:val="24"/>
          <w:szCs w:val="24"/>
        </w:rPr>
        <w:t>Poppe PhD</w:t>
      </w:r>
      <w:r w:rsidRPr="007F503E">
        <w:rPr>
          <w:sz w:val="24"/>
          <w:szCs w:val="24"/>
          <w:vertAlign w:val="superscript"/>
        </w:rPr>
        <w:t>42</w:t>
      </w:r>
      <w:r w:rsidRPr="007F503E">
        <w:rPr>
          <w:sz w:val="24"/>
          <w:szCs w:val="24"/>
        </w:rPr>
        <w:t>; Tatjana S. Potpara MD PhD</w:t>
      </w:r>
      <w:r w:rsidRPr="007F503E">
        <w:rPr>
          <w:sz w:val="24"/>
          <w:szCs w:val="24"/>
          <w:vertAlign w:val="superscript"/>
        </w:rPr>
        <w:t>43</w:t>
      </w:r>
      <w:r>
        <w:rPr>
          <w:sz w:val="24"/>
          <w:szCs w:val="24"/>
        </w:rPr>
        <w:t xml:space="preserve">; </w:t>
      </w:r>
      <w:r w:rsidRPr="00C771B6">
        <w:rPr>
          <w:sz w:val="24"/>
          <w:szCs w:val="24"/>
        </w:rPr>
        <w:t>Helmut Puererfellner MD</w:t>
      </w:r>
      <w:r w:rsidRPr="00245CC3">
        <w:rPr>
          <w:sz w:val="24"/>
          <w:szCs w:val="24"/>
          <w:vertAlign w:val="superscript"/>
        </w:rPr>
        <w:t>44</w:t>
      </w:r>
      <w:r w:rsidRPr="007F503E">
        <w:rPr>
          <w:sz w:val="24"/>
          <w:szCs w:val="24"/>
        </w:rPr>
        <w:t>; Michiel Rienstra MD PhD</w:t>
      </w:r>
      <w:r w:rsidRPr="007F503E">
        <w:rPr>
          <w:sz w:val="24"/>
          <w:szCs w:val="24"/>
          <w:vertAlign w:val="superscript"/>
        </w:rPr>
        <w:t>45</w:t>
      </w:r>
      <w:r w:rsidRPr="007F503E">
        <w:rPr>
          <w:sz w:val="24"/>
          <w:szCs w:val="24"/>
        </w:rPr>
        <w:t>; Roopinder K. Sandhu MD MPH</w:t>
      </w:r>
      <w:r w:rsidRPr="007F503E">
        <w:rPr>
          <w:sz w:val="24"/>
          <w:szCs w:val="24"/>
          <w:vertAlign w:val="superscript"/>
        </w:rPr>
        <w:t>46</w:t>
      </w:r>
      <w:r w:rsidRPr="007F503E">
        <w:rPr>
          <w:sz w:val="24"/>
          <w:szCs w:val="24"/>
        </w:rPr>
        <w:t>; Renate B. Schnabel MD MSc</w:t>
      </w:r>
      <w:r w:rsidRPr="007F503E">
        <w:rPr>
          <w:sz w:val="24"/>
          <w:szCs w:val="24"/>
          <w:vertAlign w:val="superscript"/>
        </w:rPr>
        <w:t>47</w:t>
      </w:r>
      <w:r w:rsidRPr="007F503E">
        <w:rPr>
          <w:sz w:val="24"/>
          <w:szCs w:val="24"/>
        </w:rPr>
        <w:t>; Chung-Wah Siu MD</w:t>
      </w:r>
      <w:r w:rsidRPr="007F503E">
        <w:rPr>
          <w:sz w:val="24"/>
          <w:szCs w:val="24"/>
          <w:vertAlign w:val="superscript"/>
        </w:rPr>
        <w:t>48</w:t>
      </w:r>
      <w:r w:rsidRPr="007F503E">
        <w:rPr>
          <w:sz w:val="24"/>
          <w:szCs w:val="24"/>
        </w:rPr>
        <w:t>; Steven Steinhubl</w:t>
      </w:r>
      <w:r>
        <w:rPr>
          <w:sz w:val="24"/>
          <w:szCs w:val="24"/>
        </w:rPr>
        <w:t xml:space="preserve"> MD</w:t>
      </w:r>
      <w:r w:rsidRPr="007F503E">
        <w:rPr>
          <w:sz w:val="24"/>
          <w:szCs w:val="24"/>
          <w:vertAlign w:val="superscript"/>
        </w:rPr>
        <w:t>49</w:t>
      </w:r>
      <w:r w:rsidRPr="007F503E">
        <w:rPr>
          <w:sz w:val="24"/>
          <w:szCs w:val="24"/>
        </w:rPr>
        <w:t>; Jesper H. Svendsen</w:t>
      </w:r>
      <w:r>
        <w:rPr>
          <w:sz w:val="24"/>
          <w:szCs w:val="24"/>
        </w:rPr>
        <w:t xml:space="preserve"> MD DMSc</w:t>
      </w:r>
      <w:r w:rsidRPr="007F503E">
        <w:rPr>
          <w:sz w:val="24"/>
          <w:szCs w:val="24"/>
          <w:vertAlign w:val="superscript"/>
        </w:rPr>
        <w:t>50</w:t>
      </w:r>
      <w:r w:rsidRPr="007F503E">
        <w:rPr>
          <w:sz w:val="24"/>
          <w:szCs w:val="24"/>
        </w:rPr>
        <w:t>; Emma Svennberg MD</w:t>
      </w:r>
      <w:r>
        <w:rPr>
          <w:sz w:val="24"/>
          <w:szCs w:val="24"/>
        </w:rPr>
        <w:t xml:space="preserve"> PhD</w:t>
      </w:r>
      <w:r w:rsidRPr="007F503E">
        <w:rPr>
          <w:sz w:val="24"/>
          <w:szCs w:val="24"/>
          <w:vertAlign w:val="superscript"/>
        </w:rPr>
        <w:t>51</w:t>
      </w:r>
      <w:r w:rsidRPr="007F503E">
        <w:rPr>
          <w:sz w:val="24"/>
          <w:szCs w:val="24"/>
        </w:rPr>
        <w:t>; Sakis Themistoclakis</w:t>
      </w:r>
      <w:r>
        <w:rPr>
          <w:sz w:val="24"/>
          <w:szCs w:val="24"/>
        </w:rPr>
        <w:t xml:space="preserve"> MD</w:t>
      </w:r>
      <w:r w:rsidRPr="007F503E">
        <w:rPr>
          <w:sz w:val="24"/>
          <w:szCs w:val="24"/>
          <w:vertAlign w:val="superscript"/>
        </w:rPr>
        <w:t>52</w:t>
      </w:r>
      <w:r w:rsidRPr="007F503E">
        <w:rPr>
          <w:sz w:val="24"/>
          <w:szCs w:val="24"/>
        </w:rPr>
        <w:t>; Robert G. Tieleman MD PhD</w:t>
      </w:r>
      <w:r w:rsidRPr="007F503E">
        <w:rPr>
          <w:sz w:val="24"/>
          <w:szCs w:val="24"/>
          <w:vertAlign w:val="superscript"/>
        </w:rPr>
        <w:t>53</w:t>
      </w:r>
      <w:r w:rsidRPr="007F503E">
        <w:rPr>
          <w:sz w:val="24"/>
          <w:szCs w:val="24"/>
        </w:rPr>
        <w:t>; Mintu P. Turakhia MD MAS</w:t>
      </w:r>
      <w:r w:rsidRPr="007F503E">
        <w:rPr>
          <w:sz w:val="24"/>
          <w:szCs w:val="24"/>
          <w:vertAlign w:val="superscript"/>
        </w:rPr>
        <w:t>54</w:t>
      </w:r>
      <w:r w:rsidRPr="007F503E">
        <w:rPr>
          <w:sz w:val="24"/>
          <w:szCs w:val="24"/>
        </w:rPr>
        <w:t>; Arnljot Tveit MD PhD</w:t>
      </w:r>
      <w:r w:rsidRPr="007F503E">
        <w:rPr>
          <w:sz w:val="24"/>
          <w:szCs w:val="24"/>
          <w:vertAlign w:val="superscript"/>
        </w:rPr>
        <w:t>55</w:t>
      </w:r>
      <w:r w:rsidRPr="007F503E">
        <w:rPr>
          <w:sz w:val="24"/>
          <w:szCs w:val="24"/>
        </w:rPr>
        <w:t>; Steven</w:t>
      </w:r>
      <w:r w:rsidRPr="002429D1">
        <w:rPr>
          <w:sz w:val="24"/>
          <w:szCs w:val="24"/>
        </w:rPr>
        <w:t xml:space="preserve"> B. Uittenbogaart MD MSc</w:t>
      </w:r>
      <w:r w:rsidRPr="002429D1">
        <w:rPr>
          <w:sz w:val="24"/>
          <w:szCs w:val="24"/>
          <w:vertAlign w:val="superscript"/>
        </w:rPr>
        <w:t>56</w:t>
      </w:r>
      <w:r w:rsidRPr="002429D1">
        <w:rPr>
          <w:sz w:val="24"/>
          <w:szCs w:val="24"/>
        </w:rPr>
        <w:t>; Isabelle C. Van Gelder MD</w:t>
      </w:r>
      <w:r w:rsidRPr="007274BA">
        <w:rPr>
          <w:sz w:val="24"/>
          <w:szCs w:val="24"/>
        </w:rPr>
        <w:t xml:space="preserve"> PhD</w:t>
      </w:r>
      <w:r w:rsidRPr="007274BA">
        <w:rPr>
          <w:sz w:val="24"/>
          <w:szCs w:val="24"/>
          <w:vertAlign w:val="superscript"/>
        </w:rPr>
        <w:t>57</w:t>
      </w:r>
      <w:r w:rsidRPr="007274BA">
        <w:rPr>
          <w:sz w:val="24"/>
          <w:szCs w:val="24"/>
        </w:rPr>
        <w:t>; Atul Ve</w:t>
      </w:r>
      <w:r w:rsidRPr="00FF336C">
        <w:rPr>
          <w:sz w:val="24"/>
          <w:szCs w:val="24"/>
        </w:rPr>
        <w:t>rma MD</w:t>
      </w:r>
      <w:r w:rsidRPr="00FF336C">
        <w:rPr>
          <w:sz w:val="24"/>
          <w:szCs w:val="24"/>
          <w:vertAlign w:val="superscript"/>
        </w:rPr>
        <w:t>58</w:t>
      </w:r>
      <w:r w:rsidRPr="00FF336C">
        <w:rPr>
          <w:sz w:val="24"/>
          <w:szCs w:val="24"/>
        </w:rPr>
        <w:t xml:space="preserve">; </w:t>
      </w:r>
      <w:r w:rsidRPr="0003556A">
        <w:rPr>
          <w:sz w:val="24"/>
          <w:szCs w:val="24"/>
        </w:rPr>
        <w:t>Rolf Wachter MD</w:t>
      </w:r>
      <w:r w:rsidRPr="0003556A">
        <w:rPr>
          <w:sz w:val="24"/>
          <w:szCs w:val="24"/>
          <w:vertAlign w:val="superscript"/>
        </w:rPr>
        <w:t>59</w:t>
      </w:r>
      <w:r w:rsidRPr="00242657">
        <w:rPr>
          <w:sz w:val="24"/>
          <w:szCs w:val="24"/>
        </w:rPr>
        <w:t>; Bryan P. Yan MBBS</w:t>
      </w:r>
      <w:r w:rsidRPr="00242657">
        <w:rPr>
          <w:sz w:val="24"/>
          <w:szCs w:val="24"/>
          <w:vertAlign w:val="superscript"/>
        </w:rPr>
        <w:t>60</w:t>
      </w:r>
      <w:r w:rsidRPr="00242657">
        <w:rPr>
          <w:sz w:val="24"/>
          <w:szCs w:val="24"/>
        </w:rPr>
        <w:t>.</w:t>
      </w:r>
    </w:p>
    <w:p w14:paraId="1E0AD647" w14:textId="77777777" w:rsidR="00597826" w:rsidRPr="004D04BF" w:rsidRDefault="00597826" w:rsidP="00375DCA">
      <w:pPr>
        <w:rPr>
          <w:sz w:val="24"/>
          <w:szCs w:val="24"/>
        </w:rPr>
      </w:pPr>
    </w:p>
    <w:p w14:paraId="20CB16C5" w14:textId="77777777" w:rsidR="00597826" w:rsidRPr="003B5161" w:rsidRDefault="00597826" w:rsidP="00375DCA">
      <w:pPr>
        <w:pStyle w:val="NoSpacing"/>
        <w:rPr>
          <w:sz w:val="18"/>
          <w:szCs w:val="18"/>
        </w:rPr>
      </w:pPr>
    </w:p>
    <w:p w14:paraId="2A354727" w14:textId="609F8C20" w:rsidR="00597826" w:rsidRDefault="00597826" w:rsidP="00375DCA">
      <w:pPr>
        <w:rPr>
          <w:sz w:val="24"/>
          <w:szCs w:val="24"/>
        </w:rPr>
      </w:pPr>
      <w:r>
        <w:rPr>
          <w:sz w:val="24"/>
          <w:szCs w:val="24"/>
          <w:u w:val="single"/>
        </w:rPr>
        <w:t xml:space="preserve">Word count: </w:t>
      </w:r>
      <w:r>
        <w:rPr>
          <w:sz w:val="24"/>
          <w:szCs w:val="24"/>
        </w:rPr>
        <w:t xml:space="preserve"> Text only:  5,</w:t>
      </w:r>
      <w:r w:rsidR="0051572C">
        <w:rPr>
          <w:sz w:val="24"/>
          <w:szCs w:val="24"/>
        </w:rPr>
        <w:t>02</w:t>
      </w:r>
      <w:r w:rsidR="00B85D12">
        <w:rPr>
          <w:sz w:val="24"/>
          <w:szCs w:val="24"/>
        </w:rPr>
        <w:t>1</w:t>
      </w:r>
      <w:r w:rsidR="0051572C">
        <w:rPr>
          <w:sz w:val="24"/>
          <w:szCs w:val="24"/>
        </w:rPr>
        <w:t xml:space="preserve"> words, abstract </w:t>
      </w:r>
      <w:r w:rsidR="00B85D12">
        <w:rPr>
          <w:sz w:val="24"/>
          <w:szCs w:val="24"/>
        </w:rPr>
        <w:t>301</w:t>
      </w:r>
      <w:r w:rsidR="0051572C">
        <w:rPr>
          <w:sz w:val="24"/>
          <w:szCs w:val="24"/>
        </w:rPr>
        <w:t xml:space="preserve"> words, 99</w:t>
      </w:r>
      <w:r>
        <w:rPr>
          <w:sz w:val="24"/>
          <w:szCs w:val="24"/>
        </w:rPr>
        <w:t xml:space="preserve"> references</w:t>
      </w:r>
    </w:p>
    <w:p w14:paraId="58F776DD" w14:textId="77777777" w:rsidR="00597826" w:rsidRPr="009C1A84" w:rsidRDefault="00597826" w:rsidP="00375DCA">
      <w:pPr>
        <w:rPr>
          <w:sz w:val="24"/>
          <w:szCs w:val="24"/>
          <w:u w:val="single"/>
        </w:rPr>
      </w:pPr>
      <w:r w:rsidRPr="003053B0">
        <w:rPr>
          <w:sz w:val="24"/>
          <w:szCs w:val="24"/>
          <w:u w:val="single"/>
        </w:rPr>
        <w:t>Affiliations</w:t>
      </w:r>
      <w:r>
        <w:rPr>
          <w:sz w:val="24"/>
          <w:szCs w:val="24"/>
          <w:u w:val="single"/>
        </w:rPr>
        <w:t>:</w:t>
      </w:r>
    </w:p>
    <w:p w14:paraId="2897D201" w14:textId="77777777" w:rsidR="00597826" w:rsidRPr="000B5010" w:rsidRDefault="00597826" w:rsidP="00375DCA">
      <w:pPr>
        <w:pStyle w:val="ListParagraph"/>
        <w:numPr>
          <w:ilvl w:val="0"/>
          <w:numId w:val="36"/>
        </w:numPr>
        <w:rPr>
          <w:sz w:val="18"/>
          <w:szCs w:val="18"/>
        </w:rPr>
      </w:pPr>
      <w:r w:rsidRPr="000B5010">
        <w:rPr>
          <w:sz w:val="18"/>
          <w:szCs w:val="18"/>
        </w:rPr>
        <w:t xml:space="preserve">Heart Research Institute, Charles Perkins Centre, </w:t>
      </w:r>
      <w:r>
        <w:rPr>
          <w:sz w:val="18"/>
          <w:szCs w:val="18"/>
        </w:rPr>
        <w:t xml:space="preserve">and </w:t>
      </w:r>
      <w:r w:rsidRPr="000B5010">
        <w:rPr>
          <w:sz w:val="18"/>
          <w:szCs w:val="18"/>
        </w:rPr>
        <w:t xml:space="preserve">Concord </w:t>
      </w:r>
      <w:r>
        <w:rPr>
          <w:sz w:val="18"/>
          <w:szCs w:val="18"/>
        </w:rPr>
        <w:t>Hospital Cardiology</w:t>
      </w:r>
      <w:r w:rsidRPr="000B5010">
        <w:rPr>
          <w:sz w:val="18"/>
          <w:szCs w:val="18"/>
        </w:rPr>
        <w:t>, University of Sydney, Australia</w:t>
      </w:r>
    </w:p>
    <w:p w14:paraId="63604268" w14:textId="77777777" w:rsidR="00597826" w:rsidRPr="000B5010" w:rsidRDefault="00597826" w:rsidP="00375DCA">
      <w:pPr>
        <w:pStyle w:val="ListParagraph"/>
        <w:numPr>
          <w:ilvl w:val="0"/>
          <w:numId w:val="36"/>
        </w:numPr>
        <w:rPr>
          <w:sz w:val="18"/>
          <w:szCs w:val="18"/>
        </w:rPr>
      </w:pPr>
      <w:r w:rsidRPr="000B5010">
        <w:rPr>
          <w:sz w:val="18"/>
          <w:szCs w:val="18"/>
        </w:rPr>
        <w:t>St Georges Hospital, London UK</w:t>
      </w:r>
    </w:p>
    <w:p w14:paraId="7EE08C02" w14:textId="77777777" w:rsidR="00597826" w:rsidRPr="000B5010" w:rsidRDefault="00597826" w:rsidP="00375DCA">
      <w:pPr>
        <w:pStyle w:val="ListParagraph"/>
        <w:numPr>
          <w:ilvl w:val="0"/>
          <w:numId w:val="36"/>
        </w:numPr>
        <w:rPr>
          <w:sz w:val="18"/>
          <w:szCs w:val="18"/>
        </w:rPr>
      </w:pPr>
      <w:r w:rsidRPr="000B5010">
        <w:rPr>
          <w:sz w:val="18"/>
          <w:szCs w:val="18"/>
        </w:rPr>
        <w:t>John</w:t>
      </w:r>
      <w:r>
        <w:rPr>
          <w:sz w:val="18"/>
          <w:szCs w:val="18"/>
        </w:rPr>
        <w:t>s</w:t>
      </w:r>
      <w:r w:rsidRPr="000B5010">
        <w:rPr>
          <w:sz w:val="18"/>
          <w:szCs w:val="18"/>
        </w:rPr>
        <w:t xml:space="preserve"> Hopkins University, Baltimore, USA</w:t>
      </w:r>
    </w:p>
    <w:p w14:paraId="07682F14" w14:textId="77777777" w:rsidR="00597826" w:rsidRPr="000B5010" w:rsidRDefault="00597826" w:rsidP="00375DCA">
      <w:pPr>
        <w:pStyle w:val="ListParagraph"/>
        <w:numPr>
          <w:ilvl w:val="0"/>
          <w:numId w:val="36"/>
        </w:numPr>
        <w:rPr>
          <w:sz w:val="18"/>
          <w:szCs w:val="18"/>
        </w:rPr>
      </w:pPr>
      <w:r w:rsidRPr="000B5010">
        <w:rPr>
          <w:sz w:val="18"/>
          <w:szCs w:val="18"/>
        </w:rPr>
        <w:t>Population Health Research Institute, McMaster University, Hamilton, Canada</w:t>
      </w:r>
    </w:p>
    <w:p w14:paraId="42E2B99A" w14:textId="77777777" w:rsidR="00597826" w:rsidRPr="000B5010" w:rsidRDefault="00597826" w:rsidP="00375DCA">
      <w:pPr>
        <w:pStyle w:val="ListParagraph"/>
        <w:numPr>
          <w:ilvl w:val="0"/>
          <w:numId w:val="36"/>
        </w:numPr>
        <w:rPr>
          <w:sz w:val="18"/>
          <w:szCs w:val="18"/>
        </w:rPr>
      </w:pPr>
      <w:r w:rsidRPr="000B5010">
        <w:rPr>
          <w:sz w:val="18"/>
          <w:szCs w:val="18"/>
        </w:rPr>
        <w:t>Karolinska Institute, Stockholm, Sweden</w:t>
      </w:r>
    </w:p>
    <w:p w14:paraId="0EF730A6" w14:textId="77777777" w:rsidR="00597826" w:rsidRPr="000B5010" w:rsidRDefault="00597826" w:rsidP="00375DCA">
      <w:pPr>
        <w:pStyle w:val="ListParagraph"/>
        <w:numPr>
          <w:ilvl w:val="0"/>
          <w:numId w:val="36"/>
        </w:numPr>
        <w:rPr>
          <w:sz w:val="18"/>
          <w:szCs w:val="18"/>
        </w:rPr>
      </w:pPr>
      <w:r>
        <w:rPr>
          <w:sz w:val="18"/>
          <w:szCs w:val="18"/>
        </w:rPr>
        <w:t xml:space="preserve">The Shanghai Institute of Hypertension, Ruijin Hospital, </w:t>
      </w:r>
      <w:r w:rsidRPr="000B5010">
        <w:rPr>
          <w:sz w:val="18"/>
          <w:szCs w:val="18"/>
        </w:rPr>
        <w:t>Jiaotong</w:t>
      </w:r>
      <w:r>
        <w:rPr>
          <w:sz w:val="18"/>
          <w:szCs w:val="18"/>
        </w:rPr>
        <w:t xml:space="preserve"> University School of Medicine</w:t>
      </w:r>
      <w:r w:rsidRPr="000B5010">
        <w:rPr>
          <w:sz w:val="18"/>
          <w:szCs w:val="18"/>
        </w:rPr>
        <w:t>, Shanghai, China</w:t>
      </w:r>
    </w:p>
    <w:p w14:paraId="3C1212C4" w14:textId="77777777" w:rsidR="00597826" w:rsidRPr="000B5010" w:rsidRDefault="00597826" w:rsidP="00375DCA">
      <w:pPr>
        <w:pStyle w:val="ListParagraph"/>
        <w:numPr>
          <w:ilvl w:val="0"/>
          <w:numId w:val="36"/>
        </w:numPr>
        <w:rPr>
          <w:sz w:val="18"/>
          <w:szCs w:val="18"/>
        </w:rPr>
      </w:pPr>
      <w:r w:rsidRPr="000B5010">
        <w:rPr>
          <w:sz w:val="18"/>
          <w:szCs w:val="18"/>
        </w:rPr>
        <w:t>Brigham and Womens Hospital, Harvard Medical School, Boston, USA</w:t>
      </w:r>
    </w:p>
    <w:p w14:paraId="1C66C777" w14:textId="77777777" w:rsidR="00597826" w:rsidRPr="000B5010" w:rsidRDefault="00597826" w:rsidP="00375DCA">
      <w:pPr>
        <w:pStyle w:val="ListParagraph"/>
        <w:numPr>
          <w:ilvl w:val="0"/>
          <w:numId w:val="36"/>
        </w:numPr>
        <w:rPr>
          <w:sz w:val="18"/>
          <w:szCs w:val="18"/>
        </w:rPr>
      </w:pPr>
      <w:r w:rsidRPr="000B5010">
        <w:rPr>
          <w:sz w:val="18"/>
          <w:szCs w:val="18"/>
        </w:rPr>
        <w:t>The George Institute for Global Health, Sydney, Australia</w:t>
      </w:r>
    </w:p>
    <w:p w14:paraId="2DFEE70A" w14:textId="77777777" w:rsidR="00597826" w:rsidRPr="000B5010" w:rsidRDefault="00597826" w:rsidP="00375DCA">
      <w:pPr>
        <w:pStyle w:val="ListParagraph"/>
        <w:numPr>
          <w:ilvl w:val="0"/>
          <w:numId w:val="36"/>
        </w:numPr>
        <w:rPr>
          <w:sz w:val="18"/>
          <w:szCs w:val="18"/>
        </w:rPr>
      </w:pPr>
      <w:r w:rsidRPr="00C771B6">
        <w:rPr>
          <w:sz w:val="18"/>
          <w:szCs w:val="18"/>
        </w:rPr>
        <w:t>Barts Health NHS Trust, London, UK</w:t>
      </w:r>
    </w:p>
    <w:p w14:paraId="26F23710" w14:textId="77777777" w:rsidR="00597826" w:rsidRPr="000B5010" w:rsidRDefault="00597826" w:rsidP="00375DCA">
      <w:pPr>
        <w:pStyle w:val="ListParagraph"/>
        <w:numPr>
          <w:ilvl w:val="0"/>
          <w:numId w:val="36"/>
        </w:numPr>
        <w:rPr>
          <w:sz w:val="18"/>
          <w:szCs w:val="18"/>
        </w:rPr>
      </w:pPr>
      <w:r w:rsidRPr="00AD1754">
        <w:rPr>
          <w:sz w:val="18"/>
          <w:szCs w:val="18"/>
        </w:rPr>
        <w:t>NHLBI and Boston University’s Framingham Heart Study, Framingham, MA, USA</w:t>
      </w:r>
    </w:p>
    <w:p w14:paraId="35371EC7" w14:textId="77777777" w:rsidR="00597826" w:rsidRPr="000B5010" w:rsidRDefault="00597826" w:rsidP="00375DCA">
      <w:pPr>
        <w:pStyle w:val="ListParagraph"/>
        <w:numPr>
          <w:ilvl w:val="0"/>
          <w:numId w:val="36"/>
        </w:numPr>
        <w:rPr>
          <w:sz w:val="18"/>
          <w:szCs w:val="18"/>
        </w:rPr>
      </w:pPr>
      <w:r w:rsidRPr="000B5010">
        <w:rPr>
          <w:sz w:val="18"/>
          <w:szCs w:val="18"/>
        </w:rPr>
        <w:t xml:space="preserve">University of </w:t>
      </w:r>
      <w:r>
        <w:rPr>
          <w:sz w:val="18"/>
          <w:szCs w:val="18"/>
        </w:rPr>
        <w:t>Modena and Reggio Emilia</w:t>
      </w:r>
      <w:r w:rsidRPr="000B5010">
        <w:rPr>
          <w:sz w:val="18"/>
          <w:szCs w:val="18"/>
        </w:rPr>
        <w:t xml:space="preserve">, </w:t>
      </w:r>
      <w:r>
        <w:rPr>
          <w:sz w:val="18"/>
          <w:szCs w:val="18"/>
        </w:rPr>
        <w:t>Modena</w:t>
      </w:r>
      <w:r w:rsidRPr="000B5010">
        <w:rPr>
          <w:sz w:val="18"/>
          <w:szCs w:val="18"/>
        </w:rPr>
        <w:t>, Italy</w:t>
      </w:r>
    </w:p>
    <w:p w14:paraId="1EA49A74" w14:textId="77777777" w:rsidR="00597826" w:rsidRPr="000B5010" w:rsidRDefault="00597826" w:rsidP="00375DCA">
      <w:pPr>
        <w:pStyle w:val="ListParagraph"/>
        <w:numPr>
          <w:ilvl w:val="0"/>
          <w:numId w:val="36"/>
        </w:numPr>
        <w:rPr>
          <w:sz w:val="18"/>
          <w:szCs w:val="18"/>
        </w:rPr>
      </w:pPr>
      <w:r w:rsidRPr="000B5010">
        <w:rPr>
          <w:sz w:val="18"/>
          <w:szCs w:val="18"/>
        </w:rPr>
        <w:t>Klinikum Coburg, Coburg, Germany</w:t>
      </w:r>
    </w:p>
    <w:p w14:paraId="2BC605AB" w14:textId="77777777" w:rsidR="00597826" w:rsidRPr="000B5010" w:rsidRDefault="00597826" w:rsidP="00375DCA">
      <w:pPr>
        <w:pStyle w:val="ListParagraph"/>
        <w:numPr>
          <w:ilvl w:val="0"/>
          <w:numId w:val="36"/>
        </w:numPr>
        <w:rPr>
          <w:sz w:val="18"/>
          <w:szCs w:val="18"/>
        </w:rPr>
      </w:pPr>
      <w:r w:rsidRPr="000B5010">
        <w:rPr>
          <w:sz w:val="18"/>
          <w:szCs w:val="18"/>
        </w:rPr>
        <w:t>Odense University Hospital, Odense, Denmark</w:t>
      </w:r>
    </w:p>
    <w:p w14:paraId="66D44D6E" w14:textId="77777777" w:rsidR="00597826" w:rsidRPr="000B5010" w:rsidRDefault="00597826" w:rsidP="00375DCA">
      <w:pPr>
        <w:pStyle w:val="ListParagraph"/>
        <w:numPr>
          <w:ilvl w:val="0"/>
          <w:numId w:val="36"/>
        </w:numPr>
        <w:rPr>
          <w:sz w:val="18"/>
          <w:szCs w:val="18"/>
        </w:rPr>
      </w:pPr>
      <w:r w:rsidRPr="000B5010">
        <w:rPr>
          <w:rFonts w:ascii="Calibri" w:eastAsia="Times New Roman" w:hAnsi="Calibri" w:cs="Times New Roman"/>
          <w:color w:val="000000"/>
          <w:sz w:val="18"/>
          <w:szCs w:val="18"/>
        </w:rPr>
        <w:t>Cardiovascular Research Centre, National Yang-Ming University, Taipei, Taiwan</w:t>
      </w:r>
    </w:p>
    <w:p w14:paraId="79AB6CC5" w14:textId="77777777" w:rsidR="00597826" w:rsidRPr="000B5010" w:rsidRDefault="00597826" w:rsidP="00375DCA">
      <w:pPr>
        <w:pStyle w:val="ListParagraph"/>
        <w:numPr>
          <w:ilvl w:val="0"/>
          <w:numId w:val="36"/>
        </w:numPr>
        <w:rPr>
          <w:sz w:val="18"/>
          <w:szCs w:val="18"/>
        </w:rPr>
      </w:pPr>
      <w:r w:rsidRPr="000B5010">
        <w:rPr>
          <w:sz w:val="18"/>
          <w:szCs w:val="18"/>
        </w:rPr>
        <w:t>University Hospital, Basel, Switzerland</w:t>
      </w:r>
    </w:p>
    <w:p w14:paraId="4078AC6A" w14:textId="77777777" w:rsidR="00597826" w:rsidRPr="000B5010" w:rsidRDefault="00597826" w:rsidP="00375DCA">
      <w:pPr>
        <w:pStyle w:val="ListParagraph"/>
        <w:numPr>
          <w:ilvl w:val="0"/>
          <w:numId w:val="36"/>
        </w:numPr>
        <w:rPr>
          <w:sz w:val="18"/>
          <w:szCs w:val="18"/>
        </w:rPr>
      </w:pPr>
      <w:r w:rsidRPr="00C771B6">
        <w:rPr>
          <w:rFonts w:ascii="Calibri" w:eastAsia="Times New Roman" w:hAnsi="Calibri" w:cs="Times New Roman"/>
          <w:color w:val="000000"/>
          <w:sz w:val="18"/>
          <w:szCs w:val="18"/>
        </w:rPr>
        <w:t>Karolinska Institute, Stockholm, Sweden</w:t>
      </w:r>
    </w:p>
    <w:p w14:paraId="707B393E" w14:textId="77777777" w:rsidR="00597826" w:rsidRPr="000B5010" w:rsidRDefault="00597826" w:rsidP="00375DCA">
      <w:pPr>
        <w:pStyle w:val="ListParagraph"/>
        <w:numPr>
          <w:ilvl w:val="0"/>
          <w:numId w:val="36"/>
        </w:numPr>
        <w:rPr>
          <w:sz w:val="18"/>
          <w:szCs w:val="18"/>
        </w:rPr>
      </w:pPr>
      <w:r w:rsidRPr="000B5010">
        <w:rPr>
          <w:rFonts w:ascii="Calibri" w:eastAsia="Times New Roman" w:hAnsi="Calibri" w:cs="Times New Roman"/>
          <w:color w:val="000000"/>
          <w:sz w:val="18"/>
          <w:szCs w:val="18"/>
        </w:rPr>
        <w:t>Université François Rabelais, Tours, France</w:t>
      </w:r>
    </w:p>
    <w:p w14:paraId="424FFE74" w14:textId="77777777" w:rsidR="00597826" w:rsidRPr="000B5010" w:rsidRDefault="00597826" w:rsidP="00375DCA">
      <w:pPr>
        <w:pStyle w:val="ListParagraph"/>
        <w:numPr>
          <w:ilvl w:val="0"/>
          <w:numId w:val="36"/>
        </w:numPr>
        <w:rPr>
          <w:sz w:val="18"/>
          <w:szCs w:val="18"/>
        </w:rPr>
      </w:pPr>
      <w:r w:rsidRPr="000B5010">
        <w:rPr>
          <w:sz w:val="18"/>
          <w:szCs w:val="18"/>
        </w:rPr>
        <w:t>University of Birmingham, Birmingham, UK</w:t>
      </w:r>
    </w:p>
    <w:p w14:paraId="11E17698" w14:textId="77777777" w:rsidR="00597826" w:rsidRPr="000B5010" w:rsidRDefault="00597826" w:rsidP="00375DCA">
      <w:pPr>
        <w:pStyle w:val="ListParagraph"/>
        <w:numPr>
          <w:ilvl w:val="0"/>
          <w:numId w:val="36"/>
        </w:numPr>
        <w:rPr>
          <w:sz w:val="18"/>
          <w:szCs w:val="18"/>
        </w:rPr>
      </w:pPr>
      <w:r w:rsidRPr="000B5010">
        <w:rPr>
          <w:sz w:val="18"/>
          <w:szCs w:val="18"/>
        </w:rPr>
        <w:t>Karolinska Institute, Stockholm, Sweden</w:t>
      </w:r>
    </w:p>
    <w:p w14:paraId="118F5F84" w14:textId="77777777" w:rsidR="00597826" w:rsidRPr="000B5010" w:rsidRDefault="00597826" w:rsidP="00375DCA">
      <w:pPr>
        <w:pStyle w:val="ListParagraph"/>
        <w:numPr>
          <w:ilvl w:val="0"/>
          <w:numId w:val="36"/>
        </w:numPr>
        <w:rPr>
          <w:sz w:val="18"/>
          <w:szCs w:val="18"/>
        </w:rPr>
      </w:pPr>
      <w:r w:rsidRPr="000B5010">
        <w:rPr>
          <w:sz w:val="18"/>
          <w:szCs w:val="18"/>
        </w:rPr>
        <w:lastRenderedPageBreak/>
        <w:t>Mayo Clinic</w:t>
      </w:r>
      <w:r>
        <w:rPr>
          <w:sz w:val="18"/>
          <w:szCs w:val="18"/>
        </w:rPr>
        <w:t xml:space="preserve"> College of Medicine</w:t>
      </w:r>
      <w:r w:rsidRPr="000B5010">
        <w:rPr>
          <w:sz w:val="18"/>
          <w:szCs w:val="18"/>
        </w:rPr>
        <w:t xml:space="preserve">, Rochester, </w:t>
      </w:r>
      <w:r>
        <w:rPr>
          <w:sz w:val="18"/>
          <w:szCs w:val="18"/>
        </w:rPr>
        <w:t xml:space="preserve">MN, </w:t>
      </w:r>
      <w:r w:rsidRPr="000B5010">
        <w:rPr>
          <w:sz w:val="18"/>
          <w:szCs w:val="18"/>
        </w:rPr>
        <w:t>USA</w:t>
      </w:r>
    </w:p>
    <w:p w14:paraId="44500A91" w14:textId="77777777" w:rsidR="00597826" w:rsidRPr="000B5010" w:rsidRDefault="00597826" w:rsidP="00375DCA">
      <w:pPr>
        <w:pStyle w:val="ListParagraph"/>
        <w:numPr>
          <w:ilvl w:val="0"/>
          <w:numId w:val="36"/>
        </w:numPr>
        <w:rPr>
          <w:sz w:val="18"/>
          <w:szCs w:val="18"/>
        </w:rPr>
      </w:pPr>
      <w:r w:rsidRPr="000B5010">
        <w:rPr>
          <w:sz w:val="18"/>
          <w:szCs w:val="18"/>
        </w:rPr>
        <w:t>University of Toronto, Toronto, Canada</w:t>
      </w:r>
    </w:p>
    <w:p w14:paraId="4DB23EAE" w14:textId="77777777" w:rsidR="00597826" w:rsidRPr="000B5010" w:rsidRDefault="00597826" w:rsidP="00375DCA">
      <w:pPr>
        <w:pStyle w:val="ListParagraph"/>
        <w:numPr>
          <w:ilvl w:val="0"/>
          <w:numId w:val="36"/>
        </w:numPr>
        <w:rPr>
          <w:sz w:val="18"/>
          <w:szCs w:val="18"/>
        </w:rPr>
      </w:pPr>
      <w:r w:rsidRPr="000B5010">
        <w:rPr>
          <w:rFonts w:ascii="Calibri" w:eastAsia="Times New Roman" w:hAnsi="Calibri" w:cs="Times New Roman"/>
          <w:sz w:val="18"/>
          <w:szCs w:val="18"/>
        </w:rPr>
        <w:t>Hackensack University Medical Centre, Hackensack, USA</w:t>
      </w:r>
    </w:p>
    <w:p w14:paraId="4A1B8987" w14:textId="77777777" w:rsidR="00597826" w:rsidRPr="000B5010" w:rsidRDefault="00597826" w:rsidP="00375DCA">
      <w:pPr>
        <w:pStyle w:val="ListParagraph"/>
        <w:numPr>
          <w:ilvl w:val="0"/>
          <w:numId w:val="36"/>
        </w:numPr>
        <w:rPr>
          <w:sz w:val="18"/>
          <w:szCs w:val="18"/>
        </w:rPr>
      </w:pPr>
      <w:r w:rsidRPr="000B5010">
        <w:rPr>
          <w:sz w:val="18"/>
          <w:szCs w:val="18"/>
        </w:rPr>
        <w:t>Poche Centre, University of Sydney, Sydney, Australia</w:t>
      </w:r>
    </w:p>
    <w:p w14:paraId="1D77E499" w14:textId="77777777" w:rsidR="00597826" w:rsidRPr="000B5010" w:rsidRDefault="00597826" w:rsidP="00375DCA">
      <w:pPr>
        <w:pStyle w:val="ListParagraph"/>
        <w:numPr>
          <w:ilvl w:val="0"/>
          <w:numId w:val="36"/>
        </w:numPr>
        <w:rPr>
          <w:sz w:val="18"/>
          <w:szCs w:val="18"/>
        </w:rPr>
      </w:pPr>
      <w:r w:rsidRPr="000B5010">
        <w:rPr>
          <w:sz w:val="18"/>
          <w:szCs w:val="18"/>
        </w:rPr>
        <w:t>University of Western Australia, Perth, Australia</w:t>
      </w:r>
    </w:p>
    <w:p w14:paraId="1B899248" w14:textId="77777777" w:rsidR="00597826" w:rsidRPr="000B5010" w:rsidRDefault="00597826" w:rsidP="00375DCA">
      <w:pPr>
        <w:pStyle w:val="ListParagraph"/>
        <w:numPr>
          <w:ilvl w:val="0"/>
          <w:numId w:val="36"/>
        </w:numPr>
        <w:rPr>
          <w:sz w:val="18"/>
          <w:szCs w:val="18"/>
        </w:rPr>
      </w:pPr>
      <w:r w:rsidRPr="000B5010">
        <w:rPr>
          <w:sz w:val="18"/>
          <w:szCs w:val="18"/>
        </w:rPr>
        <w:t>Trinity College, Dublin, Ireland</w:t>
      </w:r>
    </w:p>
    <w:p w14:paraId="07BD9FB0" w14:textId="77777777" w:rsidR="00597826" w:rsidRPr="000B5010" w:rsidRDefault="00597826" w:rsidP="00375DCA">
      <w:pPr>
        <w:pStyle w:val="ListParagraph"/>
        <w:numPr>
          <w:ilvl w:val="0"/>
          <w:numId w:val="36"/>
        </w:numPr>
        <w:rPr>
          <w:sz w:val="18"/>
          <w:szCs w:val="18"/>
        </w:rPr>
      </w:pPr>
      <w:r w:rsidRPr="000B5010">
        <w:rPr>
          <w:sz w:val="18"/>
          <w:szCs w:val="18"/>
        </w:rPr>
        <w:t>Royal Perth Hospital, University of Western Australia, Perth, Australia</w:t>
      </w:r>
    </w:p>
    <w:p w14:paraId="10A3DA03" w14:textId="0C83537B" w:rsidR="00597826" w:rsidRPr="000B5010" w:rsidRDefault="00972357" w:rsidP="00375DCA">
      <w:pPr>
        <w:pStyle w:val="ListParagraph"/>
        <w:numPr>
          <w:ilvl w:val="0"/>
          <w:numId w:val="36"/>
        </w:numPr>
        <w:rPr>
          <w:sz w:val="18"/>
          <w:szCs w:val="18"/>
        </w:rPr>
      </w:pPr>
      <w:r>
        <w:rPr>
          <w:sz w:val="18"/>
          <w:szCs w:val="18"/>
        </w:rPr>
        <w:t xml:space="preserve">StopAfib.org, Dallas, </w:t>
      </w:r>
      <w:r w:rsidR="00597826" w:rsidRPr="000B5010">
        <w:rPr>
          <w:sz w:val="18"/>
          <w:szCs w:val="18"/>
        </w:rPr>
        <w:t>USA</w:t>
      </w:r>
    </w:p>
    <w:p w14:paraId="78EF6BF8" w14:textId="44180C06" w:rsidR="00597826" w:rsidRPr="000B5010" w:rsidRDefault="00597826" w:rsidP="00375DCA">
      <w:pPr>
        <w:pStyle w:val="ListParagraph"/>
        <w:numPr>
          <w:ilvl w:val="0"/>
          <w:numId w:val="36"/>
        </w:numPr>
        <w:rPr>
          <w:sz w:val="18"/>
          <w:szCs w:val="18"/>
        </w:rPr>
      </w:pPr>
      <w:r w:rsidRPr="000B5010">
        <w:rPr>
          <w:sz w:val="18"/>
          <w:szCs w:val="18"/>
        </w:rPr>
        <w:t>Weil</w:t>
      </w:r>
      <w:r w:rsidR="00E446CA">
        <w:rPr>
          <w:sz w:val="18"/>
          <w:szCs w:val="18"/>
        </w:rPr>
        <w:t xml:space="preserve">l </w:t>
      </w:r>
      <w:r w:rsidRPr="000B5010">
        <w:rPr>
          <w:sz w:val="18"/>
          <w:szCs w:val="18"/>
        </w:rPr>
        <w:t>Cornell Medical College, New York, USA</w:t>
      </w:r>
    </w:p>
    <w:p w14:paraId="140E02DB" w14:textId="77777777" w:rsidR="00597826" w:rsidRPr="000B5010" w:rsidRDefault="00597826" w:rsidP="00375DCA">
      <w:pPr>
        <w:pStyle w:val="ListParagraph"/>
        <w:numPr>
          <w:ilvl w:val="0"/>
          <w:numId w:val="36"/>
        </w:numPr>
        <w:rPr>
          <w:sz w:val="18"/>
          <w:szCs w:val="18"/>
        </w:rPr>
      </w:pPr>
      <w:r w:rsidRPr="00C771B6">
        <w:rPr>
          <w:sz w:val="18"/>
          <w:szCs w:val="18"/>
        </w:rPr>
        <w:t>Institute of Cardiovascular Sciences, University of Birmingham, Birmingham UK; SWBH and UHB NHS trusts, Birmingham, UK; AFNET, Muenster, Germany</w:t>
      </w:r>
    </w:p>
    <w:p w14:paraId="7890457A" w14:textId="77777777" w:rsidR="00597826" w:rsidRPr="000B5010" w:rsidRDefault="00597826" w:rsidP="00375DCA">
      <w:pPr>
        <w:pStyle w:val="ListParagraph"/>
        <w:numPr>
          <w:ilvl w:val="0"/>
          <w:numId w:val="36"/>
        </w:numPr>
        <w:rPr>
          <w:sz w:val="18"/>
          <w:szCs w:val="18"/>
        </w:rPr>
      </w:pPr>
      <w:r w:rsidRPr="000B5010">
        <w:rPr>
          <w:rFonts w:ascii="Calibri" w:eastAsia="Times New Roman" w:hAnsi="Calibri" w:cs="Times New Roman"/>
          <w:color w:val="000000"/>
          <w:sz w:val="18"/>
          <w:szCs w:val="18"/>
        </w:rPr>
        <w:t>Lankenau Institute for Medical Research, Wynnewood, USA</w:t>
      </w:r>
    </w:p>
    <w:p w14:paraId="51C642D2" w14:textId="77777777" w:rsidR="00597826" w:rsidRPr="000B5010" w:rsidRDefault="00597826" w:rsidP="00375DCA">
      <w:pPr>
        <w:pStyle w:val="ListParagraph"/>
        <w:numPr>
          <w:ilvl w:val="0"/>
          <w:numId w:val="36"/>
        </w:numPr>
        <w:rPr>
          <w:sz w:val="18"/>
          <w:szCs w:val="18"/>
        </w:rPr>
      </w:pPr>
      <w:r w:rsidRPr="000B5010">
        <w:rPr>
          <w:sz w:val="18"/>
          <w:szCs w:val="18"/>
        </w:rPr>
        <w:t>University Hospital of Zurich, Zurich, Switzerland</w:t>
      </w:r>
    </w:p>
    <w:p w14:paraId="3DFE428A" w14:textId="77777777" w:rsidR="00597826" w:rsidRPr="000B5010" w:rsidRDefault="00597826" w:rsidP="00375DCA">
      <w:pPr>
        <w:pStyle w:val="ListParagraph"/>
        <w:numPr>
          <w:ilvl w:val="0"/>
          <w:numId w:val="36"/>
        </w:numPr>
        <w:rPr>
          <w:sz w:val="18"/>
          <w:szCs w:val="18"/>
        </w:rPr>
      </w:pPr>
      <w:r w:rsidRPr="000B5010">
        <w:rPr>
          <w:sz w:val="18"/>
          <w:szCs w:val="18"/>
        </w:rPr>
        <w:t>C</w:t>
      </w:r>
      <w:r>
        <w:rPr>
          <w:sz w:val="18"/>
          <w:szCs w:val="18"/>
        </w:rPr>
        <w:t xml:space="preserve">hinese </w:t>
      </w:r>
      <w:r w:rsidRPr="000B5010">
        <w:rPr>
          <w:sz w:val="18"/>
          <w:szCs w:val="18"/>
        </w:rPr>
        <w:t>U</w:t>
      </w:r>
      <w:r>
        <w:rPr>
          <w:sz w:val="18"/>
          <w:szCs w:val="18"/>
        </w:rPr>
        <w:t xml:space="preserve">niversity of </w:t>
      </w:r>
      <w:r w:rsidRPr="000B5010">
        <w:rPr>
          <w:sz w:val="18"/>
          <w:szCs w:val="18"/>
        </w:rPr>
        <w:t>H</w:t>
      </w:r>
      <w:r>
        <w:rPr>
          <w:sz w:val="18"/>
          <w:szCs w:val="18"/>
        </w:rPr>
        <w:t xml:space="preserve">ong </w:t>
      </w:r>
      <w:r w:rsidRPr="000B5010">
        <w:rPr>
          <w:sz w:val="18"/>
          <w:szCs w:val="18"/>
        </w:rPr>
        <w:t>K</w:t>
      </w:r>
      <w:r>
        <w:rPr>
          <w:sz w:val="18"/>
          <w:szCs w:val="18"/>
        </w:rPr>
        <w:t>ong</w:t>
      </w:r>
      <w:r w:rsidRPr="000B5010">
        <w:rPr>
          <w:sz w:val="18"/>
          <w:szCs w:val="18"/>
        </w:rPr>
        <w:t>, Hong Kong</w:t>
      </w:r>
    </w:p>
    <w:p w14:paraId="5E4B7036" w14:textId="77777777" w:rsidR="00597826" w:rsidRPr="000B5010" w:rsidRDefault="00597826" w:rsidP="00375DCA">
      <w:pPr>
        <w:pStyle w:val="ListParagraph"/>
        <w:numPr>
          <w:ilvl w:val="0"/>
          <w:numId w:val="36"/>
        </w:numPr>
        <w:rPr>
          <w:sz w:val="18"/>
          <w:szCs w:val="18"/>
        </w:rPr>
      </w:pPr>
      <w:r w:rsidRPr="000B5010">
        <w:rPr>
          <w:rFonts w:ascii="Calibri" w:eastAsia="Times New Roman" w:hAnsi="Calibri" w:cs="Times New Roman"/>
          <w:color w:val="000000"/>
          <w:sz w:val="18"/>
          <w:szCs w:val="18"/>
        </w:rPr>
        <w:t>University of Linköping, Linköping, Sweden</w:t>
      </w:r>
    </w:p>
    <w:p w14:paraId="0F1CBDC8" w14:textId="77777777" w:rsidR="00597826" w:rsidRPr="000B5010" w:rsidRDefault="00597826" w:rsidP="00375DCA">
      <w:pPr>
        <w:pStyle w:val="ListParagraph"/>
        <w:numPr>
          <w:ilvl w:val="0"/>
          <w:numId w:val="36"/>
        </w:numPr>
        <w:rPr>
          <w:sz w:val="18"/>
          <w:szCs w:val="18"/>
        </w:rPr>
      </w:pPr>
      <w:r w:rsidRPr="000B5010">
        <w:rPr>
          <w:sz w:val="18"/>
          <w:szCs w:val="18"/>
        </w:rPr>
        <w:t>University of Birmingham, Birmingham, UK</w:t>
      </w:r>
      <w:r>
        <w:rPr>
          <w:sz w:val="18"/>
          <w:szCs w:val="18"/>
        </w:rPr>
        <w:t>; and Aalborg University, Denmark</w:t>
      </w:r>
    </w:p>
    <w:p w14:paraId="5CA9664A" w14:textId="77777777" w:rsidR="00597826" w:rsidRPr="000B5010" w:rsidRDefault="00597826" w:rsidP="00375DCA">
      <w:pPr>
        <w:pStyle w:val="ListParagraph"/>
        <w:numPr>
          <w:ilvl w:val="0"/>
          <w:numId w:val="36"/>
        </w:numPr>
        <w:rPr>
          <w:sz w:val="18"/>
          <w:szCs w:val="18"/>
        </w:rPr>
      </w:pPr>
      <w:r w:rsidRPr="000B5010">
        <w:rPr>
          <w:sz w:val="18"/>
          <w:szCs w:val="18"/>
        </w:rPr>
        <w:t>Arrhythmia Alliance, London, UK</w:t>
      </w:r>
    </w:p>
    <w:p w14:paraId="69C60D68" w14:textId="77777777" w:rsidR="00597826" w:rsidRPr="000B5010" w:rsidRDefault="00597826" w:rsidP="00375DCA">
      <w:pPr>
        <w:pStyle w:val="ListParagraph"/>
        <w:numPr>
          <w:ilvl w:val="0"/>
          <w:numId w:val="36"/>
        </w:numPr>
        <w:rPr>
          <w:sz w:val="18"/>
          <w:szCs w:val="18"/>
        </w:rPr>
      </w:pPr>
      <w:r w:rsidRPr="000B5010">
        <w:rPr>
          <w:sz w:val="18"/>
          <w:szCs w:val="18"/>
        </w:rPr>
        <w:t>Charles Perkins Centre, University of Sydney, Sydney, Australia</w:t>
      </w:r>
    </w:p>
    <w:p w14:paraId="6DFD3787" w14:textId="77777777" w:rsidR="00597826" w:rsidRPr="000B5010" w:rsidRDefault="00597826" w:rsidP="00375DCA">
      <w:pPr>
        <w:pStyle w:val="ListParagraph"/>
        <w:numPr>
          <w:ilvl w:val="0"/>
          <w:numId w:val="36"/>
        </w:numPr>
        <w:rPr>
          <w:sz w:val="18"/>
          <w:szCs w:val="18"/>
        </w:rPr>
      </w:pPr>
      <w:r w:rsidRPr="000B5010">
        <w:rPr>
          <w:rFonts w:ascii="Calibri" w:eastAsia="Times New Roman" w:hAnsi="Calibri" w:cs="Times New Roman"/>
          <w:color w:val="000000"/>
          <w:sz w:val="18"/>
          <w:szCs w:val="18"/>
        </w:rPr>
        <w:t>Cliniques du Sud Luxembourg, Arlon, Belgium</w:t>
      </w:r>
    </w:p>
    <w:p w14:paraId="264833B3" w14:textId="77777777" w:rsidR="00597826" w:rsidRPr="000B5010" w:rsidRDefault="00597826" w:rsidP="00375DCA">
      <w:pPr>
        <w:pStyle w:val="ListParagraph"/>
        <w:numPr>
          <w:ilvl w:val="0"/>
          <w:numId w:val="36"/>
        </w:numPr>
        <w:rPr>
          <w:sz w:val="18"/>
          <w:szCs w:val="18"/>
        </w:rPr>
      </w:pPr>
      <w:r w:rsidRPr="000B5010">
        <w:rPr>
          <w:rFonts w:ascii="Calibri" w:eastAsia="Times New Roman" w:hAnsi="Calibri" w:cs="Times New Roman"/>
          <w:color w:val="000000"/>
          <w:sz w:val="18"/>
          <w:szCs w:val="18"/>
        </w:rPr>
        <w:t>Institute for Epidemiology Statistics and Informatics, Frankfurt, Germany</w:t>
      </w:r>
    </w:p>
    <w:p w14:paraId="3AF42508" w14:textId="77777777" w:rsidR="00597826" w:rsidRPr="000B5010" w:rsidRDefault="00597826" w:rsidP="00375DCA">
      <w:pPr>
        <w:pStyle w:val="ListParagraph"/>
        <w:numPr>
          <w:ilvl w:val="0"/>
          <w:numId w:val="36"/>
        </w:numPr>
        <w:rPr>
          <w:sz w:val="18"/>
          <w:szCs w:val="18"/>
        </w:rPr>
      </w:pPr>
      <w:r>
        <w:rPr>
          <w:sz w:val="18"/>
          <w:szCs w:val="18"/>
        </w:rPr>
        <w:t>Edinburgh Napier University</w:t>
      </w:r>
      <w:r w:rsidRPr="000B5010">
        <w:rPr>
          <w:sz w:val="18"/>
          <w:szCs w:val="18"/>
        </w:rPr>
        <w:t xml:space="preserve">, </w:t>
      </w:r>
      <w:r>
        <w:rPr>
          <w:sz w:val="18"/>
          <w:szCs w:val="18"/>
        </w:rPr>
        <w:t>Edinburgh, UK</w:t>
      </w:r>
    </w:p>
    <w:p w14:paraId="433D76ED" w14:textId="77777777" w:rsidR="00597826" w:rsidRPr="000B5010" w:rsidRDefault="00597826" w:rsidP="00375DCA">
      <w:pPr>
        <w:pStyle w:val="ListParagraph"/>
        <w:numPr>
          <w:ilvl w:val="0"/>
          <w:numId w:val="36"/>
        </w:numPr>
        <w:rPr>
          <w:sz w:val="18"/>
          <w:szCs w:val="18"/>
        </w:rPr>
      </w:pPr>
      <w:r w:rsidRPr="000B5010">
        <w:rPr>
          <w:sz w:val="18"/>
          <w:szCs w:val="18"/>
        </w:rPr>
        <w:t>Charles Perkins Centre, University of Sydney, Sydney, Australia</w:t>
      </w:r>
    </w:p>
    <w:p w14:paraId="280845D4" w14:textId="77777777" w:rsidR="00597826" w:rsidRPr="000B5010" w:rsidRDefault="00597826" w:rsidP="00375DCA">
      <w:pPr>
        <w:pStyle w:val="ListParagraph"/>
        <w:numPr>
          <w:ilvl w:val="0"/>
          <w:numId w:val="36"/>
        </w:numPr>
        <w:rPr>
          <w:sz w:val="18"/>
          <w:szCs w:val="18"/>
        </w:rPr>
      </w:pPr>
      <w:r w:rsidRPr="000B5010">
        <w:rPr>
          <w:sz w:val="18"/>
          <w:szCs w:val="18"/>
        </w:rPr>
        <w:t>Duke University, Durham, USA</w:t>
      </w:r>
    </w:p>
    <w:p w14:paraId="606BA6C9" w14:textId="77777777" w:rsidR="00597826" w:rsidRPr="000B5010" w:rsidRDefault="00597826" w:rsidP="00375DCA">
      <w:pPr>
        <w:pStyle w:val="ListParagraph"/>
        <w:numPr>
          <w:ilvl w:val="0"/>
          <w:numId w:val="36"/>
        </w:numPr>
        <w:rPr>
          <w:sz w:val="18"/>
          <w:szCs w:val="18"/>
        </w:rPr>
      </w:pPr>
      <w:r w:rsidRPr="000B5010">
        <w:rPr>
          <w:sz w:val="18"/>
          <w:szCs w:val="18"/>
        </w:rPr>
        <w:t>University of Auckland, Auckland, New Zealand</w:t>
      </w:r>
    </w:p>
    <w:p w14:paraId="1CEA65E2" w14:textId="77777777" w:rsidR="00597826" w:rsidRPr="000B5010" w:rsidRDefault="00597826" w:rsidP="00375DCA">
      <w:pPr>
        <w:pStyle w:val="ListParagraph"/>
        <w:numPr>
          <w:ilvl w:val="0"/>
          <w:numId w:val="36"/>
        </w:numPr>
        <w:rPr>
          <w:sz w:val="18"/>
          <w:szCs w:val="18"/>
        </w:rPr>
      </w:pPr>
      <w:r w:rsidRPr="000B5010">
        <w:rPr>
          <w:sz w:val="18"/>
          <w:szCs w:val="18"/>
        </w:rPr>
        <w:t>University of Belgrade, Belgrade, Serbia</w:t>
      </w:r>
    </w:p>
    <w:p w14:paraId="6753420D" w14:textId="77777777" w:rsidR="00597826" w:rsidRPr="000B5010" w:rsidRDefault="00597826" w:rsidP="00375DCA">
      <w:pPr>
        <w:pStyle w:val="ListParagraph"/>
        <w:numPr>
          <w:ilvl w:val="0"/>
          <w:numId w:val="36"/>
        </w:numPr>
        <w:rPr>
          <w:sz w:val="18"/>
          <w:szCs w:val="18"/>
        </w:rPr>
      </w:pPr>
      <w:r w:rsidRPr="00C771B6">
        <w:rPr>
          <w:sz w:val="18"/>
          <w:szCs w:val="18"/>
        </w:rPr>
        <w:t>KH der Elisabethinen, Ordensklinikum Linz, Austria</w:t>
      </w:r>
    </w:p>
    <w:p w14:paraId="0019DA59" w14:textId="474BBCD7" w:rsidR="00597826" w:rsidRPr="000B5010" w:rsidRDefault="00597826" w:rsidP="00375DCA">
      <w:pPr>
        <w:pStyle w:val="ListParagraph"/>
        <w:numPr>
          <w:ilvl w:val="0"/>
          <w:numId w:val="36"/>
        </w:numPr>
        <w:rPr>
          <w:sz w:val="18"/>
          <w:szCs w:val="18"/>
        </w:rPr>
      </w:pPr>
      <w:r w:rsidRPr="000B5010">
        <w:rPr>
          <w:rFonts w:ascii="Calibri" w:eastAsia="Times New Roman" w:hAnsi="Calibri" w:cs="Times New Roman"/>
          <w:color w:val="000000"/>
          <w:sz w:val="18"/>
          <w:szCs w:val="18"/>
        </w:rPr>
        <w:t xml:space="preserve">University of Groningen, </w:t>
      </w:r>
      <w:r w:rsidR="00AA3820">
        <w:rPr>
          <w:rFonts w:ascii="Calibri" w:eastAsia="Times New Roman" w:hAnsi="Calibri" w:cs="Times New Roman"/>
          <w:color w:val="000000"/>
          <w:sz w:val="18"/>
          <w:szCs w:val="18"/>
        </w:rPr>
        <w:t xml:space="preserve">University Medical Centre </w:t>
      </w:r>
      <w:r w:rsidRPr="000B5010">
        <w:rPr>
          <w:rFonts w:ascii="Calibri" w:eastAsia="Times New Roman" w:hAnsi="Calibri" w:cs="Times New Roman"/>
          <w:color w:val="000000"/>
          <w:sz w:val="18"/>
          <w:szCs w:val="18"/>
        </w:rPr>
        <w:t xml:space="preserve">Groningen, </w:t>
      </w:r>
      <w:r w:rsidR="00AA3820" w:rsidRPr="000B5010">
        <w:rPr>
          <w:rFonts w:ascii="Calibri" w:eastAsia="Times New Roman" w:hAnsi="Calibri" w:cs="Times New Roman"/>
          <w:color w:val="000000"/>
          <w:sz w:val="18"/>
          <w:szCs w:val="18"/>
        </w:rPr>
        <w:t>Groningen</w:t>
      </w:r>
      <w:r w:rsidR="00AA3820">
        <w:rPr>
          <w:rFonts w:ascii="Calibri" w:eastAsia="Times New Roman" w:hAnsi="Calibri" w:cs="Times New Roman"/>
          <w:color w:val="000000"/>
          <w:sz w:val="18"/>
          <w:szCs w:val="18"/>
        </w:rPr>
        <w:t>,</w:t>
      </w:r>
      <w:r w:rsidR="00AA3820" w:rsidRPr="000B5010">
        <w:rPr>
          <w:rFonts w:ascii="Calibri" w:eastAsia="Times New Roman" w:hAnsi="Calibri" w:cs="Times New Roman"/>
          <w:color w:val="000000"/>
          <w:sz w:val="18"/>
          <w:szCs w:val="18"/>
        </w:rPr>
        <w:t xml:space="preserve"> </w:t>
      </w:r>
      <w:r w:rsidRPr="000B5010">
        <w:rPr>
          <w:rFonts w:ascii="Calibri" w:eastAsia="Times New Roman" w:hAnsi="Calibri" w:cs="Times New Roman"/>
          <w:color w:val="000000"/>
          <w:sz w:val="18"/>
          <w:szCs w:val="18"/>
        </w:rPr>
        <w:t>the Netherlands</w:t>
      </w:r>
    </w:p>
    <w:p w14:paraId="7ADA31D7" w14:textId="77777777" w:rsidR="00597826" w:rsidRPr="000B5010" w:rsidRDefault="00597826" w:rsidP="00375DCA">
      <w:pPr>
        <w:pStyle w:val="ListParagraph"/>
        <w:numPr>
          <w:ilvl w:val="0"/>
          <w:numId w:val="36"/>
        </w:numPr>
        <w:rPr>
          <w:sz w:val="18"/>
          <w:szCs w:val="18"/>
        </w:rPr>
      </w:pPr>
      <w:r w:rsidRPr="000B5010">
        <w:rPr>
          <w:sz w:val="18"/>
          <w:szCs w:val="18"/>
        </w:rPr>
        <w:t>University of Alberta, Edmonton, Canada</w:t>
      </w:r>
    </w:p>
    <w:p w14:paraId="1FB6F713" w14:textId="77777777" w:rsidR="00597826" w:rsidRPr="000B5010" w:rsidRDefault="00597826" w:rsidP="00375DCA">
      <w:pPr>
        <w:pStyle w:val="ListParagraph"/>
        <w:numPr>
          <w:ilvl w:val="0"/>
          <w:numId w:val="36"/>
        </w:numPr>
        <w:rPr>
          <w:sz w:val="18"/>
          <w:szCs w:val="18"/>
        </w:rPr>
      </w:pPr>
      <w:r w:rsidRPr="000B5010">
        <w:rPr>
          <w:sz w:val="18"/>
          <w:szCs w:val="18"/>
        </w:rPr>
        <w:t>University Heart Centre, Hamburg, Germany</w:t>
      </w:r>
    </w:p>
    <w:p w14:paraId="49315FA8" w14:textId="77777777" w:rsidR="00597826" w:rsidRPr="000B5010" w:rsidRDefault="00597826" w:rsidP="00375DCA">
      <w:pPr>
        <w:pStyle w:val="ListParagraph"/>
        <w:numPr>
          <w:ilvl w:val="0"/>
          <w:numId w:val="36"/>
        </w:numPr>
        <w:rPr>
          <w:sz w:val="18"/>
          <w:szCs w:val="18"/>
        </w:rPr>
      </w:pPr>
      <w:r>
        <w:rPr>
          <w:sz w:val="18"/>
          <w:szCs w:val="18"/>
        </w:rPr>
        <w:t xml:space="preserve">The University of </w:t>
      </w:r>
      <w:r w:rsidRPr="000B5010">
        <w:rPr>
          <w:sz w:val="18"/>
          <w:szCs w:val="18"/>
        </w:rPr>
        <w:t>H</w:t>
      </w:r>
      <w:r>
        <w:rPr>
          <w:sz w:val="18"/>
          <w:szCs w:val="18"/>
        </w:rPr>
        <w:t xml:space="preserve">ong </w:t>
      </w:r>
      <w:r w:rsidRPr="000B5010">
        <w:rPr>
          <w:sz w:val="18"/>
          <w:szCs w:val="18"/>
        </w:rPr>
        <w:t>K</w:t>
      </w:r>
      <w:r>
        <w:rPr>
          <w:sz w:val="18"/>
          <w:szCs w:val="18"/>
        </w:rPr>
        <w:t>ong</w:t>
      </w:r>
      <w:r w:rsidRPr="000B5010">
        <w:rPr>
          <w:sz w:val="18"/>
          <w:szCs w:val="18"/>
        </w:rPr>
        <w:t>, Hong Kong</w:t>
      </w:r>
    </w:p>
    <w:p w14:paraId="062F7C03" w14:textId="77777777" w:rsidR="00597826" w:rsidRPr="000B5010" w:rsidRDefault="00597826" w:rsidP="00375DCA">
      <w:pPr>
        <w:pStyle w:val="ListParagraph"/>
        <w:numPr>
          <w:ilvl w:val="0"/>
          <w:numId w:val="36"/>
        </w:numPr>
        <w:rPr>
          <w:sz w:val="18"/>
          <w:szCs w:val="18"/>
        </w:rPr>
      </w:pPr>
      <w:r w:rsidRPr="000B5010">
        <w:rPr>
          <w:sz w:val="18"/>
          <w:szCs w:val="18"/>
        </w:rPr>
        <w:t>Scripps Translational Science Institute, San Diego, USA</w:t>
      </w:r>
    </w:p>
    <w:p w14:paraId="66B5399B" w14:textId="77777777" w:rsidR="00597826" w:rsidRPr="000B5010" w:rsidRDefault="00597826" w:rsidP="00375DCA">
      <w:pPr>
        <w:pStyle w:val="ListParagraph"/>
        <w:numPr>
          <w:ilvl w:val="0"/>
          <w:numId w:val="36"/>
        </w:numPr>
        <w:rPr>
          <w:sz w:val="18"/>
          <w:szCs w:val="18"/>
        </w:rPr>
      </w:pPr>
      <w:r>
        <w:rPr>
          <w:sz w:val="18"/>
          <w:szCs w:val="18"/>
        </w:rPr>
        <w:t>Rigshospitalet, The Heart Centre, University of Copenhagen, Copenhagen, Denmark.</w:t>
      </w:r>
    </w:p>
    <w:p w14:paraId="516FEA31" w14:textId="77777777" w:rsidR="00597826" w:rsidRPr="000B5010" w:rsidRDefault="00597826" w:rsidP="00375DCA">
      <w:pPr>
        <w:pStyle w:val="ListParagraph"/>
        <w:numPr>
          <w:ilvl w:val="0"/>
          <w:numId w:val="36"/>
        </w:numPr>
        <w:rPr>
          <w:sz w:val="18"/>
          <w:szCs w:val="18"/>
        </w:rPr>
      </w:pPr>
      <w:r w:rsidRPr="000B5010">
        <w:rPr>
          <w:sz w:val="18"/>
          <w:szCs w:val="18"/>
        </w:rPr>
        <w:t>Karolinska Institute, Stockholm, Sweden</w:t>
      </w:r>
    </w:p>
    <w:p w14:paraId="4D782F71" w14:textId="77777777" w:rsidR="00597826" w:rsidRPr="000B5010" w:rsidRDefault="00597826" w:rsidP="00375DCA">
      <w:pPr>
        <w:pStyle w:val="ListParagraph"/>
        <w:numPr>
          <w:ilvl w:val="0"/>
          <w:numId w:val="36"/>
        </w:numPr>
        <w:rPr>
          <w:sz w:val="18"/>
          <w:szCs w:val="18"/>
        </w:rPr>
      </w:pPr>
      <w:r w:rsidRPr="000B5010">
        <w:rPr>
          <w:rFonts w:ascii="Calibri" w:eastAsia="Times New Roman" w:hAnsi="Calibri" w:cs="Times New Roman"/>
          <w:color w:val="000000"/>
          <w:sz w:val="18"/>
          <w:szCs w:val="18"/>
        </w:rPr>
        <w:t>Ospedale dell’Angelo Venice-Mestre, Venice, Italy</w:t>
      </w:r>
    </w:p>
    <w:p w14:paraId="16C0F37F" w14:textId="77777777" w:rsidR="00597826" w:rsidRPr="000B5010" w:rsidRDefault="00597826" w:rsidP="00375DCA">
      <w:pPr>
        <w:pStyle w:val="ListParagraph"/>
        <w:numPr>
          <w:ilvl w:val="0"/>
          <w:numId w:val="36"/>
        </w:numPr>
        <w:rPr>
          <w:sz w:val="18"/>
          <w:szCs w:val="18"/>
        </w:rPr>
      </w:pPr>
      <w:r w:rsidRPr="000B5010">
        <w:rPr>
          <w:sz w:val="18"/>
          <w:szCs w:val="18"/>
        </w:rPr>
        <w:t>Martini Hospital, Groningen, the Netherlands</w:t>
      </w:r>
    </w:p>
    <w:p w14:paraId="034A02C4" w14:textId="77777777" w:rsidR="00597826" w:rsidRPr="000B5010" w:rsidRDefault="00597826" w:rsidP="00375DCA">
      <w:pPr>
        <w:pStyle w:val="ListParagraph"/>
        <w:numPr>
          <w:ilvl w:val="0"/>
          <w:numId w:val="36"/>
        </w:numPr>
        <w:rPr>
          <w:sz w:val="18"/>
          <w:szCs w:val="18"/>
        </w:rPr>
      </w:pPr>
      <w:r w:rsidRPr="00C771B6">
        <w:rPr>
          <w:sz w:val="18"/>
          <w:szCs w:val="18"/>
        </w:rPr>
        <w:t>Stanford University, Stanford CA and VA Palo Alto Health Care System, Palo Alto, CA, USA</w:t>
      </w:r>
    </w:p>
    <w:p w14:paraId="4958D273" w14:textId="77777777" w:rsidR="00597826" w:rsidRPr="000B5010" w:rsidRDefault="00597826" w:rsidP="00375DCA">
      <w:pPr>
        <w:pStyle w:val="ListParagraph"/>
        <w:numPr>
          <w:ilvl w:val="0"/>
          <w:numId w:val="36"/>
        </w:numPr>
        <w:rPr>
          <w:sz w:val="18"/>
          <w:szCs w:val="18"/>
        </w:rPr>
      </w:pPr>
      <w:r w:rsidRPr="000B5010">
        <w:rPr>
          <w:rFonts w:ascii="Calibri" w:eastAsia="Times New Roman" w:hAnsi="Calibri" w:cs="Times New Roman"/>
          <w:color w:val="000000"/>
          <w:sz w:val="18"/>
          <w:szCs w:val="18"/>
        </w:rPr>
        <w:t>The Department of Medical Research, Bærum Hospital, Rud, Norway</w:t>
      </w:r>
    </w:p>
    <w:p w14:paraId="6F8E56ED" w14:textId="77777777" w:rsidR="00597826" w:rsidRPr="000B5010" w:rsidRDefault="00597826" w:rsidP="00375DCA">
      <w:pPr>
        <w:pStyle w:val="ListParagraph"/>
        <w:numPr>
          <w:ilvl w:val="0"/>
          <w:numId w:val="36"/>
        </w:numPr>
        <w:rPr>
          <w:sz w:val="18"/>
          <w:szCs w:val="18"/>
        </w:rPr>
      </w:pPr>
      <w:r w:rsidRPr="000B5010">
        <w:rPr>
          <w:rFonts w:ascii="Calibri" w:eastAsia="Times New Roman" w:hAnsi="Calibri" w:cs="Times New Roman"/>
          <w:color w:val="000000"/>
          <w:sz w:val="18"/>
          <w:szCs w:val="18"/>
        </w:rPr>
        <w:t xml:space="preserve">Department of General Practice, </w:t>
      </w:r>
      <w:r>
        <w:rPr>
          <w:rFonts w:ascii="Calibri" w:eastAsia="Times New Roman" w:hAnsi="Calibri" w:cs="Times New Roman"/>
          <w:color w:val="000000"/>
          <w:sz w:val="18"/>
          <w:szCs w:val="18"/>
        </w:rPr>
        <w:t>Academic</w:t>
      </w:r>
      <w:r w:rsidRPr="000B5010">
        <w:rPr>
          <w:rFonts w:ascii="Calibri" w:eastAsia="Times New Roman" w:hAnsi="Calibri" w:cs="Times New Roman"/>
          <w:color w:val="000000"/>
          <w:sz w:val="18"/>
          <w:szCs w:val="18"/>
        </w:rPr>
        <w:t xml:space="preserve"> Medical Center, Amsterdam, the Netherlands</w:t>
      </w:r>
    </w:p>
    <w:p w14:paraId="42A9A813" w14:textId="4FF36270" w:rsidR="00597826" w:rsidRPr="000B5010" w:rsidRDefault="0097564C" w:rsidP="00375DCA">
      <w:pPr>
        <w:pStyle w:val="ListParagraph"/>
        <w:numPr>
          <w:ilvl w:val="0"/>
          <w:numId w:val="36"/>
        </w:numPr>
        <w:rPr>
          <w:sz w:val="18"/>
          <w:szCs w:val="18"/>
        </w:rPr>
      </w:pPr>
      <w:r w:rsidRPr="000B5010">
        <w:rPr>
          <w:rFonts w:ascii="Calibri" w:eastAsia="Times New Roman" w:hAnsi="Calibri" w:cs="Times New Roman"/>
          <w:color w:val="000000"/>
          <w:sz w:val="18"/>
          <w:szCs w:val="18"/>
        </w:rPr>
        <w:t xml:space="preserve">University of Groningen, </w:t>
      </w:r>
      <w:r>
        <w:rPr>
          <w:rFonts w:ascii="Calibri" w:eastAsia="Times New Roman" w:hAnsi="Calibri" w:cs="Times New Roman"/>
          <w:color w:val="000000"/>
          <w:sz w:val="18"/>
          <w:szCs w:val="18"/>
        </w:rPr>
        <w:t xml:space="preserve">University Medical Centre </w:t>
      </w:r>
      <w:r w:rsidRPr="000B5010">
        <w:rPr>
          <w:rFonts w:ascii="Calibri" w:eastAsia="Times New Roman" w:hAnsi="Calibri" w:cs="Times New Roman"/>
          <w:color w:val="000000"/>
          <w:sz w:val="18"/>
          <w:szCs w:val="18"/>
        </w:rPr>
        <w:t xml:space="preserve">Groningen, </w:t>
      </w:r>
      <w:r w:rsidR="00597826" w:rsidRPr="000B5010">
        <w:rPr>
          <w:sz w:val="18"/>
          <w:szCs w:val="18"/>
        </w:rPr>
        <w:t>Groningen, the Netherlands</w:t>
      </w:r>
    </w:p>
    <w:p w14:paraId="01A1C2FD" w14:textId="77777777" w:rsidR="00597826" w:rsidRPr="000B5010" w:rsidRDefault="00597826" w:rsidP="00375DCA">
      <w:pPr>
        <w:pStyle w:val="ListParagraph"/>
        <w:numPr>
          <w:ilvl w:val="0"/>
          <w:numId w:val="36"/>
        </w:numPr>
        <w:rPr>
          <w:sz w:val="18"/>
          <w:szCs w:val="18"/>
        </w:rPr>
      </w:pPr>
      <w:r w:rsidRPr="000B5010">
        <w:rPr>
          <w:sz w:val="18"/>
          <w:szCs w:val="18"/>
        </w:rPr>
        <w:t>University of Toronto, Toronto, Canada</w:t>
      </w:r>
    </w:p>
    <w:p w14:paraId="35C20E78" w14:textId="77777777" w:rsidR="00597826" w:rsidRPr="000B5010" w:rsidRDefault="00597826" w:rsidP="00375DCA">
      <w:pPr>
        <w:pStyle w:val="ListParagraph"/>
        <w:numPr>
          <w:ilvl w:val="0"/>
          <w:numId w:val="36"/>
        </w:numPr>
        <w:rPr>
          <w:sz w:val="18"/>
          <w:szCs w:val="18"/>
        </w:rPr>
      </w:pPr>
      <w:r w:rsidRPr="000B5010">
        <w:rPr>
          <w:rFonts w:ascii="Calibri" w:eastAsia="Times New Roman" w:hAnsi="Calibri" w:cs="Times New Roman"/>
          <w:color w:val="000000"/>
          <w:sz w:val="18"/>
          <w:szCs w:val="18"/>
        </w:rPr>
        <w:t>University of Göttingen, Göttingen, Germany</w:t>
      </w:r>
    </w:p>
    <w:p w14:paraId="70B1F206" w14:textId="77777777" w:rsidR="00597826" w:rsidRPr="004255E3" w:rsidRDefault="00597826" w:rsidP="00375DCA">
      <w:pPr>
        <w:pStyle w:val="ListParagraph"/>
        <w:numPr>
          <w:ilvl w:val="0"/>
          <w:numId w:val="36"/>
        </w:numPr>
        <w:rPr>
          <w:sz w:val="18"/>
          <w:szCs w:val="18"/>
        </w:rPr>
      </w:pPr>
      <w:r w:rsidRPr="000B5010">
        <w:rPr>
          <w:sz w:val="18"/>
          <w:szCs w:val="18"/>
        </w:rPr>
        <w:t>C</w:t>
      </w:r>
      <w:r>
        <w:rPr>
          <w:sz w:val="18"/>
          <w:szCs w:val="18"/>
        </w:rPr>
        <w:t xml:space="preserve">hinese </w:t>
      </w:r>
      <w:r w:rsidRPr="000B5010">
        <w:rPr>
          <w:sz w:val="18"/>
          <w:szCs w:val="18"/>
        </w:rPr>
        <w:t>U</w:t>
      </w:r>
      <w:r>
        <w:rPr>
          <w:sz w:val="18"/>
          <w:szCs w:val="18"/>
        </w:rPr>
        <w:t xml:space="preserve">niversity of </w:t>
      </w:r>
      <w:r w:rsidRPr="000B5010">
        <w:rPr>
          <w:sz w:val="18"/>
          <w:szCs w:val="18"/>
        </w:rPr>
        <w:t>H</w:t>
      </w:r>
      <w:r>
        <w:rPr>
          <w:sz w:val="18"/>
          <w:szCs w:val="18"/>
        </w:rPr>
        <w:t xml:space="preserve">ong </w:t>
      </w:r>
      <w:r w:rsidRPr="000B5010">
        <w:rPr>
          <w:sz w:val="18"/>
          <w:szCs w:val="18"/>
        </w:rPr>
        <w:t>K</w:t>
      </w:r>
      <w:r>
        <w:rPr>
          <w:sz w:val="18"/>
          <w:szCs w:val="18"/>
        </w:rPr>
        <w:t>ong</w:t>
      </w:r>
      <w:r w:rsidRPr="000B5010">
        <w:rPr>
          <w:sz w:val="18"/>
          <w:szCs w:val="18"/>
        </w:rPr>
        <w:t>, Hong Kong</w:t>
      </w:r>
    </w:p>
    <w:p w14:paraId="759ED314" w14:textId="77777777" w:rsidR="00597826" w:rsidRPr="004255E3" w:rsidRDefault="00597826" w:rsidP="00375DCA">
      <w:pPr>
        <w:spacing w:line="240" w:lineRule="auto"/>
        <w:ind w:left="357"/>
        <w:rPr>
          <w:sz w:val="24"/>
          <w:szCs w:val="24"/>
        </w:rPr>
      </w:pPr>
      <w:r w:rsidRPr="004E08E7">
        <w:rPr>
          <w:b/>
          <w:sz w:val="24"/>
          <w:szCs w:val="24"/>
        </w:rPr>
        <w:t>* Corresponding author</w:t>
      </w:r>
      <w:r w:rsidRPr="002754BA">
        <w:rPr>
          <w:sz w:val="24"/>
          <w:szCs w:val="24"/>
        </w:rPr>
        <w:t xml:space="preserve"> </w:t>
      </w:r>
      <w:r>
        <w:rPr>
          <w:sz w:val="24"/>
          <w:szCs w:val="24"/>
        </w:rPr>
        <w:t xml:space="preserve">  </w:t>
      </w:r>
      <w:r>
        <w:rPr>
          <w:rFonts w:ascii="Calibri" w:hAnsi="Calibri"/>
          <w:sz w:val="24"/>
          <w:szCs w:val="24"/>
        </w:rPr>
        <w:t>‡ AF-SCREEN International Collaboration Steering Committee</w:t>
      </w:r>
    </w:p>
    <w:p w14:paraId="69148CB1" w14:textId="77777777" w:rsidR="00597826" w:rsidRDefault="00597826" w:rsidP="00375DCA">
      <w:pPr>
        <w:pStyle w:val="NoSpacing"/>
      </w:pPr>
      <w:r w:rsidRPr="001862E3">
        <w:rPr>
          <w:b/>
        </w:rPr>
        <w:t>Address for correspondence:</w:t>
      </w:r>
      <w:r>
        <w:t xml:space="preserve"> </w:t>
      </w:r>
    </w:p>
    <w:p w14:paraId="546647D4" w14:textId="77777777" w:rsidR="00597826" w:rsidRDefault="00597826" w:rsidP="00375DCA">
      <w:pPr>
        <w:pStyle w:val="NoSpacing"/>
      </w:pPr>
      <w:r>
        <w:t>Professor Ben Freedman</w:t>
      </w:r>
    </w:p>
    <w:p w14:paraId="72DE6E93" w14:textId="77777777" w:rsidR="00597826" w:rsidRDefault="00597826" w:rsidP="00375DCA">
      <w:pPr>
        <w:pStyle w:val="NoSpacing"/>
      </w:pPr>
      <w:r>
        <w:t>Heart Research Institute, Charles Perkins Centre, Building D17, Level 3, Room 3114</w:t>
      </w:r>
    </w:p>
    <w:p w14:paraId="5A44E015" w14:textId="77777777" w:rsidR="00597826" w:rsidRDefault="00597826" w:rsidP="00375DCA">
      <w:pPr>
        <w:pStyle w:val="NoSpacing"/>
      </w:pPr>
      <w:r>
        <w:t xml:space="preserve">The </w:t>
      </w:r>
      <w:r w:rsidRPr="00CA7335">
        <w:t>University of Sydney</w:t>
      </w:r>
      <w:r>
        <w:t>, NSW 2006,  Australia</w:t>
      </w:r>
    </w:p>
    <w:p w14:paraId="1F556803" w14:textId="77777777" w:rsidR="00597826" w:rsidRDefault="00597826" w:rsidP="00375DCA">
      <w:pPr>
        <w:pStyle w:val="NoSpacing"/>
      </w:pPr>
      <w:r>
        <w:t xml:space="preserve">Email: </w:t>
      </w:r>
      <w:hyperlink r:id="rId7" w:history="1">
        <w:r w:rsidRPr="00A962E8">
          <w:rPr>
            <w:rStyle w:val="Hyperlink"/>
          </w:rPr>
          <w:t>ben.freedman@sydney.edu.au</w:t>
        </w:r>
      </w:hyperlink>
      <w:r>
        <w:t xml:space="preserve"> </w:t>
      </w:r>
    </w:p>
    <w:p w14:paraId="2A840186" w14:textId="77777777" w:rsidR="00597826" w:rsidRDefault="00597826">
      <w:pPr>
        <w:rPr>
          <w:rFonts w:asciiTheme="majorHAnsi" w:eastAsiaTheme="majorEastAsia" w:hAnsiTheme="majorHAnsi" w:cstheme="majorBidi"/>
          <w:b/>
          <w:bCs/>
          <w:color w:val="000000" w:themeColor="text1"/>
          <w:sz w:val="24"/>
          <w:szCs w:val="24"/>
        </w:rPr>
      </w:pPr>
      <w:r>
        <w:rPr>
          <w:color w:val="000000" w:themeColor="text1"/>
          <w:sz w:val="24"/>
          <w:szCs w:val="24"/>
        </w:rPr>
        <w:br w:type="page"/>
      </w:r>
    </w:p>
    <w:p w14:paraId="253B41A1" w14:textId="77777777" w:rsidR="00597826" w:rsidRPr="007C4030" w:rsidRDefault="00597826" w:rsidP="00375DCA">
      <w:pPr>
        <w:pStyle w:val="Heading1"/>
        <w:rPr>
          <w:rFonts w:asciiTheme="minorHAnsi" w:hAnsiTheme="minorHAnsi"/>
          <w:color w:val="000000" w:themeColor="text1"/>
          <w:sz w:val="24"/>
          <w:szCs w:val="24"/>
        </w:rPr>
      </w:pPr>
      <w:r w:rsidRPr="007C4030">
        <w:rPr>
          <w:rFonts w:asciiTheme="minorHAnsi" w:hAnsiTheme="minorHAnsi"/>
          <w:color w:val="000000" w:themeColor="text1"/>
          <w:sz w:val="24"/>
          <w:szCs w:val="24"/>
        </w:rPr>
        <w:lastRenderedPageBreak/>
        <w:t>Abstract</w:t>
      </w:r>
    </w:p>
    <w:p w14:paraId="448A2364" w14:textId="77777777" w:rsidR="007C4030" w:rsidRDefault="007C4030" w:rsidP="00375DCA"/>
    <w:p w14:paraId="6D51900F" w14:textId="77777777" w:rsidR="00597826" w:rsidRPr="002038AA" w:rsidRDefault="00597826" w:rsidP="00375DCA">
      <w:r>
        <w:t>Approximately 10% of ischemic strokes are associated with atrial fibrillation (AF) first diagnosed at the time of stroke. Detecting asymptomatic AF would provide an opportunity to prevent these strokes by instituting appropriate anticoagulation. The AF-SCREEN international collaboration was formed in September 2015, to</w:t>
      </w:r>
      <w:r w:rsidRPr="004D04BF">
        <w:t xml:space="preserve"> promote discussion and research about </w:t>
      </w:r>
      <w:r>
        <w:t xml:space="preserve">AF </w:t>
      </w:r>
      <w:r w:rsidRPr="004D04BF">
        <w:t>screening as a strategy to reduce stroke and death, and to provide advocacy for implementation of country-specific AF screening programs.</w:t>
      </w:r>
      <w:r>
        <w:t xml:space="preserve"> During 2016, 60 expert members of AF-SCREEN, including physicians, nurses, allied health professionals, health economists, and patient advocates were invited to prepare sections of a draft document. In August 2016, 51 members met in Rome to discuss the draft </w:t>
      </w:r>
      <w:r w:rsidRPr="00F742E9">
        <w:t>document</w:t>
      </w:r>
      <w:r>
        <w:t>,</w:t>
      </w:r>
      <w:r w:rsidRPr="00F742E9">
        <w:t xml:space="preserve"> and </w:t>
      </w:r>
      <w:r>
        <w:t>consider the key points</w:t>
      </w:r>
      <w:r w:rsidRPr="00F742E9">
        <w:t xml:space="preserve"> arising from </w:t>
      </w:r>
      <w:r>
        <w:t>it using a Delphi process</w:t>
      </w:r>
      <w:r w:rsidRPr="00F742E9">
        <w:t xml:space="preserve">. </w:t>
      </w:r>
      <w:r>
        <w:t>These key points emphasize that screen-detected AF found at a single-timepoint or by intermittent ECG recordings over 2 weeks is not a benign condition, and with additional stroke factors, carries sufficient risk of stroke to justify consideration of anticoagulation. With regard to the methods of mass screening, ha</w:t>
      </w:r>
      <w:r w:rsidRPr="008A70E5">
        <w:t xml:space="preserve">ndheld ECG devices have the advantage of providing a verifiable ECG trace </w:t>
      </w:r>
      <w:r>
        <w:t xml:space="preserve">which guidelines require for AF diagnosis </w:t>
      </w:r>
      <w:r w:rsidRPr="008A70E5">
        <w:t>and</w:t>
      </w:r>
      <w:r>
        <w:t xml:space="preserve"> would</w:t>
      </w:r>
      <w:r w:rsidRPr="008A70E5">
        <w:t xml:space="preserve"> </w:t>
      </w:r>
      <w:r>
        <w:t>therefore</w:t>
      </w:r>
      <w:r w:rsidRPr="008A70E5">
        <w:t xml:space="preserve"> </w:t>
      </w:r>
      <w:r>
        <w:t>be preferred as screening tools</w:t>
      </w:r>
      <w:r w:rsidRPr="008A70E5">
        <w:t xml:space="preserve">. </w:t>
      </w:r>
      <w:r>
        <w:t xml:space="preserve">Certain patient groups such as those with recent embolic stroke of uncertain source (ESUS) require more intensive monitoring for AF. Settings for screening include various venues both in the community and the clinic, but </w:t>
      </w:r>
      <w:r w:rsidRPr="00790FC0">
        <w:rPr>
          <w:rFonts w:ascii="Calibri" w:hAnsi="Calibri" w:cs="Times New Roman"/>
          <w:lang w:eastAsia="en-GB"/>
        </w:rPr>
        <w:t>must be linked to a pathway for appropriate diagnosis and management</w:t>
      </w:r>
      <w:r>
        <w:rPr>
          <w:rFonts w:ascii="Calibri" w:hAnsi="Calibri" w:cs="Times New Roman"/>
          <w:lang w:eastAsia="en-GB"/>
        </w:rPr>
        <w:t xml:space="preserve"> for screening to be effective. </w:t>
      </w:r>
      <w:r>
        <w:t>I</w:t>
      </w:r>
      <w:r w:rsidRPr="008A70E5">
        <w:t xml:space="preserve">t is recognized </w:t>
      </w:r>
      <w:r>
        <w:t>that health resources vary widely between countries and health systems, so</w:t>
      </w:r>
      <w:r w:rsidRPr="008A70E5">
        <w:t xml:space="preserve"> the setting </w:t>
      </w:r>
      <w:r>
        <w:t xml:space="preserve">for AF screening </w:t>
      </w:r>
      <w:r w:rsidRPr="008A70E5">
        <w:t xml:space="preserve">should be </w:t>
      </w:r>
      <w:r>
        <w:t xml:space="preserve">both </w:t>
      </w:r>
      <w:r w:rsidRPr="008A70E5">
        <w:t>country</w:t>
      </w:r>
      <w:r>
        <w:t xml:space="preserve">- and health–system </w:t>
      </w:r>
      <w:r w:rsidRPr="008A70E5">
        <w:t>specific.</w:t>
      </w:r>
      <w:r w:rsidRPr="00106240">
        <w:t xml:space="preserve"> Based on </w:t>
      </w:r>
      <w:r w:rsidRPr="00F12552">
        <w:t xml:space="preserve">current </w:t>
      </w:r>
      <w:r>
        <w:t xml:space="preserve">knowledge, this white paper provides a strong case for AF screening now, while recognizing that large randomized outcomes studies would be helpful to strengthen the evidence base. </w:t>
      </w:r>
    </w:p>
    <w:p w14:paraId="6D106FBB" w14:textId="77777777" w:rsidR="00597826" w:rsidRDefault="00597826">
      <w:pPr>
        <w:rPr>
          <w:rFonts w:asciiTheme="majorHAnsi" w:eastAsiaTheme="majorEastAsia" w:hAnsiTheme="majorHAnsi" w:cstheme="majorBidi"/>
          <w:b/>
          <w:bCs/>
          <w:color w:val="000000" w:themeColor="text1"/>
          <w:sz w:val="24"/>
          <w:szCs w:val="24"/>
        </w:rPr>
      </w:pPr>
      <w:r>
        <w:rPr>
          <w:color w:val="000000" w:themeColor="text1"/>
          <w:sz w:val="24"/>
          <w:szCs w:val="24"/>
        </w:rPr>
        <w:br w:type="page"/>
      </w:r>
    </w:p>
    <w:p w14:paraId="2A9B4282" w14:textId="77777777" w:rsidR="00597826" w:rsidRPr="007C4030" w:rsidRDefault="00597826" w:rsidP="00375DCA">
      <w:pPr>
        <w:pStyle w:val="Heading1"/>
        <w:rPr>
          <w:rFonts w:asciiTheme="minorHAnsi" w:hAnsiTheme="minorHAnsi"/>
          <w:color w:val="000000" w:themeColor="text1"/>
          <w:sz w:val="24"/>
          <w:szCs w:val="24"/>
        </w:rPr>
      </w:pPr>
      <w:r w:rsidRPr="007C4030">
        <w:rPr>
          <w:rFonts w:asciiTheme="minorHAnsi" w:hAnsiTheme="minorHAnsi"/>
          <w:color w:val="000000" w:themeColor="text1"/>
          <w:sz w:val="24"/>
          <w:szCs w:val="24"/>
        </w:rPr>
        <w:t xml:space="preserve">AF-SCREEN: establishment and goals </w:t>
      </w:r>
    </w:p>
    <w:p w14:paraId="21534C85" w14:textId="77777777" w:rsidR="00597826" w:rsidRDefault="00597826" w:rsidP="00375DCA"/>
    <w:p w14:paraId="13AB553F" w14:textId="3A77D28E" w:rsidR="00597826" w:rsidRPr="004D04BF" w:rsidRDefault="00597826" w:rsidP="00375DCA">
      <w:r w:rsidRPr="004D04BF">
        <w:t xml:space="preserve">AF-SCREEN </w:t>
      </w:r>
      <w:r>
        <w:t xml:space="preserve">international </w:t>
      </w:r>
      <w:r w:rsidRPr="004D04BF">
        <w:t>collaboration was founded in September 2015</w:t>
      </w:r>
      <w:r>
        <w:t xml:space="preserve"> and </w:t>
      </w:r>
      <w:r w:rsidRPr="004D04BF">
        <w:t>includes over 1</w:t>
      </w:r>
      <w:r w:rsidR="007C4030">
        <w:t>3</w:t>
      </w:r>
      <w:r w:rsidRPr="004D04BF">
        <w:t>0 physicians</w:t>
      </w:r>
      <w:r>
        <w:t xml:space="preserve"> (cardiologists, electrophysiologists, primary care physicians, stroke neurologists and geriatricians)</w:t>
      </w:r>
      <w:r w:rsidRPr="004D04BF">
        <w:t>, nurses</w:t>
      </w:r>
      <w:r>
        <w:t xml:space="preserve">, </w:t>
      </w:r>
      <w:r w:rsidRPr="004D04BF">
        <w:t>allied health professionals, epidemiologists, health economists and</w:t>
      </w:r>
      <w:r>
        <w:t xml:space="preserve"> patient group representatives</w:t>
      </w:r>
      <w:r w:rsidR="007C4030">
        <w:t xml:space="preserve"> from 32</w:t>
      </w:r>
      <w:r w:rsidRPr="004D04BF">
        <w:t xml:space="preserve"> </w:t>
      </w:r>
      <w:r>
        <w:t>countries. The collaboration</w:t>
      </w:r>
      <w:r w:rsidRPr="004D04BF">
        <w:t xml:space="preserve"> seeks </w:t>
      </w:r>
      <w:r>
        <w:t xml:space="preserve">to </w:t>
      </w:r>
      <w:r w:rsidRPr="004D04BF">
        <w:t xml:space="preserve">promote discussion and research about screening for unknown or under-treated </w:t>
      </w:r>
      <w:r>
        <w:t>atrial fibrillation (AF)</w:t>
      </w:r>
      <w:r w:rsidRPr="004D04BF">
        <w:t xml:space="preserve"> to reduce stroke and death, and to provide advocacy for implementation of country-specific AF screening programs</w:t>
      </w:r>
      <w:r>
        <w:t xml:space="preserve"> (</w:t>
      </w:r>
      <w:hyperlink r:id="rId8" w:history="1">
        <w:r w:rsidRPr="009374B3">
          <w:rPr>
            <w:rStyle w:val="Hyperlink"/>
          </w:rPr>
          <w:t>www.af-screen-intcollab.org</w:t>
        </w:r>
      </w:hyperlink>
      <w:r>
        <w:t xml:space="preserve">, accessed </w:t>
      </w:r>
      <w:r w:rsidR="007C4030">
        <w:t>Feb 28</w:t>
      </w:r>
      <w:r w:rsidRPr="007F0DC9">
        <w:rPr>
          <w:vertAlign w:val="superscript"/>
        </w:rPr>
        <w:t>th</w:t>
      </w:r>
      <w:r w:rsidR="007C4030">
        <w:t xml:space="preserve"> 2017</w:t>
      </w:r>
      <w:r>
        <w:t>)</w:t>
      </w:r>
      <w:r w:rsidRPr="004D04BF">
        <w:t xml:space="preserve">. </w:t>
      </w:r>
    </w:p>
    <w:p w14:paraId="2EF21DF1" w14:textId="77777777" w:rsidR="00597826" w:rsidRPr="004D04BF" w:rsidRDefault="00597826" w:rsidP="00375DCA">
      <w:r w:rsidRPr="004D04BF">
        <w:t xml:space="preserve">Although many with AF develop symptoms leading to appropriate diagnosis and management, the first manifestation may be a debilitating stroke or death. Finding AF before symptoms are manifested could lead to initiation of appropriate </w:t>
      </w:r>
      <w:r>
        <w:t xml:space="preserve">effective </w:t>
      </w:r>
      <w:r w:rsidRPr="004D04BF">
        <w:t xml:space="preserve">therapy including </w:t>
      </w:r>
      <w:r>
        <w:t xml:space="preserve">oral </w:t>
      </w:r>
      <w:r w:rsidRPr="004D04BF">
        <w:t>anticoagulants</w:t>
      </w:r>
      <w:r>
        <w:t xml:space="preserve"> (OACs) to reduce stroke and death</w:t>
      </w:r>
      <w:r w:rsidRPr="00A543FB">
        <w:rPr>
          <w:noProof/>
          <w:vertAlign w:val="superscript"/>
        </w:rPr>
        <w:t>1</w:t>
      </w:r>
      <w:r w:rsidRPr="004D04BF">
        <w:t xml:space="preserve">, </w:t>
      </w:r>
      <w:r w:rsidRPr="004D04BF">
        <w:rPr>
          <w:rFonts w:cs="Times New Roman"/>
          <w:bCs/>
        </w:rPr>
        <w:t xml:space="preserve"> and potentially </w:t>
      </w:r>
      <w:r>
        <w:rPr>
          <w:rFonts w:cs="Times New Roman"/>
          <w:bCs/>
        </w:rPr>
        <w:t>to initiation of</w:t>
      </w:r>
      <w:r w:rsidRPr="004D04BF">
        <w:rPr>
          <w:rFonts w:cs="Times New Roman"/>
          <w:bCs/>
        </w:rPr>
        <w:t xml:space="preserve"> risk-factor modifications to reduce complications from AF progression.</w:t>
      </w:r>
      <w:r w:rsidRPr="004D04BF">
        <w:t xml:space="preserve"> </w:t>
      </w:r>
    </w:p>
    <w:p w14:paraId="1973680A" w14:textId="77777777" w:rsidR="00597826" w:rsidRDefault="00597826" w:rsidP="00375DCA">
      <w:r w:rsidRPr="004D04BF">
        <w:t xml:space="preserve">The past decade has witnessed a surge in the number and sophistication of diagnostic tools, ranging from inexpensive devices which detect persistent or paroxysmal AF, to devices capable of long-term continuous characterization of brief, asymptomatic AF. Those participating in the AF-SCREEN collaboration recognize a unique and timely opportunity to re-examine the approaches and rationale for AF diagnosis at an early asymptomatic stage. </w:t>
      </w:r>
      <w:r>
        <w:t>This prompted the development of a white paper on screening for AF, developed from a consensus meeting of AF-SCREEN members held in Rome in August 2016. Full details of the genesis of the white paper and the Delphi process used are provided in the online-only supplementary material (Pages 1-2 online appendix).</w:t>
      </w:r>
    </w:p>
    <w:p w14:paraId="7B6B1807" w14:textId="77777777" w:rsidR="00597826" w:rsidRPr="007C4030" w:rsidRDefault="00597826" w:rsidP="00375DCA">
      <w:pPr>
        <w:pStyle w:val="Heading1"/>
        <w:rPr>
          <w:rFonts w:asciiTheme="minorHAnsi" w:hAnsiTheme="minorHAnsi"/>
          <w:color w:val="000000" w:themeColor="text1"/>
          <w:sz w:val="24"/>
          <w:szCs w:val="24"/>
        </w:rPr>
      </w:pPr>
      <w:r w:rsidRPr="007C4030">
        <w:rPr>
          <w:rFonts w:asciiTheme="minorHAnsi" w:hAnsiTheme="minorHAnsi"/>
          <w:color w:val="000000" w:themeColor="text1"/>
          <w:sz w:val="24"/>
          <w:szCs w:val="24"/>
        </w:rPr>
        <w:t xml:space="preserve">Incidence of screen-detected AF and CIED (Cardiac Implantable Electronic Device)-detected Atrial High Rate Episodes </w:t>
      </w:r>
    </w:p>
    <w:p w14:paraId="5685C0EC" w14:textId="77777777" w:rsidR="00597826" w:rsidRPr="004D04BF" w:rsidRDefault="00597826" w:rsidP="00375DCA">
      <w:pPr>
        <w:rPr>
          <w:i/>
        </w:rPr>
      </w:pPr>
    </w:p>
    <w:p w14:paraId="64470BA7" w14:textId="77777777" w:rsidR="00597826" w:rsidRDefault="00597826" w:rsidP="00375DCA">
      <w:pPr>
        <w:rPr>
          <w:rFonts w:cs="Times New Roman"/>
        </w:rPr>
      </w:pPr>
      <w:r w:rsidRPr="004D04BF">
        <w:rPr>
          <w:rFonts w:cs="Times New Roman"/>
        </w:rPr>
        <w:t xml:space="preserve">Many terms have been used to describe </w:t>
      </w:r>
      <w:r>
        <w:rPr>
          <w:rFonts w:cs="Times New Roman"/>
        </w:rPr>
        <w:t>screen-detected</w:t>
      </w:r>
      <w:r w:rsidRPr="004D04BF">
        <w:rPr>
          <w:rFonts w:cs="Times New Roman"/>
        </w:rPr>
        <w:t xml:space="preserve"> AF, including unrecognized,</w:t>
      </w:r>
      <w:r>
        <w:rPr>
          <w:rFonts w:cs="Times New Roman"/>
        </w:rPr>
        <w:t xml:space="preserve"> undiagnosed,</w:t>
      </w:r>
      <w:r w:rsidRPr="004D04BF">
        <w:rPr>
          <w:rFonts w:cs="Times New Roman"/>
        </w:rPr>
        <w:t xml:space="preserve"> silent, subclinical AF (SCAF)</w:t>
      </w:r>
      <w:r>
        <w:rPr>
          <w:rFonts w:cs="Times New Roman"/>
        </w:rPr>
        <w:t xml:space="preserve">, and </w:t>
      </w:r>
      <w:r>
        <w:rPr>
          <w:lang w:val="en-GB"/>
        </w:rPr>
        <w:t>implanted cardiac device (CIED)-detected atrial high rate episodes.</w:t>
      </w:r>
      <w:r w:rsidRPr="004D04BF">
        <w:rPr>
          <w:rFonts w:cs="Times New Roman"/>
        </w:rPr>
        <w:t xml:space="preserve"> In this document we will refer to AF detected on single timepoint screening or patient-activated </w:t>
      </w:r>
      <w:r>
        <w:rPr>
          <w:rFonts w:cs="Times New Roman"/>
        </w:rPr>
        <w:t xml:space="preserve">ECG </w:t>
      </w:r>
      <w:r w:rsidRPr="004D04BF">
        <w:rPr>
          <w:rFonts w:cs="Times New Roman"/>
        </w:rPr>
        <w:t xml:space="preserve">recorders as </w:t>
      </w:r>
      <w:r>
        <w:rPr>
          <w:rFonts w:cs="Times New Roman"/>
        </w:rPr>
        <w:t>‘screen-detected</w:t>
      </w:r>
      <w:r w:rsidRPr="004D04BF">
        <w:rPr>
          <w:rFonts w:cs="Times New Roman"/>
        </w:rPr>
        <w:t xml:space="preserve"> AF</w:t>
      </w:r>
      <w:r>
        <w:rPr>
          <w:rFonts w:cs="Times New Roman"/>
        </w:rPr>
        <w:t>’, while</w:t>
      </w:r>
      <w:r w:rsidRPr="004D04BF">
        <w:rPr>
          <w:rFonts w:cs="Times New Roman"/>
        </w:rPr>
        <w:t xml:space="preserve"> brief</w:t>
      </w:r>
      <w:r>
        <w:rPr>
          <w:rFonts w:cs="Times New Roman"/>
        </w:rPr>
        <w:t xml:space="preserve"> </w:t>
      </w:r>
      <w:r w:rsidRPr="004D04BF">
        <w:rPr>
          <w:rFonts w:cs="Times New Roman"/>
        </w:rPr>
        <w:t xml:space="preserve">transient AF detected </w:t>
      </w:r>
      <w:r>
        <w:rPr>
          <w:rFonts w:cs="Times New Roman"/>
        </w:rPr>
        <w:t>by</w:t>
      </w:r>
      <w:r w:rsidRPr="004D04BF">
        <w:rPr>
          <w:rFonts w:cs="Times New Roman"/>
        </w:rPr>
        <w:t xml:space="preserve"> </w:t>
      </w:r>
      <w:r>
        <w:rPr>
          <w:rFonts w:cs="Times New Roman"/>
        </w:rPr>
        <w:t>CIEDs with atrial monitoring capability,</w:t>
      </w:r>
      <w:r w:rsidRPr="004D04BF">
        <w:rPr>
          <w:rFonts w:cs="Times New Roman"/>
        </w:rPr>
        <w:t xml:space="preserve"> </w:t>
      </w:r>
      <w:r>
        <w:rPr>
          <w:rFonts w:cs="Times New Roman"/>
        </w:rPr>
        <w:t xml:space="preserve">are referred to </w:t>
      </w:r>
      <w:r w:rsidRPr="004D04BF">
        <w:rPr>
          <w:rFonts w:cs="Times New Roman"/>
        </w:rPr>
        <w:t>as</w:t>
      </w:r>
      <w:r>
        <w:rPr>
          <w:rFonts w:cs="Times New Roman"/>
        </w:rPr>
        <w:t xml:space="preserve"> ‘CIED-detected </w:t>
      </w:r>
      <w:r>
        <w:rPr>
          <w:lang w:val="en-GB"/>
        </w:rPr>
        <w:t>atrial high rate episodes</w:t>
      </w:r>
      <w:r>
        <w:rPr>
          <w:rFonts w:cs="Times New Roman"/>
        </w:rPr>
        <w:t xml:space="preserve">’. CIED-detected </w:t>
      </w:r>
      <w:r>
        <w:rPr>
          <w:lang w:val="en-GB"/>
        </w:rPr>
        <w:t>atrial high rate episodes</w:t>
      </w:r>
      <w:r>
        <w:rPr>
          <w:rFonts w:cs="Times New Roman"/>
        </w:rPr>
        <w:t xml:space="preserve"> could be due to oversensing, </w:t>
      </w:r>
      <w:r w:rsidRPr="00896848">
        <w:rPr>
          <w:rFonts w:cs="Times New Roman"/>
        </w:rPr>
        <w:t>or other atrial tachyarrhythmias</w:t>
      </w:r>
      <w:r>
        <w:rPr>
          <w:rFonts w:cs="Times New Roman"/>
        </w:rPr>
        <w:t>,</w:t>
      </w:r>
      <w:r w:rsidRPr="00896848">
        <w:rPr>
          <w:rFonts w:cs="Times New Roman"/>
        </w:rPr>
        <w:t xml:space="preserve"> and need close inspection of the </w:t>
      </w:r>
      <w:r>
        <w:rPr>
          <w:rFonts w:cs="Times New Roman"/>
        </w:rPr>
        <w:t xml:space="preserve">stored </w:t>
      </w:r>
      <w:r w:rsidRPr="00896848">
        <w:rPr>
          <w:rFonts w:cs="Times New Roman"/>
        </w:rPr>
        <w:t xml:space="preserve">electrograms </w:t>
      </w:r>
      <w:r>
        <w:rPr>
          <w:rFonts w:cs="Times New Roman"/>
        </w:rPr>
        <w:t>before labeling them</w:t>
      </w:r>
      <w:r w:rsidRPr="00896848">
        <w:rPr>
          <w:rFonts w:cs="Times New Roman"/>
        </w:rPr>
        <w:t xml:space="preserve"> AF</w:t>
      </w:r>
      <w:r w:rsidRPr="006D5079">
        <w:rPr>
          <w:rFonts w:cs="Times New Roman"/>
        </w:rPr>
        <w:t xml:space="preserve">. </w:t>
      </w:r>
      <w:r w:rsidRPr="004658EA">
        <w:rPr>
          <w:rFonts w:cs="Times New Roman"/>
        </w:rPr>
        <w:t xml:space="preserve">CIEDs are not implanted to screen for AF, and CIED-detected </w:t>
      </w:r>
      <w:r w:rsidRPr="004658EA">
        <w:rPr>
          <w:lang w:val="en-GB"/>
        </w:rPr>
        <w:t>atrial high rate episodes</w:t>
      </w:r>
      <w:r w:rsidRPr="004658EA">
        <w:rPr>
          <w:rFonts w:cs="Times New Roman"/>
        </w:rPr>
        <w:t xml:space="preserve"> are not included in our definition of screen-detected AF, and should not be grouped with screen-detected AF.</w:t>
      </w:r>
      <w:r>
        <w:rPr>
          <w:rFonts w:cs="Times New Roman"/>
        </w:rPr>
        <w:t xml:space="preserve"> A full discussion on CIED-detected </w:t>
      </w:r>
      <w:r>
        <w:rPr>
          <w:lang w:val="en-GB"/>
        </w:rPr>
        <w:t>atrial high rate episode</w:t>
      </w:r>
      <w:r>
        <w:rPr>
          <w:rFonts w:cs="Times New Roman"/>
        </w:rPr>
        <w:t xml:space="preserve">s has been included in this white paper principally to enhance our understanding of the significance of screen-detected AF </w:t>
      </w:r>
      <w:r w:rsidRPr="007F0DC9">
        <w:rPr>
          <w:rFonts w:cs="Times New Roman"/>
        </w:rPr>
        <w:t>and its relationship with stroke</w:t>
      </w:r>
      <w:r w:rsidRPr="00246AED">
        <w:rPr>
          <w:rFonts w:cs="Times New Roman"/>
        </w:rPr>
        <w:t>.</w:t>
      </w:r>
      <w:r>
        <w:rPr>
          <w:rFonts w:cs="Times New Roman"/>
        </w:rPr>
        <w:t xml:space="preserve"> </w:t>
      </w:r>
    </w:p>
    <w:p w14:paraId="1496F16B" w14:textId="77777777" w:rsidR="00597826" w:rsidRDefault="00597826" w:rsidP="00375DCA">
      <w:r w:rsidRPr="004D04BF">
        <w:t xml:space="preserve">The </w:t>
      </w:r>
      <w:r>
        <w:t>incidence</w:t>
      </w:r>
      <w:r w:rsidRPr="004D04BF">
        <w:t xml:space="preserve"> of </w:t>
      </w:r>
      <w:r>
        <w:t>screen-detected</w:t>
      </w:r>
      <w:r w:rsidRPr="004D04BF">
        <w:t xml:space="preserve"> AF strongly depends on the population screened and duration</w:t>
      </w:r>
      <w:r>
        <w:t>/</w:t>
      </w:r>
      <w:r w:rsidRPr="004D04BF">
        <w:t xml:space="preserve">intensity </w:t>
      </w:r>
      <w:r>
        <w:t>of screening.</w:t>
      </w:r>
      <w:r w:rsidRPr="00870A77">
        <w:rPr>
          <w:noProof/>
          <w:vertAlign w:val="superscript"/>
        </w:rPr>
        <w:t>2</w:t>
      </w:r>
      <w:r>
        <w:t xml:space="preserve"> Single time</w:t>
      </w:r>
      <w:r w:rsidRPr="004D04BF">
        <w:t xml:space="preserve">point screening of a general population aged </w:t>
      </w:r>
      <w:r w:rsidRPr="004D04BF">
        <w:sym w:font="Symbol" w:char="F0B3"/>
      </w:r>
      <w:r w:rsidRPr="004D04BF">
        <w:t xml:space="preserve">65 years detects </w:t>
      </w:r>
      <w:r>
        <w:t>undiagnosed</w:t>
      </w:r>
      <w:r w:rsidRPr="004D04BF">
        <w:t xml:space="preserve"> AF in 1.4</w:t>
      </w:r>
      <w:r>
        <w:t>%,</w:t>
      </w:r>
      <w:r w:rsidRPr="00870A77">
        <w:rPr>
          <w:noProof/>
          <w:vertAlign w:val="superscript"/>
        </w:rPr>
        <w:t>3</w:t>
      </w:r>
      <w:r w:rsidRPr="004D04BF">
        <w:t xml:space="preserve"> </w:t>
      </w:r>
      <w:r>
        <w:t xml:space="preserve">and the AF detected is largely persistent. </w:t>
      </w:r>
      <w:r w:rsidRPr="004D04BF">
        <w:t>In a large population</w:t>
      </w:r>
      <w:r>
        <w:t>-</w:t>
      </w:r>
      <w:r w:rsidRPr="004D04BF">
        <w:t xml:space="preserve">based study of individuals aged 75-76 years, a more intense 2-week screening program using </w:t>
      </w:r>
      <w:r w:rsidRPr="004D04BF">
        <w:rPr>
          <w:rFonts w:cs="Arial"/>
        </w:rPr>
        <w:t xml:space="preserve">twice-daily </w:t>
      </w:r>
      <w:r w:rsidRPr="004D04BF">
        <w:t>intermittent handheld ECG recordings identified AF in 3.0% (0.5% on the initial ECG</w:t>
      </w:r>
      <w:r w:rsidRPr="00870A77">
        <w:rPr>
          <w:noProof/>
          <w:vertAlign w:val="superscript"/>
        </w:rPr>
        <w:t>4</w:t>
      </w:r>
      <w:r w:rsidRPr="004D04BF">
        <w:t xml:space="preserve">). The identical protocol restricted to those with at least </w:t>
      </w:r>
      <w:r>
        <w:t>1 additional</w:t>
      </w:r>
      <w:r w:rsidRPr="004D04BF">
        <w:t xml:space="preserve"> stroke risk factor identified 7.4% with AF</w:t>
      </w:r>
      <w:r>
        <w:t>.</w:t>
      </w:r>
      <w:r w:rsidRPr="00870A77">
        <w:rPr>
          <w:noProof/>
          <w:vertAlign w:val="superscript"/>
        </w:rPr>
        <w:t>5</w:t>
      </w:r>
      <w:r w:rsidRPr="004D04BF">
        <w:t xml:space="preserve"> </w:t>
      </w:r>
    </w:p>
    <w:p w14:paraId="7DB850FC" w14:textId="335299AF" w:rsidR="00597826" w:rsidRPr="003C351B" w:rsidRDefault="00597826" w:rsidP="00375DCA">
      <w:pPr>
        <w:rPr>
          <w:bCs/>
        </w:rPr>
      </w:pPr>
      <w:r w:rsidRPr="004D04BF">
        <w:t xml:space="preserve">The </w:t>
      </w:r>
      <w:r>
        <w:t>incidence</w:t>
      </w:r>
      <w:r w:rsidRPr="004D04BF">
        <w:t xml:space="preserve"> of </w:t>
      </w:r>
      <w:r>
        <w:rPr>
          <w:lang w:val="en-GB"/>
        </w:rPr>
        <w:t>atrial high rate episodes</w:t>
      </w:r>
      <w:r w:rsidDel="00411794">
        <w:t xml:space="preserve"> </w:t>
      </w:r>
      <w:r w:rsidRPr="004D04BF">
        <w:t xml:space="preserve"> in patients with </w:t>
      </w:r>
      <w:r>
        <w:rPr>
          <w:color w:val="1A1718"/>
        </w:rPr>
        <w:t>CIEDs</w:t>
      </w:r>
      <w:r w:rsidRPr="004D04BF">
        <w:t xml:space="preserve"> ranges from 30-60% depending on the population and the</w:t>
      </w:r>
      <w:r>
        <w:t xml:space="preserve"> detection algorithm used</w:t>
      </w:r>
      <w:r w:rsidR="00C32983">
        <w:t xml:space="preserve"> </w:t>
      </w:r>
      <w:r>
        <w:t xml:space="preserve"> (Table 1).</w:t>
      </w:r>
      <w:r w:rsidRPr="00870A77">
        <w:rPr>
          <w:noProof/>
          <w:vertAlign w:val="superscript"/>
        </w:rPr>
        <w:t>6-1</w:t>
      </w:r>
      <w:r w:rsidR="00C32983">
        <w:rPr>
          <w:noProof/>
          <w:vertAlign w:val="superscript"/>
        </w:rPr>
        <w:t xml:space="preserve">8 </w:t>
      </w:r>
      <w:r>
        <w:t xml:space="preserve"> </w:t>
      </w:r>
      <w:r w:rsidRPr="004D04BF">
        <w:t>In 2,580 patients with a history of hyperten</w:t>
      </w:r>
      <w:r>
        <w:t xml:space="preserve">sion and no prior AF history, CIED-detected  </w:t>
      </w:r>
      <w:r>
        <w:rPr>
          <w:lang w:val="en-GB"/>
        </w:rPr>
        <w:t>atrial high rate episodes</w:t>
      </w:r>
      <w:r w:rsidRPr="004D04BF">
        <w:t xml:space="preserve"> </w:t>
      </w:r>
      <w:r w:rsidRPr="004D04BF">
        <w:rPr>
          <w:rFonts w:ascii="Calibri" w:hAnsi="Calibri"/>
        </w:rPr>
        <w:t>≥</w:t>
      </w:r>
      <w:r w:rsidRPr="004D04BF">
        <w:rPr>
          <w:bCs/>
        </w:rPr>
        <w:t xml:space="preserve">6 minutes </w:t>
      </w:r>
      <w:r>
        <w:t>were</w:t>
      </w:r>
      <w:r w:rsidRPr="004D04BF">
        <w:t xml:space="preserve"> </w:t>
      </w:r>
      <w:r>
        <w:t>found</w:t>
      </w:r>
      <w:r w:rsidRPr="004D04BF">
        <w:t xml:space="preserve"> in 35% of patients </w:t>
      </w:r>
      <w:r>
        <w:t xml:space="preserve">with implanted devices </w:t>
      </w:r>
      <w:r w:rsidRPr="004D04BF">
        <w:t xml:space="preserve">over a mean follow-up of 2.5 years and </w:t>
      </w:r>
      <w:r w:rsidRPr="004D04BF">
        <w:rPr>
          <w:bCs/>
        </w:rPr>
        <w:t>doubled the risk of stroke</w:t>
      </w:r>
      <w:r>
        <w:t>.</w:t>
      </w:r>
      <w:r w:rsidRPr="00870A77">
        <w:rPr>
          <w:noProof/>
          <w:vertAlign w:val="superscript"/>
        </w:rPr>
        <w:t>11</w:t>
      </w:r>
      <w:r w:rsidRPr="004D04BF">
        <w:rPr>
          <w:bCs/>
        </w:rPr>
        <w:t xml:space="preserve"> </w:t>
      </w:r>
      <w:r w:rsidRPr="0033503D">
        <w:rPr>
          <w:bCs/>
        </w:rPr>
        <w:t>Silent AF is more frequent than symptomatic AF in patients with a pacemaker or during external continuous rhythm monitoring</w:t>
      </w:r>
      <w:r>
        <w:rPr>
          <w:bCs/>
        </w:rPr>
        <w:t>.</w:t>
      </w:r>
      <w:r w:rsidRPr="00870A77">
        <w:rPr>
          <w:bCs/>
          <w:noProof/>
          <w:vertAlign w:val="superscript"/>
        </w:rPr>
        <w:t>16</w:t>
      </w:r>
      <w:r w:rsidRPr="0033503D">
        <w:rPr>
          <w:bCs/>
        </w:rPr>
        <w:t xml:space="preserve"> </w:t>
      </w:r>
      <w:r w:rsidRPr="004D04BF">
        <w:rPr>
          <w:bCs/>
        </w:rPr>
        <w:t xml:space="preserve">Because patients with </w:t>
      </w:r>
      <w:r>
        <w:rPr>
          <w:bCs/>
        </w:rPr>
        <w:t>CIEDs</w:t>
      </w:r>
      <w:r w:rsidRPr="004D04BF">
        <w:rPr>
          <w:bCs/>
        </w:rPr>
        <w:t xml:space="preserve"> have a medical condition that may affect occurrence</w:t>
      </w:r>
      <w:r>
        <w:rPr>
          <w:bCs/>
        </w:rPr>
        <w:t xml:space="preserve"> of </w:t>
      </w:r>
      <w:r>
        <w:rPr>
          <w:lang w:val="en-GB"/>
        </w:rPr>
        <w:t>atrial high rate episodes</w:t>
      </w:r>
      <w:r w:rsidRPr="004D04BF">
        <w:rPr>
          <w:bCs/>
        </w:rPr>
        <w:t>, other studies (ASSERT-II NCT01694394, REVEAL-AF NCT01727297, GRAF NCT01461434</w:t>
      </w:r>
      <w:r>
        <w:rPr>
          <w:bCs/>
        </w:rPr>
        <w:t>, Danish Loop study NCT</w:t>
      </w:r>
      <w:r w:rsidRPr="00EE4A4F">
        <w:rPr>
          <w:bCs/>
        </w:rPr>
        <w:t>02036450</w:t>
      </w:r>
      <w:r w:rsidRPr="004D04BF">
        <w:rPr>
          <w:bCs/>
        </w:rPr>
        <w:t xml:space="preserve">) using </w:t>
      </w:r>
      <w:r>
        <w:rPr>
          <w:bCs/>
        </w:rPr>
        <w:t>subcutaneous</w:t>
      </w:r>
      <w:r w:rsidRPr="004D04BF">
        <w:rPr>
          <w:bCs/>
        </w:rPr>
        <w:t xml:space="preserve"> </w:t>
      </w:r>
      <w:r>
        <w:t>long-term continuous monitoring</w:t>
      </w:r>
      <w:r w:rsidRPr="004D04BF">
        <w:rPr>
          <w:bCs/>
        </w:rPr>
        <w:t xml:space="preserve"> in people at risk of AF may provide a more reliable estimate of </w:t>
      </w:r>
      <w:r>
        <w:rPr>
          <w:bCs/>
        </w:rPr>
        <w:t>AF in non-CIED populations</w:t>
      </w:r>
      <w:r w:rsidRPr="004D04BF">
        <w:rPr>
          <w:bCs/>
        </w:rPr>
        <w:t xml:space="preserve"> and elucidate its clinical significance. </w:t>
      </w:r>
      <w:r w:rsidRPr="003C351B">
        <w:rPr>
          <w:bCs/>
        </w:rPr>
        <w:t xml:space="preserve">The initial report of the ASSERT-II study showed that brief episodes of </w:t>
      </w:r>
      <w:r>
        <w:rPr>
          <w:bCs/>
        </w:rPr>
        <w:t xml:space="preserve">subclinical </w:t>
      </w:r>
      <w:r w:rsidRPr="003C351B">
        <w:rPr>
          <w:bCs/>
        </w:rPr>
        <w:t>AF are very common among individuals 65 years and older, who have stroke risk factors and evidence of left atrial enlargement. Among 256 patients with an average left atrial volume of 76.5 mL, receiving an implantable cardia</w:t>
      </w:r>
      <w:r>
        <w:rPr>
          <w:bCs/>
        </w:rPr>
        <w:t xml:space="preserve">c loop recorder, the rate of subclinical AF </w:t>
      </w:r>
      <w:r w:rsidRPr="003C351B">
        <w:rPr>
          <w:bCs/>
        </w:rPr>
        <w:t>detection for AF episodes las</w:t>
      </w:r>
      <w:r>
        <w:rPr>
          <w:bCs/>
        </w:rPr>
        <w:t xml:space="preserve">ting at least 5 minutes was 34 </w:t>
      </w:r>
      <w:r w:rsidRPr="003C351B">
        <w:rPr>
          <w:bCs/>
        </w:rPr>
        <w:t>% per year</w:t>
      </w:r>
      <w:r>
        <w:rPr>
          <w:bCs/>
        </w:rPr>
        <w:t xml:space="preserve"> (presented at AHA Nov 2016)</w:t>
      </w:r>
      <w:r w:rsidRPr="003C351B">
        <w:rPr>
          <w:bCs/>
        </w:rPr>
        <w:t>.</w:t>
      </w:r>
    </w:p>
    <w:p w14:paraId="2307DFD1" w14:textId="77777777" w:rsidR="00597826" w:rsidRPr="00D04A78" w:rsidRDefault="00597826" w:rsidP="00375DCA">
      <w:pPr>
        <w:rPr>
          <w:bCs/>
        </w:rPr>
      </w:pPr>
    </w:p>
    <w:p w14:paraId="0022099B" w14:textId="77777777" w:rsidR="00597826" w:rsidRPr="007C4030" w:rsidRDefault="00597826" w:rsidP="00375DCA">
      <w:pPr>
        <w:pStyle w:val="Heading1"/>
        <w:tabs>
          <w:tab w:val="left" w:pos="3119"/>
        </w:tabs>
        <w:rPr>
          <w:rFonts w:asciiTheme="minorHAnsi" w:eastAsiaTheme="minorHAnsi" w:hAnsiTheme="minorHAnsi" w:cstheme="minorBidi"/>
          <w:b w:val="0"/>
          <w:bCs w:val="0"/>
          <w:color w:val="auto"/>
          <w:sz w:val="22"/>
          <w:szCs w:val="22"/>
        </w:rPr>
      </w:pPr>
      <w:r w:rsidRPr="007C4030">
        <w:rPr>
          <w:rFonts w:asciiTheme="minorHAnsi" w:hAnsiTheme="minorHAnsi"/>
          <w:color w:val="000000" w:themeColor="text1"/>
          <w:sz w:val="24"/>
          <w:szCs w:val="24"/>
        </w:rPr>
        <w:t xml:space="preserve">Risk of stroke and death in untreated screen-detected AF </w:t>
      </w:r>
    </w:p>
    <w:p w14:paraId="34D72706" w14:textId="77777777" w:rsidR="00597826" w:rsidRPr="004D04BF" w:rsidRDefault="00597826" w:rsidP="00375DCA">
      <w:pPr>
        <w:tabs>
          <w:tab w:val="left" w:pos="3119"/>
        </w:tabs>
        <w:spacing w:line="240" w:lineRule="auto"/>
      </w:pPr>
    </w:p>
    <w:p w14:paraId="3D00CEFF" w14:textId="77777777" w:rsidR="00597826" w:rsidRPr="00D97E74" w:rsidRDefault="00597826" w:rsidP="00375DCA">
      <w:pPr>
        <w:pStyle w:val="Caption"/>
        <w:spacing w:line="276" w:lineRule="auto"/>
        <w:rPr>
          <w:b w:val="0"/>
          <w:color w:val="auto"/>
          <w:sz w:val="22"/>
          <w:szCs w:val="22"/>
        </w:rPr>
      </w:pPr>
      <w:r w:rsidRPr="00C912AA">
        <w:rPr>
          <w:b w:val="0"/>
          <w:color w:val="000000" w:themeColor="text1"/>
          <w:sz w:val="22"/>
          <w:szCs w:val="22"/>
        </w:rPr>
        <w:t>There are no data which specifically address the risk of stroke and death in untreated screen-detected AF in the general population. The closest approximation are cohort studies of individuals with AF detected incidentally in the absence of symptoms. One study</w:t>
      </w:r>
      <w:r w:rsidRPr="008D370F">
        <w:rPr>
          <w:b w:val="0"/>
          <w:noProof/>
          <w:color w:val="000000" w:themeColor="text1"/>
          <w:sz w:val="22"/>
          <w:szCs w:val="22"/>
          <w:vertAlign w:val="superscript"/>
        </w:rPr>
        <w:t>19</w:t>
      </w:r>
      <w:r w:rsidRPr="00C912AA">
        <w:rPr>
          <w:b w:val="0"/>
          <w:color w:val="000000" w:themeColor="text1"/>
          <w:sz w:val="22"/>
          <w:szCs w:val="22"/>
        </w:rPr>
        <w:t xml:space="preserve"> showed that individuals</w:t>
      </w:r>
      <w:r>
        <w:rPr>
          <w:b w:val="0"/>
          <w:color w:val="000000" w:themeColor="text1"/>
          <w:sz w:val="22"/>
          <w:szCs w:val="22"/>
        </w:rPr>
        <w:t xml:space="preserve"> who were </w:t>
      </w:r>
      <w:r w:rsidRPr="00C912AA">
        <w:rPr>
          <w:b w:val="0"/>
          <w:color w:val="000000" w:themeColor="text1"/>
          <w:sz w:val="22"/>
          <w:szCs w:val="22"/>
        </w:rPr>
        <w:t>asymptomatic</w:t>
      </w:r>
      <w:r>
        <w:rPr>
          <w:b w:val="0"/>
          <w:color w:val="000000" w:themeColor="text1"/>
          <w:sz w:val="22"/>
          <w:szCs w:val="22"/>
        </w:rPr>
        <w:t xml:space="preserve"> at presentation</w:t>
      </w:r>
      <w:r w:rsidRPr="00C912AA">
        <w:rPr>
          <w:b w:val="0"/>
          <w:color w:val="000000" w:themeColor="text1"/>
          <w:sz w:val="22"/>
          <w:szCs w:val="22"/>
        </w:rPr>
        <w:t xml:space="preserve"> were three times as likely to have had an ischemic stroke prior to </w:t>
      </w:r>
      <w:r>
        <w:rPr>
          <w:b w:val="0"/>
          <w:color w:val="000000" w:themeColor="text1"/>
          <w:sz w:val="22"/>
          <w:szCs w:val="22"/>
        </w:rPr>
        <w:t>AF</w:t>
      </w:r>
      <w:r w:rsidRPr="00C912AA">
        <w:rPr>
          <w:b w:val="0"/>
          <w:color w:val="000000" w:themeColor="text1"/>
          <w:sz w:val="22"/>
          <w:szCs w:val="22"/>
        </w:rPr>
        <w:t xml:space="preserve"> diagnosis, and in follow-up had similar risk of stroke and death as those with symptomatic AF. In a </w:t>
      </w:r>
      <w:r>
        <w:rPr>
          <w:b w:val="0"/>
          <w:color w:val="000000" w:themeColor="text1"/>
          <w:sz w:val="22"/>
          <w:szCs w:val="22"/>
        </w:rPr>
        <w:t>later</w:t>
      </w:r>
      <w:r w:rsidRPr="00C912AA">
        <w:rPr>
          <w:b w:val="0"/>
          <w:color w:val="000000" w:themeColor="text1"/>
          <w:sz w:val="22"/>
          <w:szCs w:val="22"/>
        </w:rPr>
        <w:t xml:space="preserve"> study </w:t>
      </w:r>
      <w:r>
        <w:rPr>
          <w:b w:val="0"/>
          <w:color w:val="000000" w:themeColor="text1"/>
          <w:sz w:val="22"/>
          <w:szCs w:val="22"/>
        </w:rPr>
        <w:t>from this group</w:t>
      </w:r>
      <w:r w:rsidRPr="00C912AA">
        <w:rPr>
          <w:b w:val="0"/>
          <w:color w:val="000000" w:themeColor="text1"/>
          <w:sz w:val="22"/>
          <w:szCs w:val="22"/>
        </w:rPr>
        <w:t>, 161/476 individuals with new AF were asymptomatic at presentation</w:t>
      </w:r>
      <w:r>
        <w:rPr>
          <w:b w:val="0"/>
          <w:color w:val="000000" w:themeColor="text1"/>
          <w:sz w:val="22"/>
          <w:szCs w:val="22"/>
        </w:rPr>
        <w:t xml:space="preserve">, and these </w:t>
      </w:r>
      <w:r w:rsidRPr="00C912AA">
        <w:rPr>
          <w:b w:val="0"/>
          <w:color w:val="000000" w:themeColor="text1"/>
          <w:sz w:val="22"/>
          <w:szCs w:val="22"/>
        </w:rPr>
        <w:t>had an increased risk for cardiovascular (HR 3.12</w:t>
      </w:r>
      <w:r>
        <w:rPr>
          <w:b w:val="0"/>
          <w:color w:val="000000" w:themeColor="text1"/>
          <w:sz w:val="22"/>
          <w:szCs w:val="22"/>
        </w:rPr>
        <w:t>, 1.50-6.45</w:t>
      </w:r>
      <w:r w:rsidRPr="00C912AA">
        <w:rPr>
          <w:b w:val="0"/>
          <w:color w:val="000000" w:themeColor="text1"/>
          <w:sz w:val="22"/>
          <w:szCs w:val="22"/>
        </w:rPr>
        <w:t>) and all-cause mortality (HR 2.96</w:t>
      </w:r>
      <w:r>
        <w:rPr>
          <w:b w:val="0"/>
          <w:color w:val="000000" w:themeColor="text1"/>
          <w:sz w:val="22"/>
          <w:szCs w:val="22"/>
        </w:rPr>
        <w:t>, 1.89-4.64</w:t>
      </w:r>
      <w:r w:rsidRPr="00C912AA">
        <w:rPr>
          <w:b w:val="0"/>
          <w:color w:val="000000" w:themeColor="text1"/>
          <w:sz w:val="22"/>
          <w:szCs w:val="22"/>
        </w:rPr>
        <w:t>) compared to those with typical symptoms, after adjustment for CHA</w:t>
      </w:r>
      <w:r w:rsidRPr="00C912AA">
        <w:rPr>
          <w:b w:val="0"/>
          <w:color w:val="000000" w:themeColor="text1"/>
          <w:sz w:val="22"/>
          <w:szCs w:val="22"/>
          <w:vertAlign w:val="subscript"/>
        </w:rPr>
        <w:t>2</w:t>
      </w:r>
      <w:r w:rsidRPr="00C912AA">
        <w:rPr>
          <w:b w:val="0"/>
          <w:color w:val="000000" w:themeColor="text1"/>
          <w:sz w:val="22"/>
          <w:szCs w:val="22"/>
        </w:rPr>
        <w:t>DS</w:t>
      </w:r>
      <w:r w:rsidRPr="00C912AA">
        <w:rPr>
          <w:b w:val="0"/>
          <w:color w:val="000000" w:themeColor="text1"/>
          <w:sz w:val="22"/>
          <w:szCs w:val="22"/>
          <w:vertAlign w:val="subscript"/>
        </w:rPr>
        <w:t>2</w:t>
      </w:r>
      <w:r w:rsidRPr="00C912AA">
        <w:rPr>
          <w:b w:val="0"/>
          <w:color w:val="000000" w:themeColor="text1"/>
          <w:sz w:val="22"/>
          <w:szCs w:val="22"/>
        </w:rPr>
        <w:t xml:space="preserve">-VASc score and </w:t>
      </w:r>
      <w:r w:rsidRPr="00AD09A1">
        <w:rPr>
          <w:b w:val="0"/>
          <w:color w:val="auto"/>
          <w:sz w:val="22"/>
          <w:szCs w:val="22"/>
        </w:rPr>
        <w:t>age</w:t>
      </w:r>
      <w:r>
        <w:rPr>
          <w:b w:val="0"/>
          <w:color w:val="auto"/>
          <w:sz w:val="22"/>
          <w:szCs w:val="22"/>
        </w:rPr>
        <w:t xml:space="preserve"> (Figure 1)</w:t>
      </w:r>
      <w:r w:rsidRPr="00AD09A1">
        <w:rPr>
          <w:b w:val="0"/>
          <w:color w:val="auto"/>
          <w:sz w:val="22"/>
          <w:szCs w:val="22"/>
        </w:rPr>
        <w:t>.</w:t>
      </w:r>
      <w:r w:rsidRPr="008D370F">
        <w:rPr>
          <w:b w:val="0"/>
          <w:noProof/>
          <w:color w:val="auto"/>
          <w:sz w:val="22"/>
          <w:szCs w:val="22"/>
          <w:vertAlign w:val="superscript"/>
        </w:rPr>
        <w:t>20</w:t>
      </w:r>
      <w:r w:rsidRPr="00AD09A1">
        <w:rPr>
          <w:b w:val="0"/>
          <w:color w:val="auto"/>
          <w:sz w:val="22"/>
          <w:szCs w:val="22"/>
        </w:rPr>
        <w:t xml:space="preserve"> </w:t>
      </w:r>
    </w:p>
    <w:p w14:paraId="6311EF3E" w14:textId="77777777" w:rsidR="00597826" w:rsidRDefault="00597826" w:rsidP="00375DCA">
      <w:pPr>
        <w:pStyle w:val="Caption"/>
        <w:spacing w:line="276" w:lineRule="auto"/>
        <w:rPr>
          <w:b w:val="0"/>
          <w:color w:val="000000" w:themeColor="text1"/>
          <w:sz w:val="22"/>
          <w:szCs w:val="22"/>
        </w:rPr>
      </w:pPr>
      <w:r w:rsidRPr="00C912AA">
        <w:rPr>
          <w:b w:val="0"/>
          <w:sz w:val="22"/>
          <w:szCs w:val="22"/>
        </w:rPr>
        <w:t xml:space="preserve"> </w:t>
      </w:r>
      <w:r w:rsidRPr="00C912AA">
        <w:rPr>
          <w:b w:val="0"/>
          <w:color w:val="000000" w:themeColor="text1"/>
          <w:sz w:val="22"/>
          <w:szCs w:val="22"/>
        </w:rPr>
        <w:t>In 5555 patients with asymptomatic</w:t>
      </w:r>
      <w:r>
        <w:rPr>
          <w:b w:val="0"/>
          <w:color w:val="000000" w:themeColor="text1"/>
          <w:sz w:val="22"/>
          <w:szCs w:val="22"/>
        </w:rPr>
        <w:t xml:space="preserve"> clinical</w:t>
      </w:r>
      <w:r w:rsidRPr="00C912AA">
        <w:rPr>
          <w:b w:val="0"/>
          <w:color w:val="000000" w:themeColor="text1"/>
          <w:sz w:val="22"/>
          <w:szCs w:val="22"/>
        </w:rPr>
        <w:t xml:space="preserve"> AF</w:t>
      </w:r>
      <w:r>
        <w:rPr>
          <w:b w:val="0"/>
          <w:color w:val="000000" w:themeColor="text1"/>
          <w:sz w:val="22"/>
          <w:szCs w:val="22"/>
        </w:rPr>
        <w:t xml:space="preserve"> detected </w:t>
      </w:r>
      <w:r w:rsidRPr="00C912AA">
        <w:rPr>
          <w:b w:val="0"/>
          <w:color w:val="000000" w:themeColor="text1"/>
          <w:sz w:val="22"/>
          <w:szCs w:val="22"/>
        </w:rPr>
        <w:t>incidentally</w:t>
      </w:r>
      <w:r>
        <w:rPr>
          <w:b w:val="0"/>
          <w:color w:val="000000" w:themeColor="text1"/>
          <w:sz w:val="22"/>
          <w:szCs w:val="22"/>
        </w:rPr>
        <w:t xml:space="preserve"> in general practice</w:t>
      </w:r>
      <w:r w:rsidRPr="00C912AA">
        <w:rPr>
          <w:b w:val="0"/>
          <w:color w:val="000000" w:themeColor="text1"/>
          <w:sz w:val="22"/>
          <w:szCs w:val="22"/>
        </w:rPr>
        <w:t>, adjusted stroke rate in the 1460 untreated patients was 4% and all-cause mortality 7% over 1.5 years of follow-up, compared to 1% and 2.5% respectively in matched controls</w:t>
      </w:r>
      <w:r>
        <w:rPr>
          <w:b w:val="0"/>
          <w:color w:val="000000" w:themeColor="text1"/>
          <w:sz w:val="22"/>
          <w:szCs w:val="22"/>
        </w:rPr>
        <w:t xml:space="preserve"> without AF</w:t>
      </w:r>
      <w:r w:rsidRPr="00C912AA">
        <w:rPr>
          <w:b w:val="0"/>
          <w:color w:val="000000" w:themeColor="text1"/>
          <w:sz w:val="22"/>
          <w:szCs w:val="22"/>
        </w:rPr>
        <w:t>.</w:t>
      </w:r>
      <w:r w:rsidRPr="008D370F">
        <w:rPr>
          <w:b w:val="0"/>
          <w:noProof/>
          <w:color w:val="000000" w:themeColor="text1"/>
          <w:sz w:val="22"/>
          <w:szCs w:val="22"/>
          <w:vertAlign w:val="superscript"/>
        </w:rPr>
        <w:t>21, 22</w:t>
      </w:r>
      <w:hyperlink w:anchor="_ENREF_22" w:tooltip="Freedman, 2016 #677" w:history="1"/>
      <w:r w:rsidRPr="00C912AA">
        <w:rPr>
          <w:b w:val="0"/>
          <w:color w:val="000000" w:themeColor="text1"/>
          <w:sz w:val="22"/>
          <w:szCs w:val="22"/>
        </w:rPr>
        <w:t xml:space="preserve"> In the EORP AF registry, mortality at 1 year was more than 2-fold higher in asymptomatic versus symptomatic AF (9.4% vs 4.2%, P &lt; .0001).</w:t>
      </w:r>
      <w:r w:rsidRPr="008D370F">
        <w:rPr>
          <w:b w:val="0"/>
          <w:noProof/>
          <w:color w:val="000000" w:themeColor="text1"/>
          <w:sz w:val="22"/>
          <w:szCs w:val="22"/>
          <w:vertAlign w:val="superscript"/>
        </w:rPr>
        <w:t>23</w:t>
      </w:r>
      <w:r w:rsidRPr="00C912AA">
        <w:rPr>
          <w:b w:val="0"/>
          <w:color w:val="000000" w:themeColor="text1"/>
          <w:sz w:val="22"/>
          <w:szCs w:val="22"/>
        </w:rPr>
        <w:t xml:space="preserve"> In the Belgrade AF study, survival free of AF progression or ischemic stroke was worse in those with an asymptomatic presentation</w:t>
      </w:r>
      <w:r>
        <w:rPr>
          <w:b w:val="0"/>
          <w:color w:val="000000" w:themeColor="text1"/>
          <w:sz w:val="22"/>
          <w:szCs w:val="22"/>
        </w:rPr>
        <w:t>.</w:t>
      </w:r>
      <w:r w:rsidRPr="008D370F">
        <w:rPr>
          <w:b w:val="0"/>
          <w:noProof/>
          <w:color w:val="000000" w:themeColor="text1"/>
          <w:sz w:val="22"/>
          <w:szCs w:val="22"/>
          <w:vertAlign w:val="superscript"/>
        </w:rPr>
        <w:t>24</w:t>
      </w:r>
    </w:p>
    <w:p w14:paraId="4213F8DC" w14:textId="77777777" w:rsidR="00597826" w:rsidRPr="004D04BF" w:rsidRDefault="00597826" w:rsidP="00375DCA">
      <w:r w:rsidRPr="004D04BF">
        <w:t xml:space="preserve">The major studies regarding thromboembolic risk of </w:t>
      </w:r>
      <w:r>
        <w:t>CIED</w:t>
      </w:r>
      <w:r w:rsidRPr="004D04BF">
        <w:t xml:space="preserve">-detected </w:t>
      </w:r>
      <w:r>
        <w:rPr>
          <w:lang w:val="en-GB"/>
        </w:rPr>
        <w:t>atrial high rate episodes</w:t>
      </w:r>
      <w:r w:rsidRPr="004D04BF">
        <w:t xml:space="preserve"> in patients with implanted pacemakers, defibrillators, and cardiac re-synchronization devices are summarized in</w:t>
      </w:r>
      <w:r>
        <w:t xml:space="preserve"> Table 2</w:t>
      </w:r>
      <w:r w:rsidRPr="004D04BF">
        <w:t>.</w:t>
      </w:r>
      <w:hyperlink w:anchor="_ENREF_10" w:tooltip="Healey, 2012 #577" w:history="1"/>
      <w:hyperlink w:anchor="_ENREF_12" w:tooltip="Swiryn, 2016 #156" w:history="1"/>
      <w:r w:rsidRPr="008D370F">
        <w:rPr>
          <w:noProof/>
          <w:vertAlign w:val="superscript"/>
        </w:rPr>
        <w:t>6, 7, 9-11, 13, 17</w:t>
      </w:r>
      <w:r w:rsidRPr="004D04BF">
        <w:t xml:space="preserve">All show increased stroke rate with </w:t>
      </w:r>
      <w:r>
        <w:t>CIED</w:t>
      </w:r>
      <w:r w:rsidRPr="004D04BF">
        <w:t xml:space="preserve">-detected </w:t>
      </w:r>
      <w:r>
        <w:rPr>
          <w:lang w:val="en-GB"/>
        </w:rPr>
        <w:t>atrial high rate episodes</w:t>
      </w:r>
      <w:r>
        <w:t xml:space="preserve">, but the absolute risk of stroke was much lower than might be expected for patients with clinical AF and similar </w:t>
      </w:r>
      <w:r w:rsidRPr="004D04BF">
        <w:t>CHA</w:t>
      </w:r>
      <w:r w:rsidRPr="004D04BF">
        <w:rPr>
          <w:vertAlign w:val="subscript"/>
        </w:rPr>
        <w:t>2</w:t>
      </w:r>
      <w:r w:rsidRPr="004D04BF">
        <w:t>DS</w:t>
      </w:r>
      <w:r w:rsidRPr="004D04BF">
        <w:rPr>
          <w:vertAlign w:val="subscript"/>
        </w:rPr>
        <w:t>2</w:t>
      </w:r>
      <w:r w:rsidRPr="004D04BF">
        <w:t>-VASc</w:t>
      </w:r>
      <w:r>
        <w:t xml:space="preserve"> score</w:t>
      </w:r>
      <w:r w:rsidRPr="004D04BF">
        <w:t xml:space="preserve">.  A minimum of five minutes </w:t>
      </w:r>
      <w:r>
        <w:rPr>
          <w:lang w:val="en-GB"/>
        </w:rPr>
        <w:t>atrial high rate episodes</w:t>
      </w:r>
      <w:r w:rsidRPr="004D04BF">
        <w:t xml:space="preserve"> was found to have clinical relevance in </w:t>
      </w:r>
      <w:r>
        <w:t>the MOST Study</w:t>
      </w:r>
      <w:r w:rsidRPr="004D04BF">
        <w:t>.</w:t>
      </w:r>
      <w:r w:rsidRPr="00870A77">
        <w:rPr>
          <w:noProof/>
          <w:vertAlign w:val="superscript"/>
        </w:rPr>
        <w:t>10</w:t>
      </w:r>
      <w:r w:rsidRPr="004D04BF">
        <w:t xml:space="preserve">   Alternative </w:t>
      </w:r>
      <w:r>
        <w:t xml:space="preserve">arbitrary or data-derived </w:t>
      </w:r>
      <w:r>
        <w:rPr>
          <w:lang w:val="en-GB"/>
        </w:rPr>
        <w:t>atrial high rate episodes</w:t>
      </w:r>
      <w:r w:rsidDel="00411794">
        <w:t xml:space="preserve"> </w:t>
      </w:r>
      <w:r w:rsidRPr="004D04BF">
        <w:t>burden cut-points have been explored over the subsequent ten years, ranging from five minutes to 24 hours.</w:t>
      </w:r>
      <w:r w:rsidRPr="00870A77">
        <w:rPr>
          <w:noProof/>
          <w:vertAlign w:val="superscript"/>
        </w:rPr>
        <w:t>11</w:t>
      </w:r>
      <w:r w:rsidRPr="004D04BF">
        <w:t xml:space="preserve"> </w:t>
      </w:r>
      <w:r>
        <w:t xml:space="preserve">but uncertainty remains about </w:t>
      </w:r>
      <w:r w:rsidRPr="004D04BF">
        <w:t xml:space="preserve">the minimum </w:t>
      </w:r>
      <w:r>
        <w:t>burden</w:t>
      </w:r>
      <w:r w:rsidRPr="004D04BF">
        <w:t xml:space="preserve"> that increases thromboembolic risk.  </w:t>
      </w:r>
      <w:r>
        <w:t xml:space="preserve">A recent re-evaluation of ASSERT indicated that stroke risk was increased only in patients with </w:t>
      </w:r>
      <w:r>
        <w:rPr>
          <w:lang w:val="en-GB"/>
        </w:rPr>
        <w:t>atrial high rate episodes</w:t>
      </w:r>
      <w:r>
        <w:t xml:space="preserve"> duration </w:t>
      </w:r>
      <w:r>
        <w:rPr>
          <w:rFonts w:ascii="Calibri" w:hAnsi="Calibri"/>
        </w:rPr>
        <w:t>≥</w:t>
      </w:r>
      <w:r>
        <w:t>24 hours.</w:t>
      </w:r>
      <w:r w:rsidRPr="008D370F">
        <w:rPr>
          <w:noProof/>
          <w:vertAlign w:val="superscript"/>
        </w:rPr>
        <w:t>25</w:t>
      </w:r>
      <w:r w:rsidRPr="00E71B19" w:rsidDel="009C5BEF">
        <w:t xml:space="preserve"> </w:t>
      </w:r>
    </w:p>
    <w:p w14:paraId="133EF9E0" w14:textId="77777777" w:rsidR="00597826" w:rsidRPr="00877C1D" w:rsidRDefault="00597826" w:rsidP="00375DCA">
      <w:pPr>
        <w:spacing w:after="0"/>
      </w:pPr>
      <w:r w:rsidRPr="004658EA">
        <w:rPr>
          <w:rFonts w:asciiTheme="majorHAnsi" w:hAnsiTheme="majorHAnsi"/>
          <w:b/>
          <w:sz w:val="24"/>
          <w:szCs w:val="24"/>
        </w:rPr>
        <w:t>Key point 1:</w:t>
      </w:r>
      <w:r w:rsidRPr="004658EA">
        <w:t xml:space="preserve"> Screen-detected AF as found on single timepoint screening, or intermittent 30 second recordings over 2 weeks, is not a benign condition, and with additional stroke risk factors, carries sufficient risk of stroke to justify consideration of screening and therapy to prevent stroke.</w:t>
      </w:r>
      <w:r w:rsidRPr="00877C1D">
        <w:t xml:space="preserve"> </w:t>
      </w:r>
    </w:p>
    <w:p w14:paraId="7204B3B4" w14:textId="77777777" w:rsidR="00597826" w:rsidRPr="007C4030" w:rsidRDefault="00597826" w:rsidP="00375DCA">
      <w:pPr>
        <w:pStyle w:val="Heading1"/>
        <w:rPr>
          <w:rFonts w:asciiTheme="minorHAnsi" w:hAnsiTheme="minorHAnsi"/>
          <w:i/>
          <w:color w:val="000000" w:themeColor="text1"/>
          <w:highlight w:val="yellow"/>
        </w:rPr>
      </w:pPr>
      <w:r w:rsidRPr="007C4030">
        <w:rPr>
          <w:rFonts w:asciiTheme="minorHAnsi" w:hAnsiTheme="minorHAnsi"/>
          <w:color w:val="000000" w:themeColor="text1"/>
          <w:sz w:val="24"/>
          <w:szCs w:val="24"/>
        </w:rPr>
        <w:t>Response to treatment of screen-detected AF</w:t>
      </w:r>
      <w:r w:rsidRPr="007C4030">
        <w:rPr>
          <w:rFonts w:asciiTheme="minorHAnsi" w:hAnsiTheme="minorHAnsi"/>
          <w:i/>
          <w:color w:val="000000" w:themeColor="text1"/>
          <w:highlight w:val="yellow"/>
        </w:rPr>
        <w:t xml:space="preserve"> </w:t>
      </w:r>
    </w:p>
    <w:p w14:paraId="396EFC79" w14:textId="77777777" w:rsidR="00597826" w:rsidRPr="0093101B" w:rsidRDefault="00597826" w:rsidP="00375DCA">
      <w:pPr>
        <w:rPr>
          <w:highlight w:val="yellow"/>
        </w:rPr>
      </w:pPr>
    </w:p>
    <w:p w14:paraId="71D88000" w14:textId="77777777" w:rsidR="00597826" w:rsidRPr="004D04BF" w:rsidRDefault="00597826" w:rsidP="00375DCA">
      <w:pPr>
        <w:rPr>
          <w:rFonts w:cs="Arial"/>
        </w:rPr>
      </w:pPr>
      <w:r w:rsidRPr="004D04BF">
        <w:rPr>
          <w:rFonts w:cs="Arial"/>
        </w:rPr>
        <w:t xml:space="preserve">Screening for a particular disease implies that there is an effective therapy that improves outcomes. </w:t>
      </w:r>
      <w:r>
        <w:rPr>
          <w:rFonts w:cs="Arial"/>
        </w:rPr>
        <w:t>For</w:t>
      </w:r>
      <w:r w:rsidRPr="004D04BF">
        <w:rPr>
          <w:rFonts w:cs="Arial"/>
        </w:rPr>
        <w:t xml:space="preserve"> AF, OACs </w:t>
      </w:r>
      <w:r>
        <w:rPr>
          <w:rFonts w:cs="Arial"/>
        </w:rPr>
        <w:t xml:space="preserve">have a major impact on reducing </w:t>
      </w:r>
      <w:r w:rsidRPr="004D04BF">
        <w:rPr>
          <w:rFonts w:cs="Arial"/>
        </w:rPr>
        <w:t>stroke</w:t>
      </w:r>
      <w:r>
        <w:rPr>
          <w:rFonts w:cs="Arial"/>
        </w:rPr>
        <w:t xml:space="preserve">, </w:t>
      </w:r>
      <w:r w:rsidRPr="004D04BF">
        <w:rPr>
          <w:rFonts w:cs="Arial"/>
        </w:rPr>
        <w:t>systemic embolism and all-cause mortality</w:t>
      </w:r>
      <w:r>
        <w:rPr>
          <w:rFonts w:cs="Arial"/>
        </w:rPr>
        <w:t>.</w:t>
      </w:r>
      <w:r w:rsidRPr="008D370F">
        <w:rPr>
          <w:rFonts w:cs="Arial"/>
          <w:noProof/>
          <w:vertAlign w:val="superscript"/>
        </w:rPr>
        <w:t>27</w:t>
      </w:r>
      <w:r w:rsidRPr="004D04BF">
        <w:rPr>
          <w:rFonts w:cs="Arial"/>
        </w:rPr>
        <w:t xml:space="preserve">  The non-vitamin-K antagonist </w:t>
      </w:r>
      <w:r>
        <w:rPr>
          <w:rFonts w:cs="Arial"/>
        </w:rPr>
        <w:t>OAC</w:t>
      </w:r>
      <w:r w:rsidRPr="004D04BF">
        <w:rPr>
          <w:rFonts w:cs="Arial"/>
        </w:rPr>
        <w:t>s (NOAC</w:t>
      </w:r>
      <w:r>
        <w:rPr>
          <w:rFonts w:cs="Arial"/>
        </w:rPr>
        <w:t>s</w:t>
      </w:r>
      <w:r w:rsidRPr="004D04BF">
        <w:rPr>
          <w:rFonts w:cs="Arial"/>
        </w:rPr>
        <w:t>) further improve outcomes with less intracranial bleeding.</w:t>
      </w:r>
      <w:r w:rsidRPr="008D370F">
        <w:rPr>
          <w:rFonts w:cs="Arial"/>
          <w:noProof/>
          <w:vertAlign w:val="superscript"/>
        </w:rPr>
        <w:t>28</w:t>
      </w:r>
      <w:r w:rsidRPr="004D04BF">
        <w:rPr>
          <w:rFonts w:cs="Arial"/>
        </w:rPr>
        <w:t xml:space="preserve"> </w:t>
      </w:r>
      <w:r>
        <w:rPr>
          <w:rFonts w:cs="Arial"/>
        </w:rPr>
        <w:t xml:space="preserve"> It has been questioned whether</w:t>
      </w:r>
      <w:r w:rsidRPr="004D04BF">
        <w:rPr>
          <w:rFonts w:cs="Arial"/>
        </w:rPr>
        <w:t xml:space="preserve"> </w:t>
      </w:r>
      <w:r>
        <w:rPr>
          <w:rFonts w:cs="Arial"/>
        </w:rPr>
        <w:t>screen-detected AF</w:t>
      </w:r>
      <w:r w:rsidRPr="004D04BF">
        <w:rPr>
          <w:rFonts w:cs="Arial"/>
        </w:rPr>
        <w:t xml:space="preserve"> </w:t>
      </w:r>
      <w:r>
        <w:rPr>
          <w:rFonts w:cs="Arial"/>
        </w:rPr>
        <w:t xml:space="preserve">should </w:t>
      </w:r>
      <w:r w:rsidRPr="004D04BF">
        <w:rPr>
          <w:rFonts w:cs="Arial"/>
        </w:rPr>
        <w:t xml:space="preserve">prompt OAC treatment, and </w:t>
      </w:r>
      <w:r>
        <w:rPr>
          <w:rFonts w:cs="Arial"/>
        </w:rPr>
        <w:t xml:space="preserve">whether </w:t>
      </w:r>
      <w:r w:rsidRPr="004D04BF">
        <w:rPr>
          <w:rFonts w:cs="Arial"/>
        </w:rPr>
        <w:t xml:space="preserve">the response to treatment </w:t>
      </w:r>
      <w:r>
        <w:rPr>
          <w:rFonts w:cs="Arial"/>
        </w:rPr>
        <w:t xml:space="preserve">is </w:t>
      </w:r>
      <w:r w:rsidRPr="004D04BF">
        <w:rPr>
          <w:rFonts w:cs="Arial"/>
        </w:rPr>
        <w:t>the same as for</w:t>
      </w:r>
      <w:r>
        <w:rPr>
          <w:rFonts w:cs="Arial"/>
        </w:rPr>
        <w:t xml:space="preserve"> symptomatic AF.</w:t>
      </w:r>
      <w:r w:rsidRPr="004D04BF">
        <w:rPr>
          <w:rFonts w:cs="Arial"/>
        </w:rPr>
        <w:t xml:space="preserve"> An undetermined proportion</w:t>
      </w:r>
      <w:r>
        <w:rPr>
          <w:rFonts w:cs="Arial"/>
        </w:rPr>
        <w:t xml:space="preserve"> of asymptomatic patients</w:t>
      </w:r>
      <w:r w:rsidRPr="004D04BF">
        <w:rPr>
          <w:rFonts w:cs="Arial"/>
        </w:rPr>
        <w:t xml:space="preserve"> with incidentally-detected AF were included in the pivotal </w:t>
      </w:r>
      <w:r>
        <w:rPr>
          <w:rFonts w:cs="Arial"/>
        </w:rPr>
        <w:t xml:space="preserve">anticoagulant </w:t>
      </w:r>
      <w:r w:rsidRPr="004D04BF">
        <w:rPr>
          <w:rFonts w:cs="Arial"/>
        </w:rPr>
        <w:t>studies, but these have not been</w:t>
      </w:r>
      <w:r>
        <w:rPr>
          <w:rFonts w:cs="Arial"/>
        </w:rPr>
        <w:t xml:space="preserve"> analyzed</w:t>
      </w:r>
      <w:r w:rsidRPr="004D04BF">
        <w:rPr>
          <w:rFonts w:cs="Arial"/>
        </w:rPr>
        <w:t xml:space="preserve"> separate</w:t>
      </w:r>
      <w:r>
        <w:rPr>
          <w:rFonts w:cs="Arial"/>
        </w:rPr>
        <w:t>ly.</w:t>
      </w:r>
      <w:r w:rsidRPr="008D370F">
        <w:rPr>
          <w:rFonts w:cs="Arial"/>
          <w:noProof/>
          <w:vertAlign w:val="superscript"/>
        </w:rPr>
        <w:t>27</w:t>
      </w:r>
      <w:r w:rsidRPr="004D04BF">
        <w:rPr>
          <w:rFonts w:cs="Arial"/>
        </w:rPr>
        <w:t xml:space="preserve"> There are no randomized</w:t>
      </w:r>
      <w:r>
        <w:rPr>
          <w:rFonts w:cs="Arial"/>
        </w:rPr>
        <w:t xml:space="preserve"> controlled</w:t>
      </w:r>
      <w:r w:rsidRPr="004D04BF">
        <w:rPr>
          <w:rFonts w:cs="Arial"/>
        </w:rPr>
        <w:t xml:space="preserve"> trials</w:t>
      </w:r>
      <w:r>
        <w:rPr>
          <w:rFonts w:cs="Arial"/>
        </w:rPr>
        <w:t xml:space="preserve"> (RCTs)</w:t>
      </w:r>
      <w:r w:rsidRPr="004D04BF">
        <w:rPr>
          <w:rFonts w:cs="Arial"/>
        </w:rPr>
        <w:t xml:space="preserve">, and it may be unethical to randomize patients with screen-detected AF to no therapy or an ineffective drug such as aspirin. </w:t>
      </w:r>
      <w:r>
        <w:rPr>
          <w:rFonts w:cs="Arial"/>
        </w:rPr>
        <w:t xml:space="preserve">The treatment decision for </w:t>
      </w:r>
      <w:r w:rsidRPr="004D04BF">
        <w:rPr>
          <w:rFonts w:cs="Arial"/>
        </w:rPr>
        <w:t xml:space="preserve">a given individual with screen-detected AF is </w:t>
      </w:r>
      <w:r>
        <w:rPr>
          <w:rFonts w:cs="Arial"/>
        </w:rPr>
        <w:t>determined by stroke</w:t>
      </w:r>
      <w:r w:rsidRPr="004D04BF">
        <w:rPr>
          <w:rFonts w:cs="Arial"/>
        </w:rPr>
        <w:t xml:space="preserve"> risk factors </w:t>
      </w:r>
      <w:r>
        <w:rPr>
          <w:rFonts w:cs="Arial"/>
        </w:rPr>
        <w:t>(</w:t>
      </w:r>
      <w:r w:rsidRPr="004D04BF">
        <w:t>CHA</w:t>
      </w:r>
      <w:r w:rsidRPr="004D04BF">
        <w:rPr>
          <w:vertAlign w:val="subscript"/>
        </w:rPr>
        <w:t>2</w:t>
      </w:r>
      <w:r w:rsidRPr="004D04BF">
        <w:t>DS</w:t>
      </w:r>
      <w:r w:rsidRPr="004D04BF">
        <w:rPr>
          <w:vertAlign w:val="subscript"/>
        </w:rPr>
        <w:t>2</w:t>
      </w:r>
      <w:r w:rsidRPr="004D04BF">
        <w:t xml:space="preserve">-VASc score) </w:t>
      </w:r>
      <w:r w:rsidRPr="004D04BF">
        <w:rPr>
          <w:rFonts w:cs="Arial"/>
        </w:rPr>
        <w:t>according to guidelines</w:t>
      </w:r>
      <w:r>
        <w:rPr>
          <w:rFonts w:cs="Arial"/>
        </w:rPr>
        <w:t>,</w:t>
      </w:r>
      <w:r w:rsidRPr="000C23C2">
        <w:t xml:space="preserve"> </w:t>
      </w:r>
      <w:r w:rsidRPr="008D370F">
        <w:rPr>
          <w:rFonts w:cs="Arial"/>
          <w:noProof/>
          <w:vertAlign w:val="superscript"/>
        </w:rPr>
        <w:t>1, 29</w:t>
      </w:r>
      <w:r>
        <w:rPr>
          <w:rFonts w:cs="Arial"/>
        </w:rPr>
        <w:t xml:space="preserve"> and by </w:t>
      </w:r>
      <w:r w:rsidRPr="004D04BF">
        <w:rPr>
          <w:rFonts w:cs="Arial"/>
        </w:rPr>
        <w:t xml:space="preserve">the duration of the AF episode </w:t>
      </w:r>
      <w:r>
        <w:rPr>
          <w:rFonts w:cs="Arial"/>
        </w:rPr>
        <w:t xml:space="preserve">in the case of CIED-detected </w:t>
      </w:r>
      <w:r>
        <w:rPr>
          <w:lang w:val="en-GB"/>
        </w:rPr>
        <w:t>atrial high rate episodes</w:t>
      </w:r>
      <w:r>
        <w:rPr>
          <w:rFonts w:cs="Arial"/>
        </w:rPr>
        <w:t>.</w:t>
      </w:r>
    </w:p>
    <w:p w14:paraId="19B37C3C" w14:textId="77777777" w:rsidR="00597826" w:rsidRDefault="00597826" w:rsidP="00375DCA">
      <w:pPr>
        <w:rPr>
          <w:rFonts w:cs="Arial"/>
        </w:rPr>
      </w:pPr>
      <w:r w:rsidRPr="004D04BF">
        <w:t xml:space="preserve">In the </w:t>
      </w:r>
      <w:r>
        <w:t xml:space="preserve">cohort </w:t>
      </w:r>
      <w:r w:rsidRPr="004D04BF">
        <w:t xml:space="preserve">study of 5,555 asymptomatic patients with </w:t>
      </w:r>
      <w:r>
        <w:t xml:space="preserve">AF detected </w:t>
      </w:r>
      <w:r w:rsidRPr="004D04BF">
        <w:t xml:space="preserve">incidentally </w:t>
      </w:r>
      <w:r>
        <w:t>in general practice</w:t>
      </w:r>
      <w:r w:rsidRPr="004D04BF">
        <w:t xml:space="preserve">, OAC therapy (n=2,492) compared to no antithrombotic therapy (n=1,460) </w:t>
      </w:r>
      <w:r>
        <w:t xml:space="preserve">was associated with </w:t>
      </w:r>
      <w:r w:rsidRPr="004D04BF">
        <w:t xml:space="preserve">significantly reduced </w:t>
      </w:r>
      <w:r>
        <w:t xml:space="preserve">adjusted </w:t>
      </w:r>
      <w:r w:rsidRPr="004D04BF">
        <w:t>risk of stroke from 4% to 1%, and death from 7% to 4%  in only 1.5</w:t>
      </w:r>
      <w:r>
        <w:t xml:space="preserve"> </w:t>
      </w:r>
      <w:r w:rsidRPr="004D04BF">
        <w:t>y</w:t>
      </w:r>
      <w:r>
        <w:t>ears</w:t>
      </w:r>
      <w:r w:rsidRPr="004D04BF">
        <w:t>, su</w:t>
      </w:r>
      <w:r>
        <w:t xml:space="preserve">ggesting that screen-detected </w:t>
      </w:r>
      <w:r w:rsidRPr="004D04BF">
        <w:t xml:space="preserve">AF </w:t>
      </w:r>
      <w:r>
        <w:t>may</w:t>
      </w:r>
      <w:r w:rsidRPr="004D04BF">
        <w:t xml:space="preserve"> respond similarly.</w:t>
      </w:r>
      <w:r w:rsidRPr="008D370F">
        <w:rPr>
          <w:noProof/>
          <w:vertAlign w:val="superscript"/>
        </w:rPr>
        <w:t>21, 22</w:t>
      </w:r>
      <w:r>
        <w:t xml:space="preserve"> </w:t>
      </w:r>
      <w:r w:rsidRPr="004D04BF">
        <w:rPr>
          <w:rFonts w:cs="Arial"/>
        </w:rPr>
        <w:t xml:space="preserve">Ongoing studies </w:t>
      </w:r>
      <w:r>
        <w:rPr>
          <w:rFonts w:cs="Arial"/>
        </w:rPr>
        <w:t>including ARTESiA (NCT</w:t>
      </w:r>
      <w:r w:rsidRPr="004D04BF">
        <w:rPr>
          <w:rFonts w:cs="Arial"/>
        </w:rPr>
        <w:t xml:space="preserve">01938248) and NOAH (NCT02618577) will help </w:t>
      </w:r>
      <w:r>
        <w:rPr>
          <w:rFonts w:cs="Arial"/>
        </w:rPr>
        <w:t xml:space="preserve">refine the benefit of NOAC in CIED-detected </w:t>
      </w:r>
      <w:r>
        <w:rPr>
          <w:lang w:val="en-GB"/>
        </w:rPr>
        <w:t>atrial high rate episodes</w:t>
      </w:r>
      <w:r>
        <w:rPr>
          <w:rFonts w:cs="Arial"/>
        </w:rPr>
        <w:t xml:space="preserve"> and provide more information on the burden or duration of </w:t>
      </w:r>
      <w:r>
        <w:rPr>
          <w:lang w:val="en-GB"/>
        </w:rPr>
        <w:t>atrial high rate episodes</w:t>
      </w:r>
      <w:r>
        <w:rPr>
          <w:rFonts w:cs="Arial"/>
        </w:rPr>
        <w:t xml:space="preserve"> that will benefit. </w:t>
      </w:r>
    </w:p>
    <w:p w14:paraId="15B1C392" w14:textId="77777777" w:rsidR="00597826" w:rsidRPr="004D04BF" w:rsidRDefault="00597826" w:rsidP="00375DCA">
      <w:pPr>
        <w:ind w:firstLine="720"/>
        <w:rPr>
          <w:rFonts w:cs="Arial"/>
        </w:rPr>
      </w:pPr>
      <w:r w:rsidRPr="004658EA">
        <w:rPr>
          <w:rFonts w:cs="Arial"/>
        </w:rPr>
        <w:t>Screen-detected AF (single timepoint screening or patient-initiated recording) is likely to have the same response to OAC therapy as incidentally detected AF and symptomatic AF, with significant reduction in stroke and death.</w:t>
      </w:r>
      <w:r w:rsidRPr="006D5079">
        <w:rPr>
          <w:rFonts w:cs="Arial"/>
        </w:rPr>
        <w:t xml:space="preserve"> </w:t>
      </w:r>
      <w:r w:rsidRPr="004658EA">
        <w:rPr>
          <w:rFonts w:cs="Arial"/>
        </w:rPr>
        <w:t xml:space="preserve">The absolute level of stroke risk for CIED-detected </w:t>
      </w:r>
      <w:r w:rsidRPr="004658EA">
        <w:rPr>
          <w:lang w:val="en-GB"/>
        </w:rPr>
        <w:t>atrial high rate episodes</w:t>
      </w:r>
      <w:r w:rsidRPr="004658EA">
        <w:rPr>
          <w:rFonts w:cs="Arial"/>
        </w:rPr>
        <w:t xml:space="preserve"> may be lower than screen-detected AF and may modify the risk-benefit of OAC therapy. The burden threshold of CIED-detected atrial high rate episodes/</w:t>
      </w:r>
      <w:r w:rsidRPr="004658EA">
        <w:t>CHA</w:t>
      </w:r>
      <w:r w:rsidRPr="004658EA">
        <w:rPr>
          <w:vertAlign w:val="subscript"/>
        </w:rPr>
        <w:t>2</w:t>
      </w:r>
      <w:r w:rsidRPr="004658EA">
        <w:t>DS</w:t>
      </w:r>
      <w:r w:rsidRPr="004658EA">
        <w:rPr>
          <w:vertAlign w:val="subscript"/>
        </w:rPr>
        <w:t>2</w:t>
      </w:r>
      <w:r w:rsidRPr="004658EA">
        <w:t>-VASc score</w:t>
      </w:r>
      <w:r w:rsidRPr="004658EA">
        <w:rPr>
          <w:rFonts w:cs="Arial"/>
        </w:rPr>
        <w:t xml:space="preserve"> associated with a positive risk-benefit ratio is under investigation.</w:t>
      </w:r>
    </w:p>
    <w:p w14:paraId="5FA86D3D" w14:textId="77777777" w:rsidR="00597826" w:rsidRPr="007C4030" w:rsidRDefault="00597826" w:rsidP="00375DCA">
      <w:pPr>
        <w:pStyle w:val="Heading1"/>
        <w:rPr>
          <w:rFonts w:asciiTheme="minorHAnsi" w:hAnsiTheme="minorHAnsi"/>
          <w:color w:val="000000" w:themeColor="text1"/>
          <w:sz w:val="24"/>
          <w:szCs w:val="24"/>
        </w:rPr>
      </w:pPr>
      <w:r w:rsidRPr="007C4030">
        <w:rPr>
          <w:rFonts w:asciiTheme="minorHAnsi" w:hAnsiTheme="minorHAnsi"/>
          <w:color w:val="000000" w:themeColor="text1"/>
          <w:sz w:val="24"/>
          <w:szCs w:val="24"/>
        </w:rPr>
        <w:t>Role of AF in ischemic stroke</w:t>
      </w:r>
    </w:p>
    <w:p w14:paraId="5B7395A6" w14:textId="77777777" w:rsidR="00597826" w:rsidRPr="004D04BF" w:rsidRDefault="00597826" w:rsidP="00375DCA"/>
    <w:p w14:paraId="7C40EEFF" w14:textId="77777777" w:rsidR="00597826" w:rsidRPr="004D04BF" w:rsidRDefault="00597826" w:rsidP="00375DCA">
      <w:r w:rsidRPr="004D04BF">
        <w:t>In stroke registries, at least a third of patients with ischemic strok</w:t>
      </w:r>
      <w:r>
        <w:t xml:space="preserve">e have either </w:t>
      </w:r>
      <w:r w:rsidRPr="00DD2342">
        <w:t>previously</w:t>
      </w:r>
      <w:r>
        <w:t xml:space="preserve"> known</w:t>
      </w:r>
      <w:r w:rsidRPr="008D370F">
        <w:rPr>
          <w:noProof/>
          <w:vertAlign w:val="superscript"/>
        </w:rPr>
        <w:t>30, 31</w:t>
      </w:r>
      <w:r>
        <w:t xml:space="preserve"> or newly-</w:t>
      </w:r>
      <w:r w:rsidRPr="004D04BF">
        <w:t>detected AF at the time of stroke.</w:t>
      </w:r>
      <w:r w:rsidRPr="008D370F">
        <w:rPr>
          <w:noProof/>
          <w:vertAlign w:val="superscript"/>
        </w:rPr>
        <w:t>32</w:t>
      </w:r>
      <w:r w:rsidRPr="004D04BF">
        <w:t xml:space="preserve"> Stroke was the first manifestation of AF in over </w:t>
      </w:r>
      <w:r>
        <w:t>25%</w:t>
      </w:r>
      <w:r w:rsidRPr="004D04BF">
        <w:t xml:space="preserve"> of AF-related strokes.</w:t>
      </w:r>
      <w:r w:rsidRPr="008D370F">
        <w:rPr>
          <w:noProof/>
          <w:vertAlign w:val="superscript"/>
        </w:rPr>
        <w:t>30</w:t>
      </w:r>
      <w:r w:rsidRPr="004D04BF">
        <w:t xml:space="preserve"> The</w:t>
      </w:r>
      <w:r>
        <w:t xml:space="preserve"> association with</w:t>
      </w:r>
      <w:r w:rsidRPr="004D04BF">
        <w:t xml:space="preserve"> AF is even higher if prolonged post-stroke external or implanted monitoring is performed</w:t>
      </w:r>
      <w:r>
        <w:t>.</w:t>
      </w:r>
      <w:hyperlink w:anchor="_ENREF_46" w:tooltip="Gladstone, 2009 #247" w:history="1"/>
      <w:r w:rsidRPr="008D370F">
        <w:rPr>
          <w:noProof/>
          <w:vertAlign w:val="superscript"/>
        </w:rPr>
        <w:t>33, 34</w:t>
      </w:r>
      <w:r>
        <w:t xml:space="preserve"> </w:t>
      </w:r>
      <w:r w:rsidRPr="004D04BF">
        <w:t xml:space="preserve">In the Swedish Riks-Stroke register of over 94,000 ischemic strokes, approximately 9% were associated with previously unknown AF, and 20% </w:t>
      </w:r>
      <w:r>
        <w:t>with known but undertreated AF,</w:t>
      </w:r>
      <w:r w:rsidRPr="008D370F">
        <w:rPr>
          <w:noProof/>
          <w:vertAlign w:val="superscript"/>
        </w:rPr>
        <w:t>30, 31</w:t>
      </w:r>
      <w:hyperlink w:anchor="_ENREF_43" w:tooltip="Freedman, 2016 #764" w:history="1"/>
      <w:r w:rsidRPr="004D04BF">
        <w:t xml:space="preserve">  </w:t>
      </w:r>
      <w:r>
        <w:t>while in a global registry, 10% were due to previously unknown AF.</w:t>
      </w:r>
      <w:r w:rsidRPr="008D370F">
        <w:rPr>
          <w:noProof/>
          <w:vertAlign w:val="superscript"/>
        </w:rPr>
        <w:t>35</w:t>
      </w:r>
      <w:r>
        <w:t xml:space="preserve"> </w:t>
      </w:r>
    </w:p>
    <w:p w14:paraId="621DA9D7" w14:textId="77777777" w:rsidR="00597826" w:rsidRPr="004D04BF" w:rsidRDefault="00597826" w:rsidP="00375DCA">
      <w:r w:rsidRPr="004D04BF">
        <w:t xml:space="preserve">Recent evidence </w:t>
      </w:r>
      <w:r>
        <w:t xml:space="preserve">from CIEDs </w:t>
      </w:r>
      <w:r w:rsidRPr="004D04BF">
        <w:t>raises questions about the temporal and mechanistic relationship between AF and stroke, and whether AF is necessary for left atrial thromboembolism to</w:t>
      </w:r>
      <w:r>
        <w:t xml:space="preserve"> occur.</w:t>
      </w:r>
      <w:r w:rsidRPr="008D370F">
        <w:rPr>
          <w:noProof/>
          <w:vertAlign w:val="superscript"/>
        </w:rPr>
        <w:t>9, 36-38</w:t>
      </w:r>
      <w:r>
        <w:t xml:space="preserve">  In several studies t</w:t>
      </w:r>
      <w:r w:rsidRPr="004D04BF">
        <w:t xml:space="preserve">here does </w:t>
      </w:r>
      <w:r w:rsidRPr="00901335">
        <w:t xml:space="preserve">not </w:t>
      </w:r>
      <w:r w:rsidRPr="004D04BF">
        <w:t>seem to be a proximate temporal relationsh</w:t>
      </w:r>
      <w:r>
        <w:t xml:space="preserve">ip between device-detected </w:t>
      </w:r>
      <w:r>
        <w:rPr>
          <w:lang w:val="en-GB"/>
        </w:rPr>
        <w:t>atrial high rate episodes</w:t>
      </w:r>
      <w:r w:rsidRPr="004D04BF">
        <w:t xml:space="preserve"> and strokes, even though patients </w:t>
      </w:r>
      <w:r>
        <w:t>with</w:t>
      </w:r>
      <w:r w:rsidRPr="004D04BF">
        <w:t xml:space="preserve"> </w:t>
      </w:r>
      <w:r>
        <w:rPr>
          <w:lang w:val="en-GB"/>
        </w:rPr>
        <w:t>atrial high rate episodes</w:t>
      </w:r>
      <w:r w:rsidRPr="004D04BF">
        <w:t xml:space="preserve"> are at increased risk for stroke</w:t>
      </w:r>
      <w:r>
        <w:t>(Table 3)</w:t>
      </w:r>
      <w:r w:rsidRPr="004D04BF">
        <w:t>.</w:t>
      </w:r>
      <w:r w:rsidRPr="008D370F">
        <w:rPr>
          <w:noProof/>
          <w:vertAlign w:val="superscript"/>
        </w:rPr>
        <w:t>18, 36, 37</w:t>
      </w:r>
      <w:r w:rsidRPr="004D04BF">
        <w:t xml:space="preserve"> Only a small minority of patients with </w:t>
      </w:r>
      <w:r>
        <w:t xml:space="preserve">CIED-detected </w:t>
      </w:r>
      <w:r>
        <w:rPr>
          <w:lang w:val="en-GB"/>
        </w:rPr>
        <w:t>atrial high rate episodes</w:t>
      </w:r>
      <w:r w:rsidRPr="004D04BF">
        <w:t xml:space="preserve"> </w:t>
      </w:r>
      <w:r>
        <w:t xml:space="preserve">who have a stroke </w:t>
      </w:r>
      <w:r w:rsidRPr="004D04BF">
        <w:t xml:space="preserve">experience </w:t>
      </w:r>
      <w:r>
        <w:t>the arrhythmia</w:t>
      </w:r>
      <w:r w:rsidRPr="004D04BF">
        <w:t xml:space="preserve"> in the month prior to a stroke</w:t>
      </w:r>
      <w:r>
        <w:t>;</w:t>
      </w:r>
      <w:r w:rsidRPr="008D370F">
        <w:rPr>
          <w:noProof/>
          <w:vertAlign w:val="superscript"/>
        </w:rPr>
        <w:t>9, 36</w:t>
      </w:r>
      <w:r w:rsidRPr="004D04BF">
        <w:t xml:space="preserve">  one-third had no</w:t>
      </w:r>
      <w:r w:rsidRPr="00411794">
        <w:rPr>
          <w:lang w:val="en-GB"/>
        </w:rPr>
        <w:t xml:space="preserve"> </w:t>
      </w:r>
      <w:r>
        <w:rPr>
          <w:lang w:val="en-GB"/>
        </w:rPr>
        <w:t xml:space="preserve">atrial high rate episodes </w:t>
      </w:r>
      <w:r w:rsidRPr="004D04BF">
        <w:t>during approximately 1 year of rhythm monitoring before the</w:t>
      </w:r>
      <w:r>
        <w:t xml:space="preserve">ir stroke and only manifested </w:t>
      </w:r>
      <w:r>
        <w:rPr>
          <w:lang w:val="en-GB"/>
        </w:rPr>
        <w:t>atrial high rate episodes</w:t>
      </w:r>
      <w:r w:rsidRPr="004D04BF">
        <w:t xml:space="preserve"> after</w:t>
      </w:r>
      <w:r>
        <w:t xml:space="preserve"> their stroke</w:t>
      </w:r>
      <w:r w:rsidRPr="004D04BF">
        <w:t>.</w:t>
      </w:r>
      <w:r w:rsidRPr="008D370F">
        <w:rPr>
          <w:noProof/>
          <w:vertAlign w:val="superscript"/>
        </w:rPr>
        <w:t>18, 36</w:t>
      </w:r>
      <w:r w:rsidRPr="004D04BF">
        <w:t xml:space="preserve"> Furthermore, multiple markers of abnormal atrial substrate have been associated with stroke </w:t>
      </w:r>
      <w:r w:rsidRPr="00146884">
        <w:t>independently of AF</w:t>
      </w:r>
      <w:r>
        <w:t>.</w:t>
      </w:r>
      <w:r w:rsidRPr="008D370F">
        <w:rPr>
          <w:noProof/>
          <w:vertAlign w:val="superscript"/>
        </w:rPr>
        <w:t>39</w:t>
      </w:r>
      <w:r w:rsidRPr="004D04BF">
        <w:t xml:space="preserve"> In a small proportion of patients, </w:t>
      </w:r>
      <w:r>
        <w:t xml:space="preserve">however, </w:t>
      </w:r>
      <w:r w:rsidRPr="004D04BF">
        <w:t>there is a close proximate relatio</w:t>
      </w:r>
      <w:r>
        <w:t xml:space="preserve">nship between a daily </w:t>
      </w:r>
      <w:r>
        <w:rPr>
          <w:lang w:val="en-GB"/>
        </w:rPr>
        <w:t>atrial high rate episode</w:t>
      </w:r>
      <w:r>
        <w:t xml:space="preserve"> burden</w:t>
      </w:r>
      <w:r w:rsidRPr="004D04BF">
        <w:t xml:space="preserve"> </w:t>
      </w:r>
      <w:r w:rsidRPr="004D04BF">
        <w:rPr>
          <w:rFonts w:ascii="Calibri" w:hAnsi="Calibri"/>
        </w:rPr>
        <w:t>≥</w:t>
      </w:r>
      <w:r w:rsidRPr="004D04BF">
        <w:t>5.5h and stroke, with risk highest in the 5 days prior to stroke, falling to a non-significant increase in risk</w:t>
      </w:r>
      <w:r>
        <w:t xml:space="preserve"> by 30 days prior to stroke (Figure 2</w:t>
      </w:r>
      <w:r w:rsidRPr="004D04BF">
        <w:t>), pointing to AF being a</w:t>
      </w:r>
      <w:r>
        <w:t xml:space="preserve"> risk factor in these patients.</w:t>
      </w:r>
      <w:r w:rsidRPr="008D370F">
        <w:rPr>
          <w:noProof/>
          <w:vertAlign w:val="superscript"/>
        </w:rPr>
        <w:t>40</w:t>
      </w:r>
      <w:r>
        <w:t xml:space="preserve"> A limitation of the CIED studies is small numbers of strokes, and usually, lack of adjudication as cardio-embolic.</w:t>
      </w:r>
    </w:p>
    <w:p w14:paraId="27098B07" w14:textId="77777777" w:rsidR="00597826" w:rsidRPr="004D04BF" w:rsidRDefault="00597826" w:rsidP="00375DCA">
      <w:r>
        <w:t>Even short AF episodes can create a prothrombotic state</w:t>
      </w:r>
      <w:r w:rsidRPr="004D04BF">
        <w:t xml:space="preserve"> </w:t>
      </w:r>
      <w:r>
        <w:t xml:space="preserve">that persists for some time after the episode. Furthermore, </w:t>
      </w:r>
      <w:r w:rsidRPr="004D04BF">
        <w:t>an atrial cardio</w:t>
      </w:r>
      <w:r>
        <w:t>myo</w:t>
      </w:r>
      <w:r w:rsidRPr="004D04BF">
        <w:t>pathy</w:t>
      </w:r>
      <w:r>
        <w:t xml:space="preserve"> related to a</w:t>
      </w:r>
      <w:r w:rsidRPr="004D04BF">
        <w:t>ging and systemic risk factors</w:t>
      </w:r>
      <w:r w:rsidRPr="008D370F">
        <w:rPr>
          <w:noProof/>
          <w:vertAlign w:val="superscript"/>
        </w:rPr>
        <w:t>42</w:t>
      </w:r>
      <w:r w:rsidRPr="004D04BF">
        <w:t xml:space="preserve"> </w:t>
      </w:r>
      <w:r>
        <w:t>can</w:t>
      </w:r>
      <w:r w:rsidRPr="004D04BF">
        <w:t xml:space="preserve"> lead to AF and/or atrial thromboembolism. Once AF develops, it impairs atrial function and secondarily leads to atrial remodeling, which in addition to flow abnormalities, further increases thromboembolic risk.</w:t>
      </w:r>
      <w:r w:rsidRPr="008D370F">
        <w:rPr>
          <w:noProof/>
          <w:vertAlign w:val="superscript"/>
        </w:rPr>
        <w:t>42</w:t>
      </w:r>
      <w:r w:rsidR="00212E49">
        <w:t xml:space="preserve"> </w:t>
      </w:r>
      <w:r>
        <w:t>A</w:t>
      </w:r>
      <w:r w:rsidRPr="004D04BF">
        <w:t>trial cardio</w:t>
      </w:r>
      <w:r>
        <w:t>myo</w:t>
      </w:r>
      <w:r w:rsidRPr="004D04BF">
        <w:t xml:space="preserve">pathy </w:t>
      </w:r>
      <w:r>
        <w:t xml:space="preserve">as a </w:t>
      </w:r>
      <w:r w:rsidRPr="004D04BF">
        <w:t>cause</w:t>
      </w:r>
      <w:r>
        <w:t xml:space="preserve"> of thromboembolism before AF c</w:t>
      </w:r>
      <w:r w:rsidRPr="004D04BF">
        <w:t xml:space="preserve">ould explain why a brief period of AF is associated with stroke months later, why many patients manifest AF for the first time after a stroke, and why one-third of strokes are currently of unknown cause.  Advanced neuro-cardiac imaging and </w:t>
      </w:r>
      <w:r>
        <w:t xml:space="preserve">continuous </w:t>
      </w:r>
      <w:r w:rsidRPr="004D04BF">
        <w:t xml:space="preserve">monitoring may provide further insights </w:t>
      </w:r>
      <w:r>
        <w:t xml:space="preserve">into the pathophysiology in </w:t>
      </w:r>
      <w:r w:rsidRPr="004D04BF">
        <w:t xml:space="preserve">future. </w:t>
      </w:r>
    </w:p>
    <w:p w14:paraId="342750ED" w14:textId="77777777" w:rsidR="00597826" w:rsidRPr="004D04BF" w:rsidRDefault="00597826" w:rsidP="00375DCA">
      <w:r>
        <w:t>N</w:t>
      </w:r>
      <w:r w:rsidRPr="004D04BF">
        <w:t xml:space="preserve">evertheless, </w:t>
      </w:r>
      <w:r>
        <w:t xml:space="preserve">AF </w:t>
      </w:r>
      <w:r w:rsidRPr="004D04BF">
        <w:t>remains a very important risk marker as well as risk factor for stroke, with well documented e</w:t>
      </w:r>
      <w:r>
        <w:t>fficacy of OAC</w:t>
      </w:r>
      <w:r w:rsidRPr="004D04BF">
        <w:t xml:space="preserve"> </w:t>
      </w:r>
      <w:r>
        <w:t>for</w:t>
      </w:r>
      <w:r w:rsidRPr="004D04BF">
        <w:t xml:space="preserve"> stroke preve</w:t>
      </w:r>
      <w:r>
        <w:t>ntion.</w:t>
      </w:r>
      <w:r w:rsidRPr="004D04BF">
        <w:t xml:space="preserve"> Anticoagulated AF patients have residual stroke rates similar to matched individuals without AF, which underlines the efficacy of OAC</w:t>
      </w:r>
      <w:r>
        <w:t>s</w:t>
      </w:r>
      <w:r w:rsidRPr="004D04BF">
        <w:t xml:space="preserve"> in prevention of AF-related stroke.</w:t>
      </w:r>
      <w:r w:rsidRPr="008D370F">
        <w:rPr>
          <w:noProof/>
          <w:vertAlign w:val="superscript"/>
        </w:rPr>
        <w:t>22</w:t>
      </w:r>
      <w:r>
        <w:t xml:space="preserve"> </w:t>
      </w:r>
      <w:r w:rsidRPr="004D04BF">
        <w:t>OAC</w:t>
      </w:r>
      <w:r>
        <w:t>s</w:t>
      </w:r>
      <w:r w:rsidRPr="004D04BF">
        <w:t xml:space="preserve"> </w:t>
      </w:r>
      <w:r>
        <w:t>remain</w:t>
      </w:r>
      <w:r w:rsidRPr="004D04BF">
        <w:t xml:space="preserve"> underused in AF patients at risk of stroke: 30-50% of eligible AF patients not being given OAC, many mistreated with aspirin monotherapy, and the remainder not receiving any antithrombotic therapy.</w:t>
      </w:r>
      <w:r w:rsidRPr="00446969">
        <w:t xml:space="preserve"> </w:t>
      </w:r>
      <w:r w:rsidRPr="008D370F">
        <w:rPr>
          <w:noProof/>
          <w:vertAlign w:val="superscript"/>
        </w:rPr>
        <w:t>30, 33, 43</w:t>
      </w:r>
      <w:r w:rsidRPr="004D04BF" w:rsidDel="00012112">
        <w:t xml:space="preserve"> </w:t>
      </w:r>
      <w:hyperlink w:anchor="_ENREF_43" w:tooltip="Freedman, 2016 #764" w:history="1"/>
      <w:r w:rsidRPr="004D04BF">
        <w:t xml:space="preserve"> </w:t>
      </w:r>
    </w:p>
    <w:p w14:paraId="63587594" w14:textId="77777777" w:rsidR="00597826" w:rsidRPr="004D04BF" w:rsidRDefault="00597826" w:rsidP="00375DCA">
      <w:pPr>
        <w:spacing w:after="0"/>
      </w:pPr>
      <w:r w:rsidRPr="004658EA">
        <w:t>It is likely that both unknown and undertreated AF contribute to a substantial proportion of all strokes, which could be prevented by screening strategies. Regarding the role of AF in stroke, it is likely that AF is both a risk factor and a strong risk marker for stroke.</w:t>
      </w:r>
    </w:p>
    <w:p w14:paraId="53A394AB" w14:textId="77777777" w:rsidR="00597826" w:rsidRPr="007C4030" w:rsidRDefault="00597826" w:rsidP="00375DCA">
      <w:pPr>
        <w:pStyle w:val="Heading1"/>
        <w:rPr>
          <w:rFonts w:asciiTheme="minorHAnsi" w:hAnsiTheme="minorHAnsi"/>
          <w:color w:val="000000" w:themeColor="text1"/>
          <w:sz w:val="24"/>
          <w:szCs w:val="24"/>
        </w:rPr>
      </w:pPr>
      <w:r w:rsidRPr="007C4030">
        <w:rPr>
          <w:rFonts w:asciiTheme="minorHAnsi" w:hAnsiTheme="minorHAnsi"/>
          <w:color w:val="000000" w:themeColor="text1"/>
          <w:sz w:val="24"/>
          <w:szCs w:val="24"/>
        </w:rPr>
        <w:t xml:space="preserve">Which patients to screen? </w:t>
      </w:r>
    </w:p>
    <w:p w14:paraId="458B3F29" w14:textId="77777777" w:rsidR="00597826" w:rsidRPr="004D04BF" w:rsidRDefault="00597826" w:rsidP="00375DCA"/>
    <w:p w14:paraId="0A02D5F9" w14:textId="77777777" w:rsidR="00597826" w:rsidRPr="0052277A" w:rsidRDefault="00597826" w:rsidP="00375DCA">
      <w:pPr>
        <w:widowControl w:val="0"/>
        <w:autoSpaceDE w:val="0"/>
        <w:autoSpaceDN w:val="0"/>
        <w:adjustRightInd w:val="0"/>
        <w:rPr>
          <w:rFonts w:cs="Arial"/>
          <w:i/>
        </w:rPr>
      </w:pPr>
      <w:r>
        <w:rPr>
          <w:rFonts w:cs="Arial"/>
        </w:rPr>
        <w:t>In order f</w:t>
      </w:r>
      <w:r w:rsidRPr="004D04BF">
        <w:rPr>
          <w:rFonts w:cs="Arial"/>
        </w:rPr>
        <w:t>or a screening program to be efficient</w:t>
      </w:r>
      <w:r>
        <w:rPr>
          <w:rFonts w:cs="Arial"/>
        </w:rPr>
        <w:t>,</w:t>
      </w:r>
      <w:r w:rsidRPr="004D04BF">
        <w:rPr>
          <w:rFonts w:cs="Arial"/>
        </w:rPr>
        <w:t xml:space="preserve"> </w:t>
      </w:r>
      <w:r>
        <w:rPr>
          <w:rFonts w:cs="Arial"/>
        </w:rPr>
        <w:t xml:space="preserve">the screening technique must have a </w:t>
      </w:r>
      <w:r w:rsidRPr="004D04BF">
        <w:rPr>
          <w:rFonts w:cs="Arial"/>
        </w:rPr>
        <w:t>high positive predictive value using a low-risk tool at low cost. Screening yield depends on disease prevalence and diagnostic test performance. AF increases disproportionally in older adults, rendering age one of the best predictors of AF.</w:t>
      </w:r>
      <w:r w:rsidRPr="008D370F">
        <w:rPr>
          <w:rFonts w:cs="Arial"/>
          <w:noProof/>
          <w:vertAlign w:val="superscript"/>
        </w:rPr>
        <w:t>44</w:t>
      </w:r>
      <w:r w:rsidRPr="004D04BF">
        <w:rPr>
          <w:rFonts w:cs="Arial"/>
        </w:rPr>
        <w:t xml:space="preserve"> The prevalence of AF below age 50 is negligible in </w:t>
      </w:r>
      <w:r>
        <w:rPr>
          <w:rFonts w:cs="Arial"/>
        </w:rPr>
        <w:t>most</w:t>
      </w:r>
      <w:r w:rsidRPr="004D04BF">
        <w:rPr>
          <w:rFonts w:cs="Arial"/>
        </w:rPr>
        <w:t xml:space="preserve"> populations and may not justify screening in this group.</w:t>
      </w:r>
      <w:r w:rsidRPr="008D370F">
        <w:rPr>
          <w:rFonts w:cs="Arial"/>
          <w:noProof/>
          <w:vertAlign w:val="superscript"/>
        </w:rPr>
        <w:t>44</w:t>
      </w:r>
      <w:r w:rsidRPr="004D04BF">
        <w:rPr>
          <w:rFonts w:cs="Arial"/>
        </w:rPr>
        <w:t xml:space="preserve"> </w:t>
      </w:r>
      <w:r>
        <w:rPr>
          <w:rFonts w:cs="Arial"/>
        </w:rPr>
        <w:t>T</w:t>
      </w:r>
      <w:r w:rsidRPr="004D04BF">
        <w:rPr>
          <w:rFonts w:cs="Arial"/>
        </w:rPr>
        <w:t>he prevalence of AF differs by ethnicity</w:t>
      </w:r>
      <w:r>
        <w:rPr>
          <w:rFonts w:cs="Arial"/>
        </w:rPr>
        <w:t>;</w:t>
      </w:r>
      <w:r w:rsidRPr="004D04BF">
        <w:rPr>
          <w:rFonts w:cs="Arial"/>
        </w:rPr>
        <w:t xml:space="preserve"> for example indigenous Australia</w:t>
      </w:r>
      <w:r>
        <w:rPr>
          <w:rFonts w:cs="Arial"/>
        </w:rPr>
        <w:t>ns</w:t>
      </w:r>
      <w:r w:rsidRPr="004D04BF">
        <w:rPr>
          <w:rFonts w:cs="Arial"/>
        </w:rPr>
        <w:t xml:space="preserve"> have a higher burden of AF and higher risk at much younger ages than Europeans.</w:t>
      </w:r>
      <w:r w:rsidRPr="008D370F">
        <w:rPr>
          <w:rFonts w:cs="Arial"/>
          <w:noProof/>
          <w:vertAlign w:val="superscript"/>
        </w:rPr>
        <w:t>45</w:t>
      </w:r>
    </w:p>
    <w:p w14:paraId="29D76F46" w14:textId="77777777" w:rsidR="00597826" w:rsidRPr="004D04BF" w:rsidRDefault="00597826" w:rsidP="00375DCA">
      <w:pPr>
        <w:widowControl w:val="0"/>
        <w:autoSpaceDE w:val="0"/>
        <w:autoSpaceDN w:val="0"/>
        <w:adjustRightInd w:val="0"/>
        <w:rPr>
          <w:rFonts w:cs="Arial"/>
        </w:rPr>
      </w:pPr>
      <w:r w:rsidRPr="004D04BF">
        <w:rPr>
          <w:rFonts w:cs="Arial"/>
        </w:rPr>
        <w:t xml:space="preserve">If the screening procedure is </w:t>
      </w:r>
      <w:r>
        <w:rPr>
          <w:rFonts w:cs="Arial"/>
        </w:rPr>
        <w:t>inexpensive</w:t>
      </w:r>
      <w:r w:rsidRPr="004D04BF">
        <w:rPr>
          <w:rFonts w:cs="Arial"/>
        </w:rPr>
        <w:t xml:space="preserve"> and easy to use, </w:t>
      </w:r>
      <w:r>
        <w:rPr>
          <w:rFonts w:cs="Arial"/>
        </w:rPr>
        <w:t>e.g.</w:t>
      </w:r>
      <w:r w:rsidRPr="004D04BF">
        <w:rPr>
          <w:rFonts w:cs="Arial"/>
        </w:rPr>
        <w:t xml:space="preserve"> </w:t>
      </w:r>
      <w:r>
        <w:rPr>
          <w:rFonts w:cs="Arial"/>
        </w:rPr>
        <w:t xml:space="preserve">pulse palpation or single </w:t>
      </w:r>
      <w:r w:rsidRPr="004D04BF">
        <w:rPr>
          <w:rFonts w:cs="Arial"/>
        </w:rPr>
        <w:t>timepoint handheld devices,</w:t>
      </w:r>
      <w:r w:rsidRPr="008D370F">
        <w:rPr>
          <w:rFonts w:cs="Arial"/>
          <w:noProof/>
          <w:vertAlign w:val="superscript"/>
        </w:rPr>
        <w:t>46, 47</w:t>
      </w:r>
      <w:r w:rsidRPr="004D04BF">
        <w:rPr>
          <w:rFonts w:cs="Arial"/>
        </w:rPr>
        <w:t xml:space="preserve"> screening can be non-selective and just age-based.  A threshold ≥65 years </w:t>
      </w:r>
      <w:r>
        <w:rPr>
          <w:rFonts w:cs="Arial"/>
        </w:rPr>
        <w:t xml:space="preserve">(a </w:t>
      </w:r>
      <w:r w:rsidRPr="004D04BF">
        <w:rPr>
          <w:rFonts w:cs="Arial"/>
        </w:rPr>
        <w:t>CHA</w:t>
      </w:r>
      <w:r w:rsidRPr="004D04BF">
        <w:rPr>
          <w:rFonts w:cs="Arial"/>
          <w:vertAlign w:val="subscript"/>
        </w:rPr>
        <w:t>2</w:t>
      </w:r>
      <w:r w:rsidRPr="004D04BF">
        <w:rPr>
          <w:rFonts w:cs="Arial"/>
        </w:rPr>
        <w:t>DS</w:t>
      </w:r>
      <w:r w:rsidRPr="004D04BF">
        <w:rPr>
          <w:rFonts w:cs="Arial"/>
          <w:vertAlign w:val="subscript"/>
        </w:rPr>
        <w:t>2</w:t>
      </w:r>
      <w:r w:rsidRPr="004D04BF">
        <w:rPr>
          <w:rFonts w:cs="Arial"/>
        </w:rPr>
        <w:t xml:space="preserve">-VASc </w:t>
      </w:r>
      <w:r>
        <w:rPr>
          <w:rFonts w:cs="Arial"/>
        </w:rPr>
        <w:t>score of at least 1 in a male and 2 in a female</w:t>
      </w:r>
      <w:r w:rsidRPr="004D04BF">
        <w:rPr>
          <w:rFonts w:cs="Arial"/>
        </w:rPr>
        <w:t>) will detect undiagnosed AF in 1.4% in clinic or population settings</w:t>
      </w:r>
      <w:r>
        <w:rPr>
          <w:rFonts w:cs="Arial"/>
        </w:rPr>
        <w:t>,</w:t>
      </w:r>
      <w:r w:rsidRPr="00870A77">
        <w:rPr>
          <w:rFonts w:cs="Arial"/>
          <w:noProof/>
          <w:vertAlign w:val="superscript"/>
        </w:rPr>
        <w:t>3</w:t>
      </w:r>
      <w:r w:rsidRPr="004D04BF">
        <w:rPr>
          <w:rFonts w:cs="Arial"/>
        </w:rPr>
        <w:t xml:space="preserve"> </w:t>
      </w:r>
      <w:r>
        <w:rPr>
          <w:rFonts w:cs="Arial"/>
        </w:rPr>
        <w:t xml:space="preserve">in which case European Society of Cardiology (ESC) guidelines recommend </w:t>
      </w:r>
      <w:r w:rsidRPr="0052277A">
        <w:rPr>
          <w:rFonts w:cs="Arial"/>
          <w:i/>
        </w:rPr>
        <w:t>that OAC be considered</w:t>
      </w:r>
      <w:r>
        <w:rPr>
          <w:rFonts w:cs="Arial"/>
        </w:rPr>
        <w:t xml:space="preserve"> (Class IIa); </w:t>
      </w:r>
      <w:r w:rsidRPr="0052277A">
        <w:rPr>
          <w:rFonts w:cs="Arial"/>
          <w:i/>
        </w:rPr>
        <w:t>OACs are recommended (Class I)</w:t>
      </w:r>
      <w:r>
        <w:rPr>
          <w:rFonts w:cs="Arial"/>
        </w:rPr>
        <w:t xml:space="preserve"> for a score of 2 in a male or 3 in a female.</w:t>
      </w:r>
      <w:r w:rsidRPr="008D370F">
        <w:rPr>
          <w:rFonts w:cs="Arial"/>
          <w:noProof/>
          <w:vertAlign w:val="superscript"/>
        </w:rPr>
        <w:t>29</w:t>
      </w:r>
      <w:r w:rsidRPr="004D04BF">
        <w:rPr>
          <w:rFonts w:cs="Arial"/>
        </w:rPr>
        <w:t xml:space="preserve"> Opportunistic screening </w:t>
      </w:r>
      <w:r>
        <w:rPr>
          <w:rFonts w:cs="Arial"/>
        </w:rPr>
        <w:t xml:space="preserve">in all patients contacting the health system </w:t>
      </w:r>
      <w:r w:rsidRPr="004D04BF">
        <w:rPr>
          <w:rFonts w:cs="Arial"/>
        </w:rPr>
        <w:t>age</w:t>
      </w:r>
      <w:r>
        <w:rPr>
          <w:rFonts w:cs="Arial"/>
        </w:rPr>
        <w:t>d</w:t>
      </w:r>
      <w:r w:rsidRPr="004D04BF">
        <w:rPr>
          <w:rFonts w:cs="Arial"/>
        </w:rPr>
        <w:t xml:space="preserve"> </w:t>
      </w:r>
      <w:r>
        <w:rPr>
          <w:rFonts w:ascii="Calibri" w:hAnsi="Calibri" w:cs="Arial"/>
        </w:rPr>
        <w:t>≥</w:t>
      </w:r>
      <w:r w:rsidRPr="004D04BF">
        <w:rPr>
          <w:rFonts w:cs="Arial"/>
        </w:rPr>
        <w:t xml:space="preserve">65 has been adopted in the </w:t>
      </w:r>
      <w:r>
        <w:rPr>
          <w:rFonts w:cs="Arial"/>
        </w:rPr>
        <w:t>ESC</w:t>
      </w:r>
      <w:r w:rsidRPr="004D04BF">
        <w:rPr>
          <w:rFonts w:cs="Arial"/>
        </w:rPr>
        <w:t xml:space="preserve"> AF guidelines, </w:t>
      </w:r>
      <w:r w:rsidRPr="008D370F">
        <w:rPr>
          <w:rFonts w:cs="Arial"/>
          <w:noProof/>
          <w:vertAlign w:val="superscript"/>
        </w:rPr>
        <w:t>29</w:t>
      </w:r>
      <w:r>
        <w:rPr>
          <w:rFonts w:cs="Arial"/>
        </w:rPr>
        <w:t xml:space="preserve"> </w:t>
      </w:r>
      <w:r w:rsidRPr="004D04BF">
        <w:rPr>
          <w:rFonts w:cs="Arial"/>
        </w:rPr>
        <w:t xml:space="preserve">but might be more efficient if </w:t>
      </w:r>
      <w:r>
        <w:rPr>
          <w:rFonts w:cs="Arial"/>
        </w:rPr>
        <w:t xml:space="preserve">an </w:t>
      </w:r>
      <w:r w:rsidRPr="004D04BF">
        <w:rPr>
          <w:rFonts w:cs="Arial"/>
        </w:rPr>
        <w:t>older</w:t>
      </w:r>
      <w:r>
        <w:rPr>
          <w:rFonts w:cs="Arial"/>
        </w:rPr>
        <w:t xml:space="preserve"> age</w:t>
      </w:r>
      <w:r w:rsidRPr="004D04BF">
        <w:rPr>
          <w:rFonts w:cs="Arial"/>
        </w:rPr>
        <w:t xml:space="preserve"> threshold </w:t>
      </w:r>
      <w:r>
        <w:rPr>
          <w:rFonts w:cs="Arial"/>
        </w:rPr>
        <w:t xml:space="preserve">is </w:t>
      </w:r>
      <w:r w:rsidRPr="004D04BF">
        <w:rPr>
          <w:rFonts w:cs="Arial"/>
        </w:rPr>
        <w:t>chosen</w:t>
      </w:r>
      <w:r>
        <w:rPr>
          <w:rFonts w:cs="Arial"/>
        </w:rPr>
        <w:t xml:space="preserve"> or </w:t>
      </w:r>
      <w:r w:rsidRPr="004D04BF">
        <w:rPr>
          <w:rFonts w:cs="Arial"/>
        </w:rPr>
        <w:t>an additional stroke risk factor is required</w:t>
      </w:r>
      <w:r w:rsidRPr="008D370F">
        <w:rPr>
          <w:rFonts w:cs="Arial"/>
          <w:noProof/>
          <w:vertAlign w:val="superscript"/>
        </w:rPr>
        <w:t>48</w:t>
      </w:r>
      <w:r w:rsidRPr="004D04BF">
        <w:rPr>
          <w:rFonts w:cs="Arial"/>
        </w:rPr>
        <w:t xml:space="preserve">. Superiority over a simple age-based criterion, however, needs to be proven. </w:t>
      </w:r>
    </w:p>
    <w:p w14:paraId="48D4A4A6" w14:textId="77777777" w:rsidR="00597826" w:rsidRPr="00554A07" w:rsidRDefault="00597826" w:rsidP="00375DCA">
      <w:r w:rsidRPr="004D04BF">
        <w:t xml:space="preserve">Among individuals </w:t>
      </w:r>
      <w:r>
        <w:t xml:space="preserve">aged </w:t>
      </w:r>
      <w:r w:rsidRPr="004D04BF">
        <w:t>75</w:t>
      </w:r>
      <w:r>
        <w:t xml:space="preserve"> in Sweden</w:t>
      </w:r>
      <w:r w:rsidRPr="004D04BF">
        <w:t xml:space="preserve">, a single </w:t>
      </w:r>
      <w:r>
        <w:t xml:space="preserve">ECG </w:t>
      </w:r>
      <w:r w:rsidRPr="004D04BF">
        <w:t xml:space="preserve">detected </w:t>
      </w:r>
      <w:r>
        <w:t>0.5-</w:t>
      </w:r>
      <w:r w:rsidRPr="004D04BF">
        <w:t xml:space="preserve">1% with </w:t>
      </w:r>
      <w:r w:rsidRPr="004D04BF">
        <w:rPr>
          <w:rFonts w:cs="Times New Roman"/>
        </w:rPr>
        <w:t xml:space="preserve">undiagnosed </w:t>
      </w:r>
      <w:r w:rsidRPr="004D04BF">
        <w:t>AF.</w:t>
      </w:r>
      <w:r w:rsidRPr="00870A77">
        <w:rPr>
          <w:noProof/>
          <w:vertAlign w:val="superscript"/>
        </w:rPr>
        <w:t>4, 5</w:t>
      </w:r>
      <w:hyperlink w:anchor="_ENREF_40" w:tooltip="Engdahl, 2013 #573" w:history="1"/>
      <w:r w:rsidRPr="004D04BF">
        <w:t xml:space="preserve"> Adding 2 weeks of twice-daily patient-activated handheld ECG detected an additional 2.5% with undiagnosed AF,</w:t>
      </w:r>
      <w:r w:rsidRPr="00870A77">
        <w:rPr>
          <w:noProof/>
          <w:vertAlign w:val="superscript"/>
        </w:rPr>
        <w:t>4</w:t>
      </w:r>
      <w:r>
        <w:t xml:space="preserve"> and </w:t>
      </w:r>
      <w:r w:rsidRPr="004D04BF">
        <w:t xml:space="preserve">7.4% after enrichment with </w:t>
      </w:r>
      <w:r>
        <w:t>≥1</w:t>
      </w:r>
      <w:r w:rsidRPr="004D04BF">
        <w:t xml:space="preserve"> additional stroke risk factor.</w:t>
      </w:r>
      <w:r w:rsidRPr="00870A77">
        <w:rPr>
          <w:noProof/>
          <w:vertAlign w:val="superscript"/>
        </w:rPr>
        <w:t>5</w:t>
      </w:r>
      <w:r w:rsidRPr="004D04BF">
        <w:t xml:space="preserve"> Even more </w:t>
      </w:r>
      <w:r w:rsidRPr="004D04BF">
        <w:rPr>
          <w:rFonts w:cs="Times New Roman"/>
        </w:rPr>
        <w:t xml:space="preserve">AF </w:t>
      </w:r>
      <w:r w:rsidRPr="004D04BF">
        <w:t>is detected with continuous recording via external or implanted devices (</w:t>
      </w:r>
      <w:r>
        <w:t>Table 1</w:t>
      </w:r>
      <w:r w:rsidRPr="004D04BF">
        <w:t xml:space="preserve">), but </w:t>
      </w:r>
      <w:r>
        <w:t>that</w:t>
      </w:r>
      <w:r w:rsidRPr="004D04BF">
        <w:t xml:space="preserve"> technolo</w:t>
      </w:r>
      <w:r w:rsidRPr="00554A07">
        <w:t>g</w:t>
      </w:r>
      <w:r w:rsidRPr="004D04BF">
        <w:t xml:space="preserve">y is costly and may only be justified in populations </w:t>
      </w:r>
      <w:r>
        <w:t>at high</w:t>
      </w:r>
      <w:r w:rsidRPr="004D04BF">
        <w:t xml:space="preserve"> risk and</w:t>
      </w:r>
      <w:r>
        <w:t xml:space="preserve"> with</w:t>
      </w:r>
      <w:r w:rsidRPr="004D04BF">
        <w:t xml:space="preserve"> sufficient yield from screening, e.g. older age plus additional risk factors, or </w:t>
      </w:r>
      <w:r>
        <w:t xml:space="preserve">embolic stroke of undetermined source </w:t>
      </w:r>
      <w:r w:rsidRPr="004D04BF">
        <w:t>(see below). Adding biomarkers (e</w:t>
      </w:r>
      <w:r>
        <w:t>.</w:t>
      </w:r>
      <w:r w:rsidRPr="004D04BF">
        <w:t>g</w:t>
      </w:r>
      <w:r>
        <w:t>.</w:t>
      </w:r>
      <w:r w:rsidRPr="004D04BF">
        <w:t xml:space="preserve"> natriuretic peptides, high-sensitivity troponin) to existing clinical predictors may improve prediction</w:t>
      </w:r>
      <w:r>
        <w:t xml:space="preserve"> of AF incidence</w:t>
      </w:r>
      <w:r w:rsidRPr="004D04BF">
        <w:t>.</w:t>
      </w:r>
      <w:r w:rsidRPr="008D370F">
        <w:rPr>
          <w:noProof/>
          <w:vertAlign w:val="superscript"/>
        </w:rPr>
        <w:t>49, 50</w:t>
      </w:r>
      <w:r w:rsidRPr="004D04BF" w:rsidDel="007344A2">
        <w:t xml:space="preserve"> </w:t>
      </w:r>
      <w:hyperlink w:anchor="_ENREF_68" w:tooltip="Filion, 2015 #605" w:history="1"/>
      <w:r w:rsidRPr="004D04BF">
        <w:t xml:space="preserve"> However, there is marginal improvement in model discrimination and reclassification. </w:t>
      </w:r>
    </w:p>
    <w:p w14:paraId="20BD5471" w14:textId="77777777" w:rsidR="00597826" w:rsidRPr="00EA35B4" w:rsidRDefault="00597826" w:rsidP="00375DCA">
      <w:pPr>
        <w:widowControl w:val="0"/>
        <w:autoSpaceDE w:val="0"/>
        <w:autoSpaceDN w:val="0"/>
        <w:adjustRightInd w:val="0"/>
        <w:rPr>
          <w:rFonts w:cs="Arial"/>
        </w:rPr>
      </w:pPr>
      <w:r w:rsidRPr="00EA35B4">
        <w:rPr>
          <w:rFonts w:cs="Arial"/>
          <w:b/>
        </w:rPr>
        <w:t>Key Point 2</w:t>
      </w:r>
      <w:r w:rsidRPr="00EA35B4">
        <w:rPr>
          <w:rFonts w:cs="Arial"/>
        </w:rPr>
        <w:t xml:space="preserve">: </w:t>
      </w:r>
    </w:p>
    <w:p w14:paraId="1A5D2841" w14:textId="77777777" w:rsidR="00597826" w:rsidRPr="00212E49" w:rsidRDefault="00597826" w:rsidP="00375DCA">
      <w:pPr>
        <w:spacing w:after="0"/>
        <w:rPr>
          <w:rFonts w:cs="Arial"/>
        </w:rPr>
      </w:pPr>
      <w:r w:rsidRPr="004658EA">
        <w:rPr>
          <w:rFonts w:cs="Arial"/>
        </w:rPr>
        <w:t xml:space="preserve">Single timepoint screening of people aged ≥65 in the clinic or community </w:t>
      </w:r>
      <w:r w:rsidRPr="004658EA">
        <w:rPr>
          <w:rFonts w:ascii="Calibri" w:hAnsi="Calibri" w:cs="Times New Roman"/>
          <w:lang w:eastAsia="en-GB"/>
        </w:rPr>
        <w:t>appears justified</w:t>
      </w:r>
      <w:r w:rsidRPr="004658EA">
        <w:rPr>
          <w:rFonts w:cs="Arial"/>
        </w:rPr>
        <w:t>, based on yield of screening and likely cost-effectiveness</w:t>
      </w:r>
      <w:r w:rsidRPr="004658EA">
        <w:rPr>
          <w:rFonts w:ascii="Calibri" w:hAnsi="Calibri" w:cs="Times New Roman"/>
          <w:sz w:val="24"/>
          <w:szCs w:val="24"/>
          <w:lang w:eastAsia="en-GB"/>
        </w:rPr>
        <w:t xml:space="preserve">.  </w:t>
      </w:r>
      <w:r w:rsidRPr="00212E49">
        <w:rPr>
          <w:rFonts w:cs="Arial"/>
        </w:rPr>
        <w:t>For those over age 75, or in younger age groups at high risk of AF or stroke, two weeks of twice-daily intermittent AF screening may be warranted.</w:t>
      </w:r>
    </w:p>
    <w:p w14:paraId="02DDF7BF" w14:textId="77777777" w:rsidR="00597826" w:rsidRPr="001D5697" w:rsidRDefault="00597826" w:rsidP="00375DCA">
      <w:pPr>
        <w:spacing w:after="0"/>
        <w:rPr>
          <w:rFonts w:ascii="Calibri" w:hAnsi="Calibri" w:cs="Times New Roman"/>
          <w:sz w:val="24"/>
          <w:szCs w:val="24"/>
          <w:lang w:eastAsia="en-GB"/>
        </w:rPr>
      </w:pPr>
    </w:p>
    <w:p w14:paraId="1875FB5C" w14:textId="77777777" w:rsidR="00597826" w:rsidRPr="004D04BF" w:rsidRDefault="00597826" w:rsidP="00375DCA">
      <w:pPr>
        <w:spacing w:after="0"/>
        <w:rPr>
          <w:rFonts w:cs="Arial"/>
        </w:rPr>
      </w:pPr>
    </w:p>
    <w:p w14:paraId="75B48466" w14:textId="21D55433" w:rsidR="00597826" w:rsidRDefault="00597826" w:rsidP="00375DCA">
      <w:pPr>
        <w:pStyle w:val="Heading1"/>
        <w:rPr>
          <w:rFonts w:asciiTheme="minorHAnsi" w:hAnsiTheme="minorHAnsi"/>
          <w:color w:val="000000" w:themeColor="text1"/>
          <w:sz w:val="24"/>
          <w:szCs w:val="24"/>
        </w:rPr>
      </w:pPr>
      <w:r w:rsidRPr="00EA35B4">
        <w:rPr>
          <w:rFonts w:asciiTheme="minorHAnsi" w:hAnsiTheme="minorHAnsi"/>
          <w:color w:val="000000" w:themeColor="text1"/>
          <w:sz w:val="24"/>
          <w:szCs w:val="24"/>
        </w:rPr>
        <w:t>Ischemic Stroke and Embolic Stroke of Undetermined Source (ESUS)</w:t>
      </w:r>
    </w:p>
    <w:p w14:paraId="100BEE5D" w14:textId="77777777" w:rsidR="007C4030" w:rsidRPr="007C4030" w:rsidRDefault="007C4030" w:rsidP="007C4030"/>
    <w:p w14:paraId="29483F22" w14:textId="77777777" w:rsidR="00597826" w:rsidRPr="00AB3943" w:rsidRDefault="00597826" w:rsidP="00375DCA">
      <w:pPr>
        <w:rPr>
          <w:rFonts w:eastAsia="Times New Roman" w:cs="Arial"/>
        </w:rPr>
      </w:pPr>
      <w:r>
        <w:rPr>
          <w:rFonts w:cs="Arial"/>
        </w:rPr>
        <w:t xml:space="preserve">RCTs </w:t>
      </w:r>
      <w:r w:rsidRPr="004D04BF">
        <w:rPr>
          <w:rFonts w:cs="Arial"/>
        </w:rPr>
        <w:t xml:space="preserve">and observational studies have established the effectiveness of post-stroke ECG monitoring for improving </w:t>
      </w:r>
      <w:r>
        <w:rPr>
          <w:rFonts w:cs="Arial"/>
        </w:rPr>
        <w:t>AF</w:t>
      </w:r>
      <w:r w:rsidRPr="004D04BF">
        <w:rPr>
          <w:rFonts w:cs="Arial"/>
        </w:rPr>
        <w:t xml:space="preserve"> detection</w:t>
      </w:r>
      <w:r w:rsidRPr="008D370F">
        <w:rPr>
          <w:rFonts w:cs="Arial"/>
          <w:noProof/>
          <w:vertAlign w:val="superscript"/>
        </w:rPr>
        <w:t>32, 51</w:t>
      </w:r>
      <w:r w:rsidRPr="004D04BF">
        <w:rPr>
          <w:rFonts w:cs="Arial"/>
        </w:rPr>
        <w:t xml:space="preserve"> (number needed to screen=8-14), with longer monitoring durations increasing AF detection</w:t>
      </w:r>
      <w:r w:rsidRPr="004D04BF" w:rsidDel="00D06993">
        <w:rPr>
          <w:rFonts w:cs="Arial"/>
        </w:rPr>
        <w:t xml:space="preserve"> </w:t>
      </w:r>
      <w:r w:rsidRPr="004D04BF">
        <w:rPr>
          <w:rFonts w:cs="Arial"/>
        </w:rPr>
        <w:t xml:space="preserve">probability.  </w:t>
      </w:r>
      <w:r w:rsidRPr="00AB3943">
        <w:rPr>
          <w:rFonts w:eastAsia="Times New Roman" w:cs="Arial"/>
        </w:rPr>
        <w:t>Post-stroke ECG monitoring is</w:t>
      </w:r>
      <w:r>
        <w:rPr>
          <w:rFonts w:eastAsia="Times New Roman" w:cs="Arial"/>
        </w:rPr>
        <w:t xml:space="preserve"> likely cost-effective</w:t>
      </w:r>
      <w:r w:rsidRPr="00AB3943">
        <w:rPr>
          <w:rFonts w:eastAsia="Times New Roman" w:cs="Arial"/>
        </w:rPr>
        <w:t>.</w:t>
      </w:r>
      <w:r w:rsidRPr="008D370F">
        <w:rPr>
          <w:rFonts w:eastAsia="Times New Roman" w:cs="Arial"/>
          <w:noProof/>
          <w:vertAlign w:val="superscript"/>
        </w:rPr>
        <w:t>52, 53</w:t>
      </w:r>
      <w:r w:rsidRPr="00AB3943">
        <w:rPr>
          <w:rFonts w:eastAsia="Times New Roman" w:cs="Arial"/>
        </w:rPr>
        <w:t xml:space="preserve"> However, </w:t>
      </w:r>
      <w:r>
        <w:rPr>
          <w:rFonts w:eastAsia="Times New Roman" w:cs="Arial"/>
        </w:rPr>
        <w:t>RCTs</w:t>
      </w:r>
      <w:r w:rsidRPr="00AB3943">
        <w:rPr>
          <w:rFonts w:eastAsia="Times New Roman" w:cs="Arial"/>
        </w:rPr>
        <w:t xml:space="preserve"> have not been powered to assess the effect of prolonged ECG monitoring on stroke or </w:t>
      </w:r>
      <w:r>
        <w:rPr>
          <w:rFonts w:eastAsia="Times New Roman" w:cs="Arial"/>
        </w:rPr>
        <w:t>mortality</w:t>
      </w:r>
      <w:r w:rsidRPr="00AB3943">
        <w:rPr>
          <w:rFonts w:eastAsia="Times New Roman" w:cs="Arial"/>
        </w:rPr>
        <w:t xml:space="preserve">. </w:t>
      </w:r>
    </w:p>
    <w:p w14:paraId="53AAC6F4" w14:textId="7FDE952D" w:rsidR="00597826" w:rsidRDefault="00597826" w:rsidP="00375DCA">
      <w:pPr>
        <w:rPr>
          <w:rFonts w:cs="Arial"/>
        </w:rPr>
      </w:pPr>
      <w:r>
        <w:rPr>
          <w:rFonts w:cs="Arial"/>
        </w:rPr>
        <w:t>After</w:t>
      </w:r>
      <w:r w:rsidRPr="004D04BF">
        <w:rPr>
          <w:rFonts w:cs="Arial"/>
        </w:rPr>
        <w:t xml:space="preserve"> an acute ischemic stroke/</w:t>
      </w:r>
      <w:r>
        <w:rPr>
          <w:rFonts w:cs="Arial"/>
        </w:rPr>
        <w:t>transient ischemic attack (</w:t>
      </w:r>
      <w:r w:rsidRPr="004D04BF">
        <w:rPr>
          <w:rFonts w:cs="Arial"/>
        </w:rPr>
        <w:t>TIA</w:t>
      </w:r>
      <w:r>
        <w:rPr>
          <w:rFonts w:cs="Arial"/>
        </w:rPr>
        <w:t>)</w:t>
      </w:r>
      <w:r w:rsidRPr="004D04BF">
        <w:rPr>
          <w:rFonts w:cs="Arial"/>
        </w:rPr>
        <w:t xml:space="preserve">, </w:t>
      </w:r>
      <w:r>
        <w:rPr>
          <w:rFonts w:cs="Arial"/>
        </w:rPr>
        <w:t xml:space="preserve">in patients </w:t>
      </w:r>
      <w:r w:rsidRPr="004D04BF">
        <w:rPr>
          <w:rFonts w:cs="Arial"/>
        </w:rPr>
        <w:t xml:space="preserve">not known to have AF and </w:t>
      </w:r>
      <w:r>
        <w:rPr>
          <w:rFonts w:cs="Arial"/>
        </w:rPr>
        <w:t>without</w:t>
      </w:r>
      <w:r w:rsidRPr="004D04BF">
        <w:rPr>
          <w:rFonts w:cs="Arial"/>
        </w:rPr>
        <w:t xml:space="preserve"> contraindications to </w:t>
      </w:r>
      <w:r>
        <w:rPr>
          <w:rFonts w:cs="Arial"/>
        </w:rPr>
        <w:t>OACs</w:t>
      </w:r>
      <w:r w:rsidRPr="004D04BF">
        <w:rPr>
          <w:rFonts w:cs="Arial"/>
        </w:rPr>
        <w:t xml:space="preserve">, a tiered </w:t>
      </w:r>
      <w:r>
        <w:rPr>
          <w:rFonts w:cs="Arial"/>
        </w:rPr>
        <w:t xml:space="preserve">AF </w:t>
      </w:r>
      <w:r w:rsidRPr="004D04BF">
        <w:rPr>
          <w:rFonts w:cs="Arial"/>
        </w:rPr>
        <w:t xml:space="preserve">ECG monitoring </w:t>
      </w:r>
      <w:r>
        <w:rPr>
          <w:rFonts w:cs="Arial"/>
        </w:rPr>
        <w:t>approach</w:t>
      </w:r>
      <w:r w:rsidRPr="004D04BF">
        <w:rPr>
          <w:rFonts w:cs="Arial"/>
        </w:rPr>
        <w:t xml:space="preserve"> is </w:t>
      </w:r>
      <w:r>
        <w:rPr>
          <w:rFonts w:cs="Arial"/>
        </w:rPr>
        <w:t>advised</w:t>
      </w:r>
      <w:r w:rsidRPr="004D04BF">
        <w:rPr>
          <w:rFonts w:cs="Arial"/>
        </w:rPr>
        <w:t xml:space="preserve">. </w:t>
      </w:r>
      <w:r>
        <w:rPr>
          <w:rFonts w:cs="Arial"/>
        </w:rPr>
        <w:t xml:space="preserve">ESC guidelines recommend </w:t>
      </w:r>
      <w:r>
        <w:rPr>
          <w:rFonts w:ascii="Calibri" w:hAnsi="Calibri" w:cs="Arial"/>
        </w:rPr>
        <w:t>≥</w:t>
      </w:r>
      <w:r>
        <w:rPr>
          <w:rFonts w:cs="Arial"/>
        </w:rPr>
        <w:t xml:space="preserve"> 72 hours ECG monitoring in all stroke survivors,</w:t>
      </w:r>
      <w:r w:rsidRPr="008D370F">
        <w:rPr>
          <w:rFonts w:cs="Arial"/>
          <w:noProof/>
          <w:vertAlign w:val="superscript"/>
        </w:rPr>
        <w:t>29</w:t>
      </w:r>
      <w:r>
        <w:rPr>
          <w:rFonts w:cs="Arial"/>
        </w:rPr>
        <w:t xml:space="preserve"> but more research is required to identify non-ESUS subgroups benefitting most from more prolonged monitoring. </w:t>
      </w:r>
      <w:r w:rsidRPr="004D04BF">
        <w:rPr>
          <w:rFonts w:cs="Arial"/>
        </w:rPr>
        <w:t xml:space="preserve">Ongoing </w:t>
      </w:r>
      <w:r>
        <w:rPr>
          <w:rFonts w:cs="Arial"/>
        </w:rPr>
        <w:t>RCTs</w:t>
      </w:r>
      <w:r w:rsidRPr="004D04BF">
        <w:rPr>
          <w:rFonts w:cs="Arial"/>
        </w:rPr>
        <w:t xml:space="preserve"> are exploring an alternative strategy of blanket NOAC therapy after limited negative Holter monitoring in ESUS (RE-SPECT ESUS </w:t>
      </w:r>
      <w:r w:rsidRPr="004D04BF">
        <w:rPr>
          <w:rFonts w:cs="Arial"/>
          <w:bCs/>
        </w:rPr>
        <w:t>NCT</w:t>
      </w:r>
      <w:r w:rsidRPr="004D04BF">
        <w:rPr>
          <w:rFonts w:cs="Arial"/>
        </w:rPr>
        <w:t>02239120, and NAVIGATE ESUS NCT02313909).</w:t>
      </w:r>
    </w:p>
    <w:p w14:paraId="599F630B" w14:textId="77777777" w:rsidR="00597826" w:rsidRPr="00EA35B4" w:rsidRDefault="00597826" w:rsidP="00375DCA">
      <w:pPr>
        <w:rPr>
          <w:rFonts w:cs="Arial"/>
          <w:b/>
          <w:sz w:val="24"/>
          <w:szCs w:val="24"/>
        </w:rPr>
      </w:pPr>
      <w:r w:rsidRPr="00EA35B4">
        <w:rPr>
          <w:rFonts w:cs="Arial"/>
          <w:b/>
          <w:sz w:val="24"/>
          <w:szCs w:val="24"/>
        </w:rPr>
        <w:t>Key Point 3:</w:t>
      </w:r>
    </w:p>
    <w:p w14:paraId="52A7861F" w14:textId="77777777" w:rsidR="00597826" w:rsidRPr="00020889" w:rsidRDefault="00597826" w:rsidP="00375DCA">
      <w:pPr>
        <w:spacing w:after="0"/>
        <w:rPr>
          <w:rFonts w:ascii="Calibri" w:hAnsi="Calibri" w:cs="Times New Roman"/>
          <w:sz w:val="24"/>
          <w:szCs w:val="24"/>
          <w:lang w:eastAsia="en-GB"/>
        </w:rPr>
      </w:pPr>
      <w:r w:rsidRPr="004658EA">
        <w:rPr>
          <w:rFonts w:ascii="Calibri" w:hAnsi="Calibri" w:cs="Times New Roman"/>
          <w:lang w:eastAsia="en-GB"/>
        </w:rPr>
        <w:t>Long-term continuous rhythm monitoring using either external or implanted devices or extended intermittent patient-activated recordings may diagnose clinically important AF in  individuals with recent ESUS</w:t>
      </w:r>
      <w:r w:rsidRPr="004658EA">
        <w:rPr>
          <w:rFonts w:ascii="Calibri" w:hAnsi="Calibri" w:cs="Times New Roman"/>
          <w:sz w:val="24"/>
          <w:szCs w:val="24"/>
          <w:lang w:eastAsia="en-GB"/>
        </w:rPr>
        <w:t>.</w:t>
      </w:r>
      <w:r w:rsidRPr="00020889">
        <w:rPr>
          <w:rFonts w:ascii="Calibri" w:hAnsi="Calibri" w:cs="Times New Roman"/>
          <w:sz w:val="24"/>
          <w:szCs w:val="24"/>
          <w:lang w:eastAsia="en-GB"/>
        </w:rPr>
        <w:t xml:space="preserve"> </w:t>
      </w:r>
    </w:p>
    <w:p w14:paraId="7FD12707" w14:textId="4A8AFC7E" w:rsidR="00597826" w:rsidRDefault="00597826" w:rsidP="00375DCA">
      <w:pPr>
        <w:pStyle w:val="Heading1"/>
        <w:rPr>
          <w:rFonts w:asciiTheme="minorHAnsi" w:hAnsiTheme="minorHAnsi"/>
          <w:color w:val="000000" w:themeColor="text1"/>
          <w:sz w:val="22"/>
          <w:szCs w:val="22"/>
        </w:rPr>
      </w:pPr>
      <w:r w:rsidRPr="00EA35B4">
        <w:rPr>
          <w:rFonts w:asciiTheme="minorHAnsi" w:hAnsiTheme="minorHAnsi"/>
          <w:color w:val="000000" w:themeColor="text1"/>
          <w:sz w:val="24"/>
          <w:szCs w:val="24"/>
        </w:rPr>
        <w:t>Overview of screening methods</w:t>
      </w:r>
      <w:r w:rsidR="00EA35B4">
        <w:rPr>
          <w:rFonts w:asciiTheme="minorHAnsi" w:hAnsiTheme="minorHAnsi"/>
          <w:color w:val="000000" w:themeColor="text1"/>
          <w:sz w:val="24"/>
          <w:szCs w:val="24"/>
        </w:rPr>
        <w:t>:</w:t>
      </w:r>
      <w:r w:rsidRPr="004D04BF">
        <w:rPr>
          <w:color w:val="000000" w:themeColor="text1"/>
          <w:sz w:val="24"/>
          <w:szCs w:val="24"/>
        </w:rPr>
        <w:t xml:space="preserve"> </w:t>
      </w:r>
      <w:r w:rsidRPr="004D04BF">
        <w:rPr>
          <w:color w:val="000000" w:themeColor="text1"/>
          <w:sz w:val="24"/>
          <w:szCs w:val="24"/>
        </w:rPr>
        <w:tab/>
      </w:r>
      <w:r w:rsidRPr="00C771B6">
        <w:rPr>
          <w:rFonts w:asciiTheme="minorHAnsi" w:hAnsiTheme="minorHAnsi"/>
          <w:b w:val="0"/>
          <w:color w:val="auto"/>
          <w:sz w:val="22"/>
          <w:szCs w:val="22"/>
        </w:rPr>
        <w:t>(</w:t>
      </w:r>
      <w:r>
        <w:rPr>
          <w:rFonts w:asciiTheme="minorHAnsi" w:hAnsiTheme="minorHAnsi"/>
          <w:b w:val="0"/>
          <w:color w:val="auto"/>
          <w:sz w:val="22"/>
          <w:szCs w:val="22"/>
        </w:rPr>
        <w:t>Table 4)</w:t>
      </w:r>
      <w:r w:rsidR="00814F98" w:rsidRPr="00814F98">
        <w:rPr>
          <w:rFonts w:asciiTheme="minorHAnsi" w:hAnsiTheme="minorHAnsi"/>
          <w:b w:val="0"/>
          <w:color w:val="auto"/>
          <w:sz w:val="22"/>
          <w:szCs w:val="22"/>
          <w:vertAlign w:val="superscript"/>
        </w:rPr>
        <w:t>54-63</w:t>
      </w:r>
    </w:p>
    <w:p w14:paraId="61C45C5D" w14:textId="77777777" w:rsidR="00EA35B4" w:rsidRDefault="00EA35B4" w:rsidP="00375DCA">
      <w:pPr>
        <w:rPr>
          <w:rFonts w:ascii="Calibri" w:hAnsi="Calibri" w:cs="Calibri"/>
          <w:iCs/>
        </w:rPr>
      </w:pPr>
    </w:p>
    <w:p w14:paraId="15D33A98" w14:textId="77777777" w:rsidR="00597826" w:rsidRPr="004D04BF" w:rsidRDefault="00597826" w:rsidP="00375DCA">
      <w:pPr>
        <w:rPr>
          <w:rFonts w:ascii="Calibri" w:hAnsi="Calibri" w:cs="Calibri"/>
          <w:iCs/>
        </w:rPr>
      </w:pPr>
      <w:r w:rsidRPr="004D04BF">
        <w:rPr>
          <w:rFonts w:ascii="Calibri" w:hAnsi="Calibri" w:cs="Calibri"/>
          <w:iCs/>
        </w:rPr>
        <w:t xml:space="preserve">Pulse palpation to assess pulse irregularity is </w:t>
      </w:r>
      <w:r>
        <w:rPr>
          <w:rFonts w:ascii="Calibri" w:hAnsi="Calibri" w:cs="Calibri"/>
          <w:iCs/>
        </w:rPr>
        <w:t>a</w:t>
      </w:r>
      <w:r w:rsidRPr="004D04BF">
        <w:rPr>
          <w:rFonts w:ascii="Calibri" w:hAnsi="Calibri" w:cs="Calibri"/>
          <w:iCs/>
        </w:rPr>
        <w:t xml:space="preserve"> readily accessible method for screening in primary care</w:t>
      </w:r>
      <w:r>
        <w:rPr>
          <w:rFonts w:ascii="Calibri" w:hAnsi="Calibri" w:cs="Calibri"/>
          <w:iCs/>
        </w:rPr>
        <w:t>, shown effective as a screening strategy in the SAFE study.</w:t>
      </w:r>
      <w:r w:rsidRPr="008D370F">
        <w:rPr>
          <w:rFonts w:ascii="Calibri" w:hAnsi="Calibri" w:cs="Calibri"/>
          <w:iCs/>
          <w:noProof/>
          <w:vertAlign w:val="superscript"/>
        </w:rPr>
        <w:t>64</w:t>
      </w:r>
      <w:r w:rsidRPr="004D04BF">
        <w:rPr>
          <w:rFonts w:ascii="Calibri" w:hAnsi="Calibri" w:cs="Calibri"/>
          <w:iCs/>
        </w:rPr>
        <w:t xml:space="preserve"> </w:t>
      </w:r>
      <w:r>
        <w:rPr>
          <w:rFonts w:ascii="Calibri" w:hAnsi="Calibri" w:cs="Calibri"/>
          <w:iCs/>
        </w:rPr>
        <w:t>It</w:t>
      </w:r>
      <w:r w:rsidRPr="004D04BF">
        <w:rPr>
          <w:rFonts w:ascii="Calibri" w:hAnsi="Calibri" w:cs="Calibri"/>
          <w:iCs/>
        </w:rPr>
        <w:t xml:space="preserve"> </w:t>
      </w:r>
      <w:r>
        <w:rPr>
          <w:rFonts w:ascii="Calibri" w:hAnsi="Calibri" w:cs="Calibri"/>
          <w:iCs/>
        </w:rPr>
        <w:t xml:space="preserve">can also be used in the </w:t>
      </w:r>
      <w:r w:rsidRPr="004D04BF">
        <w:rPr>
          <w:rFonts w:ascii="Calibri" w:hAnsi="Calibri" w:cs="Calibri"/>
          <w:iCs/>
        </w:rPr>
        <w:t xml:space="preserve">community, in both high and low-middle income countries, but </w:t>
      </w:r>
      <w:r w:rsidRPr="004D04BF">
        <w:rPr>
          <w:rFonts w:cs="Arial"/>
        </w:rPr>
        <w:t>has</w:t>
      </w:r>
      <w:r>
        <w:rPr>
          <w:rFonts w:cs="Arial"/>
        </w:rPr>
        <w:t xml:space="preserve"> some</w:t>
      </w:r>
      <w:r w:rsidRPr="004D04BF">
        <w:rPr>
          <w:rFonts w:cs="Arial"/>
        </w:rPr>
        <w:t xml:space="preserve"> </w:t>
      </w:r>
      <w:r>
        <w:rPr>
          <w:rFonts w:cs="Arial"/>
        </w:rPr>
        <w:t>limitations.</w:t>
      </w:r>
      <w:r w:rsidRPr="008D370F">
        <w:rPr>
          <w:rFonts w:cs="Arial"/>
          <w:noProof/>
          <w:vertAlign w:val="superscript"/>
        </w:rPr>
        <w:t>54</w:t>
      </w:r>
      <w:r w:rsidRPr="004D04BF">
        <w:rPr>
          <w:rFonts w:ascii="Calibri" w:hAnsi="Calibri" w:cs="Calibri"/>
          <w:iCs/>
        </w:rPr>
        <w:t xml:space="preserve"> In the clinic it is usually performed by physicians or nurses, while in the community non-physician health professionals and lay people can be trained to detect pulse irregularity. In </w:t>
      </w:r>
      <w:r>
        <w:rPr>
          <w:rFonts w:ascii="Calibri" w:hAnsi="Calibri" w:cs="Calibri"/>
          <w:iCs/>
        </w:rPr>
        <w:t xml:space="preserve">routine </w:t>
      </w:r>
      <w:r w:rsidRPr="004D04BF">
        <w:rPr>
          <w:rFonts w:ascii="Calibri" w:hAnsi="Calibri" w:cs="Calibri"/>
          <w:iCs/>
        </w:rPr>
        <w:t xml:space="preserve">primary care, the pulse is infrequently assessed. </w:t>
      </w:r>
      <w:r>
        <w:rPr>
          <w:rFonts w:ascii="Calibri" w:hAnsi="Calibri" w:cs="Calibri"/>
          <w:iCs/>
        </w:rPr>
        <w:t>Cardiac auscultation can also detect AF, but is even less frequently performed in primary care.</w:t>
      </w:r>
    </w:p>
    <w:p w14:paraId="637BA738" w14:textId="77777777" w:rsidR="00597826" w:rsidRDefault="00597826" w:rsidP="00375DCA">
      <w:pPr>
        <w:tabs>
          <w:tab w:val="left" w:pos="2127"/>
        </w:tabs>
        <w:rPr>
          <w:rFonts w:cs="Arial"/>
        </w:rPr>
      </w:pPr>
      <w:r w:rsidRPr="004D04BF">
        <w:rPr>
          <w:rFonts w:cs="Arial"/>
        </w:rPr>
        <w:t>Innovation in technology has produced new screening devices which improve feasibility and cost-effectiveness of widespread screening. These devices are recognized as valid for AF detection by the European Primary Care Cardiovascular Society</w:t>
      </w:r>
      <w:r>
        <w:rPr>
          <w:rFonts w:cs="Arial"/>
        </w:rPr>
        <w:t>,</w:t>
      </w:r>
      <w:r w:rsidRPr="00DB559C">
        <w:t xml:space="preserve"> </w:t>
      </w:r>
      <w:r w:rsidRPr="008D370F">
        <w:rPr>
          <w:rFonts w:cs="Arial"/>
          <w:noProof/>
          <w:vertAlign w:val="superscript"/>
        </w:rPr>
        <w:t>65</w:t>
      </w:r>
      <w:r w:rsidRPr="004D04BF">
        <w:rPr>
          <w:rFonts w:cs="Arial"/>
        </w:rPr>
        <w:t xml:space="preserve"> and could be used to complement traditional screening by pulse palpation. </w:t>
      </w:r>
    </w:p>
    <w:p w14:paraId="19CAEC8F" w14:textId="77777777" w:rsidR="00597826" w:rsidRPr="004D04BF" w:rsidRDefault="00597826" w:rsidP="00375DCA">
      <w:pPr>
        <w:rPr>
          <w:rFonts w:cs="Arial"/>
        </w:rPr>
      </w:pPr>
      <w:r w:rsidRPr="004D04BF">
        <w:rPr>
          <w:rFonts w:cs="Arial"/>
        </w:rPr>
        <w:t>Oscillometric blood pressure monitors with an AF detection function based on pulse irregularity offer high sensitivity (92-100%) and specificity (90-97%), and are superior to pulse palpation</w:t>
      </w:r>
      <w:r>
        <w:rPr>
          <w:rFonts w:cs="Arial"/>
        </w:rPr>
        <w:t>.</w:t>
      </w:r>
      <w:r w:rsidRPr="008D370F">
        <w:rPr>
          <w:rFonts w:cs="Arial"/>
          <w:noProof/>
          <w:vertAlign w:val="superscript"/>
        </w:rPr>
        <w:t>56, 60, 61</w:t>
      </w:r>
      <w:hyperlink w:anchor="_ENREF_104" w:tooltip="Kearley, 2014 #641" w:history="1"/>
      <w:r w:rsidRPr="004D04BF">
        <w:rPr>
          <w:rFonts w:cs="Arial"/>
        </w:rPr>
        <w:t xml:space="preserve"> The devices can be used by health workers or patients, provide single timepoint or multiple patient-activated recordings and have been evaluated by health technology assessments.</w:t>
      </w:r>
      <w:r w:rsidRPr="008D370F">
        <w:rPr>
          <w:rFonts w:cs="Arial"/>
          <w:noProof/>
          <w:vertAlign w:val="superscript"/>
        </w:rPr>
        <w:t>66</w:t>
      </w:r>
      <w:r w:rsidRPr="004D04BF">
        <w:rPr>
          <w:rFonts w:cs="Arial"/>
        </w:rPr>
        <w:t xml:space="preserve">  </w:t>
      </w:r>
      <w:r>
        <w:rPr>
          <w:rFonts w:cs="Arial"/>
        </w:rPr>
        <w:t>F</w:t>
      </w:r>
      <w:r w:rsidRPr="004D04BF">
        <w:rPr>
          <w:rFonts w:cs="Arial"/>
        </w:rPr>
        <w:t>inger photo</w:t>
      </w:r>
      <w:r w:rsidRPr="004D04BF">
        <w:rPr>
          <w:rFonts w:cs="Arial"/>
          <w:bCs/>
        </w:rPr>
        <w:t xml:space="preserve">plethysmography, using </w:t>
      </w:r>
      <w:r>
        <w:rPr>
          <w:rFonts w:cs="Arial"/>
          <w:bCs/>
        </w:rPr>
        <w:t>a</w:t>
      </w:r>
      <w:r w:rsidRPr="004D04BF">
        <w:rPr>
          <w:rFonts w:cs="Arial"/>
          <w:bCs/>
        </w:rPr>
        <w:t xml:space="preserve"> smartphone camera and flash, has sensitivity 93% and specificity 98% for AF detection using proprietary algorithms with variable techniques to deal with ectopic beats</w:t>
      </w:r>
      <w:r>
        <w:t>.</w:t>
      </w:r>
      <w:r w:rsidRPr="008D370F">
        <w:rPr>
          <w:rFonts w:cs="Arial"/>
          <w:bCs/>
          <w:noProof/>
          <w:vertAlign w:val="superscript"/>
        </w:rPr>
        <w:t>63, 67, 68</w:t>
      </w:r>
      <w:hyperlink w:anchor="_ENREF_106" w:tooltip="McManus, 2016 #711" w:history="1"/>
      <w:hyperlink w:anchor="_ENREF_107" w:tooltip="Chan, 2016 #777" w:history="1"/>
      <w:r w:rsidRPr="004D04BF">
        <w:rPr>
          <w:rFonts w:cs="Arial"/>
          <w:bCs/>
        </w:rPr>
        <w:t xml:space="preserve"> </w:t>
      </w:r>
      <w:r w:rsidRPr="004D04BF">
        <w:rPr>
          <w:rFonts w:cs="Arial"/>
        </w:rPr>
        <w:t xml:space="preserve">Similar algorithms are being built into smart-watches and fitness bands. The technology is attractive given the </w:t>
      </w:r>
      <w:r>
        <w:rPr>
          <w:rFonts w:cs="Arial"/>
        </w:rPr>
        <w:t>wide distribution</w:t>
      </w:r>
      <w:r w:rsidRPr="004D04BF">
        <w:rPr>
          <w:rFonts w:cs="Arial"/>
        </w:rPr>
        <w:t xml:space="preserve"> of smartphones, but require</w:t>
      </w:r>
      <w:r>
        <w:rPr>
          <w:rFonts w:cs="Arial"/>
        </w:rPr>
        <w:t>s</w:t>
      </w:r>
      <w:r w:rsidRPr="004D04BF">
        <w:rPr>
          <w:rFonts w:cs="Arial"/>
        </w:rPr>
        <w:t xml:space="preserve"> a noise-free trace for optimal performance. Ultimately</w:t>
      </w:r>
      <w:r>
        <w:rPr>
          <w:rFonts w:cs="Arial"/>
        </w:rPr>
        <w:t>,</w:t>
      </w:r>
      <w:r w:rsidRPr="004D04BF">
        <w:rPr>
          <w:rFonts w:cs="Arial"/>
        </w:rPr>
        <w:t xml:space="preserve"> with all pulse-based detection systems, an ECG is required to confirm AF,</w:t>
      </w:r>
      <w:r w:rsidRPr="008D370F">
        <w:rPr>
          <w:noProof/>
          <w:vertAlign w:val="superscript"/>
        </w:rPr>
        <w:t>1, 69</w:t>
      </w:r>
      <w:r w:rsidRPr="004D04BF">
        <w:rPr>
          <w:rFonts w:cs="Arial"/>
        </w:rPr>
        <w:t xml:space="preserve"> either 12-lead (current gold standard) or single-lead documenting</w:t>
      </w:r>
      <w:r>
        <w:rPr>
          <w:rFonts w:cs="Arial"/>
        </w:rPr>
        <w:t xml:space="preserve"> P-</w:t>
      </w:r>
      <w:r w:rsidRPr="004D04BF">
        <w:rPr>
          <w:rFonts w:cs="Arial"/>
        </w:rPr>
        <w:t>waves.</w:t>
      </w:r>
    </w:p>
    <w:p w14:paraId="18E1DBEE" w14:textId="77777777" w:rsidR="00597826" w:rsidRPr="004D04BF" w:rsidRDefault="00597826" w:rsidP="00375DCA">
      <w:pPr>
        <w:widowControl w:val="0"/>
        <w:autoSpaceDE w:val="0"/>
        <w:autoSpaceDN w:val="0"/>
        <w:adjustRightInd w:val="0"/>
        <w:rPr>
          <w:rFonts w:cs="Arial"/>
          <w:noProof/>
        </w:rPr>
      </w:pPr>
      <w:r w:rsidRPr="004D04BF">
        <w:rPr>
          <w:rFonts w:cs="Arial"/>
        </w:rPr>
        <w:t>A range of handheld devices produce diagnostic quality single-lead (L1) ECG</w:t>
      </w:r>
      <w:r>
        <w:rPr>
          <w:rFonts w:cs="Arial"/>
        </w:rPr>
        <w:t>s</w:t>
      </w:r>
      <w:r w:rsidRPr="004D04BF">
        <w:rPr>
          <w:rFonts w:cs="Arial"/>
        </w:rPr>
        <w:t>, most with automated algorithms more accurate than pulse palpation (sensitivity 94-99%, and specificity 92-97%).</w:t>
      </w:r>
      <w:r w:rsidRPr="008D370F">
        <w:rPr>
          <w:rFonts w:cs="Arial"/>
          <w:noProof/>
          <w:vertAlign w:val="superscript"/>
        </w:rPr>
        <w:t>56, 57, 59, 70</w:t>
      </w:r>
      <w:r w:rsidRPr="004D04BF">
        <w:rPr>
          <w:rFonts w:cs="Arial"/>
        </w:rPr>
        <w:t xml:space="preserve"> These devices h</w:t>
      </w:r>
      <w:r>
        <w:rPr>
          <w:rFonts w:cs="Arial"/>
        </w:rPr>
        <w:t xml:space="preserve">ave been widely used for single </w:t>
      </w:r>
      <w:r w:rsidRPr="004D04BF">
        <w:rPr>
          <w:rFonts w:cs="Arial"/>
        </w:rPr>
        <w:t>timepoint AF screening</w:t>
      </w:r>
      <w:hyperlink w:anchor="_ENREF_74" w:tooltip="Lowres, 2014 #544" w:history="1"/>
      <w:hyperlink w:anchor="_ENREF_74" w:tooltip="Lowres, 2014 #544" w:history="1"/>
      <w:hyperlink w:anchor="_ENREF_115" w:tooltip="Tieleman, 2014 #639" w:history="1"/>
      <w:hyperlink w:anchor="_ENREF_116" w:tooltip="Kaasenbrood, 2016 #779" w:history="1"/>
      <w:r>
        <w:rPr>
          <w:rFonts w:cs="Arial"/>
          <w:noProof/>
        </w:rPr>
        <w:t>.</w:t>
      </w:r>
      <w:r w:rsidRPr="008D370F">
        <w:rPr>
          <w:rFonts w:cs="Arial"/>
          <w:noProof/>
          <w:vertAlign w:val="superscript"/>
        </w:rPr>
        <w:t>47, 57</w:t>
      </w:r>
      <w:r>
        <w:rPr>
          <w:rFonts w:cs="Arial"/>
          <w:noProof/>
        </w:rPr>
        <w:t xml:space="preserve"> </w:t>
      </w:r>
      <w:r>
        <w:rPr>
          <w:rFonts w:cs="Arial"/>
        </w:rPr>
        <w:t>R</w:t>
      </w:r>
      <w:r w:rsidRPr="004D04BF">
        <w:rPr>
          <w:rFonts w:cs="Arial"/>
        </w:rPr>
        <w:t>epeated handheld ECG recordings</w:t>
      </w:r>
      <w:r>
        <w:rPr>
          <w:rFonts w:cs="Arial"/>
        </w:rPr>
        <w:t xml:space="preserve"> over 14-28 days</w:t>
      </w:r>
      <w:r w:rsidRPr="004D04BF">
        <w:rPr>
          <w:rFonts w:cs="Arial"/>
        </w:rPr>
        <w:t xml:space="preserve"> </w:t>
      </w:r>
      <w:r>
        <w:rPr>
          <w:rFonts w:cs="Arial"/>
        </w:rPr>
        <w:t>have d</w:t>
      </w:r>
      <w:r w:rsidRPr="004D04BF">
        <w:rPr>
          <w:rFonts w:cs="Arial"/>
        </w:rPr>
        <w:t>iagnostic accuracy equivalent to standard event recorders</w:t>
      </w:r>
      <w:r>
        <w:rPr>
          <w:rFonts w:cs="Arial"/>
        </w:rPr>
        <w:t>,</w:t>
      </w:r>
      <w:r w:rsidRPr="004D04BF">
        <w:rPr>
          <w:rFonts w:cs="Arial"/>
        </w:rPr>
        <w:t xml:space="preserve"> superior to 12-lead ECG and 24-hour Holter for paroxysmal AF</w:t>
      </w:r>
      <w:r>
        <w:rPr>
          <w:rFonts w:cs="Arial"/>
        </w:rPr>
        <w:t>,</w:t>
      </w:r>
      <w:r w:rsidRPr="002F37DB">
        <w:t xml:space="preserve"> </w:t>
      </w:r>
      <w:r w:rsidRPr="008D370F">
        <w:rPr>
          <w:rFonts w:cs="Arial"/>
          <w:noProof/>
          <w:vertAlign w:val="superscript"/>
        </w:rPr>
        <w:t>5, 59, 71</w:t>
      </w:r>
      <w:r w:rsidRPr="00F14488">
        <w:t xml:space="preserve"> </w:t>
      </w:r>
      <w:r w:rsidRPr="004D04BF">
        <w:rPr>
          <w:rFonts w:cs="Arial"/>
        </w:rPr>
        <w:t>and ha</w:t>
      </w:r>
      <w:r>
        <w:rPr>
          <w:rFonts w:cs="Arial"/>
        </w:rPr>
        <w:t>ve</w:t>
      </w:r>
      <w:r w:rsidRPr="004D04BF">
        <w:rPr>
          <w:rFonts w:cs="Arial"/>
        </w:rPr>
        <w:t xml:space="preserve"> been used successfully in large scale AF screening</w:t>
      </w:r>
      <w:r w:rsidRPr="004D04BF">
        <w:t xml:space="preserve"> studies</w:t>
      </w:r>
      <w:r>
        <w:t>.</w:t>
      </w:r>
      <w:r w:rsidRPr="00870A77">
        <w:rPr>
          <w:noProof/>
          <w:vertAlign w:val="superscript"/>
        </w:rPr>
        <w:t>4, 5</w:t>
      </w:r>
      <w:hyperlink w:anchor="_ENREF_3" w:tooltip="Svennberg, 2015 #572" w:history="1"/>
      <w:r w:rsidRPr="004D04BF">
        <w:rPr>
          <w:rFonts w:cs="Arial"/>
        </w:rPr>
        <w:t xml:space="preserve"> While single lead ECGs may not al</w:t>
      </w:r>
      <w:r>
        <w:rPr>
          <w:rFonts w:cs="Arial"/>
        </w:rPr>
        <w:t>ways show P-</w:t>
      </w:r>
      <w:r w:rsidRPr="004D04BF">
        <w:rPr>
          <w:rFonts w:cs="Arial"/>
        </w:rPr>
        <w:t xml:space="preserve">waves, the advantages outweigh this limitation. The accepted </w:t>
      </w:r>
      <w:r>
        <w:rPr>
          <w:rFonts w:cs="Arial"/>
        </w:rPr>
        <w:t xml:space="preserve">arbitrary </w:t>
      </w:r>
      <w:r w:rsidRPr="004D04BF">
        <w:rPr>
          <w:rFonts w:cs="Arial"/>
        </w:rPr>
        <w:t>episode duration for defining AF is 30 seconds</w:t>
      </w:r>
      <w:r>
        <w:rPr>
          <w:rFonts w:cs="Arial"/>
        </w:rPr>
        <w:t>.</w:t>
      </w:r>
    </w:p>
    <w:p w14:paraId="2BBEF2DC" w14:textId="77777777" w:rsidR="00597826" w:rsidRPr="0064101A" w:rsidRDefault="00597826" w:rsidP="00375DCA">
      <w:pPr>
        <w:rPr>
          <w:rFonts w:cs="Arial"/>
        </w:rPr>
      </w:pPr>
      <w:r w:rsidRPr="004D04BF">
        <w:rPr>
          <w:rFonts w:cs="Arial"/>
          <w:bCs/>
        </w:rPr>
        <w:t xml:space="preserve">Continuous monitoring coupled with a diagnostic algorithm will detect paroxysmal AF more effectively than repeated patient-activated devices, though the prognostic significance of very brief episodes is </w:t>
      </w:r>
      <w:r>
        <w:rPr>
          <w:rFonts w:cs="Arial"/>
          <w:bCs/>
        </w:rPr>
        <w:t xml:space="preserve"> </w:t>
      </w:r>
      <w:r w:rsidRPr="004D04BF">
        <w:rPr>
          <w:rFonts w:cs="Arial"/>
          <w:bCs/>
        </w:rPr>
        <w:t>uncertain. This can be accomplished by</w:t>
      </w:r>
      <w:r>
        <w:rPr>
          <w:rFonts w:cs="Arial"/>
          <w:bCs/>
        </w:rPr>
        <w:t xml:space="preserve"> non-invasive devices, e.g. </w:t>
      </w:r>
      <w:r w:rsidRPr="0064101A">
        <w:rPr>
          <w:rFonts w:cs="Arial"/>
          <w:bCs/>
        </w:rPr>
        <w:t>prolonged Holter monitoring</w:t>
      </w:r>
      <w:r>
        <w:t xml:space="preserve">, </w:t>
      </w:r>
      <w:r w:rsidRPr="0064101A">
        <w:rPr>
          <w:rFonts w:cs="Arial"/>
          <w:bCs/>
        </w:rPr>
        <w:t>a wearable non-adhesive dry-electrode belt,</w:t>
      </w:r>
      <w:r w:rsidRPr="008D370F">
        <w:rPr>
          <w:rFonts w:cs="Arial"/>
          <w:bCs/>
          <w:noProof/>
          <w:vertAlign w:val="superscript"/>
        </w:rPr>
        <w:t>72</w:t>
      </w:r>
      <w:r w:rsidRPr="00AE2594">
        <w:rPr>
          <w:rFonts w:cs="Arial"/>
          <w:bCs/>
        </w:rPr>
        <w:t xml:space="preserve"> or </w:t>
      </w:r>
      <w:r w:rsidRPr="0064101A">
        <w:rPr>
          <w:rFonts w:cs="Arial"/>
          <w:bCs/>
        </w:rPr>
        <w:t xml:space="preserve">by a wearable-patch: </w:t>
      </w:r>
      <w:r w:rsidRPr="00FF4AC6">
        <w:rPr>
          <w:rFonts w:cs="Arial"/>
        </w:rPr>
        <w:t xml:space="preserve">feasible for </w:t>
      </w:r>
      <w:r w:rsidRPr="0081309A">
        <w:rPr>
          <w:rFonts w:cs="Arial"/>
        </w:rPr>
        <w:t>2-4 weeks</w:t>
      </w:r>
      <w:r w:rsidRPr="008D370F">
        <w:rPr>
          <w:rFonts w:cs="Arial"/>
          <w:noProof/>
          <w:vertAlign w:val="superscript"/>
        </w:rPr>
        <w:t>73</w:t>
      </w:r>
      <w:r w:rsidRPr="00AE2594">
        <w:rPr>
          <w:rFonts w:cs="Arial"/>
        </w:rPr>
        <w:t xml:space="preserve"> and superior to 24-hour Holter.</w:t>
      </w:r>
      <w:r w:rsidRPr="00AE2594" w:rsidDel="00402B94">
        <w:rPr>
          <w:rFonts w:cs="Arial"/>
        </w:rPr>
        <w:t xml:space="preserve"> </w:t>
      </w:r>
    </w:p>
    <w:p w14:paraId="57779AA4" w14:textId="77777777" w:rsidR="00597826" w:rsidRPr="0046572A" w:rsidRDefault="00597826" w:rsidP="00375DCA">
      <w:pPr>
        <w:rPr>
          <w:rFonts w:cs="Arial"/>
        </w:rPr>
      </w:pPr>
      <w:r w:rsidRPr="00E2595D">
        <w:rPr>
          <w:rFonts w:cs="Arial"/>
        </w:rPr>
        <w:t xml:space="preserve">The main </w:t>
      </w:r>
      <w:r>
        <w:rPr>
          <w:rFonts w:cs="Arial"/>
        </w:rPr>
        <w:t>disadvantages</w:t>
      </w:r>
      <w:r w:rsidRPr="00E2595D">
        <w:rPr>
          <w:rFonts w:cs="Arial"/>
        </w:rPr>
        <w:t xml:space="preserve"> of prolonged external monitoring </w:t>
      </w:r>
      <w:r>
        <w:rPr>
          <w:rFonts w:cs="Arial"/>
        </w:rPr>
        <w:t>are</w:t>
      </w:r>
      <w:r w:rsidRPr="00502C21">
        <w:rPr>
          <w:rFonts w:cs="Arial"/>
        </w:rPr>
        <w:t xml:space="preserve"> skin irritation from electrodes/patch</w:t>
      </w:r>
      <w:r>
        <w:rPr>
          <w:rFonts w:cs="Arial"/>
        </w:rPr>
        <w:t>es leading to reduced patient compliance</w:t>
      </w:r>
      <w:r w:rsidRPr="00502C21">
        <w:rPr>
          <w:rFonts w:cs="Arial"/>
        </w:rPr>
        <w:t>, and the large amou</w:t>
      </w:r>
      <w:r w:rsidRPr="00B6722E">
        <w:rPr>
          <w:rFonts w:cs="Arial"/>
        </w:rPr>
        <w:t>nts of data generated</w:t>
      </w:r>
      <w:r w:rsidRPr="0046572A">
        <w:rPr>
          <w:rFonts w:cs="Arial"/>
        </w:rPr>
        <w:t xml:space="preserve">. </w:t>
      </w:r>
    </w:p>
    <w:p w14:paraId="227472AD" w14:textId="77777777" w:rsidR="00597826" w:rsidRPr="004D04BF" w:rsidRDefault="00597826" w:rsidP="00375DCA">
      <w:pPr>
        <w:rPr>
          <w:rFonts w:cs="Arial"/>
        </w:rPr>
      </w:pPr>
      <w:r>
        <w:rPr>
          <w:rFonts w:cs="Arial"/>
        </w:rPr>
        <w:t>A</w:t>
      </w:r>
      <w:r w:rsidRPr="004D04BF">
        <w:rPr>
          <w:rFonts w:cs="Arial"/>
        </w:rPr>
        <w:t xml:space="preserve">ll devices </w:t>
      </w:r>
      <w:r>
        <w:rPr>
          <w:rFonts w:cs="Arial"/>
        </w:rPr>
        <w:t>with</w:t>
      </w:r>
      <w:r w:rsidRPr="004D04BF">
        <w:rPr>
          <w:rFonts w:cs="Arial"/>
        </w:rPr>
        <w:t xml:space="preserve"> automated AF diagnostic </w:t>
      </w:r>
      <w:r>
        <w:rPr>
          <w:rFonts w:cs="Arial"/>
        </w:rPr>
        <w:t xml:space="preserve">algorithms require </w:t>
      </w:r>
      <w:r w:rsidRPr="004D04BF">
        <w:rPr>
          <w:rFonts w:cs="Arial"/>
        </w:rPr>
        <w:t>low-noise high-</w:t>
      </w:r>
      <w:r>
        <w:rPr>
          <w:rFonts w:cs="Arial"/>
        </w:rPr>
        <w:t>quality signals for optimal performance. This may be</w:t>
      </w:r>
      <w:r w:rsidRPr="004D04BF">
        <w:rPr>
          <w:rFonts w:cs="Arial"/>
        </w:rPr>
        <w:t xml:space="preserve"> difficult when devices are given to patients or used in the community. High sensitivity is desirable, but there is a trade-off with lower specificity which can create much extra work and cost in verifying diagnoses with an ECG (if not recorded by the device).</w:t>
      </w:r>
      <w:r w:rsidRPr="008D370F">
        <w:rPr>
          <w:rFonts w:cs="Arial"/>
          <w:noProof/>
          <w:vertAlign w:val="superscript"/>
        </w:rPr>
        <w:t>69</w:t>
      </w:r>
      <w:r w:rsidRPr="004D04BF">
        <w:rPr>
          <w:rFonts w:cs="Arial"/>
        </w:rPr>
        <w:t xml:space="preserve"> Device performance</w:t>
      </w:r>
      <w:r>
        <w:rPr>
          <w:rFonts w:cs="Arial"/>
        </w:rPr>
        <w:t>,</w:t>
      </w:r>
      <w:r w:rsidRPr="004D04BF">
        <w:rPr>
          <w:rFonts w:cs="Arial"/>
        </w:rPr>
        <w:t xml:space="preserve"> therefore</w:t>
      </w:r>
      <w:r>
        <w:rPr>
          <w:rFonts w:cs="Arial"/>
        </w:rPr>
        <w:t>,</w:t>
      </w:r>
      <w:r w:rsidRPr="004D04BF">
        <w:rPr>
          <w:rFonts w:cs="Arial"/>
        </w:rPr>
        <w:t xml:space="preserve"> </w:t>
      </w:r>
      <w:r>
        <w:rPr>
          <w:rFonts w:cs="Arial"/>
        </w:rPr>
        <w:t>must</w:t>
      </w:r>
      <w:r w:rsidRPr="004D04BF">
        <w:rPr>
          <w:rFonts w:cs="Arial"/>
        </w:rPr>
        <w:t xml:space="preserve"> be tested in the setting where it will be used for screening to optimize performance.  </w:t>
      </w:r>
    </w:p>
    <w:p w14:paraId="68601C4E" w14:textId="77777777" w:rsidR="00597826" w:rsidRPr="002F0335" w:rsidRDefault="00597826" w:rsidP="00375DCA">
      <w:pPr>
        <w:rPr>
          <w:rFonts w:asciiTheme="majorHAnsi" w:hAnsiTheme="majorHAnsi" w:cs="Arial"/>
          <w:b/>
        </w:rPr>
      </w:pPr>
      <w:r w:rsidRPr="00C51346">
        <w:rPr>
          <w:rFonts w:cs="Arial"/>
          <w:b/>
        </w:rPr>
        <w:t>Key Point 4:</w:t>
      </w:r>
      <w:r w:rsidRPr="004658EA">
        <w:rPr>
          <w:rFonts w:asciiTheme="majorHAnsi" w:hAnsiTheme="majorHAnsi" w:cs="Arial"/>
          <w:b/>
        </w:rPr>
        <w:t xml:space="preserve">  </w:t>
      </w:r>
      <w:r w:rsidRPr="004658EA">
        <w:rPr>
          <w:rFonts w:ascii="Calibri" w:hAnsi="Calibri" w:cs="Times New Roman"/>
          <w:lang w:eastAsia="en-GB"/>
        </w:rPr>
        <w:t xml:space="preserve">Mass screening or opportunistic screening for AF can be accomplished by pulse palpation; oscillometric (blood pressure) or photoplethysmographic (smartphone camera) devices; and handheld ECG devices providing a rhythm strip. Because ECG confirmation is mandated by guidelines for the diagnosis of AF, handheld ECG devices have the advantage of providing a verifiable ECG trace, and would therefore would be preferred as screening tools. </w:t>
      </w:r>
      <w:r w:rsidRPr="004658EA">
        <w:rPr>
          <w:rFonts w:cs="Arial"/>
        </w:rPr>
        <w:t>Prolonged continuous ECG monitoring with external or subcutaneous recorders will diagnose more paroxysmal AF, but requires further evaluation: cost-effectiveness will be limited by expense, and detection of AF with lower absolute stroke risk.</w:t>
      </w:r>
    </w:p>
    <w:p w14:paraId="4A2AC4C9" w14:textId="77777777" w:rsidR="00597826" w:rsidRPr="00EA35B4" w:rsidRDefault="00597826" w:rsidP="00375DCA">
      <w:pPr>
        <w:pStyle w:val="Heading1"/>
        <w:rPr>
          <w:rFonts w:asciiTheme="minorHAnsi" w:hAnsiTheme="minorHAnsi" w:cs="Verdana"/>
          <w:i/>
          <w:color w:val="000000" w:themeColor="text1"/>
          <w:sz w:val="24"/>
          <w:szCs w:val="24"/>
        </w:rPr>
      </w:pPr>
      <w:r w:rsidRPr="00EA35B4">
        <w:rPr>
          <w:rFonts w:asciiTheme="minorHAnsi" w:hAnsiTheme="minorHAnsi"/>
          <w:color w:val="000000" w:themeColor="text1"/>
          <w:sz w:val="24"/>
          <w:szCs w:val="24"/>
        </w:rPr>
        <w:t xml:space="preserve">Settings for screening </w:t>
      </w:r>
    </w:p>
    <w:p w14:paraId="65CC34CD" w14:textId="77777777" w:rsidR="00597826" w:rsidRDefault="00597826" w:rsidP="00375DCA">
      <w:pPr>
        <w:rPr>
          <w:rFonts w:cs="Arial"/>
        </w:rPr>
      </w:pPr>
    </w:p>
    <w:p w14:paraId="661277E2" w14:textId="77777777" w:rsidR="00597826" w:rsidRPr="004D04BF" w:rsidRDefault="00597826" w:rsidP="00375DCA">
      <w:pPr>
        <w:rPr>
          <w:rFonts w:cs="Arial"/>
        </w:rPr>
      </w:pPr>
      <w:r>
        <w:rPr>
          <w:rFonts w:cs="Arial"/>
        </w:rPr>
        <w:t>T</w:t>
      </w:r>
      <w:r w:rsidRPr="004D04BF">
        <w:rPr>
          <w:rFonts w:cs="Arial"/>
        </w:rPr>
        <w:t xml:space="preserve">here has been increasing interest </w:t>
      </w:r>
      <w:r>
        <w:rPr>
          <w:rFonts w:cs="Arial"/>
        </w:rPr>
        <w:t xml:space="preserve">recently </w:t>
      </w:r>
      <w:r w:rsidRPr="004D04BF">
        <w:rPr>
          <w:rFonts w:cs="Arial"/>
        </w:rPr>
        <w:t>in community screening in a number of countries.</w:t>
      </w:r>
      <w:r w:rsidRPr="008D370F">
        <w:rPr>
          <w:rFonts w:cs="Arial"/>
          <w:noProof/>
          <w:vertAlign w:val="superscript"/>
        </w:rPr>
        <w:t>3-5, 74-77</w:t>
      </w:r>
      <w:r>
        <w:rPr>
          <w:rFonts w:cs="Arial"/>
        </w:rPr>
        <w:t xml:space="preserve"> </w:t>
      </w:r>
      <w:r w:rsidRPr="004D04BF">
        <w:rPr>
          <w:rFonts w:cs="Arial"/>
        </w:rPr>
        <w:t>Prospective studies</w:t>
      </w:r>
      <w:r>
        <w:rPr>
          <w:rFonts w:cs="Arial"/>
        </w:rPr>
        <w:t xml:space="preserve"> have used pulse palpation, </w:t>
      </w:r>
      <w:r w:rsidRPr="004D04BF">
        <w:rPr>
          <w:rFonts w:cs="Arial"/>
        </w:rPr>
        <w:t xml:space="preserve">single or multi-lead ECG; </w:t>
      </w:r>
      <w:r>
        <w:rPr>
          <w:rFonts w:cs="Arial"/>
        </w:rPr>
        <w:t xml:space="preserve">and </w:t>
      </w:r>
      <w:r w:rsidRPr="004D04BF">
        <w:rPr>
          <w:rFonts w:cs="Arial"/>
        </w:rPr>
        <w:t>single timepoint or intermittent recording</w:t>
      </w:r>
      <w:r>
        <w:rPr>
          <w:rFonts w:cs="Arial"/>
        </w:rPr>
        <w:t>s</w:t>
      </w:r>
      <w:r w:rsidRPr="004D04BF">
        <w:rPr>
          <w:rFonts w:cs="Arial"/>
        </w:rPr>
        <w:t xml:space="preserve">, </w:t>
      </w:r>
      <w:r>
        <w:rPr>
          <w:rFonts w:cs="Arial"/>
        </w:rPr>
        <w:t>using</w:t>
      </w:r>
      <w:r w:rsidRPr="004D04BF">
        <w:rPr>
          <w:rFonts w:cs="Arial"/>
        </w:rPr>
        <w:t xml:space="preserve"> systematic or opportunistic  approach</w:t>
      </w:r>
      <w:r>
        <w:rPr>
          <w:rFonts w:cs="Arial"/>
        </w:rPr>
        <w:t>es</w:t>
      </w:r>
      <w:r w:rsidRPr="004D04BF">
        <w:rPr>
          <w:rFonts w:cs="Arial"/>
        </w:rPr>
        <w:t xml:space="preserve"> across entire populations or age-specific strata of total populations</w:t>
      </w:r>
      <w:r>
        <w:rPr>
          <w:rFonts w:cs="Arial"/>
        </w:rPr>
        <w:t>, or</w:t>
      </w:r>
      <w:r w:rsidRPr="004D04BF">
        <w:rPr>
          <w:rFonts w:cs="Arial"/>
        </w:rPr>
        <w:t xml:space="preserve"> defined population</w:t>
      </w:r>
      <w:r>
        <w:rPr>
          <w:rFonts w:cs="Arial"/>
        </w:rPr>
        <w:t>s</w:t>
      </w:r>
      <w:r w:rsidRPr="004D04BF">
        <w:rPr>
          <w:rFonts w:cs="Arial"/>
        </w:rPr>
        <w:t xml:space="preserve"> in</w:t>
      </w:r>
      <w:r>
        <w:rPr>
          <w:rFonts w:cs="Arial"/>
        </w:rPr>
        <w:t xml:space="preserve"> </w:t>
      </w:r>
      <w:r w:rsidRPr="004D04BF">
        <w:rPr>
          <w:rFonts w:cs="Arial"/>
        </w:rPr>
        <w:t>cohort s</w:t>
      </w:r>
      <w:r>
        <w:rPr>
          <w:rFonts w:cs="Arial"/>
        </w:rPr>
        <w:t>tudies</w:t>
      </w:r>
      <w:r w:rsidRPr="004D04BF">
        <w:rPr>
          <w:rFonts w:cs="Arial"/>
        </w:rPr>
        <w:t xml:space="preserve">. </w:t>
      </w:r>
      <w:r>
        <w:rPr>
          <w:rFonts w:cs="Arial"/>
        </w:rPr>
        <w:t>S</w:t>
      </w:r>
      <w:r w:rsidRPr="004D04BF">
        <w:rPr>
          <w:rFonts w:cs="Arial"/>
        </w:rPr>
        <w:t xml:space="preserve">creening </w:t>
      </w:r>
      <w:r>
        <w:rPr>
          <w:rFonts w:cs="Arial"/>
        </w:rPr>
        <w:t>has also been</w:t>
      </w:r>
      <w:r w:rsidRPr="004D04BF">
        <w:rPr>
          <w:rFonts w:cs="Arial"/>
        </w:rPr>
        <w:t xml:space="preserve"> performed opportunistically in volunteers  during annual event</w:t>
      </w:r>
      <w:r>
        <w:rPr>
          <w:rFonts w:cs="Arial"/>
        </w:rPr>
        <w:t>s</w:t>
      </w:r>
      <w:r w:rsidRPr="004D04BF">
        <w:rPr>
          <w:rFonts w:cs="Arial"/>
        </w:rPr>
        <w:t xml:space="preserve"> (e</w:t>
      </w:r>
      <w:r>
        <w:rPr>
          <w:rFonts w:cs="Arial"/>
        </w:rPr>
        <w:t>.</w:t>
      </w:r>
      <w:r w:rsidRPr="004D04BF">
        <w:rPr>
          <w:rFonts w:cs="Arial"/>
        </w:rPr>
        <w:t>g</w:t>
      </w:r>
      <w:r>
        <w:rPr>
          <w:rFonts w:cs="Arial"/>
        </w:rPr>
        <w:t>.</w:t>
      </w:r>
      <w:r w:rsidRPr="004D04BF">
        <w:rPr>
          <w:rFonts w:cs="Arial"/>
        </w:rPr>
        <w:t xml:space="preserve"> Heart Rhythm Week in Belgium.</w:t>
      </w:r>
      <w:r w:rsidRPr="008D370F">
        <w:rPr>
          <w:rFonts w:cs="Arial"/>
          <w:noProof/>
          <w:vertAlign w:val="superscript"/>
        </w:rPr>
        <w:t>75</w:t>
      </w:r>
      <w:r w:rsidRPr="004D04BF">
        <w:rPr>
          <w:rFonts w:cs="Arial"/>
        </w:rPr>
        <w:t>)  The STROKESTOP study,</w:t>
      </w:r>
      <w:r w:rsidRPr="00870A77">
        <w:rPr>
          <w:rFonts w:cs="Arial"/>
          <w:noProof/>
          <w:vertAlign w:val="superscript"/>
        </w:rPr>
        <w:t>4</w:t>
      </w:r>
      <w:r w:rsidRPr="004D04BF">
        <w:rPr>
          <w:rFonts w:cs="Arial"/>
        </w:rPr>
        <w:t xml:space="preserve"> invited half of the 75</w:t>
      </w:r>
      <w:r>
        <w:rPr>
          <w:rFonts w:cs="Arial"/>
        </w:rPr>
        <w:t>-</w:t>
      </w:r>
      <w:r w:rsidRPr="004D04BF">
        <w:rPr>
          <w:rFonts w:cs="Arial"/>
        </w:rPr>
        <w:t>76 year olds in two Swedish regions to attend screening, and 53% accepted, similar to the rate in the SAFE study.</w:t>
      </w:r>
      <w:r w:rsidRPr="008D370F">
        <w:rPr>
          <w:rFonts w:ascii="Calibri" w:hAnsi="Calibri" w:cs="Calibri"/>
          <w:iCs/>
          <w:noProof/>
          <w:vertAlign w:val="superscript"/>
        </w:rPr>
        <w:t>64</w:t>
      </w:r>
      <w:r w:rsidRPr="004D04BF">
        <w:rPr>
          <w:rFonts w:ascii="Calibri" w:hAnsi="Calibri" w:cs="Calibri"/>
          <w:iCs/>
        </w:rPr>
        <w:t xml:space="preserve"> </w:t>
      </w:r>
      <w:r w:rsidRPr="004D04BF">
        <w:rPr>
          <w:rFonts w:cs="Arial"/>
        </w:rPr>
        <w:t xml:space="preserve">This was a stepped approach, with an initial </w:t>
      </w:r>
      <w:r>
        <w:rPr>
          <w:rFonts w:cs="Arial"/>
        </w:rPr>
        <w:t>single-</w:t>
      </w:r>
      <w:r w:rsidRPr="004D04BF">
        <w:rPr>
          <w:rFonts w:cs="Arial"/>
        </w:rPr>
        <w:t xml:space="preserve">lead ECG, followed by </w:t>
      </w:r>
      <w:r w:rsidRPr="004D04BF">
        <w:rPr>
          <w:rFonts w:cs="Arial"/>
          <w:bCs/>
        </w:rPr>
        <w:t xml:space="preserve">twice-daily intermittent patient-activated ECG recordings over a 2-week period in those without AF. </w:t>
      </w:r>
    </w:p>
    <w:p w14:paraId="6D8E0A04" w14:textId="77777777" w:rsidR="00597826" w:rsidRPr="004D04BF" w:rsidRDefault="00597826" w:rsidP="00375DCA">
      <w:pPr>
        <w:rPr>
          <w:rFonts w:cs="Arial"/>
          <w:bCs/>
        </w:rPr>
      </w:pPr>
      <w:r w:rsidRPr="004D04BF">
        <w:rPr>
          <w:rFonts w:cs="Arial"/>
        </w:rPr>
        <w:t>Pharmacies offer an attractive setting for community screening.</w:t>
      </w:r>
      <w:r w:rsidRPr="008D370F">
        <w:rPr>
          <w:rFonts w:cs="Arial"/>
          <w:noProof/>
          <w:vertAlign w:val="superscript"/>
        </w:rPr>
        <w:t>47, 78</w:t>
      </w:r>
      <w:r w:rsidRPr="004D04BF">
        <w:rPr>
          <w:rFonts w:cs="Arial"/>
        </w:rPr>
        <w:t xml:space="preserve"> People </w:t>
      </w:r>
      <w:r w:rsidRPr="004D04BF">
        <w:rPr>
          <w:rFonts w:ascii="Calibri" w:hAnsi="Calibri" w:cs="Arial"/>
        </w:rPr>
        <w:t>≥</w:t>
      </w:r>
      <w:r w:rsidRPr="004D04BF">
        <w:rPr>
          <w:rFonts w:cs="Arial"/>
        </w:rPr>
        <w:t xml:space="preserve">65 years with chronic conditions </w:t>
      </w:r>
      <w:r>
        <w:rPr>
          <w:rFonts w:cs="Arial"/>
        </w:rPr>
        <w:t xml:space="preserve">in many countries </w:t>
      </w:r>
      <w:r w:rsidRPr="004D04BF">
        <w:rPr>
          <w:rFonts w:cs="Arial"/>
        </w:rPr>
        <w:t xml:space="preserve">visit their community pharmacy </w:t>
      </w:r>
      <w:r>
        <w:rPr>
          <w:rFonts w:cs="Arial"/>
        </w:rPr>
        <w:t>every 1-3 months</w:t>
      </w:r>
      <w:r w:rsidRPr="004D04BF">
        <w:rPr>
          <w:rFonts w:cs="Arial"/>
        </w:rPr>
        <w:t xml:space="preserve">. </w:t>
      </w:r>
      <w:r w:rsidRPr="004D04BF">
        <w:rPr>
          <w:rFonts w:cs="Arial"/>
          <w:bCs/>
        </w:rPr>
        <w:t>AF screening with pulse check and smartphone-based ECG in Austral</w:t>
      </w:r>
      <w:r>
        <w:rPr>
          <w:rFonts w:cs="Arial"/>
          <w:bCs/>
        </w:rPr>
        <w:t xml:space="preserve">ian pharmacies was found to be </w:t>
      </w:r>
      <w:r w:rsidRPr="004D04BF">
        <w:rPr>
          <w:rFonts w:cs="Arial"/>
          <w:bCs/>
        </w:rPr>
        <w:t>feasible</w:t>
      </w:r>
      <w:r>
        <w:rPr>
          <w:rFonts w:cs="Arial"/>
          <w:bCs/>
        </w:rPr>
        <w:t xml:space="preserve">, </w:t>
      </w:r>
      <w:r w:rsidRPr="004D04BF">
        <w:rPr>
          <w:rFonts w:cs="Arial"/>
          <w:bCs/>
        </w:rPr>
        <w:t>cost-effective</w:t>
      </w:r>
      <w:r w:rsidRPr="008D370F">
        <w:rPr>
          <w:rFonts w:cs="Arial"/>
          <w:bCs/>
          <w:noProof/>
          <w:vertAlign w:val="superscript"/>
        </w:rPr>
        <w:t>47</w:t>
      </w:r>
      <w:r w:rsidRPr="004D04BF">
        <w:rPr>
          <w:rFonts w:cs="Arial"/>
          <w:bCs/>
        </w:rPr>
        <w:t xml:space="preserve"> and well accepted.</w:t>
      </w:r>
      <w:r w:rsidRPr="008D370F">
        <w:rPr>
          <w:rFonts w:cs="Arial"/>
          <w:bCs/>
          <w:noProof/>
          <w:vertAlign w:val="superscript"/>
        </w:rPr>
        <w:t>79</w:t>
      </w:r>
      <w:r w:rsidRPr="004D04BF">
        <w:rPr>
          <w:rFonts w:cs="Arial"/>
          <w:bCs/>
        </w:rPr>
        <w:t xml:space="preserve"> The major issue is ensuring referral and then treatment of detected individuals,</w:t>
      </w:r>
      <w:r w:rsidRPr="008D370F">
        <w:rPr>
          <w:rFonts w:cs="Arial"/>
          <w:bCs/>
          <w:noProof/>
          <w:vertAlign w:val="superscript"/>
        </w:rPr>
        <w:t>78</w:t>
      </w:r>
      <w:r w:rsidRPr="004D04BF">
        <w:rPr>
          <w:rFonts w:cs="Arial"/>
          <w:bCs/>
        </w:rPr>
        <w:t xml:space="preserve"> so an established referral pathway is crucial.</w:t>
      </w:r>
    </w:p>
    <w:p w14:paraId="7D233163" w14:textId="77777777" w:rsidR="00597826" w:rsidRPr="004D04BF" w:rsidRDefault="00597826" w:rsidP="00375DCA">
      <w:r w:rsidRPr="004D04BF">
        <w:t xml:space="preserve">Primary care is an ideal setting: </w:t>
      </w:r>
      <w:r>
        <w:t>in addition to regular primary care physician visits</w:t>
      </w:r>
      <w:r w:rsidRPr="004D04BF">
        <w:t xml:space="preserve">, there is nursing support </w:t>
      </w:r>
      <w:r>
        <w:t xml:space="preserve">for </w:t>
      </w:r>
      <w:r w:rsidRPr="004D04BF">
        <w:t xml:space="preserve">screening, and there is a direct link with the practitioner to prescribe OAC. There are two challenges: first is a </w:t>
      </w:r>
      <w:r>
        <w:t>sustainable</w:t>
      </w:r>
      <w:r w:rsidRPr="004D04BF">
        <w:t xml:space="preserve"> strategy for detecting undiagnosed AF and second, providing adequate treatment for patients with known or newly discovered AF, as under-treatment is common.</w:t>
      </w:r>
      <w:r w:rsidRPr="008D370F">
        <w:rPr>
          <w:noProof/>
          <w:vertAlign w:val="superscript"/>
        </w:rPr>
        <w:t>80</w:t>
      </w:r>
      <w:r w:rsidRPr="004D04BF">
        <w:t xml:space="preserve"> </w:t>
      </w:r>
    </w:p>
    <w:p w14:paraId="4A2A9F92" w14:textId="77777777" w:rsidR="00597826" w:rsidRPr="002E33CD" w:rsidRDefault="00597826" w:rsidP="00375DCA">
      <w:pPr>
        <w:rPr>
          <w:rFonts w:cs="Arial"/>
        </w:rPr>
      </w:pPr>
      <w:r w:rsidRPr="004D04BF">
        <w:t>The SAFE study showed that opportunistic screening with pulse palpation in primary care was as effective as systematic 12-lead ECG</w:t>
      </w:r>
      <w:r>
        <w:t xml:space="preserve"> screening </w:t>
      </w:r>
      <w:r w:rsidRPr="004D04BF">
        <w:t xml:space="preserve">in detecting undiagnosed AF in patients </w:t>
      </w:r>
      <w:r w:rsidRPr="004D04BF">
        <w:rPr>
          <w:rFonts w:ascii="Calibri" w:hAnsi="Calibri" w:cs="Arial"/>
        </w:rPr>
        <w:t>≥</w:t>
      </w:r>
      <w:r w:rsidRPr="004D04BF">
        <w:rPr>
          <w:rFonts w:cs="Arial"/>
        </w:rPr>
        <w:t>65 years, and more cost-effective</w:t>
      </w:r>
      <w:r w:rsidRPr="004D04BF">
        <w:t>.</w:t>
      </w:r>
      <w:r w:rsidRPr="008D370F">
        <w:rPr>
          <w:rFonts w:ascii="Calibri" w:hAnsi="Calibri" w:cs="Calibri"/>
          <w:iCs/>
          <w:noProof/>
          <w:vertAlign w:val="superscript"/>
        </w:rPr>
        <w:t>64</w:t>
      </w:r>
      <w:r w:rsidRPr="004D04BF">
        <w:t xml:space="preserve"> While some guidelines recommend screening using pulse palpation,</w:t>
      </w:r>
      <w:r w:rsidRPr="000C23C2">
        <w:t xml:space="preserve"> </w:t>
      </w:r>
      <w:r w:rsidRPr="008D370F">
        <w:rPr>
          <w:noProof/>
          <w:vertAlign w:val="superscript"/>
        </w:rPr>
        <w:t>29</w:t>
      </w:r>
      <w:r w:rsidRPr="004D04BF">
        <w:t xml:space="preserve"> </w:t>
      </w:r>
      <w:r>
        <w:t>pulse taking is</w:t>
      </w:r>
      <w:r w:rsidRPr="004D04BF">
        <w:t xml:space="preserve"> not common practice.</w:t>
      </w:r>
      <w:r w:rsidRPr="008D370F">
        <w:rPr>
          <w:noProof/>
          <w:vertAlign w:val="superscript"/>
        </w:rPr>
        <w:t>81</w:t>
      </w:r>
      <w:r w:rsidRPr="004D04BF">
        <w:t xml:space="preserve"> </w:t>
      </w:r>
      <w:r>
        <w:t>The new ESC guidelines have added ECG rhythm strip to the recommendation on pulse palpation for opportunistic screening.</w:t>
      </w:r>
      <w:r w:rsidRPr="008D370F">
        <w:rPr>
          <w:noProof/>
          <w:vertAlign w:val="superscript"/>
        </w:rPr>
        <w:t>29</w:t>
      </w:r>
      <w:r>
        <w:t xml:space="preserve"> </w:t>
      </w:r>
      <w:r w:rsidRPr="004D04BF">
        <w:t>For scalability and sustainability, screening could be linked to existing workflow e</w:t>
      </w:r>
      <w:r>
        <w:t>.</w:t>
      </w:r>
      <w:r w:rsidRPr="004D04BF">
        <w:t>g</w:t>
      </w:r>
      <w:r>
        <w:t>.</w:t>
      </w:r>
      <w:r w:rsidRPr="004D04BF">
        <w:t xml:space="preserve"> cardiovascular risk management programs or influenza vaccination.</w:t>
      </w:r>
      <w:hyperlink w:anchor="_ENREF_152" w:tooltip="Lowres, 2016 #830" w:history="1"/>
      <w:r w:rsidRPr="008D370F">
        <w:rPr>
          <w:noProof/>
          <w:vertAlign w:val="superscript"/>
        </w:rPr>
        <w:t>46, 57, 82-84</w:t>
      </w:r>
      <w:r>
        <w:t xml:space="preserve"> </w:t>
      </w:r>
      <w:r w:rsidRPr="004D04BF">
        <w:t xml:space="preserve">Computerized medical records linked to </w:t>
      </w:r>
      <w:r w:rsidRPr="004D04BF">
        <w:rPr>
          <w:rFonts w:cs="Arial"/>
        </w:rPr>
        <w:t>electronic decision support tools</w:t>
      </w:r>
      <w:r w:rsidRPr="008D370F">
        <w:rPr>
          <w:rFonts w:cs="Arial"/>
          <w:noProof/>
          <w:vertAlign w:val="superscript"/>
        </w:rPr>
        <w:t>85</w:t>
      </w:r>
      <w:r>
        <w:rPr>
          <w:rFonts w:cs="Arial"/>
        </w:rPr>
        <w:t xml:space="preserve"> (e.g. AF SMART, </w:t>
      </w:r>
      <w:r w:rsidRPr="002E33CD">
        <w:rPr>
          <w:rFonts w:cs="Arial"/>
        </w:rPr>
        <w:t>ACTRN12616000850471</w:t>
      </w:r>
      <w:r>
        <w:rPr>
          <w:rFonts w:cs="Arial"/>
        </w:rPr>
        <w:t>)</w:t>
      </w:r>
      <w:r w:rsidRPr="004D04BF">
        <w:rPr>
          <w:rFonts w:cs="Arial"/>
        </w:rPr>
        <w:t>,</w:t>
      </w:r>
      <w:r w:rsidRPr="004D04BF">
        <w:t>could provide prompts for regular screening, calculate stroke risk, and advise guideline-recommended therapy to assist workflow and treatment decisions.</w:t>
      </w:r>
    </w:p>
    <w:p w14:paraId="60388093" w14:textId="77777777" w:rsidR="00597826" w:rsidRPr="004D04BF" w:rsidRDefault="00597826" w:rsidP="00375DCA">
      <w:r w:rsidRPr="004D04BF">
        <w:t>In some countries, large generalist</w:t>
      </w:r>
      <w:r>
        <w:t xml:space="preserve"> or specializ</w:t>
      </w:r>
      <w:r w:rsidRPr="004D04BF">
        <w:t>ed outpatient clinics provide an alternative setting to primary care for screening,</w:t>
      </w:r>
      <w:r w:rsidRPr="008D370F">
        <w:rPr>
          <w:noProof/>
          <w:vertAlign w:val="superscript"/>
        </w:rPr>
        <w:t>86</w:t>
      </w:r>
      <w:r w:rsidRPr="004D04BF">
        <w:t xml:space="preserve"> but have similar issues with sustainable delivery of the screening intervention and subsequent treatment.</w:t>
      </w:r>
    </w:p>
    <w:p w14:paraId="72A96DC0" w14:textId="77777777" w:rsidR="00597826" w:rsidRPr="0011730C" w:rsidRDefault="00597826" w:rsidP="00375DCA">
      <w:pPr>
        <w:spacing w:after="0"/>
        <w:rPr>
          <w:rFonts w:ascii="Calibri" w:hAnsi="Calibri" w:cs="Times New Roman"/>
          <w:lang w:eastAsia="en-GB"/>
        </w:rPr>
      </w:pPr>
      <w:r w:rsidRPr="004658EA">
        <w:rPr>
          <w:rFonts w:asciiTheme="majorHAnsi" w:hAnsiTheme="majorHAnsi"/>
          <w:b/>
          <w:color w:val="000000" w:themeColor="text1"/>
        </w:rPr>
        <w:t>Key Point 5</w:t>
      </w:r>
      <w:r w:rsidRPr="004658EA">
        <w:rPr>
          <w:color w:val="000000" w:themeColor="text1"/>
        </w:rPr>
        <w:t>:</w:t>
      </w:r>
      <w:r w:rsidRPr="004658EA">
        <w:rPr>
          <w:color w:val="000000" w:themeColor="text1"/>
          <w:sz w:val="24"/>
          <w:szCs w:val="24"/>
        </w:rPr>
        <w:t xml:space="preserve"> </w:t>
      </w:r>
      <w:r w:rsidRPr="004658EA">
        <w:rPr>
          <w:rFonts w:ascii="Calibri" w:hAnsi="Calibri" w:cs="Times New Roman"/>
          <w:lang w:eastAsia="en-GB"/>
        </w:rPr>
        <w:t>The setting for AF screening needs to be individualized according to country-specific and health care system-specific requirements and resources and must be linked to a pathway for appropriate diagnosis and management for screening to be effective. Settings that have been used effectively include some that are community-based and others based in primary care, specialist practices, or general or specialist clinics. Primary care and outpatient clinics have the advantage of a direct link with treatment and a potentially sustainable workflow</w:t>
      </w:r>
      <w:r w:rsidRPr="004658EA" w:rsidDel="00B06766">
        <w:rPr>
          <w:rFonts w:ascii="Calibri" w:hAnsi="Calibri" w:cs="Times New Roman"/>
          <w:lang w:eastAsia="en-GB"/>
        </w:rPr>
        <w:t xml:space="preserve"> </w:t>
      </w:r>
      <w:r w:rsidRPr="004658EA">
        <w:rPr>
          <w:rFonts w:ascii="Calibri" w:hAnsi="Calibri" w:cs="Times New Roman"/>
          <w:lang w:eastAsia="en-GB"/>
        </w:rPr>
        <w:t>(see online Supplementary material for country-specific considerations).</w:t>
      </w:r>
      <w:r>
        <w:rPr>
          <w:rFonts w:ascii="Calibri" w:hAnsi="Calibri" w:cs="Times New Roman"/>
          <w:lang w:eastAsia="en-GB"/>
        </w:rPr>
        <w:t xml:space="preserve"> </w:t>
      </w:r>
    </w:p>
    <w:p w14:paraId="68E46398" w14:textId="77777777" w:rsidR="00597826" w:rsidRDefault="00597826" w:rsidP="00375DCA">
      <w:pPr>
        <w:rPr>
          <w:b/>
          <w:color w:val="000000" w:themeColor="text1"/>
        </w:rPr>
      </w:pPr>
    </w:p>
    <w:p w14:paraId="1CCDC05F" w14:textId="77777777" w:rsidR="00597826" w:rsidRDefault="00597826" w:rsidP="00375DCA">
      <w:pPr>
        <w:pStyle w:val="Heading1"/>
        <w:rPr>
          <w:rFonts w:asciiTheme="minorHAnsi" w:hAnsiTheme="minorHAnsi"/>
          <w:color w:val="000000" w:themeColor="text1"/>
          <w:sz w:val="24"/>
          <w:szCs w:val="24"/>
        </w:rPr>
      </w:pPr>
      <w:r w:rsidRPr="003F64D8">
        <w:rPr>
          <w:rFonts w:asciiTheme="minorHAnsi" w:hAnsiTheme="minorHAnsi"/>
          <w:color w:val="000000" w:themeColor="text1"/>
          <w:sz w:val="24"/>
          <w:szCs w:val="24"/>
        </w:rPr>
        <w:t xml:space="preserve">Health-economic assessments </w:t>
      </w:r>
    </w:p>
    <w:p w14:paraId="56D10D7C" w14:textId="77777777" w:rsidR="003F64D8" w:rsidRPr="003F64D8" w:rsidRDefault="003F64D8" w:rsidP="003F64D8"/>
    <w:p w14:paraId="1C59C38C" w14:textId="77777777" w:rsidR="00597826" w:rsidRDefault="00597826" w:rsidP="00375DCA">
      <w:r>
        <w:t>Economic assessment of AF screening depends on a range of factors, including:</w:t>
      </w:r>
    </w:p>
    <w:p w14:paraId="3AAF8CD4" w14:textId="77777777" w:rsidR="00597826" w:rsidRDefault="00597826" w:rsidP="00375DCA">
      <w:pPr>
        <w:pStyle w:val="ListParagraph"/>
        <w:numPr>
          <w:ilvl w:val="0"/>
          <w:numId w:val="35"/>
        </w:numPr>
      </w:pPr>
      <w:r>
        <w:t xml:space="preserve">rate of undiagnosed AF in the target population </w:t>
      </w:r>
    </w:p>
    <w:p w14:paraId="7BBA78FA" w14:textId="77777777" w:rsidR="00597826" w:rsidRDefault="00597826" w:rsidP="00375DCA">
      <w:pPr>
        <w:pStyle w:val="ListParagraph"/>
        <w:numPr>
          <w:ilvl w:val="0"/>
          <w:numId w:val="35"/>
        </w:numPr>
      </w:pPr>
      <w:r>
        <w:t xml:space="preserve">the difference in AF detection between the screening intervention and routine practice without screening </w:t>
      </w:r>
    </w:p>
    <w:p w14:paraId="3BC01877" w14:textId="77777777" w:rsidR="00597826" w:rsidRDefault="00597826" w:rsidP="00375DCA">
      <w:pPr>
        <w:pStyle w:val="ListParagraph"/>
        <w:numPr>
          <w:ilvl w:val="0"/>
          <w:numId w:val="35"/>
        </w:numPr>
      </w:pPr>
      <w:r>
        <w:t xml:space="preserve">stroke and mortality risk of the target population </w:t>
      </w:r>
    </w:p>
    <w:p w14:paraId="53775AA1" w14:textId="77777777" w:rsidR="00597826" w:rsidRDefault="00597826" w:rsidP="00375DCA">
      <w:pPr>
        <w:pStyle w:val="ListParagraph"/>
        <w:numPr>
          <w:ilvl w:val="0"/>
          <w:numId w:val="35"/>
        </w:numPr>
      </w:pPr>
      <w:r>
        <w:t xml:space="preserve">the expected reduction in stroke and mortality and increase in bleeding risk from OAC </w:t>
      </w:r>
    </w:p>
    <w:p w14:paraId="24DCC4AE" w14:textId="77777777" w:rsidR="00597826" w:rsidRDefault="00597826" w:rsidP="00375DCA">
      <w:pPr>
        <w:pStyle w:val="ListParagraph"/>
        <w:numPr>
          <w:ilvl w:val="0"/>
          <w:numId w:val="35"/>
        </w:numPr>
      </w:pPr>
      <w:r>
        <w:t>the cost of the screening methodology</w:t>
      </w:r>
    </w:p>
    <w:p w14:paraId="44721A28" w14:textId="77777777" w:rsidR="00597826" w:rsidRDefault="00597826" w:rsidP="00375DCA">
      <w:pPr>
        <w:pStyle w:val="ListParagraph"/>
        <w:numPr>
          <w:ilvl w:val="0"/>
          <w:numId w:val="35"/>
        </w:numPr>
      </w:pPr>
      <w:r>
        <w:t>country-specific “willingness-to-pay” thresholds to avoid one stroke</w:t>
      </w:r>
    </w:p>
    <w:p w14:paraId="68624D4A" w14:textId="77777777" w:rsidR="00597826" w:rsidRDefault="00597826" w:rsidP="00375DCA">
      <w:r>
        <w:t>In the first paper on health economic modelling for AF screening,</w:t>
      </w:r>
      <w:r w:rsidRPr="008D370F">
        <w:rPr>
          <w:noProof/>
          <w:vertAlign w:val="superscript"/>
        </w:rPr>
        <w:t>87</w:t>
      </w:r>
      <w:r>
        <w:t xml:space="preserve"> both annual ECG screening and pulse palpation with confirmatory ECG were cost-effective</w:t>
      </w:r>
      <w:r w:rsidRPr="00327F0A">
        <w:t xml:space="preserve"> </w:t>
      </w:r>
      <w:r>
        <w:t>in a Japanese population. Later, the SAFE study evaluated opportunistic versus systematic screening using pulse palpation followed by ECG</w:t>
      </w:r>
      <w:r w:rsidRPr="00AB3943">
        <w:rPr>
          <w:rFonts w:ascii="Calibri" w:hAnsi="Calibri" w:cs="Calibri"/>
          <w:iCs/>
        </w:rPr>
        <w:t xml:space="preserve"> </w:t>
      </w:r>
      <w:r w:rsidRPr="008D370F">
        <w:rPr>
          <w:rFonts w:ascii="Calibri" w:hAnsi="Calibri" w:cs="Calibri"/>
          <w:iCs/>
          <w:noProof/>
          <w:vertAlign w:val="superscript"/>
        </w:rPr>
        <w:t>64, 88</w:t>
      </w:r>
      <w:r>
        <w:t xml:space="preserve"> and showed, using probabilistic sensitivity analyses, a 60% likelihood that opportunistic screening was cost-effective in both men and women. The Swedish STROKESTOP population screening study</w:t>
      </w:r>
      <w:r w:rsidRPr="00870A77">
        <w:rPr>
          <w:noProof/>
          <w:vertAlign w:val="superscript"/>
        </w:rPr>
        <w:t>4</w:t>
      </w:r>
      <w:r>
        <w:t xml:space="preserve"> confirmed that ECG screening was likely to be cost-effective using a lifelong decision-analytic Markov model.</w:t>
      </w:r>
      <w:r w:rsidRPr="008D370F">
        <w:rPr>
          <w:noProof/>
          <w:vertAlign w:val="superscript"/>
        </w:rPr>
        <w:t>89</w:t>
      </w:r>
      <w:r>
        <w:t xml:space="preserve"> Two other smaller studies evaluating smartphone ECG screening in community pharmacies</w:t>
      </w:r>
      <w:r w:rsidRPr="008D370F">
        <w:rPr>
          <w:noProof/>
          <w:vertAlign w:val="superscript"/>
        </w:rPr>
        <w:t>47</w:t>
      </w:r>
      <w:r>
        <w:t xml:space="preserve"> (relying on estimated stroke and death rates and improvements with OAC treatment in incidentally-detected asymptomatic AF),</w:t>
      </w:r>
      <w:r w:rsidRPr="008D370F">
        <w:rPr>
          <w:noProof/>
          <w:vertAlign w:val="superscript"/>
        </w:rPr>
        <w:t>21</w:t>
      </w:r>
      <w:r>
        <w:t xml:space="preserve"> and pulse checking in an influenza vaccination clinic</w:t>
      </w:r>
      <w:r w:rsidRPr="008D370F">
        <w:rPr>
          <w:noProof/>
          <w:vertAlign w:val="superscript"/>
        </w:rPr>
        <w:t>90</w:t>
      </w:r>
      <w:r>
        <w:t xml:space="preserve"> also described cost-effectiveness. A simulation of direct medical costs in USA concluded that costs were greater in those with undiagnosed AF than for similar people without AF, justifying strategies to identify and treat undiagnosed AF.</w:t>
      </w:r>
      <w:r w:rsidRPr="0012255E">
        <w:t xml:space="preserve"> </w:t>
      </w:r>
      <w:r w:rsidRPr="008D370F">
        <w:rPr>
          <w:noProof/>
          <w:vertAlign w:val="superscript"/>
        </w:rPr>
        <w:t>91</w:t>
      </w:r>
      <w:r>
        <w:t xml:space="preserve"> </w:t>
      </w:r>
    </w:p>
    <w:p w14:paraId="1E3C0B24" w14:textId="77777777" w:rsidR="00597826" w:rsidRDefault="00597826" w:rsidP="00375DCA">
      <w:pPr>
        <w:spacing w:after="0"/>
      </w:pPr>
      <w:r>
        <w:t>Most recently, a study of lifetime costs and effects of a single handheld ECG screening of patients &gt;65 during the annual influenza vaccination in the Netherlands</w:t>
      </w:r>
      <w:r w:rsidRPr="008D370F">
        <w:rPr>
          <w:noProof/>
          <w:vertAlign w:val="superscript"/>
        </w:rPr>
        <w:t>82</w:t>
      </w:r>
      <w:r>
        <w:t xml:space="preserve">  found that </w:t>
      </w:r>
      <w:r w:rsidRPr="008B745C">
        <w:t xml:space="preserve">screening would decrease overall costs by €764 </w:t>
      </w:r>
      <w:r>
        <w:t xml:space="preserve">(USD$939) </w:t>
      </w:r>
      <w:r w:rsidRPr="008B745C">
        <w:t>an</w:t>
      </w:r>
      <w:r>
        <w:t>d</w:t>
      </w:r>
      <w:r w:rsidRPr="008B745C">
        <w:t xml:space="preserve"> increase QALYs by 0.27 per patient.</w:t>
      </w:r>
      <w:r>
        <w:t xml:space="preserve"> That is, AF screening for patients &gt;65 during the influenza vaccination was likely to be cost-saving.</w:t>
      </w:r>
    </w:p>
    <w:p w14:paraId="00843634" w14:textId="77777777" w:rsidR="00597826" w:rsidRDefault="00597826" w:rsidP="00375DCA">
      <w:pPr>
        <w:spacing w:after="0" w:line="240" w:lineRule="auto"/>
      </w:pPr>
    </w:p>
    <w:p w14:paraId="6B201F5C" w14:textId="77777777" w:rsidR="00597826" w:rsidRDefault="00597826" w:rsidP="00375DCA">
      <w:r>
        <w:t>Reviews of systematic and opportunistic screening for AF detection AF</w:t>
      </w:r>
      <w:r w:rsidRPr="008D370F">
        <w:rPr>
          <w:noProof/>
          <w:vertAlign w:val="superscript"/>
        </w:rPr>
        <w:t>92, 93</w:t>
      </w:r>
      <w:r>
        <w:t xml:space="preserve"> indicate that both were more cost-effective than routine practice for those </w:t>
      </w:r>
      <w:r>
        <w:rPr>
          <w:rFonts w:ascii="Calibri" w:hAnsi="Calibri"/>
        </w:rPr>
        <w:t>≥</w:t>
      </w:r>
      <w:r>
        <w:t xml:space="preserve">65, though this </w:t>
      </w:r>
      <w:r>
        <w:rPr>
          <w:lang w:val="en-GB"/>
        </w:rPr>
        <w:t xml:space="preserve">depends on method chosen, frequency of screening and age. </w:t>
      </w:r>
      <w:r>
        <w:t>For example,</w:t>
      </w:r>
      <w:r>
        <w:rPr>
          <w:lang w:val="en-GB"/>
        </w:rPr>
        <w:t xml:space="preserve"> a</w:t>
      </w:r>
      <w:r>
        <w:t xml:space="preserve"> formal Health Technology Assessment in Ireland </w:t>
      </w:r>
      <w:r>
        <w:rPr>
          <w:lang w:val="en-GB"/>
        </w:rPr>
        <w:t>considered a number of models and found costs  per QALY varying between €792,619 (USD$</w:t>
      </w:r>
      <w:r w:rsidRPr="008D6876">
        <w:rPr>
          <w:rFonts w:ascii="Calibri" w:hAnsi="Calibri" w:cs="Calibri"/>
        </w:rPr>
        <w:t xml:space="preserve"> </w:t>
      </w:r>
      <w:r>
        <w:rPr>
          <w:rFonts w:ascii="Calibri" w:hAnsi="Calibri" w:cs="Calibri"/>
        </w:rPr>
        <w:t>936,902</w:t>
      </w:r>
      <w:r>
        <w:rPr>
          <w:lang w:val="en-GB"/>
        </w:rPr>
        <w:t>) for screening annually from age 55 to €8,037 (USD$9,500 for a single screening at age 75,</w:t>
      </w:r>
      <w:r w:rsidRPr="008D370F">
        <w:rPr>
          <w:noProof/>
          <w:vertAlign w:val="superscript"/>
        </w:rPr>
        <w:t>94</w:t>
      </w:r>
      <w:r>
        <w:t xml:space="preserve">  but there are no data on the detection rate for annual or other frequencies of repeated screening</w:t>
      </w:r>
      <w:r w:rsidRPr="00575B34">
        <w:t xml:space="preserve">. </w:t>
      </w:r>
      <w:r w:rsidRPr="004658EA">
        <w:t xml:space="preserve">More data are required to compare cost-effectiveness of different screening interventions and the effect of different age cutoffs. </w:t>
      </w:r>
    </w:p>
    <w:p w14:paraId="2CFF2E08" w14:textId="77777777" w:rsidR="003F64D8" w:rsidRPr="004D04BF" w:rsidRDefault="003F64D8" w:rsidP="00375DCA"/>
    <w:p w14:paraId="4A600EA6" w14:textId="77777777" w:rsidR="00597826" w:rsidRPr="003F64D8" w:rsidRDefault="00597826" w:rsidP="00375DCA">
      <w:pPr>
        <w:pStyle w:val="Heading1"/>
        <w:rPr>
          <w:rFonts w:asciiTheme="minorHAnsi" w:hAnsiTheme="minorHAnsi"/>
          <w:color w:val="000000" w:themeColor="text1"/>
          <w:sz w:val="24"/>
          <w:szCs w:val="24"/>
        </w:rPr>
      </w:pPr>
      <w:r w:rsidRPr="003F64D8">
        <w:rPr>
          <w:rFonts w:asciiTheme="minorHAnsi" w:hAnsiTheme="minorHAnsi"/>
          <w:color w:val="000000" w:themeColor="text1"/>
          <w:sz w:val="24"/>
          <w:szCs w:val="24"/>
        </w:rPr>
        <w:t xml:space="preserve">Screening for under-treated known AF </w:t>
      </w:r>
    </w:p>
    <w:p w14:paraId="32AAA036" w14:textId="77777777" w:rsidR="003F64D8" w:rsidRDefault="003F64D8" w:rsidP="00375DCA">
      <w:pPr>
        <w:rPr>
          <w:rFonts w:cs="Arial"/>
          <w:bCs/>
        </w:rPr>
      </w:pPr>
    </w:p>
    <w:p w14:paraId="621ECFD8" w14:textId="77777777" w:rsidR="00597826" w:rsidRPr="004D04BF" w:rsidRDefault="00597826" w:rsidP="00375DCA">
      <w:pPr>
        <w:rPr>
          <w:rFonts w:cs="Arial"/>
          <w:bCs/>
        </w:rPr>
      </w:pPr>
      <w:r>
        <w:rPr>
          <w:rFonts w:cs="Arial"/>
          <w:bCs/>
        </w:rPr>
        <w:t>U</w:t>
      </w:r>
      <w:r w:rsidRPr="004D04BF">
        <w:rPr>
          <w:rFonts w:cs="Arial"/>
          <w:bCs/>
        </w:rPr>
        <w:t>nder-treatment exposes patients to a significant risk of fatal or disabling strokes. Population surveys</w:t>
      </w:r>
      <w:r w:rsidRPr="008D370F">
        <w:rPr>
          <w:rFonts w:cs="Arial"/>
          <w:bCs/>
          <w:noProof/>
          <w:vertAlign w:val="superscript"/>
        </w:rPr>
        <w:t>95, 96</w:t>
      </w:r>
      <w:r w:rsidRPr="004D04BF">
        <w:rPr>
          <w:rFonts w:cs="Arial"/>
          <w:bCs/>
        </w:rPr>
        <w:t xml:space="preserve"> and registries indicate treatment remains suboptimal with large country differences.</w:t>
      </w:r>
      <w:r w:rsidRPr="008D370F">
        <w:rPr>
          <w:rFonts w:cs="Arial"/>
          <w:bCs/>
          <w:noProof/>
          <w:vertAlign w:val="superscript"/>
        </w:rPr>
        <w:t>30</w:t>
      </w:r>
      <w:r w:rsidRPr="004D04BF">
        <w:rPr>
          <w:rFonts w:cs="Arial"/>
          <w:bCs/>
        </w:rPr>
        <w:t xml:space="preserve"> Population screening using a variety of techniques</w:t>
      </w:r>
      <w:r w:rsidRPr="008D370F">
        <w:rPr>
          <w:rFonts w:cs="Arial"/>
          <w:bCs/>
          <w:noProof/>
          <w:vertAlign w:val="superscript"/>
        </w:rPr>
        <w:t>3, 4, 75</w:t>
      </w:r>
      <w:r w:rsidRPr="004D04BF">
        <w:rPr>
          <w:rFonts w:cs="Arial"/>
          <w:bCs/>
          <w:vertAlign w:val="superscript"/>
        </w:rPr>
        <w:t xml:space="preserve"> </w:t>
      </w:r>
      <w:r>
        <w:rPr>
          <w:rFonts w:cs="Arial"/>
          <w:bCs/>
        </w:rPr>
        <w:t>would</w:t>
      </w:r>
      <w:r w:rsidRPr="004D04BF">
        <w:rPr>
          <w:rFonts w:cs="Arial"/>
          <w:bCs/>
        </w:rPr>
        <w:t xml:space="preserve"> identify under-treated patients and may provide an opportunity to refer to appropriate physicians or clinics to initiate OAC</w:t>
      </w:r>
      <w:r>
        <w:rPr>
          <w:rFonts w:cs="Arial"/>
          <w:bCs/>
        </w:rPr>
        <w:t>s or to re-initiate OACs in those who have discontinued</w:t>
      </w:r>
      <w:r w:rsidRPr="004D04BF">
        <w:rPr>
          <w:rFonts w:cs="Arial"/>
          <w:bCs/>
        </w:rPr>
        <w:t>.</w:t>
      </w:r>
      <w:r w:rsidRPr="002A4B07">
        <w:t xml:space="preserve"> </w:t>
      </w:r>
      <w:r w:rsidRPr="008D370F">
        <w:rPr>
          <w:rFonts w:cs="Arial"/>
          <w:bCs/>
          <w:noProof/>
          <w:vertAlign w:val="superscript"/>
        </w:rPr>
        <w:t>4, 29, 30</w:t>
      </w:r>
      <w:r w:rsidDel="002A4B07">
        <w:rPr>
          <w:rFonts w:cs="Arial"/>
          <w:bCs/>
        </w:rPr>
        <w:t xml:space="preserve"> </w:t>
      </w:r>
    </w:p>
    <w:p w14:paraId="53186DA1" w14:textId="77777777" w:rsidR="00597826" w:rsidRPr="004D04BF" w:rsidRDefault="00597826" w:rsidP="00375DCA">
      <w:pPr>
        <w:rPr>
          <w:rFonts w:cs="Arial"/>
          <w:bCs/>
        </w:rPr>
      </w:pPr>
      <w:r w:rsidRPr="004D04BF">
        <w:rPr>
          <w:rFonts w:cs="Arial"/>
          <w:bCs/>
        </w:rPr>
        <w:t xml:space="preserve">A prospective, </w:t>
      </w:r>
      <w:r>
        <w:rPr>
          <w:rFonts w:cs="Arial"/>
          <w:bCs/>
        </w:rPr>
        <w:t xml:space="preserve">Swedish </w:t>
      </w:r>
      <w:r w:rsidRPr="004D04BF">
        <w:rPr>
          <w:rFonts w:cs="Arial"/>
          <w:bCs/>
        </w:rPr>
        <w:t>population-based study found 9.5% of individuals (81/848) were known to have AF on a 12 lead ECG</w:t>
      </w:r>
      <w:r>
        <w:rPr>
          <w:rFonts w:cs="Arial"/>
          <w:bCs/>
        </w:rPr>
        <w:t xml:space="preserve">: </w:t>
      </w:r>
      <w:r w:rsidRPr="004D04BF">
        <w:rPr>
          <w:rFonts w:cs="Arial"/>
          <w:bCs/>
        </w:rPr>
        <w:t xml:space="preserve">43% </w:t>
      </w:r>
      <w:r>
        <w:rPr>
          <w:rFonts w:cs="Arial"/>
          <w:bCs/>
        </w:rPr>
        <w:t xml:space="preserve">of these </w:t>
      </w:r>
      <w:r w:rsidRPr="004D04BF">
        <w:rPr>
          <w:rFonts w:cs="Arial"/>
          <w:bCs/>
        </w:rPr>
        <w:t>were not on OAC.</w:t>
      </w:r>
      <w:r w:rsidRPr="00870A77">
        <w:rPr>
          <w:rFonts w:cs="Arial"/>
          <w:bCs/>
          <w:noProof/>
          <w:vertAlign w:val="superscript"/>
        </w:rPr>
        <w:t>5</w:t>
      </w:r>
      <w:r w:rsidRPr="004D04BF">
        <w:rPr>
          <w:rFonts w:cs="Arial"/>
          <w:bCs/>
        </w:rPr>
        <w:t xml:space="preserve"> Through the screening program, 52% of under-treated individuals had OAC initiated. A similar number of patients </w:t>
      </w:r>
      <w:r>
        <w:rPr>
          <w:rFonts w:cs="Arial"/>
          <w:bCs/>
        </w:rPr>
        <w:t>had</w:t>
      </w:r>
      <w:r w:rsidRPr="004D04BF">
        <w:rPr>
          <w:rFonts w:cs="Arial"/>
          <w:bCs/>
        </w:rPr>
        <w:t xml:space="preserve"> known AF (9.3%) in the STROKESTOP study</w:t>
      </w:r>
      <w:r w:rsidRPr="00870A77">
        <w:rPr>
          <w:rFonts w:cs="Arial"/>
          <w:bCs/>
          <w:noProof/>
          <w:vertAlign w:val="superscript"/>
        </w:rPr>
        <w:t>4</w:t>
      </w:r>
      <w:r w:rsidRPr="004D04BF">
        <w:rPr>
          <w:rFonts w:cs="Arial"/>
          <w:bCs/>
        </w:rPr>
        <w:t xml:space="preserve"> but only 22% were not on OAC. After </w:t>
      </w:r>
      <w:r>
        <w:rPr>
          <w:rFonts w:cs="Arial"/>
          <w:bCs/>
        </w:rPr>
        <w:t xml:space="preserve">cardiologist </w:t>
      </w:r>
      <w:r w:rsidRPr="004D04BF">
        <w:rPr>
          <w:rFonts w:cs="Arial"/>
          <w:bCs/>
        </w:rPr>
        <w:t xml:space="preserve">follow-up, more than half without contraindications </w:t>
      </w:r>
      <w:r>
        <w:rPr>
          <w:rFonts w:cs="Arial"/>
          <w:bCs/>
        </w:rPr>
        <w:t>commenced</w:t>
      </w:r>
      <w:r w:rsidRPr="004D04BF">
        <w:rPr>
          <w:rFonts w:cs="Arial"/>
          <w:bCs/>
        </w:rPr>
        <w:t xml:space="preserve"> OAC therapy. This highlights the importance of future implementation research in which AF screening programs incorporate well-defined referral pathways and strategies for initiating OAC therapy</w:t>
      </w:r>
      <w:r>
        <w:rPr>
          <w:rFonts w:cs="Arial"/>
          <w:bCs/>
        </w:rPr>
        <w:t>, in both newly diagnosed and under-treated known AF</w:t>
      </w:r>
      <w:r w:rsidRPr="004D04BF">
        <w:rPr>
          <w:rFonts w:cs="Arial"/>
          <w:bCs/>
        </w:rPr>
        <w:t xml:space="preserve">. </w:t>
      </w:r>
    </w:p>
    <w:p w14:paraId="6B32A35C" w14:textId="77777777" w:rsidR="00597826" w:rsidRPr="003F64D8" w:rsidRDefault="00597826" w:rsidP="00375DCA">
      <w:pPr>
        <w:pStyle w:val="Heading1"/>
        <w:rPr>
          <w:rFonts w:asciiTheme="minorHAnsi" w:hAnsiTheme="minorHAnsi"/>
          <w:color w:val="000000" w:themeColor="text1"/>
          <w:sz w:val="24"/>
          <w:szCs w:val="24"/>
        </w:rPr>
      </w:pPr>
      <w:r w:rsidRPr="003F64D8">
        <w:rPr>
          <w:rFonts w:asciiTheme="minorHAnsi" w:hAnsiTheme="minorHAnsi"/>
          <w:color w:val="000000" w:themeColor="text1"/>
          <w:sz w:val="24"/>
          <w:szCs w:val="24"/>
        </w:rPr>
        <w:t>Patient preferences and advocacy</w:t>
      </w:r>
    </w:p>
    <w:p w14:paraId="10B1F384" w14:textId="77777777" w:rsidR="00597826" w:rsidRPr="004D04BF" w:rsidRDefault="00597826" w:rsidP="00375DCA"/>
    <w:p w14:paraId="15D7C26F" w14:textId="77777777" w:rsidR="00597826" w:rsidRDefault="00597826" w:rsidP="00375DCA">
      <w:pPr>
        <w:spacing w:after="0"/>
        <w:rPr>
          <w:rFonts w:cs="Times New Roman"/>
        </w:rPr>
      </w:pPr>
      <w:r>
        <w:rPr>
          <w:rFonts w:cs="Times New Roman"/>
        </w:rPr>
        <w:t>A large patient survey reported a majority of patients with persistent AF were in favor of AF screening with handheld ECGs (T. Lobban and M.T. Hills, written communication, September 2016).</w:t>
      </w:r>
      <w:r w:rsidRPr="00CE3DF0">
        <w:rPr>
          <w:rFonts w:cs="Times New Roman"/>
        </w:rPr>
        <w:t xml:space="preserve"> </w:t>
      </w:r>
      <w:r>
        <w:rPr>
          <w:rFonts w:cs="Times New Roman"/>
        </w:rPr>
        <w:t xml:space="preserve">Patients also believed </w:t>
      </w:r>
      <w:r w:rsidRPr="004D04BF">
        <w:rPr>
          <w:rFonts w:cs="Times New Roman"/>
        </w:rPr>
        <w:t>healthcare professionals needed to be better educated about AF</w:t>
      </w:r>
      <w:r>
        <w:rPr>
          <w:rFonts w:cs="Times New Roman"/>
        </w:rPr>
        <w:t xml:space="preserve"> symptoms.</w:t>
      </w:r>
    </w:p>
    <w:p w14:paraId="114AC7A3" w14:textId="77777777" w:rsidR="00597826" w:rsidRPr="00A1037E" w:rsidRDefault="00597826" w:rsidP="00375DCA">
      <w:pPr>
        <w:spacing w:after="0"/>
        <w:rPr>
          <w:rFonts w:cs="Times New Roman"/>
        </w:rPr>
      </w:pPr>
    </w:p>
    <w:p w14:paraId="7CD96B3D" w14:textId="77777777" w:rsidR="00597826" w:rsidRPr="004D04BF" w:rsidRDefault="00597826" w:rsidP="00375DCA">
      <w:pPr>
        <w:spacing w:after="0"/>
        <w:rPr>
          <w:rFonts w:ascii="Calibri" w:hAnsi="Calibri" w:cs="Times New Roman"/>
          <w:lang w:eastAsia="en-GB"/>
        </w:rPr>
      </w:pPr>
      <w:r w:rsidRPr="004D04BF">
        <w:rPr>
          <w:rFonts w:ascii="Calibri" w:hAnsi="Calibri" w:cs="Times New Roman"/>
          <w:lang w:eastAsia="en-GB"/>
        </w:rPr>
        <w:t>The patient voice is as important as the clinician voice in driving change. Political advocacy from patients, caregivers and patient-led organizations has demonstrated the need for improved awareness, education and disease information.</w:t>
      </w:r>
      <w:r w:rsidRPr="008D370F">
        <w:rPr>
          <w:rFonts w:ascii="Calibri" w:hAnsi="Calibri" w:cs="Times New Roman"/>
          <w:noProof/>
          <w:vertAlign w:val="superscript"/>
          <w:lang w:eastAsia="en-GB"/>
        </w:rPr>
        <w:t>97, 98</w:t>
      </w:r>
      <w:r w:rsidRPr="004D04BF">
        <w:rPr>
          <w:rFonts w:ascii="Calibri" w:hAnsi="Calibri" w:cs="Times New Roman"/>
          <w:lang w:eastAsia="en-GB"/>
        </w:rPr>
        <w:t xml:space="preserve"> Patient-led organizations can more effectively identify the challenges patients face</w:t>
      </w:r>
      <w:r>
        <w:rPr>
          <w:rFonts w:ascii="Calibri" w:hAnsi="Calibri" w:cs="Times New Roman"/>
          <w:lang w:eastAsia="en-GB"/>
        </w:rPr>
        <w:t>,</w:t>
      </w:r>
      <w:r w:rsidRPr="004D04BF">
        <w:rPr>
          <w:rFonts w:ascii="Calibri" w:hAnsi="Calibri" w:cs="Times New Roman"/>
          <w:lang w:eastAsia="en-GB"/>
        </w:rPr>
        <w:t xml:space="preserve"> and engage policy makers to bring about change,</w:t>
      </w:r>
      <w:r w:rsidRPr="008D370F">
        <w:rPr>
          <w:rFonts w:ascii="Calibri" w:hAnsi="Calibri" w:cs="Times New Roman"/>
          <w:noProof/>
          <w:vertAlign w:val="superscript"/>
          <w:lang w:eastAsia="en-GB"/>
        </w:rPr>
        <w:t>97</w:t>
      </w:r>
      <w:r w:rsidRPr="004D04BF">
        <w:rPr>
          <w:rFonts w:ascii="Calibri" w:hAnsi="Calibri" w:cs="Times New Roman"/>
          <w:lang w:eastAsia="en-GB"/>
        </w:rPr>
        <w:t xml:space="preserve"> leading to improved outcomes for patients and healthcare providers</w:t>
      </w:r>
      <w:r>
        <w:rPr>
          <w:rFonts w:ascii="Calibri" w:hAnsi="Calibri" w:cs="Times New Roman"/>
          <w:lang w:eastAsia="en-GB"/>
        </w:rPr>
        <w:t xml:space="preserve"> (</w:t>
      </w:r>
      <w:hyperlink r:id="rId9" w:history="1">
        <w:r w:rsidRPr="000B6406">
          <w:rPr>
            <w:rStyle w:val="Hyperlink"/>
            <w:rFonts w:ascii="Calibri" w:hAnsi="Calibri" w:cs="Times New Roman"/>
            <w:lang w:eastAsia="en-GB"/>
          </w:rPr>
          <w:t>www.stopafib.org</w:t>
        </w:r>
      </w:hyperlink>
      <w:r>
        <w:rPr>
          <w:rFonts w:ascii="Calibri" w:hAnsi="Calibri" w:cs="Times New Roman"/>
          <w:lang w:eastAsia="en-GB"/>
        </w:rPr>
        <w:t xml:space="preserve">, </w:t>
      </w:r>
      <w:hyperlink r:id="rId10" w:history="1">
        <w:r w:rsidRPr="000B6406">
          <w:rPr>
            <w:rStyle w:val="Hyperlink"/>
            <w:rFonts w:ascii="Calibri" w:hAnsi="Calibri" w:cs="Times New Roman"/>
            <w:lang w:eastAsia="en-GB"/>
          </w:rPr>
          <w:t>www.heartrhythmalliance.org</w:t>
        </w:r>
      </w:hyperlink>
      <w:r>
        <w:rPr>
          <w:rFonts w:ascii="Calibri" w:hAnsi="Calibri" w:cs="Times New Roman"/>
          <w:lang w:eastAsia="en-GB"/>
        </w:rPr>
        <w:t xml:space="preserve"> )</w:t>
      </w:r>
      <w:r w:rsidRPr="004D04BF">
        <w:rPr>
          <w:rFonts w:ascii="Calibri" w:hAnsi="Calibri" w:cs="Times New Roman"/>
          <w:lang w:eastAsia="en-GB"/>
        </w:rPr>
        <w:t>. Campaigns such as the Arrhythmia Alliance’s ‘Know Your Pulse’ campaign to screen for AF can be very successful in raising awareness and bring</w:t>
      </w:r>
      <w:r>
        <w:rPr>
          <w:rFonts w:ascii="Calibri" w:hAnsi="Calibri" w:cs="Times New Roman"/>
          <w:lang w:eastAsia="en-GB"/>
        </w:rPr>
        <w:t>ing</w:t>
      </w:r>
      <w:r w:rsidRPr="004D04BF">
        <w:rPr>
          <w:rFonts w:ascii="Calibri" w:hAnsi="Calibri" w:cs="Times New Roman"/>
          <w:lang w:eastAsia="en-GB"/>
        </w:rPr>
        <w:t xml:space="preserve"> about policy change.</w:t>
      </w:r>
    </w:p>
    <w:p w14:paraId="3BF3F7C0" w14:textId="77777777" w:rsidR="00597826" w:rsidRPr="004D04BF" w:rsidRDefault="00597826" w:rsidP="00375DCA">
      <w:pPr>
        <w:spacing w:after="0"/>
        <w:rPr>
          <w:rFonts w:ascii="Calibri" w:hAnsi="Calibri" w:cs="Times New Roman"/>
          <w:lang w:eastAsia="en-GB"/>
        </w:rPr>
      </w:pPr>
    </w:p>
    <w:p w14:paraId="19744C81" w14:textId="77777777" w:rsidR="00597826" w:rsidRDefault="00597826" w:rsidP="00375DCA">
      <w:pPr>
        <w:spacing w:after="0"/>
        <w:rPr>
          <w:rFonts w:ascii="Calibri" w:hAnsi="Calibri" w:cs="Times New Roman"/>
          <w:lang w:eastAsia="en-GB"/>
        </w:rPr>
      </w:pPr>
      <w:r>
        <w:rPr>
          <w:rFonts w:ascii="Calibri" w:hAnsi="Calibri" w:cs="Times New Roman"/>
          <w:lang w:eastAsia="en-GB"/>
        </w:rPr>
        <w:t xml:space="preserve">Numerous governing bodies such as the National Institute for Health and Care Excellence (NICE, UK) </w:t>
      </w:r>
      <w:r w:rsidRPr="004D04BF">
        <w:rPr>
          <w:rFonts w:ascii="Calibri" w:hAnsi="Calibri" w:cs="Times New Roman"/>
          <w:lang w:eastAsia="en-GB"/>
        </w:rPr>
        <w:t>and scientific organiz</w:t>
      </w:r>
      <w:r>
        <w:rPr>
          <w:rFonts w:ascii="Calibri" w:hAnsi="Calibri" w:cs="Times New Roman"/>
          <w:lang w:eastAsia="en-GB"/>
        </w:rPr>
        <w:t xml:space="preserve">ations </w:t>
      </w:r>
      <w:r w:rsidRPr="004D04BF">
        <w:rPr>
          <w:rFonts w:ascii="Calibri" w:hAnsi="Calibri" w:cs="Times New Roman"/>
          <w:lang w:eastAsia="en-GB"/>
        </w:rPr>
        <w:t>now seek the input of patients and patient organizations in developing clinical guidelines</w:t>
      </w:r>
      <w:hyperlink w:anchor="_ENREF_182" w:tooltip="January, 2014 #665" w:history="1"/>
      <w:r w:rsidRPr="004D04BF">
        <w:rPr>
          <w:rFonts w:ascii="Calibri" w:hAnsi="Calibri" w:cs="Times New Roman"/>
          <w:lang w:eastAsia="en-GB"/>
        </w:rPr>
        <w:t xml:space="preserve"> and scientific publications.</w:t>
      </w:r>
      <w:r w:rsidRPr="000C23C2">
        <w:t xml:space="preserve"> </w:t>
      </w:r>
      <w:r w:rsidRPr="008D370F">
        <w:rPr>
          <w:rFonts w:ascii="Calibri" w:hAnsi="Calibri" w:cs="Times New Roman"/>
          <w:noProof/>
          <w:vertAlign w:val="superscript"/>
          <w:lang w:eastAsia="en-GB"/>
        </w:rPr>
        <w:t>1, 29</w:t>
      </w:r>
      <w:r w:rsidRPr="004D04BF" w:rsidDel="000C23C2">
        <w:t xml:space="preserve"> </w:t>
      </w:r>
    </w:p>
    <w:p w14:paraId="1DA7BCD8" w14:textId="77777777" w:rsidR="00597826" w:rsidRPr="00106240" w:rsidRDefault="00597826" w:rsidP="00375DCA">
      <w:pPr>
        <w:spacing w:after="0"/>
        <w:rPr>
          <w:rFonts w:ascii="Calibri" w:hAnsi="Calibri" w:cs="Times New Roman"/>
          <w:highlight w:val="yellow"/>
          <w:lang w:eastAsia="en-GB"/>
        </w:rPr>
      </w:pPr>
    </w:p>
    <w:p w14:paraId="470464FD" w14:textId="77777777" w:rsidR="00597826" w:rsidRPr="00106240" w:rsidRDefault="00597826" w:rsidP="00375DCA">
      <w:pPr>
        <w:spacing w:after="0"/>
        <w:rPr>
          <w:rFonts w:ascii="Calibri" w:hAnsi="Calibri" w:cs="Times New Roman"/>
          <w:highlight w:val="yellow"/>
          <w:lang w:eastAsia="en-GB"/>
        </w:rPr>
      </w:pPr>
    </w:p>
    <w:p w14:paraId="0EA3126F" w14:textId="77777777" w:rsidR="00597826" w:rsidRPr="004658EA" w:rsidRDefault="00597826" w:rsidP="00375DCA">
      <w:pPr>
        <w:spacing w:after="0"/>
        <w:rPr>
          <w:rFonts w:ascii="Calibri" w:hAnsi="Calibri" w:cs="Times New Roman"/>
          <w:lang w:eastAsia="en-GB"/>
        </w:rPr>
      </w:pPr>
      <w:r w:rsidRPr="004658EA">
        <w:rPr>
          <w:rFonts w:cs="Times New Roman"/>
        </w:rPr>
        <w:t xml:space="preserve">Patients support screening to detect AF earlier. Increased education about AF for healthcare professionals is required, ensuring they respond to any reported patient symptoms. Public awareness campaigns will be helpful to educate people about checking their pulse and the benefits of OAC for preventing AF-related stroke. </w:t>
      </w:r>
      <w:r w:rsidRPr="004658EA">
        <w:rPr>
          <w:rFonts w:ascii="Calibri" w:hAnsi="Calibri" w:cs="Times New Roman"/>
          <w:lang w:eastAsia="en-GB"/>
        </w:rPr>
        <w:t>It will be beneficial for professional health organizations to work in partnership with professional patient-led organizations to drive AF education and detection programs, advocate for screening, and evidence-based treatment for those with diagnosed AF.</w:t>
      </w:r>
    </w:p>
    <w:p w14:paraId="2106DB9B" w14:textId="77777777" w:rsidR="00597826" w:rsidRPr="003F64D8" w:rsidRDefault="00597826" w:rsidP="00375DCA">
      <w:pPr>
        <w:pStyle w:val="Heading1"/>
        <w:rPr>
          <w:rFonts w:asciiTheme="minorHAnsi" w:hAnsiTheme="minorHAnsi"/>
        </w:rPr>
      </w:pPr>
      <w:r w:rsidRPr="003F64D8">
        <w:rPr>
          <w:rFonts w:asciiTheme="minorHAnsi" w:hAnsiTheme="minorHAnsi"/>
          <w:color w:val="000000" w:themeColor="text1"/>
          <w:sz w:val="24"/>
          <w:szCs w:val="24"/>
        </w:rPr>
        <w:t xml:space="preserve">Current guidelines </w:t>
      </w:r>
    </w:p>
    <w:p w14:paraId="1F239464" w14:textId="77777777" w:rsidR="00597826" w:rsidRPr="004D04BF" w:rsidRDefault="00597826" w:rsidP="00375DCA">
      <w:pPr>
        <w:rPr>
          <w:rFonts w:ascii="Calibri" w:hAnsi="Calibri"/>
          <w:i/>
          <w:color w:val="000000"/>
          <w:sz w:val="21"/>
          <w:szCs w:val="21"/>
        </w:rPr>
      </w:pPr>
    </w:p>
    <w:p w14:paraId="330073F4" w14:textId="77777777" w:rsidR="00597826" w:rsidRDefault="00597826" w:rsidP="00375DCA">
      <w:r w:rsidRPr="004D04BF">
        <w:t>Th</w:t>
      </w:r>
      <w:r>
        <w:t>e ESC</w:t>
      </w:r>
      <w:r w:rsidRPr="004D04BF">
        <w:t xml:space="preserve"> recommends opportunistic pulse-taking in all patients aged ≥65 years or in high risk subgroups, followed by an ECG </w:t>
      </w:r>
      <w:r>
        <w:t>if</w:t>
      </w:r>
      <w:r w:rsidRPr="004D04BF">
        <w:t xml:space="preserve"> irregular, to allow timely </w:t>
      </w:r>
      <w:r>
        <w:t xml:space="preserve">AF </w:t>
      </w:r>
      <w:r w:rsidRPr="004D04BF">
        <w:t>detection.</w:t>
      </w:r>
      <w:r w:rsidRPr="008D370F">
        <w:rPr>
          <w:noProof/>
          <w:vertAlign w:val="superscript"/>
        </w:rPr>
        <w:t>88</w:t>
      </w:r>
      <w:r w:rsidRPr="007A068B">
        <w:t xml:space="preserve"> </w:t>
      </w:r>
      <w:r w:rsidRPr="008D370F">
        <w:rPr>
          <w:noProof/>
          <w:vertAlign w:val="superscript"/>
        </w:rPr>
        <w:t>29</w:t>
      </w:r>
      <w:r w:rsidRPr="004D04BF">
        <w:t xml:space="preserve"> Pulse taking in practice is  recommended </w:t>
      </w:r>
      <w:r>
        <w:t xml:space="preserve">by the </w:t>
      </w:r>
      <w:r w:rsidRPr="004D04BF">
        <w:t>National Institute for Health and Care Excellence (NICE</w:t>
      </w:r>
      <w:r>
        <w:t>, UK</w:t>
      </w:r>
      <w:r w:rsidRPr="004D04BF">
        <w:t>) guidelines</w:t>
      </w:r>
      <w:r>
        <w:t xml:space="preserve">, but only </w:t>
      </w:r>
      <w:r w:rsidRPr="004D04BF">
        <w:t>for symptoms</w:t>
      </w:r>
      <w:r>
        <w:t xml:space="preserve">. </w:t>
      </w:r>
      <w:r w:rsidRPr="004D04BF">
        <w:t xml:space="preserve"> However</w:t>
      </w:r>
      <w:r>
        <w:t>,</w:t>
      </w:r>
      <w:r w:rsidRPr="004D04BF">
        <w:t xml:space="preserve"> </w:t>
      </w:r>
      <w:r>
        <w:t>t</w:t>
      </w:r>
      <w:r w:rsidRPr="004D04BF">
        <w:t xml:space="preserve">he </w:t>
      </w:r>
      <w:r>
        <w:t xml:space="preserve">new </w:t>
      </w:r>
      <w:r w:rsidRPr="004D04BF">
        <w:t>2016 ESC guideline</w:t>
      </w:r>
      <w:r w:rsidRPr="007A068B">
        <w:t xml:space="preserve"> </w:t>
      </w:r>
      <w:r w:rsidRPr="008D370F">
        <w:rPr>
          <w:noProof/>
          <w:vertAlign w:val="superscript"/>
        </w:rPr>
        <w:t>29</w:t>
      </w:r>
      <w:r w:rsidRPr="004D04BF">
        <w:t xml:space="preserve"> </w:t>
      </w:r>
      <w:r>
        <w:t xml:space="preserve">also includes: an ECG rhythm strip as an alternative to pulse palpation; at least 72 hours ECG monitoring after </w:t>
      </w:r>
      <w:r>
        <w:rPr>
          <w:rStyle w:val="Emphasis"/>
          <w:i w:val="0"/>
        </w:rPr>
        <w:t>TIA</w:t>
      </w:r>
      <w:r w:rsidRPr="00803BC2">
        <w:rPr>
          <w:i/>
        </w:rPr>
        <w:t xml:space="preserve"> </w:t>
      </w:r>
      <w:r>
        <w:t>or stroke with additional longer term monitoring considered; and consideration of systematic screening in patients aged ≥75 or those at high stroke risk. An additional recommendation is to interrogate CIEDs for atrial high rate episodes and if detected, prompt further ECG monitoring to document AF before initiating therapy.</w:t>
      </w:r>
      <w:r w:rsidDel="007A068B">
        <w:t xml:space="preserve"> </w:t>
      </w:r>
    </w:p>
    <w:p w14:paraId="336D3740" w14:textId="77777777" w:rsidR="00597826" w:rsidRPr="004D04BF" w:rsidRDefault="00597826" w:rsidP="00375DCA">
      <w:r>
        <w:t>The ACC/AHA/</w:t>
      </w:r>
      <w:r w:rsidRPr="004D04BF">
        <w:t>HRS Guidelines</w:t>
      </w:r>
      <w:hyperlink w:anchor="_ENREF_182" w:tooltip="January, 2014 #665" w:history="1"/>
      <w:r w:rsidRPr="007E55E0">
        <w:rPr>
          <w:noProof/>
          <w:vertAlign w:val="superscript"/>
        </w:rPr>
        <w:t>1</w:t>
      </w:r>
      <w:r w:rsidRPr="004D04BF">
        <w:t xml:space="preserve"> make no recommendation on the topic of screening</w:t>
      </w:r>
      <w:r>
        <w:t xml:space="preserve"> but </w:t>
      </w:r>
      <w:r w:rsidRPr="004D04BF">
        <w:t>do state that early detection and treatment of asymptomatic AF before the first complications occur is a recognized priority for the prevention of stroke.</w:t>
      </w:r>
    </w:p>
    <w:p w14:paraId="7FED6365" w14:textId="77777777" w:rsidR="00597826" w:rsidRPr="004D04BF" w:rsidRDefault="00597826" w:rsidP="00375DCA">
      <w:r>
        <w:t>Guidelines address s</w:t>
      </w:r>
      <w:r w:rsidRPr="004D04BF">
        <w:t>pecific subgroups where screening may be worthwhile</w:t>
      </w:r>
      <w:r>
        <w:t xml:space="preserve">, </w:t>
      </w:r>
      <w:r w:rsidRPr="004D04BF">
        <w:t>includ</w:t>
      </w:r>
      <w:r>
        <w:t>ing</w:t>
      </w:r>
      <w:r w:rsidRPr="004D04BF">
        <w:t xml:space="preserve"> high risk patients</w:t>
      </w:r>
      <w:r>
        <w:t xml:space="preserve"> (e.g.</w:t>
      </w:r>
      <w:r w:rsidRPr="004D04BF">
        <w:t xml:space="preserve"> post-stroke</w:t>
      </w:r>
      <w:r>
        <w:t>, &gt;age 75)</w:t>
      </w:r>
      <w:r w:rsidRPr="004D04BF">
        <w:t xml:space="preserve">, </w:t>
      </w:r>
      <w:r>
        <w:t>in whom</w:t>
      </w:r>
      <w:r w:rsidRPr="004D04BF">
        <w:t xml:space="preserve"> prolonged monitoring is more likely to detect</w:t>
      </w:r>
      <w:r>
        <w:t xml:space="preserve"> AF.</w:t>
      </w:r>
      <w:r w:rsidRPr="004D04BF">
        <w:t xml:space="preserve"> </w:t>
      </w:r>
    </w:p>
    <w:p w14:paraId="510B0F07" w14:textId="77777777" w:rsidR="00597826" w:rsidRPr="00575B34" w:rsidRDefault="00597826" w:rsidP="00375DCA">
      <w:r w:rsidRPr="004658EA">
        <w:rPr>
          <w:b/>
        </w:rPr>
        <w:t>Key Point 6:</w:t>
      </w:r>
      <w:r w:rsidRPr="004658EA">
        <w:t xml:space="preserve"> </w:t>
      </w:r>
      <w:r w:rsidRPr="004658EA">
        <w:rPr>
          <w:rFonts w:ascii="Calibri" w:hAnsi="Calibri" w:cs="Times New Roman"/>
          <w:lang w:eastAsia="en-GB"/>
        </w:rPr>
        <w:t>There is a need to perform large randomized controlled studies using hard endpoints (including stroke/systemic embolism and death), of strategies for screening, to strengthen the evidence base to inform guidelines and national systematic screening strategies.</w:t>
      </w:r>
    </w:p>
    <w:p w14:paraId="304C6AC4" w14:textId="77777777" w:rsidR="00597826" w:rsidRPr="003F64D8" w:rsidRDefault="00597826" w:rsidP="00375DCA">
      <w:pPr>
        <w:pStyle w:val="Heading1"/>
        <w:rPr>
          <w:rFonts w:asciiTheme="minorHAnsi" w:hAnsiTheme="minorHAnsi"/>
        </w:rPr>
      </w:pPr>
      <w:r w:rsidRPr="003F64D8">
        <w:rPr>
          <w:rFonts w:asciiTheme="minorHAnsi" w:hAnsiTheme="minorHAnsi"/>
        </w:rPr>
        <w:t>Conclusions (Fig 3)</w:t>
      </w:r>
    </w:p>
    <w:p w14:paraId="25EA9032" w14:textId="77777777" w:rsidR="003F64D8" w:rsidRDefault="003F64D8" w:rsidP="00375DCA"/>
    <w:p w14:paraId="7EA8B844" w14:textId="77777777" w:rsidR="00597826" w:rsidRPr="00B21A54" w:rsidRDefault="00597826" w:rsidP="00375DCA">
      <w:r>
        <w:t>In older individuals</w:t>
      </w:r>
      <w:r w:rsidRPr="00B21A54">
        <w:t xml:space="preserve"> </w:t>
      </w:r>
      <w:r>
        <w:t>with</w:t>
      </w:r>
      <w:r w:rsidRPr="00B21A54">
        <w:t xml:space="preserve"> screen-detected AF</w:t>
      </w:r>
      <w:r>
        <w:t>,</w:t>
      </w:r>
      <w:r w:rsidRPr="00B21A54">
        <w:t xml:space="preserve"> </w:t>
      </w:r>
      <w:r>
        <w:t>t</w:t>
      </w:r>
      <w:r w:rsidRPr="00B21A54">
        <w:t>he absolute</w:t>
      </w:r>
      <w:r>
        <w:t xml:space="preserve"> risk of ischemic stroke and death appears sufficient to justify consideration of treatment with OACs. Irregularity of the pulse is a simple way to screen for AF, but pulse palpation is seldom done in routine practice, and inexpensive screening devices are available. Because an ECG is required to confirm AF diagnosis, devices which provide a medical quality ECG trace have an advantage over pulse-based devices and would be preferred as screening tools. Single timepoint screening for AF appears justified based on yield and cost-effectiveness, and as a further step, two weeks of twice daily intermittent recordings may be justified in people aged 75 or older, or in other groups at high risk of AF or AF-related stroke. Patient differences will modulate the type and intensity of screening (e.g. ESUS requires higher intensity). The setting for screening is highly dependent on the health system in each country and needs to be individualized, but must crucially be linked to a pathway for appropriate diagnosis and management. While the WHO criteria for screening appear to be met</w:t>
      </w:r>
      <w:r w:rsidRPr="008D370F">
        <w:rPr>
          <w:noProof/>
          <w:vertAlign w:val="superscript"/>
        </w:rPr>
        <w:t>99</w:t>
      </w:r>
      <w:r>
        <w:t xml:space="preserve"> and the evidence is strong for commencing screening efforts in many countries, one or more large and adequately powered randomized outcomes trials of a strategy of screening would strengthen the evidence for adoption of larger scale systematic screening programs for AF to reduce ischemic stroke/systemic embolism and death.</w:t>
      </w:r>
    </w:p>
    <w:p w14:paraId="29B20B74" w14:textId="77777777" w:rsidR="00597826" w:rsidRDefault="00597826" w:rsidP="00375DCA">
      <w:pPr>
        <w:pStyle w:val="Heading1"/>
      </w:pPr>
      <w:r w:rsidRPr="004D04BF">
        <w:t xml:space="preserve">Supplementary material (online only) </w:t>
      </w:r>
    </w:p>
    <w:p w14:paraId="2E6E39A2" w14:textId="77777777" w:rsidR="00597826" w:rsidRDefault="00597826" w:rsidP="00375DCA">
      <w:pPr>
        <w:pStyle w:val="ListParagraph"/>
        <w:widowControl w:val="0"/>
        <w:numPr>
          <w:ilvl w:val="0"/>
          <w:numId w:val="37"/>
        </w:numPr>
        <w:autoSpaceDE w:val="0"/>
        <w:autoSpaceDN w:val="0"/>
        <w:adjustRightInd w:val="0"/>
      </w:pPr>
      <w:r>
        <w:t>Process adopted by AF-SCREEN to achieve consensus</w:t>
      </w:r>
    </w:p>
    <w:p w14:paraId="55A5C32F" w14:textId="77777777" w:rsidR="00597826" w:rsidRDefault="00597826" w:rsidP="00375DCA">
      <w:pPr>
        <w:pStyle w:val="ListParagraph"/>
        <w:widowControl w:val="0"/>
        <w:numPr>
          <w:ilvl w:val="0"/>
          <w:numId w:val="37"/>
        </w:numPr>
        <w:autoSpaceDE w:val="0"/>
        <w:autoSpaceDN w:val="0"/>
        <w:adjustRightInd w:val="0"/>
      </w:pPr>
      <w:r w:rsidRPr="00B21A54">
        <w:t>AF in</w:t>
      </w:r>
      <w:r>
        <w:t xml:space="preserve">cidence and future projections </w:t>
      </w:r>
    </w:p>
    <w:p w14:paraId="533DB8EA" w14:textId="77777777" w:rsidR="00597826" w:rsidRDefault="00597826" w:rsidP="00375DCA">
      <w:pPr>
        <w:pStyle w:val="ListParagraph"/>
        <w:widowControl w:val="0"/>
        <w:numPr>
          <w:ilvl w:val="0"/>
          <w:numId w:val="37"/>
        </w:numPr>
        <w:autoSpaceDE w:val="0"/>
        <w:autoSpaceDN w:val="0"/>
        <w:adjustRightInd w:val="0"/>
      </w:pPr>
      <w:r>
        <w:t>Consequences of undiagnosed AF other than stroke</w:t>
      </w:r>
    </w:p>
    <w:p w14:paraId="01EBD6DB" w14:textId="77777777" w:rsidR="00597826" w:rsidRPr="00B21A54" w:rsidRDefault="00597826" w:rsidP="00375DCA">
      <w:pPr>
        <w:pStyle w:val="ListParagraph"/>
        <w:widowControl w:val="0"/>
        <w:numPr>
          <w:ilvl w:val="0"/>
          <w:numId w:val="37"/>
        </w:numPr>
        <w:autoSpaceDE w:val="0"/>
        <w:autoSpaceDN w:val="0"/>
        <w:adjustRightInd w:val="0"/>
      </w:pPr>
      <w:r>
        <w:t>Secondary AF</w:t>
      </w:r>
    </w:p>
    <w:p w14:paraId="4F9E4DF9" w14:textId="77777777" w:rsidR="00597826" w:rsidRPr="0005752D" w:rsidRDefault="00597826" w:rsidP="00375DCA">
      <w:pPr>
        <w:pStyle w:val="ListParagraph"/>
        <w:widowControl w:val="0"/>
        <w:numPr>
          <w:ilvl w:val="0"/>
          <w:numId w:val="37"/>
        </w:numPr>
        <w:autoSpaceDE w:val="0"/>
        <w:autoSpaceDN w:val="0"/>
        <w:adjustRightInd w:val="0"/>
        <w:rPr>
          <w:rFonts w:cs="Verdana"/>
        </w:rPr>
      </w:pPr>
      <w:r>
        <w:t>Table A: Arguments against screening for AF and responses.</w:t>
      </w:r>
      <w:r w:rsidRPr="00B21A54">
        <w:t xml:space="preserve"> </w:t>
      </w:r>
    </w:p>
    <w:p w14:paraId="07222F11" w14:textId="77777777" w:rsidR="00597826" w:rsidRPr="00AF6B4E" w:rsidRDefault="00597826" w:rsidP="00375DCA">
      <w:pPr>
        <w:pStyle w:val="ListParagraph"/>
        <w:widowControl w:val="0"/>
        <w:numPr>
          <w:ilvl w:val="0"/>
          <w:numId w:val="37"/>
        </w:numPr>
        <w:autoSpaceDE w:val="0"/>
        <w:autoSpaceDN w:val="0"/>
        <w:adjustRightInd w:val="0"/>
        <w:rPr>
          <w:rFonts w:cs="Verdana"/>
        </w:rPr>
      </w:pPr>
      <w:r w:rsidRPr="00B21A54">
        <w:t xml:space="preserve">Country by country plan of </w:t>
      </w:r>
      <w:r>
        <w:t xml:space="preserve">potential </w:t>
      </w:r>
      <w:r w:rsidRPr="00B21A54">
        <w:t xml:space="preserve">AF screening </w:t>
      </w:r>
      <w:r>
        <w:t>implementation specific to the</w:t>
      </w:r>
      <w:r w:rsidRPr="00B21A54">
        <w:t xml:space="preserve"> health system</w:t>
      </w:r>
      <w:r>
        <w:t>.</w:t>
      </w:r>
      <w:r w:rsidRPr="00B21A54">
        <w:t xml:space="preserve"> </w:t>
      </w:r>
    </w:p>
    <w:p w14:paraId="45744EFB" w14:textId="77777777" w:rsidR="00597826" w:rsidRPr="0005752D" w:rsidRDefault="00597826" w:rsidP="00375DCA">
      <w:pPr>
        <w:pStyle w:val="ListParagraph"/>
        <w:widowControl w:val="0"/>
        <w:numPr>
          <w:ilvl w:val="0"/>
          <w:numId w:val="37"/>
        </w:numPr>
        <w:autoSpaceDE w:val="0"/>
        <w:autoSpaceDN w:val="0"/>
        <w:adjustRightInd w:val="0"/>
        <w:rPr>
          <w:rFonts w:cs="Verdana"/>
        </w:rPr>
      </w:pPr>
      <w:r>
        <w:t>AF Screening reference list</w:t>
      </w:r>
    </w:p>
    <w:p w14:paraId="1A06C8AE" w14:textId="77777777" w:rsidR="00597826" w:rsidRPr="0074090B" w:rsidRDefault="00597826" w:rsidP="00375DCA">
      <w:pPr>
        <w:pStyle w:val="ListParagraph"/>
        <w:widowControl w:val="0"/>
        <w:autoSpaceDE w:val="0"/>
        <w:autoSpaceDN w:val="0"/>
        <w:adjustRightInd w:val="0"/>
        <w:rPr>
          <w:rFonts w:cs="Verdana"/>
        </w:rPr>
      </w:pPr>
    </w:p>
    <w:p w14:paraId="114D785B" w14:textId="77777777" w:rsidR="00597826" w:rsidRDefault="00597826" w:rsidP="00375DCA">
      <w:pPr>
        <w:pStyle w:val="Heading1"/>
      </w:pPr>
      <w:r>
        <w:t>Acknowledgement</w:t>
      </w:r>
    </w:p>
    <w:p w14:paraId="640EF6ED" w14:textId="77777777" w:rsidR="00597826" w:rsidRDefault="00597826" w:rsidP="00375DCA">
      <w:pPr>
        <w:jc w:val="both"/>
        <w:rPr>
          <w:b/>
        </w:rPr>
      </w:pPr>
      <w:r>
        <w:t xml:space="preserve">We would like to </w:t>
      </w:r>
      <w:r w:rsidRPr="004D04BF">
        <w:t xml:space="preserve">acknowledge the </w:t>
      </w:r>
      <w:r>
        <w:t xml:space="preserve">important </w:t>
      </w:r>
      <w:r w:rsidRPr="004D04BF">
        <w:t xml:space="preserve">role of Ms Kimberley Begley in organization of the </w:t>
      </w:r>
      <w:r>
        <w:t>AF-SCREEN</w:t>
      </w:r>
      <w:r w:rsidRPr="004D04BF">
        <w:t xml:space="preserve"> meeting, and supporting the steering committee in all the logistics.</w:t>
      </w:r>
      <w:r w:rsidRPr="004D04BF">
        <w:rPr>
          <w:b/>
        </w:rPr>
        <w:t xml:space="preserve"> </w:t>
      </w:r>
    </w:p>
    <w:p w14:paraId="2D23C0F5" w14:textId="77777777" w:rsidR="00597826" w:rsidRDefault="00597826" w:rsidP="00375DCA">
      <w:pPr>
        <w:pStyle w:val="Heading1"/>
      </w:pPr>
      <w:r>
        <w:t>Funding</w:t>
      </w:r>
    </w:p>
    <w:p w14:paraId="4FAE4F32" w14:textId="77777777" w:rsidR="00597826" w:rsidRDefault="00597826" w:rsidP="00375DCA">
      <w:pPr>
        <w:jc w:val="both"/>
      </w:pPr>
      <w:r>
        <w:t xml:space="preserve">AF-SCREEN received funding for holding its meeting from: Bayer HealthCare, Bristol-Myers Squibb/Pfizer, Daiichi Sankyo, Medtronic, C-SPIN (Canadian Stroke Prevention Intervention Network), Zenicor and iRhythm. The sponsors played no role in setting the agenda or the program for the meeting and played no role in this document. </w:t>
      </w:r>
    </w:p>
    <w:p w14:paraId="6D2102FC" w14:textId="77777777" w:rsidR="00597826" w:rsidRDefault="00597826" w:rsidP="00375DCA">
      <w:pPr>
        <w:jc w:val="both"/>
      </w:pPr>
    </w:p>
    <w:p w14:paraId="267C64E0" w14:textId="77777777" w:rsidR="00597826" w:rsidRPr="005E5805" w:rsidRDefault="00597826" w:rsidP="00375DCA">
      <w:pPr>
        <w:jc w:val="both"/>
        <w:rPr>
          <w:rFonts w:asciiTheme="majorHAnsi" w:hAnsiTheme="majorHAnsi"/>
          <w:b/>
          <w:color w:val="0070C0"/>
          <w:sz w:val="28"/>
          <w:szCs w:val="28"/>
        </w:rPr>
      </w:pPr>
      <w:r w:rsidRPr="005E5805">
        <w:rPr>
          <w:rFonts w:asciiTheme="majorHAnsi" w:hAnsiTheme="majorHAnsi"/>
          <w:b/>
          <w:color w:val="0070C0"/>
          <w:sz w:val="28"/>
          <w:szCs w:val="28"/>
        </w:rPr>
        <w:t xml:space="preserve">List of </w:t>
      </w:r>
      <w:r>
        <w:rPr>
          <w:rFonts w:asciiTheme="majorHAnsi" w:hAnsiTheme="majorHAnsi"/>
          <w:b/>
          <w:color w:val="0070C0"/>
          <w:sz w:val="28"/>
          <w:szCs w:val="28"/>
        </w:rPr>
        <w:t xml:space="preserve">AF-SCREEN </w:t>
      </w:r>
      <w:r w:rsidRPr="005E5805">
        <w:rPr>
          <w:rFonts w:asciiTheme="majorHAnsi" w:hAnsiTheme="majorHAnsi"/>
          <w:b/>
          <w:color w:val="0070C0"/>
          <w:sz w:val="28"/>
          <w:szCs w:val="28"/>
        </w:rPr>
        <w:t>members</w:t>
      </w:r>
      <w:r>
        <w:rPr>
          <w:rFonts w:asciiTheme="majorHAnsi" w:hAnsiTheme="majorHAnsi"/>
          <w:b/>
          <w:color w:val="0070C0"/>
          <w:sz w:val="28"/>
          <w:szCs w:val="28"/>
        </w:rPr>
        <w:t xml:space="preserve"> </w:t>
      </w:r>
      <w:r w:rsidRPr="005E5805">
        <w:rPr>
          <w:rFonts w:asciiTheme="majorHAnsi" w:hAnsiTheme="majorHAnsi"/>
          <w:b/>
          <w:color w:val="0070C0"/>
          <w:sz w:val="28"/>
          <w:szCs w:val="28"/>
        </w:rPr>
        <w:t>other than c</w:t>
      </w:r>
      <w:r>
        <w:rPr>
          <w:rFonts w:asciiTheme="majorHAnsi" w:hAnsiTheme="majorHAnsi"/>
          <w:b/>
          <w:color w:val="0070C0"/>
          <w:sz w:val="28"/>
          <w:szCs w:val="28"/>
        </w:rPr>
        <w:t xml:space="preserve">o-authors who contributed to the individual country profiles and who participated in the Delphi process: </w:t>
      </w:r>
    </w:p>
    <w:p w14:paraId="0D36AB70" w14:textId="77777777" w:rsidR="00597826" w:rsidRDefault="00597826" w:rsidP="00375DCA">
      <w:pPr>
        <w:jc w:val="both"/>
      </w:pPr>
      <w:r>
        <w:t>Al Awwad, A; Al-Kalili, F; Berge, T; Breithardt, G; Bury, G; Caorsi, WR; Chan, NY; Chen, SA; Christophersen, I; Connolly, S; Crijns, H; Davis, S; Dixen, U; Doughty, R; Du, X; Ezekowitz, M; Fay, M; Frykman, V; Geanta, M; Gray, H; Grubb, N; Guerra, A; Halcox, J; Hatala, R; Heidbuchel, H; Jackson, R; Johnson, L; Kaab, S; Keane, K; Kim, YH; Kollios, G; Løchen, ML; Ma, C; Mant, J; Martinek, M; Marzona, I; Matsumoto, K; McManus, D; Moran, P; Naik, N; Ngarmukos, T; Prabhakaran, D; Reidpath, D; Ribeiro, A; Rudd, A; Savalieva, I; Schilling, R; Sinner, M; Stewart, S; Suwanwela, N; Takahashi, N; Topol, E; Ushiyama, S; Verbiest van Gurp, N; Walker, N; Wijeratne, T.</w:t>
      </w:r>
    </w:p>
    <w:p w14:paraId="055B94CC" w14:textId="77777777" w:rsidR="00597826" w:rsidRDefault="00597826">
      <w:pPr>
        <w:rPr>
          <w:rFonts w:asciiTheme="majorHAnsi" w:hAnsiTheme="majorHAnsi"/>
          <w:b/>
          <w:color w:val="0070C0"/>
          <w:sz w:val="28"/>
          <w:szCs w:val="28"/>
        </w:rPr>
      </w:pPr>
      <w:r>
        <w:rPr>
          <w:rFonts w:asciiTheme="majorHAnsi" w:hAnsiTheme="majorHAnsi"/>
          <w:b/>
          <w:color w:val="0070C0"/>
          <w:sz w:val="28"/>
          <w:szCs w:val="28"/>
        </w:rPr>
        <w:br w:type="page"/>
      </w:r>
    </w:p>
    <w:p w14:paraId="256816ED" w14:textId="77777777" w:rsidR="00597826" w:rsidRDefault="00597826" w:rsidP="00375DCA">
      <w:pPr>
        <w:jc w:val="both"/>
        <w:rPr>
          <w:rFonts w:asciiTheme="majorHAnsi" w:hAnsiTheme="majorHAnsi"/>
          <w:b/>
          <w:color w:val="0070C0"/>
          <w:sz w:val="28"/>
          <w:szCs w:val="28"/>
        </w:rPr>
        <w:sectPr w:rsidR="00597826" w:rsidSect="00375DCA">
          <w:pgSz w:w="11906" w:h="16838"/>
          <w:pgMar w:top="1440" w:right="1440" w:bottom="1440" w:left="1440" w:header="708" w:footer="708" w:gutter="0"/>
          <w:cols w:space="708"/>
          <w:docGrid w:linePitch="360"/>
        </w:sectPr>
      </w:pPr>
    </w:p>
    <w:p w14:paraId="25443A25" w14:textId="77777777" w:rsidR="00597826" w:rsidRPr="007F22A5" w:rsidRDefault="00597826" w:rsidP="00375DCA">
      <w:pPr>
        <w:jc w:val="both"/>
        <w:rPr>
          <w:rFonts w:asciiTheme="majorHAnsi" w:hAnsiTheme="majorHAnsi"/>
          <w:b/>
          <w:color w:val="0070C0"/>
          <w:sz w:val="28"/>
          <w:szCs w:val="28"/>
        </w:rPr>
      </w:pPr>
      <w:r w:rsidRPr="00DE335E">
        <w:rPr>
          <w:rFonts w:asciiTheme="majorHAnsi" w:hAnsiTheme="majorHAnsi"/>
          <w:b/>
          <w:color w:val="0070C0"/>
          <w:sz w:val="28"/>
          <w:szCs w:val="28"/>
        </w:rPr>
        <w:t>Tables</w:t>
      </w:r>
    </w:p>
    <w:p w14:paraId="4577722F" w14:textId="77777777" w:rsidR="00593BC2" w:rsidRPr="007F22A5" w:rsidRDefault="00593BC2" w:rsidP="00593BC2">
      <w:pPr>
        <w:pStyle w:val="Caption"/>
        <w:rPr>
          <w:rFonts w:cs="Times New Roman"/>
          <w:color w:val="auto"/>
          <w:sz w:val="22"/>
          <w:szCs w:val="22"/>
        </w:rPr>
      </w:pPr>
      <w:r w:rsidRPr="008207CA">
        <w:rPr>
          <w:color w:val="auto"/>
          <w:sz w:val="22"/>
          <w:szCs w:val="22"/>
        </w:rPr>
        <w:t xml:space="preserve">Table 1: </w:t>
      </w:r>
      <w:r w:rsidRPr="008207CA">
        <w:rPr>
          <w:rFonts w:cs="Times New Roman"/>
          <w:color w:val="auto"/>
          <w:sz w:val="22"/>
          <w:szCs w:val="22"/>
        </w:rPr>
        <w:t xml:space="preserve">Incidence of CIED-detected </w:t>
      </w:r>
      <w:r>
        <w:rPr>
          <w:rFonts w:cs="Times New Roman"/>
          <w:color w:val="auto"/>
          <w:sz w:val="22"/>
          <w:szCs w:val="22"/>
        </w:rPr>
        <w:t>atrial high rate episodes (</w:t>
      </w:r>
      <w:r w:rsidRPr="008207CA">
        <w:rPr>
          <w:rFonts w:cs="Times New Roman"/>
          <w:color w:val="auto"/>
          <w:sz w:val="22"/>
          <w:szCs w:val="22"/>
        </w:rPr>
        <w:t>AHREs</w:t>
      </w:r>
      <w:r>
        <w:rPr>
          <w:rFonts w:cs="Times New Roman"/>
          <w:color w:val="auto"/>
          <w:sz w:val="22"/>
          <w:szCs w:val="22"/>
        </w:rPr>
        <w:t>)</w:t>
      </w:r>
      <w:r w:rsidRPr="008207CA">
        <w:rPr>
          <w:rFonts w:cs="Times New Roman"/>
          <w:color w:val="auto"/>
          <w:sz w:val="22"/>
          <w:szCs w:val="22"/>
        </w:rPr>
        <w:t xml:space="preserve"> in the population with cardiac implanted devices</w:t>
      </w:r>
    </w:p>
    <w:tbl>
      <w:tblPr>
        <w:tblpPr w:leftFromText="180" w:rightFromText="180" w:vertAnchor="text" w:horzAnchor="margin" w:tblpXSpec="center" w:tblpY="-55"/>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620" w:firstRow="1" w:lastRow="0" w:firstColumn="0" w:lastColumn="0" w:noHBand="1" w:noVBand="1"/>
      </w:tblPr>
      <w:tblGrid>
        <w:gridCol w:w="847"/>
        <w:gridCol w:w="1257"/>
        <w:gridCol w:w="1447"/>
        <w:gridCol w:w="1891"/>
        <w:gridCol w:w="915"/>
        <w:gridCol w:w="871"/>
        <w:gridCol w:w="871"/>
        <w:gridCol w:w="989"/>
        <w:gridCol w:w="1192"/>
        <w:gridCol w:w="1347"/>
        <w:gridCol w:w="1621"/>
      </w:tblGrid>
      <w:tr w:rsidR="00593BC2" w:rsidRPr="00D72149" w14:paraId="4AC60F3B" w14:textId="77777777" w:rsidTr="00375DCA">
        <w:trPr>
          <w:trHeight w:val="441"/>
        </w:trPr>
        <w:tc>
          <w:tcPr>
            <w:tcW w:w="850" w:type="dxa"/>
            <w:shd w:val="clear" w:color="auto" w:fill="FFFFFF"/>
            <w:tcMar>
              <w:top w:w="72" w:type="dxa"/>
              <w:left w:w="144" w:type="dxa"/>
              <w:bottom w:w="72" w:type="dxa"/>
              <w:right w:w="144" w:type="dxa"/>
            </w:tcMar>
          </w:tcPr>
          <w:p w14:paraId="12645FA0"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b/>
                <w:bCs/>
                <w:kern w:val="24"/>
                <w:sz w:val="20"/>
                <w:szCs w:val="20"/>
              </w:rPr>
              <w:t>Year</w:t>
            </w:r>
          </w:p>
        </w:tc>
        <w:tc>
          <w:tcPr>
            <w:tcW w:w="1262" w:type="dxa"/>
            <w:shd w:val="clear" w:color="auto" w:fill="FFFFFF"/>
            <w:tcMar>
              <w:top w:w="72" w:type="dxa"/>
              <w:left w:w="144" w:type="dxa"/>
              <w:bottom w:w="72" w:type="dxa"/>
              <w:right w:w="144" w:type="dxa"/>
            </w:tcMar>
          </w:tcPr>
          <w:p w14:paraId="2FB53BD7"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b/>
                <w:bCs/>
                <w:kern w:val="24"/>
                <w:sz w:val="20"/>
                <w:szCs w:val="20"/>
              </w:rPr>
              <w:t>Trial</w:t>
            </w:r>
          </w:p>
        </w:tc>
        <w:tc>
          <w:tcPr>
            <w:tcW w:w="1454" w:type="dxa"/>
            <w:shd w:val="clear" w:color="auto" w:fill="FFFFFF"/>
            <w:tcMar>
              <w:top w:w="72" w:type="dxa"/>
              <w:left w:w="144" w:type="dxa"/>
              <w:bottom w:w="72" w:type="dxa"/>
              <w:right w:w="144" w:type="dxa"/>
            </w:tcMar>
          </w:tcPr>
          <w:p w14:paraId="56C58238"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b/>
                <w:bCs/>
                <w:kern w:val="24"/>
                <w:sz w:val="20"/>
                <w:szCs w:val="20"/>
              </w:rPr>
              <w:t>Device Indication</w:t>
            </w:r>
          </w:p>
        </w:tc>
        <w:tc>
          <w:tcPr>
            <w:tcW w:w="1904" w:type="dxa"/>
            <w:shd w:val="clear" w:color="auto" w:fill="FFFFFF"/>
            <w:tcMar>
              <w:top w:w="72" w:type="dxa"/>
              <w:left w:w="144" w:type="dxa"/>
              <w:bottom w:w="72" w:type="dxa"/>
              <w:right w:w="144" w:type="dxa"/>
            </w:tcMar>
          </w:tcPr>
          <w:p w14:paraId="72217362"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b/>
                <w:bCs/>
                <w:kern w:val="24"/>
                <w:sz w:val="20"/>
                <w:szCs w:val="20"/>
              </w:rPr>
              <w:t>Clinical Profile of Patients</w:t>
            </w:r>
          </w:p>
        </w:tc>
        <w:tc>
          <w:tcPr>
            <w:tcW w:w="916" w:type="dxa"/>
            <w:shd w:val="clear" w:color="auto" w:fill="FFFFFF"/>
          </w:tcPr>
          <w:p w14:paraId="08547D07" w14:textId="77777777" w:rsidR="00593BC2" w:rsidRPr="00D72149" w:rsidRDefault="00593BC2" w:rsidP="00375DCA">
            <w:pPr>
              <w:spacing w:line="240" w:lineRule="auto"/>
              <w:rPr>
                <w:rFonts w:ascii="Calibri" w:eastAsia="Calibri" w:hAnsi="Calibri" w:cs="Times New Roman"/>
                <w:b/>
                <w:bCs/>
                <w:kern w:val="24"/>
                <w:sz w:val="20"/>
                <w:szCs w:val="20"/>
              </w:rPr>
            </w:pPr>
            <w:r w:rsidRPr="00D72149">
              <w:rPr>
                <w:rFonts w:ascii="Calibri" w:eastAsia="Calibri" w:hAnsi="Calibri" w:cs="Times New Roman"/>
                <w:b/>
                <w:bCs/>
                <w:kern w:val="24"/>
                <w:sz w:val="20"/>
                <w:szCs w:val="20"/>
              </w:rPr>
              <w:t xml:space="preserve">Mean age </w:t>
            </w:r>
          </w:p>
        </w:tc>
        <w:tc>
          <w:tcPr>
            <w:tcW w:w="847" w:type="dxa"/>
            <w:shd w:val="clear" w:color="auto" w:fill="FFFFFF"/>
          </w:tcPr>
          <w:p w14:paraId="2C4D23ED" w14:textId="77777777" w:rsidR="00593BC2" w:rsidRPr="00D72149" w:rsidRDefault="00593BC2" w:rsidP="00375DCA">
            <w:pPr>
              <w:spacing w:line="240" w:lineRule="auto"/>
              <w:rPr>
                <w:rFonts w:ascii="Calibri" w:eastAsia="Calibri" w:hAnsi="Calibri" w:cs="Times New Roman"/>
                <w:b/>
                <w:bCs/>
                <w:kern w:val="24"/>
                <w:sz w:val="20"/>
                <w:szCs w:val="20"/>
              </w:rPr>
            </w:pPr>
            <w:r w:rsidRPr="00D72149">
              <w:rPr>
                <w:rFonts w:ascii="Calibri" w:eastAsia="Calibri" w:hAnsi="Calibri" w:cs="Times New Roman"/>
                <w:b/>
                <w:bCs/>
                <w:kern w:val="24"/>
                <w:sz w:val="20"/>
                <w:szCs w:val="20"/>
              </w:rPr>
              <w:t>% male</w:t>
            </w:r>
          </w:p>
        </w:tc>
        <w:tc>
          <w:tcPr>
            <w:tcW w:w="847" w:type="dxa"/>
            <w:shd w:val="clear" w:color="auto" w:fill="FFFFFF"/>
          </w:tcPr>
          <w:p w14:paraId="2667FF49" w14:textId="77777777" w:rsidR="00593BC2" w:rsidRPr="00D72149" w:rsidRDefault="00593BC2" w:rsidP="00375DCA">
            <w:pPr>
              <w:spacing w:line="240" w:lineRule="auto"/>
              <w:rPr>
                <w:rFonts w:ascii="Calibri" w:eastAsia="Calibri" w:hAnsi="Calibri" w:cs="Times New Roman"/>
                <w:b/>
                <w:bCs/>
                <w:kern w:val="24"/>
                <w:sz w:val="20"/>
                <w:szCs w:val="20"/>
              </w:rPr>
            </w:pPr>
            <w:r w:rsidRPr="00D72149">
              <w:rPr>
                <w:rFonts w:ascii="Calibri" w:eastAsia="Calibri" w:hAnsi="Calibri" w:cs="Times New Roman"/>
                <w:b/>
                <w:bCs/>
                <w:kern w:val="24"/>
                <w:sz w:val="20"/>
                <w:szCs w:val="20"/>
              </w:rPr>
              <w:t>LVEF%</w:t>
            </w:r>
          </w:p>
        </w:tc>
        <w:tc>
          <w:tcPr>
            <w:tcW w:w="995" w:type="dxa"/>
            <w:shd w:val="clear" w:color="auto" w:fill="FFFFFF"/>
          </w:tcPr>
          <w:p w14:paraId="7EB9523B" w14:textId="77777777" w:rsidR="00593BC2" w:rsidRPr="00D72149" w:rsidRDefault="00593BC2" w:rsidP="00375DCA">
            <w:pPr>
              <w:spacing w:line="240" w:lineRule="auto"/>
              <w:rPr>
                <w:rFonts w:ascii="Calibri" w:eastAsia="Calibri" w:hAnsi="Calibri" w:cs="Times New Roman"/>
                <w:b/>
                <w:bCs/>
                <w:kern w:val="24"/>
                <w:sz w:val="20"/>
                <w:szCs w:val="20"/>
              </w:rPr>
            </w:pPr>
            <w:r w:rsidRPr="00D72149">
              <w:rPr>
                <w:rFonts w:ascii="Calibri" w:eastAsia="Calibri" w:hAnsi="Calibri" w:cs="Times New Roman"/>
                <w:b/>
                <w:bCs/>
                <w:kern w:val="24"/>
                <w:sz w:val="20"/>
                <w:szCs w:val="20"/>
              </w:rPr>
              <w:t>Mean CHADS</w:t>
            </w:r>
            <w:r w:rsidRPr="00D72149">
              <w:rPr>
                <w:rFonts w:ascii="Calibri" w:eastAsia="Calibri" w:hAnsi="Calibri" w:cs="Times New Roman"/>
                <w:b/>
                <w:bCs/>
                <w:kern w:val="24"/>
                <w:sz w:val="20"/>
                <w:szCs w:val="20"/>
                <w:vertAlign w:val="subscript"/>
              </w:rPr>
              <w:t>2</w:t>
            </w:r>
          </w:p>
        </w:tc>
        <w:tc>
          <w:tcPr>
            <w:tcW w:w="1194" w:type="dxa"/>
            <w:shd w:val="clear" w:color="auto" w:fill="FFFFFF"/>
          </w:tcPr>
          <w:p w14:paraId="2694A2E9" w14:textId="77777777" w:rsidR="00593BC2" w:rsidRPr="00D72149" w:rsidRDefault="00593BC2" w:rsidP="00375DCA">
            <w:pPr>
              <w:spacing w:line="240" w:lineRule="auto"/>
              <w:rPr>
                <w:rFonts w:ascii="Calibri" w:eastAsia="Calibri" w:hAnsi="Calibri" w:cs="Times New Roman"/>
                <w:b/>
                <w:bCs/>
                <w:kern w:val="24"/>
                <w:sz w:val="20"/>
                <w:szCs w:val="20"/>
              </w:rPr>
            </w:pPr>
            <w:r w:rsidRPr="00D72149">
              <w:rPr>
                <w:rFonts w:ascii="Calibri" w:eastAsia="Calibri" w:hAnsi="Calibri" w:cs="Times New Roman"/>
                <w:b/>
                <w:bCs/>
                <w:kern w:val="24"/>
                <w:sz w:val="20"/>
                <w:szCs w:val="20"/>
              </w:rPr>
              <w:t xml:space="preserve">Follow-up </w:t>
            </w:r>
          </w:p>
        </w:tc>
        <w:tc>
          <w:tcPr>
            <w:tcW w:w="1355" w:type="dxa"/>
            <w:shd w:val="clear" w:color="auto" w:fill="FFFFFF"/>
          </w:tcPr>
          <w:p w14:paraId="2F3A99B1" w14:textId="77777777" w:rsidR="00593BC2" w:rsidRPr="00D72149" w:rsidRDefault="00593BC2" w:rsidP="00375DCA">
            <w:pPr>
              <w:spacing w:line="240" w:lineRule="auto"/>
              <w:rPr>
                <w:rFonts w:ascii="Calibri" w:eastAsia="Calibri" w:hAnsi="Calibri" w:cs="Times New Roman"/>
                <w:b/>
                <w:bCs/>
                <w:kern w:val="24"/>
                <w:sz w:val="20"/>
                <w:szCs w:val="20"/>
              </w:rPr>
            </w:pPr>
            <w:r w:rsidRPr="00D72149">
              <w:rPr>
                <w:rFonts w:ascii="Calibri" w:eastAsia="Calibri" w:hAnsi="Calibri" w:cs="Times New Roman"/>
                <w:b/>
                <w:bCs/>
                <w:kern w:val="24"/>
                <w:sz w:val="20"/>
                <w:szCs w:val="20"/>
              </w:rPr>
              <w:t xml:space="preserve">AF burden threshold </w:t>
            </w:r>
          </w:p>
        </w:tc>
        <w:tc>
          <w:tcPr>
            <w:tcW w:w="1624" w:type="dxa"/>
            <w:shd w:val="clear" w:color="auto" w:fill="FFFFFF"/>
            <w:tcMar>
              <w:top w:w="72" w:type="dxa"/>
              <w:left w:w="144" w:type="dxa"/>
              <w:bottom w:w="72" w:type="dxa"/>
              <w:right w:w="144" w:type="dxa"/>
            </w:tcMar>
          </w:tcPr>
          <w:p w14:paraId="7626D4FE"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b/>
                <w:bCs/>
                <w:kern w:val="24"/>
                <w:sz w:val="20"/>
                <w:szCs w:val="20"/>
              </w:rPr>
              <w:t>Incidence of AF</w:t>
            </w:r>
          </w:p>
        </w:tc>
      </w:tr>
      <w:tr w:rsidR="00593BC2" w:rsidRPr="00D72149" w14:paraId="6F2B7586" w14:textId="77777777" w:rsidTr="00375DCA">
        <w:trPr>
          <w:trHeight w:val="414"/>
        </w:trPr>
        <w:tc>
          <w:tcPr>
            <w:tcW w:w="850" w:type="dxa"/>
            <w:shd w:val="clear" w:color="auto" w:fill="FFFFFF"/>
            <w:tcMar>
              <w:top w:w="72" w:type="dxa"/>
              <w:left w:w="144" w:type="dxa"/>
              <w:bottom w:w="72" w:type="dxa"/>
              <w:right w:w="144" w:type="dxa"/>
            </w:tcMar>
          </w:tcPr>
          <w:p w14:paraId="2B43271F"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2002</w:t>
            </w:r>
          </w:p>
        </w:tc>
        <w:tc>
          <w:tcPr>
            <w:tcW w:w="1262" w:type="dxa"/>
            <w:shd w:val="clear" w:color="auto" w:fill="FFFFFF"/>
            <w:tcMar>
              <w:top w:w="72" w:type="dxa"/>
              <w:left w:w="144" w:type="dxa"/>
              <w:bottom w:w="72" w:type="dxa"/>
              <w:right w:w="144" w:type="dxa"/>
            </w:tcMar>
          </w:tcPr>
          <w:p w14:paraId="4A409E30" w14:textId="77777777" w:rsidR="00593BC2" w:rsidRPr="00D72149" w:rsidRDefault="00593BC2" w:rsidP="00375DCA">
            <w:pPr>
              <w:spacing w:line="240" w:lineRule="auto"/>
              <w:rPr>
                <w:rFonts w:ascii="Calibri" w:eastAsia="Calibri" w:hAnsi="Calibri" w:cs="Times New Roman"/>
                <w:sz w:val="20"/>
                <w:szCs w:val="20"/>
                <w:vertAlign w:val="superscript"/>
              </w:rPr>
            </w:pPr>
            <w:r w:rsidRPr="00D72149">
              <w:rPr>
                <w:rFonts w:ascii="Calibri" w:eastAsia="Calibri" w:hAnsi="Calibri" w:cs="Times New Roman"/>
                <w:sz w:val="20"/>
                <w:szCs w:val="20"/>
              </w:rPr>
              <w:t>Gillis et al.</w:t>
            </w:r>
            <w:r w:rsidRPr="00870A77">
              <w:rPr>
                <w:rFonts w:ascii="Calibri" w:eastAsia="Calibri" w:hAnsi="Calibri" w:cs="Times New Roman"/>
                <w:noProof/>
                <w:sz w:val="20"/>
                <w:szCs w:val="20"/>
                <w:vertAlign w:val="superscript"/>
              </w:rPr>
              <w:t>8</w:t>
            </w:r>
          </w:p>
        </w:tc>
        <w:tc>
          <w:tcPr>
            <w:tcW w:w="1454" w:type="dxa"/>
            <w:shd w:val="clear" w:color="auto" w:fill="FFFFFF"/>
            <w:tcMar>
              <w:top w:w="72" w:type="dxa"/>
              <w:left w:w="144" w:type="dxa"/>
              <w:bottom w:w="72" w:type="dxa"/>
              <w:right w:w="144" w:type="dxa"/>
            </w:tcMar>
          </w:tcPr>
          <w:p w14:paraId="2C016DAE"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PPMs for sinus node disease</w:t>
            </w:r>
          </w:p>
        </w:tc>
        <w:tc>
          <w:tcPr>
            <w:tcW w:w="1904" w:type="dxa"/>
            <w:shd w:val="clear" w:color="auto" w:fill="FFFFFF"/>
            <w:tcMar>
              <w:top w:w="72" w:type="dxa"/>
              <w:left w:w="144" w:type="dxa"/>
              <w:bottom w:w="72" w:type="dxa"/>
              <w:right w:w="144" w:type="dxa"/>
            </w:tcMar>
          </w:tcPr>
          <w:p w14:paraId="4DD988AC"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 xml:space="preserve">All </w:t>
            </w:r>
          </w:p>
        </w:tc>
        <w:tc>
          <w:tcPr>
            <w:tcW w:w="916" w:type="dxa"/>
            <w:shd w:val="clear" w:color="auto" w:fill="FFFFFF"/>
          </w:tcPr>
          <w:p w14:paraId="2D5D0DDF"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sz w:val="20"/>
                <w:szCs w:val="20"/>
              </w:rPr>
              <w:t>70 ± 12</w:t>
            </w:r>
          </w:p>
        </w:tc>
        <w:tc>
          <w:tcPr>
            <w:tcW w:w="847" w:type="dxa"/>
            <w:shd w:val="clear" w:color="auto" w:fill="FFFFFF"/>
          </w:tcPr>
          <w:p w14:paraId="65E9E041"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sz w:val="20"/>
                <w:szCs w:val="20"/>
              </w:rPr>
              <w:t>52%</w:t>
            </w:r>
          </w:p>
        </w:tc>
        <w:tc>
          <w:tcPr>
            <w:tcW w:w="847" w:type="dxa"/>
            <w:shd w:val="clear" w:color="auto" w:fill="FFFFFF"/>
          </w:tcPr>
          <w:p w14:paraId="584CF8F3"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sz w:val="20"/>
                <w:szCs w:val="20"/>
              </w:rPr>
              <w:t>N.A.</w:t>
            </w:r>
          </w:p>
        </w:tc>
        <w:tc>
          <w:tcPr>
            <w:tcW w:w="995" w:type="dxa"/>
            <w:shd w:val="clear" w:color="auto" w:fill="FFFFFF"/>
          </w:tcPr>
          <w:p w14:paraId="1BF76C3A" w14:textId="77777777" w:rsidR="00593BC2" w:rsidRPr="00D72149" w:rsidRDefault="00593BC2" w:rsidP="00375DCA">
            <w:pPr>
              <w:spacing w:line="240" w:lineRule="auto"/>
              <w:rPr>
                <w:rFonts w:ascii="Calibri" w:eastAsia="Calibri" w:hAnsi="Calibri" w:cs="Times New Roman"/>
                <w:sz w:val="20"/>
                <w:szCs w:val="20"/>
              </w:rPr>
            </w:pPr>
            <w:r>
              <w:rPr>
                <w:rFonts w:ascii="Calibri" w:eastAsia="Calibri" w:hAnsi="Calibri" w:cs="Times New Roman"/>
                <w:sz w:val="20"/>
                <w:szCs w:val="20"/>
              </w:rPr>
              <w:t>N</w:t>
            </w:r>
            <w:r w:rsidRPr="00D72149">
              <w:rPr>
                <w:rFonts w:ascii="Calibri" w:eastAsia="Calibri" w:hAnsi="Calibri" w:cs="Times New Roman"/>
                <w:sz w:val="20"/>
                <w:szCs w:val="20"/>
              </w:rPr>
              <w:t>.A.</w:t>
            </w:r>
          </w:p>
        </w:tc>
        <w:tc>
          <w:tcPr>
            <w:tcW w:w="1194" w:type="dxa"/>
            <w:shd w:val="clear" w:color="auto" w:fill="FFFFFF"/>
          </w:tcPr>
          <w:p w14:paraId="7DFFC0C3"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sz w:val="20"/>
                <w:szCs w:val="20"/>
              </w:rPr>
              <w:t>718 ± 383 days</w:t>
            </w:r>
          </w:p>
        </w:tc>
        <w:tc>
          <w:tcPr>
            <w:tcW w:w="1355" w:type="dxa"/>
            <w:shd w:val="clear" w:color="auto" w:fill="FFFFFF"/>
          </w:tcPr>
          <w:p w14:paraId="5792F4EC"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 xml:space="preserve">&gt;1 min </w:t>
            </w:r>
          </w:p>
        </w:tc>
        <w:tc>
          <w:tcPr>
            <w:tcW w:w="1624" w:type="dxa"/>
            <w:shd w:val="clear" w:color="auto" w:fill="FFFFFF"/>
            <w:tcMar>
              <w:top w:w="72" w:type="dxa"/>
              <w:left w:w="144" w:type="dxa"/>
              <w:bottom w:w="72" w:type="dxa"/>
              <w:right w:w="144" w:type="dxa"/>
            </w:tcMar>
          </w:tcPr>
          <w:p w14:paraId="3BCAD3C8"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157/231 (68%)</w:t>
            </w:r>
          </w:p>
        </w:tc>
      </w:tr>
      <w:tr w:rsidR="00593BC2" w:rsidRPr="00D72149" w14:paraId="33911C41" w14:textId="77777777" w:rsidTr="00375DCA">
        <w:trPr>
          <w:trHeight w:val="393"/>
        </w:trPr>
        <w:tc>
          <w:tcPr>
            <w:tcW w:w="850" w:type="dxa"/>
            <w:shd w:val="clear" w:color="auto" w:fill="FFFFFF"/>
            <w:tcMar>
              <w:top w:w="72" w:type="dxa"/>
              <w:left w:w="144" w:type="dxa"/>
              <w:bottom w:w="72" w:type="dxa"/>
              <w:right w:w="144" w:type="dxa"/>
            </w:tcMar>
          </w:tcPr>
          <w:p w14:paraId="714875A9"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2003</w:t>
            </w:r>
          </w:p>
        </w:tc>
        <w:tc>
          <w:tcPr>
            <w:tcW w:w="1262" w:type="dxa"/>
            <w:shd w:val="clear" w:color="auto" w:fill="FFFFFF"/>
            <w:tcMar>
              <w:top w:w="72" w:type="dxa"/>
              <w:left w:w="144" w:type="dxa"/>
              <w:bottom w:w="72" w:type="dxa"/>
              <w:right w:w="144" w:type="dxa"/>
            </w:tcMar>
          </w:tcPr>
          <w:p w14:paraId="03D6C876" w14:textId="77777777" w:rsidR="00593BC2" w:rsidRPr="00D72149" w:rsidRDefault="00593BC2" w:rsidP="00375DCA">
            <w:pPr>
              <w:spacing w:line="240" w:lineRule="auto"/>
              <w:rPr>
                <w:rFonts w:ascii="Calibri" w:eastAsia="Calibri" w:hAnsi="Calibri" w:cs="Times New Roman"/>
                <w:sz w:val="20"/>
                <w:szCs w:val="20"/>
                <w:vertAlign w:val="superscript"/>
              </w:rPr>
            </w:pPr>
            <w:r>
              <w:rPr>
                <w:rFonts w:ascii="Calibri" w:eastAsia="Calibri" w:hAnsi="Calibri" w:cs="Times New Roman"/>
                <w:color w:val="000000"/>
                <w:kern w:val="24"/>
                <w:sz w:val="20"/>
                <w:szCs w:val="20"/>
              </w:rPr>
              <w:t xml:space="preserve">Ancillary </w:t>
            </w:r>
            <w:r w:rsidRPr="00D72149">
              <w:rPr>
                <w:rFonts w:ascii="Calibri" w:eastAsia="Calibri" w:hAnsi="Calibri" w:cs="Times New Roman"/>
                <w:color w:val="000000"/>
                <w:kern w:val="24"/>
                <w:sz w:val="20"/>
                <w:szCs w:val="20"/>
              </w:rPr>
              <w:t>MOST</w:t>
            </w:r>
            <w:r w:rsidRPr="00D72149">
              <w:rPr>
                <w:rFonts w:ascii="Calibri" w:eastAsia="Calibri" w:hAnsi="Calibri" w:cs="Times New Roman"/>
                <w:color w:val="000000"/>
                <w:kern w:val="24"/>
                <w:sz w:val="20"/>
                <w:szCs w:val="20"/>
                <w:vertAlign w:val="superscript"/>
              </w:rPr>
              <w:t xml:space="preserve"> </w:t>
            </w:r>
            <w:r>
              <w:rPr>
                <w:rFonts w:ascii="Calibri" w:eastAsia="Calibri" w:hAnsi="Calibri" w:cs="Times New Roman"/>
                <w:noProof/>
                <w:color w:val="000000"/>
                <w:kern w:val="24"/>
                <w:sz w:val="20"/>
                <w:szCs w:val="20"/>
                <w:vertAlign w:val="superscript"/>
              </w:rPr>
              <w:t>10</w:t>
            </w:r>
          </w:p>
        </w:tc>
        <w:tc>
          <w:tcPr>
            <w:tcW w:w="1454" w:type="dxa"/>
            <w:shd w:val="clear" w:color="auto" w:fill="FFFFFF"/>
            <w:tcMar>
              <w:top w:w="72" w:type="dxa"/>
              <w:left w:w="144" w:type="dxa"/>
              <w:bottom w:w="72" w:type="dxa"/>
              <w:right w:w="144" w:type="dxa"/>
            </w:tcMar>
          </w:tcPr>
          <w:p w14:paraId="61D51847"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PPMs for sinus node disease</w:t>
            </w:r>
          </w:p>
        </w:tc>
        <w:tc>
          <w:tcPr>
            <w:tcW w:w="1904" w:type="dxa"/>
            <w:shd w:val="clear" w:color="auto" w:fill="FFFFFF"/>
            <w:tcMar>
              <w:top w:w="72" w:type="dxa"/>
              <w:left w:w="144" w:type="dxa"/>
              <w:bottom w:w="72" w:type="dxa"/>
              <w:right w:w="144" w:type="dxa"/>
            </w:tcMar>
          </w:tcPr>
          <w:p w14:paraId="47114B96"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 xml:space="preserve">All </w:t>
            </w:r>
          </w:p>
        </w:tc>
        <w:tc>
          <w:tcPr>
            <w:tcW w:w="916" w:type="dxa"/>
            <w:shd w:val="clear" w:color="auto" w:fill="FFFFFF"/>
          </w:tcPr>
          <w:p w14:paraId="7D8D93A1" w14:textId="77777777" w:rsidR="00593BC2" w:rsidRPr="00D72149" w:rsidRDefault="00593BC2" w:rsidP="00375DCA">
            <w:pPr>
              <w:spacing w:line="240" w:lineRule="auto"/>
              <w:rPr>
                <w:rFonts w:ascii="AdvOT35fdff1a" w:eastAsia="Calibri" w:hAnsi="AdvOT35fdff1a" w:cs="AdvOT35fdff1a"/>
                <w:sz w:val="16"/>
                <w:szCs w:val="16"/>
                <w:lang w:eastAsia="it-IT"/>
              </w:rPr>
            </w:pPr>
            <w:r w:rsidRPr="00D72149">
              <w:rPr>
                <w:rFonts w:ascii="AdvOT35fdff1a" w:eastAsia="Calibri" w:hAnsi="AdvOT35fdff1a" w:cs="AdvOT35fdff1a"/>
                <w:sz w:val="16"/>
                <w:szCs w:val="16"/>
                <w:lang w:eastAsia="it-IT"/>
              </w:rPr>
              <w:t>Median 73</w:t>
            </w:r>
            <w:r>
              <w:rPr>
                <w:rFonts w:ascii="AdvOT35fdff1a" w:eastAsia="Calibri" w:hAnsi="AdvOT35fdff1a" w:cs="AdvOT35fdff1a"/>
                <w:sz w:val="16"/>
                <w:szCs w:val="16"/>
                <w:lang w:eastAsia="it-IT"/>
              </w:rPr>
              <w:t xml:space="preserve"> (68,81) </w:t>
            </w:r>
            <w:r w:rsidRPr="00D72149">
              <w:rPr>
                <w:rFonts w:ascii="AdvOT35fdff1a" w:eastAsia="Calibri" w:hAnsi="AdvOT35fdff1a" w:cs="AdvOT35fdff1a"/>
                <w:sz w:val="16"/>
                <w:szCs w:val="16"/>
                <w:lang w:eastAsia="it-IT"/>
              </w:rPr>
              <w:t xml:space="preserve"> for no AHRE</w:t>
            </w:r>
          </w:p>
          <w:p w14:paraId="3B657509" w14:textId="77777777" w:rsidR="00593BC2" w:rsidRPr="00D72149" w:rsidRDefault="00593BC2" w:rsidP="00375DCA">
            <w:pPr>
              <w:spacing w:line="240" w:lineRule="auto"/>
              <w:rPr>
                <w:rFonts w:ascii="Calibri" w:eastAsia="Calibri" w:hAnsi="Calibri" w:cs="Times New Roman"/>
                <w:kern w:val="24"/>
                <w:sz w:val="20"/>
                <w:szCs w:val="20"/>
              </w:rPr>
            </w:pPr>
            <w:r w:rsidRPr="00D72149">
              <w:rPr>
                <w:rFonts w:ascii="AdvOT35fdff1a" w:eastAsia="Calibri" w:hAnsi="AdvOT35fdff1a" w:cs="AdvOT35fdff1a"/>
                <w:sz w:val="16"/>
                <w:szCs w:val="16"/>
                <w:lang w:eastAsia="it-IT"/>
              </w:rPr>
              <w:t xml:space="preserve">Median 75 </w:t>
            </w:r>
            <w:r>
              <w:rPr>
                <w:rFonts w:ascii="AdvOT35fdff1a" w:eastAsia="Calibri" w:hAnsi="AdvOT35fdff1a" w:cs="AdvOT35fdff1a"/>
                <w:sz w:val="16"/>
                <w:szCs w:val="16"/>
                <w:lang w:eastAsia="it-IT"/>
              </w:rPr>
              <w:t xml:space="preserve">(68,79) </w:t>
            </w:r>
            <w:r w:rsidRPr="00D72149">
              <w:rPr>
                <w:rFonts w:ascii="AdvOT35fdff1a" w:eastAsia="Calibri" w:hAnsi="AdvOT35fdff1a" w:cs="AdvOT35fdff1a"/>
                <w:sz w:val="16"/>
                <w:szCs w:val="16"/>
                <w:lang w:eastAsia="it-IT"/>
              </w:rPr>
              <w:t>for AHRE detected</w:t>
            </w:r>
          </w:p>
        </w:tc>
        <w:tc>
          <w:tcPr>
            <w:tcW w:w="847" w:type="dxa"/>
            <w:shd w:val="clear" w:color="auto" w:fill="FFFFFF"/>
          </w:tcPr>
          <w:p w14:paraId="3E47A353" w14:textId="77777777" w:rsidR="00593BC2" w:rsidRPr="00D72149" w:rsidRDefault="00593BC2" w:rsidP="00375DCA">
            <w:pPr>
              <w:spacing w:line="240" w:lineRule="auto"/>
              <w:rPr>
                <w:rFonts w:ascii="Calibri" w:eastAsia="Calibri" w:hAnsi="Calibri" w:cs="Times New Roman"/>
                <w:kern w:val="24"/>
                <w:sz w:val="20"/>
                <w:szCs w:val="20"/>
              </w:rPr>
            </w:pPr>
            <w:r w:rsidRPr="00D72149">
              <w:rPr>
                <w:rFonts w:ascii="Calibri" w:eastAsia="Calibri" w:hAnsi="Calibri" w:cs="Times New Roman"/>
                <w:kern w:val="24"/>
                <w:sz w:val="20"/>
                <w:szCs w:val="20"/>
              </w:rPr>
              <w:t>45%</w:t>
            </w:r>
          </w:p>
        </w:tc>
        <w:tc>
          <w:tcPr>
            <w:tcW w:w="847" w:type="dxa"/>
            <w:shd w:val="clear" w:color="auto" w:fill="FFFFFF"/>
          </w:tcPr>
          <w:p w14:paraId="5D5184D0" w14:textId="77777777" w:rsidR="00593BC2" w:rsidRPr="00D72149" w:rsidRDefault="00593BC2" w:rsidP="00375DCA">
            <w:pPr>
              <w:spacing w:line="240" w:lineRule="auto"/>
              <w:rPr>
                <w:rFonts w:ascii="Calibri" w:eastAsia="Calibri" w:hAnsi="Calibri" w:cs="Times New Roman"/>
                <w:kern w:val="24"/>
                <w:sz w:val="20"/>
                <w:szCs w:val="20"/>
              </w:rPr>
            </w:pPr>
            <w:r w:rsidRPr="00D72149">
              <w:rPr>
                <w:rFonts w:ascii="Calibri" w:eastAsia="Calibri" w:hAnsi="Calibri" w:cs="Times New Roman"/>
                <w:kern w:val="24"/>
                <w:sz w:val="20"/>
                <w:szCs w:val="20"/>
              </w:rPr>
              <w:t>N.A.</w:t>
            </w:r>
          </w:p>
        </w:tc>
        <w:tc>
          <w:tcPr>
            <w:tcW w:w="995" w:type="dxa"/>
            <w:shd w:val="clear" w:color="auto" w:fill="FFFFFF"/>
          </w:tcPr>
          <w:p w14:paraId="1B60FB5A" w14:textId="77777777" w:rsidR="00593BC2" w:rsidRPr="00D72149" w:rsidRDefault="00593BC2" w:rsidP="00375DCA">
            <w:pPr>
              <w:spacing w:line="240" w:lineRule="auto"/>
              <w:rPr>
                <w:rFonts w:ascii="Calibri" w:eastAsia="Calibri" w:hAnsi="Calibri" w:cs="Times New Roman"/>
                <w:kern w:val="24"/>
                <w:sz w:val="20"/>
                <w:szCs w:val="20"/>
              </w:rPr>
            </w:pPr>
            <w:r w:rsidRPr="00D72149">
              <w:rPr>
                <w:rFonts w:ascii="Calibri" w:eastAsia="Calibri" w:hAnsi="Calibri" w:cs="Times New Roman"/>
                <w:kern w:val="24"/>
                <w:sz w:val="20"/>
                <w:szCs w:val="20"/>
              </w:rPr>
              <w:t>N.A.</w:t>
            </w:r>
          </w:p>
        </w:tc>
        <w:tc>
          <w:tcPr>
            <w:tcW w:w="1194" w:type="dxa"/>
            <w:shd w:val="clear" w:color="auto" w:fill="FFFFFF"/>
          </w:tcPr>
          <w:p w14:paraId="729772B9"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kern w:val="24"/>
                <w:sz w:val="20"/>
                <w:szCs w:val="20"/>
              </w:rPr>
              <w:t>Median 27 months</w:t>
            </w:r>
          </w:p>
        </w:tc>
        <w:tc>
          <w:tcPr>
            <w:tcW w:w="1355" w:type="dxa"/>
            <w:shd w:val="clear" w:color="auto" w:fill="FFFFFF"/>
          </w:tcPr>
          <w:p w14:paraId="37192AE7"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 xml:space="preserve"> &gt;5 min </w:t>
            </w:r>
          </w:p>
        </w:tc>
        <w:tc>
          <w:tcPr>
            <w:tcW w:w="1624" w:type="dxa"/>
            <w:shd w:val="clear" w:color="auto" w:fill="FFFFFF"/>
            <w:tcMar>
              <w:top w:w="72" w:type="dxa"/>
              <w:left w:w="144" w:type="dxa"/>
              <w:bottom w:w="72" w:type="dxa"/>
              <w:right w:w="144" w:type="dxa"/>
            </w:tcMar>
          </w:tcPr>
          <w:p w14:paraId="5B8FB7F5"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156/312 (50%)</w:t>
            </w:r>
          </w:p>
        </w:tc>
      </w:tr>
      <w:tr w:rsidR="00593BC2" w:rsidRPr="00D72149" w14:paraId="4D8FDAEF" w14:textId="77777777" w:rsidTr="00375DCA">
        <w:trPr>
          <w:trHeight w:val="393"/>
        </w:trPr>
        <w:tc>
          <w:tcPr>
            <w:tcW w:w="850" w:type="dxa"/>
            <w:shd w:val="clear" w:color="auto" w:fill="FFFFFF"/>
            <w:tcMar>
              <w:top w:w="72" w:type="dxa"/>
              <w:left w:w="144" w:type="dxa"/>
              <w:bottom w:w="72" w:type="dxa"/>
              <w:right w:w="144" w:type="dxa"/>
            </w:tcMar>
          </w:tcPr>
          <w:p w14:paraId="60F5B2D1"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2010</w:t>
            </w:r>
          </w:p>
        </w:tc>
        <w:tc>
          <w:tcPr>
            <w:tcW w:w="1262" w:type="dxa"/>
            <w:shd w:val="clear" w:color="auto" w:fill="FFFFFF"/>
            <w:tcMar>
              <w:top w:w="72" w:type="dxa"/>
              <w:left w:w="144" w:type="dxa"/>
              <w:bottom w:w="72" w:type="dxa"/>
              <w:right w:w="144" w:type="dxa"/>
            </w:tcMar>
          </w:tcPr>
          <w:p w14:paraId="4CD9E786" w14:textId="77777777" w:rsidR="00593BC2" w:rsidRPr="00D72149" w:rsidRDefault="00593BC2" w:rsidP="00375DCA">
            <w:pPr>
              <w:spacing w:line="240" w:lineRule="auto"/>
              <w:rPr>
                <w:rFonts w:ascii="Calibri" w:eastAsia="Calibri" w:hAnsi="Calibri" w:cs="Times New Roman"/>
                <w:sz w:val="20"/>
                <w:szCs w:val="20"/>
                <w:vertAlign w:val="superscript"/>
              </w:rPr>
            </w:pPr>
            <w:r w:rsidRPr="00D72149">
              <w:rPr>
                <w:rFonts w:ascii="Calibri" w:eastAsia="Calibri" w:hAnsi="Calibri" w:cs="Times New Roman"/>
                <w:color w:val="000000"/>
                <w:kern w:val="24"/>
                <w:sz w:val="20"/>
                <w:szCs w:val="20"/>
              </w:rPr>
              <w:t>TRENDS</w:t>
            </w:r>
            <w:r w:rsidRPr="00870A77">
              <w:rPr>
                <w:rFonts w:ascii="Calibri" w:eastAsia="Calibri" w:hAnsi="Calibri" w:cs="Times New Roman"/>
                <w:noProof/>
                <w:color w:val="000000"/>
                <w:kern w:val="24"/>
                <w:sz w:val="20"/>
                <w:szCs w:val="20"/>
                <w:vertAlign w:val="superscript"/>
              </w:rPr>
              <w:t>15</w:t>
            </w:r>
          </w:p>
        </w:tc>
        <w:tc>
          <w:tcPr>
            <w:tcW w:w="1454" w:type="dxa"/>
            <w:shd w:val="clear" w:color="auto" w:fill="FFFFFF"/>
            <w:tcMar>
              <w:top w:w="72" w:type="dxa"/>
              <w:left w:w="144" w:type="dxa"/>
              <w:bottom w:w="72" w:type="dxa"/>
              <w:right w:w="144" w:type="dxa"/>
            </w:tcMar>
          </w:tcPr>
          <w:p w14:paraId="5E93D339"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PPMs and ICDs</w:t>
            </w:r>
          </w:p>
          <w:p w14:paraId="681B1FD9"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All indications</w:t>
            </w:r>
          </w:p>
        </w:tc>
        <w:tc>
          <w:tcPr>
            <w:tcW w:w="1904" w:type="dxa"/>
            <w:shd w:val="clear" w:color="auto" w:fill="FFFFFF"/>
            <w:tcMar>
              <w:top w:w="72" w:type="dxa"/>
              <w:left w:w="144" w:type="dxa"/>
              <w:bottom w:w="72" w:type="dxa"/>
              <w:right w:w="144" w:type="dxa"/>
            </w:tcMar>
          </w:tcPr>
          <w:p w14:paraId="73A1C87B"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History of prior stroke</w:t>
            </w:r>
          </w:p>
          <w:p w14:paraId="2095122B"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No history of AF</w:t>
            </w:r>
          </w:p>
          <w:p w14:paraId="11E6BC4A"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No OAC use</w:t>
            </w:r>
          </w:p>
          <w:p w14:paraId="5BD20CFE"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≥1 stroke risk factor</w:t>
            </w:r>
          </w:p>
        </w:tc>
        <w:tc>
          <w:tcPr>
            <w:tcW w:w="916" w:type="dxa"/>
            <w:shd w:val="clear" w:color="auto" w:fill="FFFFFF"/>
          </w:tcPr>
          <w:p w14:paraId="24494943" w14:textId="77777777" w:rsidR="00593BC2" w:rsidRPr="00D72149" w:rsidRDefault="00593BC2" w:rsidP="00375DCA">
            <w:pPr>
              <w:spacing w:line="240" w:lineRule="auto"/>
              <w:rPr>
                <w:rFonts w:ascii="AdvOT35fdff1a" w:eastAsia="Calibri" w:hAnsi="AdvOT35fdff1a" w:cs="AdvOT35fdff1a"/>
                <w:sz w:val="16"/>
                <w:szCs w:val="16"/>
                <w:lang w:eastAsia="it-IT"/>
              </w:rPr>
            </w:pPr>
            <w:r w:rsidRPr="00D72149">
              <w:rPr>
                <w:rFonts w:ascii="HelveticaNeue-Condensed" w:eastAsia="Calibri" w:hAnsi="HelveticaNeue-Condensed" w:cs="HelveticaNeue-Condensed"/>
                <w:sz w:val="16"/>
                <w:szCs w:val="16"/>
                <w:lang w:eastAsia="it-IT"/>
              </w:rPr>
              <w:t>72.8</w:t>
            </w:r>
            <w:r w:rsidRPr="00D72149">
              <w:rPr>
                <w:rFonts w:ascii="Universal-GreekwithMathPi" w:eastAsia="Calibri" w:hAnsi="Universal-GreekwithMathPi" w:cs="Universal-GreekwithMathPi"/>
                <w:sz w:val="16"/>
                <w:szCs w:val="16"/>
                <w:lang w:eastAsia="it-IT"/>
              </w:rPr>
              <w:t>±</w:t>
            </w:r>
            <w:r w:rsidRPr="00D72149">
              <w:rPr>
                <w:rFonts w:ascii="HelveticaNeue-Condensed" w:eastAsia="Calibri" w:hAnsi="HelveticaNeue-Condensed" w:cs="HelveticaNeue-Condensed"/>
                <w:sz w:val="16"/>
                <w:szCs w:val="16"/>
                <w:lang w:eastAsia="it-IT"/>
              </w:rPr>
              <w:t xml:space="preserve">9.9 </w:t>
            </w:r>
            <w:r w:rsidRPr="00D72149">
              <w:rPr>
                <w:rFonts w:ascii="AdvOT35fdff1a" w:eastAsia="Calibri" w:hAnsi="AdvOT35fdff1a" w:cs="AdvOT35fdff1a"/>
                <w:sz w:val="16"/>
                <w:szCs w:val="16"/>
                <w:lang w:eastAsia="it-IT"/>
              </w:rPr>
              <w:t xml:space="preserve"> for no AHRE</w:t>
            </w:r>
          </w:p>
          <w:p w14:paraId="2A8C52C7"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HelveticaNeue-Condensed" w:eastAsia="Calibri" w:hAnsi="HelveticaNeue-Condensed" w:cs="HelveticaNeue-Condensed"/>
                <w:sz w:val="16"/>
                <w:szCs w:val="16"/>
                <w:lang w:eastAsia="it-IT"/>
              </w:rPr>
              <w:t>74.0</w:t>
            </w:r>
            <w:r w:rsidRPr="00D72149">
              <w:rPr>
                <w:rFonts w:ascii="Universal-GreekwithMathPi" w:eastAsia="Calibri" w:hAnsi="Universal-GreekwithMathPi" w:cs="Universal-GreekwithMathPi"/>
                <w:sz w:val="16"/>
                <w:szCs w:val="16"/>
                <w:lang w:eastAsia="it-IT"/>
              </w:rPr>
              <w:t>±</w:t>
            </w:r>
            <w:r w:rsidRPr="00D72149">
              <w:rPr>
                <w:rFonts w:ascii="HelveticaNeue-Condensed" w:eastAsia="Calibri" w:hAnsi="HelveticaNeue-Condensed" w:cs="HelveticaNeue-Condensed"/>
                <w:sz w:val="16"/>
                <w:szCs w:val="16"/>
                <w:lang w:eastAsia="it-IT"/>
              </w:rPr>
              <w:t xml:space="preserve">9.1 </w:t>
            </w:r>
            <w:r w:rsidRPr="00D72149">
              <w:rPr>
                <w:rFonts w:ascii="AdvOT35fdff1a" w:eastAsia="Calibri" w:hAnsi="AdvOT35fdff1a" w:cs="AdvOT35fdff1a"/>
                <w:sz w:val="16"/>
                <w:szCs w:val="16"/>
                <w:lang w:eastAsia="it-IT"/>
              </w:rPr>
              <w:t xml:space="preserve"> for AHRE detected</w:t>
            </w:r>
          </w:p>
        </w:tc>
        <w:tc>
          <w:tcPr>
            <w:tcW w:w="847" w:type="dxa"/>
            <w:shd w:val="clear" w:color="auto" w:fill="FFFFFF"/>
          </w:tcPr>
          <w:p w14:paraId="6450620D" w14:textId="77777777" w:rsidR="00593BC2" w:rsidRPr="00D72149" w:rsidRDefault="00593BC2" w:rsidP="00375DCA">
            <w:pPr>
              <w:spacing w:line="240" w:lineRule="auto"/>
              <w:rPr>
                <w:rFonts w:ascii="AdvOT35fdff1a" w:eastAsia="Calibri" w:hAnsi="AdvOT35fdff1a" w:cs="AdvOT35fdff1a"/>
                <w:sz w:val="16"/>
                <w:szCs w:val="16"/>
                <w:lang w:eastAsia="it-IT"/>
              </w:rPr>
            </w:pPr>
            <w:r w:rsidRPr="00D72149">
              <w:rPr>
                <w:rFonts w:ascii="HelveticaNeue-Condensed" w:eastAsia="Calibri" w:hAnsi="HelveticaNeue-Condensed" w:cs="HelveticaNeue-Condensed"/>
                <w:sz w:val="16"/>
                <w:szCs w:val="16"/>
                <w:lang w:eastAsia="it-IT"/>
              </w:rPr>
              <w:t xml:space="preserve">63% </w:t>
            </w:r>
            <w:r w:rsidRPr="00D72149">
              <w:rPr>
                <w:rFonts w:ascii="AdvOT35fdff1a" w:eastAsia="Calibri" w:hAnsi="AdvOT35fdff1a" w:cs="AdvOT35fdff1a"/>
                <w:sz w:val="16"/>
                <w:szCs w:val="16"/>
                <w:lang w:eastAsia="it-IT"/>
              </w:rPr>
              <w:t xml:space="preserve"> for no AHRE</w:t>
            </w:r>
          </w:p>
          <w:p w14:paraId="7ACE6AAE"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HelveticaNeue-Condensed" w:eastAsia="Calibri" w:hAnsi="HelveticaNeue-Condensed" w:cs="HelveticaNeue-Condensed"/>
                <w:sz w:val="16"/>
                <w:szCs w:val="16"/>
                <w:lang w:eastAsia="it-IT"/>
              </w:rPr>
              <w:t xml:space="preserve">71% </w:t>
            </w:r>
            <w:r w:rsidRPr="00D72149">
              <w:rPr>
                <w:rFonts w:ascii="AdvOT35fdff1a" w:eastAsia="Calibri" w:hAnsi="AdvOT35fdff1a" w:cs="AdvOT35fdff1a"/>
                <w:sz w:val="16"/>
                <w:szCs w:val="16"/>
                <w:lang w:eastAsia="it-IT"/>
              </w:rPr>
              <w:t xml:space="preserve"> for AHRE detected</w:t>
            </w:r>
          </w:p>
        </w:tc>
        <w:tc>
          <w:tcPr>
            <w:tcW w:w="847" w:type="dxa"/>
            <w:shd w:val="clear" w:color="auto" w:fill="FFFFFF"/>
          </w:tcPr>
          <w:p w14:paraId="5BDF8CDF"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HelveticaNeue-Condensed" w:eastAsia="Calibri" w:hAnsi="HelveticaNeue-Condensed" w:cs="HelveticaNeue-Condensed"/>
                <w:sz w:val="16"/>
                <w:szCs w:val="16"/>
                <w:lang w:eastAsia="it-IT"/>
              </w:rPr>
              <w:t>N.A.</w:t>
            </w:r>
          </w:p>
        </w:tc>
        <w:tc>
          <w:tcPr>
            <w:tcW w:w="995" w:type="dxa"/>
            <w:shd w:val="clear" w:color="auto" w:fill="FFFFFF"/>
          </w:tcPr>
          <w:p w14:paraId="2A2C2400" w14:textId="77777777" w:rsidR="00593BC2" w:rsidRPr="00D72149" w:rsidRDefault="00593BC2" w:rsidP="00375DCA">
            <w:pPr>
              <w:spacing w:line="240" w:lineRule="auto"/>
              <w:rPr>
                <w:rFonts w:ascii="HelveticaNeue-Condensed" w:eastAsia="Calibri" w:hAnsi="HelveticaNeue-Condensed" w:cs="HelveticaNeue-Condensed"/>
                <w:sz w:val="16"/>
                <w:szCs w:val="16"/>
                <w:lang w:eastAsia="it-IT"/>
              </w:rPr>
            </w:pPr>
            <w:r w:rsidRPr="00D72149">
              <w:rPr>
                <w:rFonts w:ascii="HelveticaNeue-Condensed" w:eastAsia="Calibri" w:hAnsi="HelveticaNeue-Condensed" w:cs="HelveticaNeue-Condensed"/>
                <w:sz w:val="16"/>
                <w:szCs w:val="16"/>
                <w:lang w:eastAsia="it-IT"/>
              </w:rPr>
              <w:t>4.1</w:t>
            </w:r>
            <w:r w:rsidRPr="00D72149">
              <w:rPr>
                <w:rFonts w:ascii="Universal-GreekwithMathPi" w:eastAsia="Calibri" w:hAnsi="Universal-GreekwithMathPi" w:cs="Universal-GreekwithMathPi"/>
                <w:sz w:val="16"/>
                <w:szCs w:val="16"/>
                <w:lang w:eastAsia="it-IT"/>
              </w:rPr>
              <w:t>±</w:t>
            </w:r>
            <w:r w:rsidRPr="00D72149">
              <w:rPr>
                <w:rFonts w:ascii="HelveticaNeue-Condensed" w:eastAsia="Calibri" w:hAnsi="HelveticaNeue-Condensed" w:cs="HelveticaNeue-Condensed"/>
                <w:sz w:val="16"/>
                <w:szCs w:val="16"/>
                <w:lang w:eastAsia="it-IT"/>
              </w:rPr>
              <w:t xml:space="preserve">0.8 </w:t>
            </w:r>
            <w:r w:rsidRPr="00D72149">
              <w:rPr>
                <w:rFonts w:ascii="AdvOT35fdff1a" w:eastAsia="Calibri" w:hAnsi="AdvOT35fdff1a" w:cs="AdvOT35fdff1a"/>
                <w:sz w:val="16"/>
                <w:szCs w:val="16"/>
                <w:lang w:eastAsia="it-IT"/>
              </w:rPr>
              <w:t xml:space="preserve"> for no AHRE</w:t>
            </w:r>
          </w:p>
          <w:p w14:paraId="7A6DD76F"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HelveticaNeue-Condensed" w:eastAsia="Calibri" w:hAnsi="HelveticaNeue-Condensed" w:cs="HelveticaNeue-Condensed"/>
                <w:sz w:val="16"/>
                <w:szCs w:val="16"/>
                <w:lang w:eastAsia="it-IT"/>
              </w:rPr>
              <w:t>4.2</w:t>
            </w:r>
            <w:r w:rsidRPr="00D72149">
              <w:rPr>
                <w:rFonts w:ascii="Universal-GreekwithMathPi" w:eastAsia="Calibri" w:hAnsi="Universal-GreekwithMathPi" w:cs="Universal-GreekwithMathPi"/>
                <w:sz w:val="16"/>
                <w:szCs w:val="16"/>
                <w:lang w:eastAsia="it-IT"/>
              </w:rPr>
              <w:t>±</w:t>
            </w:r>
            <w:r w:rsidRPr="00D72149">
              <w:rPr>
                <w:rFonts w:ascii="HelveticaNeue-Condensed" w:eastAsia="Calibri" w:hAnsi="HelveticaNeue-Condensed" w:cs="HelveticaNeue-Condensed"/>
                <w:sz w:val="16"/>
                <w:szCs w:val="16"/>
                <w:lang w:eastAsia="it-IT"/>
              </w:rPr>
              <w:t xml:space="preserve">0.8 </w:t>
            </w:r>
            <w:r w:rsidRPr="00D72149">
              <w:rPr>
                <w:rFonts w:ascii="AdvOT35fdff1a" w:eastAsia="Calibri" w:hAnsi="AdvOT35fdff1a" w:cs="AdvOT35fdff1a"/>
                <w:sz w:val="16"/>
                <w:szCs w:val="16"/>
                <w:lang w:eastAsia="it-IT"/>
              </w:rPr>
              <w:t xml:space="preserve"> for AHRE detected</w:t>
            </w:r>
          </w:p>
        </w:tc>
        <w:tc>
          <w:tcPr>
            <w:tcW w:w="1194" w:type="dxa"/>
            <w:shd w:val="clear" w:color="auto" w:fill="FFFFFF"/>
          </w:tcPr>
          <w:p w14:paraId="62EEA972"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Mean 1.4 years</w:t>
            </w:r>
          </w:p>
        </w:tc>
        <w:tc>
          <w:tcPr>
            <w:tcW w:w="1355" w:type="dxa"/>
            <w:shd w:val="clear" w:color="auto" w:fill="FFFFFF"/>
          </w:tcPr>
          <w:p w14:paraId="78E75872"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&gt;5 min</w:t>
            </w:r>
          </w:p>
        </w:tc>
        <w:tc>
          <w:tcPr>
            <w:tcW w:w="1624" w:type="dxa"/>
            <w:shd w:val="clear" w:color="auto" w:fill="FFFFFF"/>
            <w:tcMar>
              <w:top w:w="72" w:type="dxa"/>
              <w:left w:w="144" w:type="dxa"/>
              <w:bottom w:w="72" w:type="dxa"/>
              <w:right w:w="144" w:type="dxa"/>
            </w:tcMar>
          </w:tcPr>
          <w:p w14:paraId="5E390C0B"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45/163 (28%)</w:t>
            </w:r>
          </w:p>
        </w:tc>
      </w:tr>
      <w:tr w:rsidR="00593BC2" w:rsidRPr="00D72149" w14:paraId="1AC37B7C" w14:textId="77777777" w:rsidTr="00375DCA">
        <w:trPr>
          <w:trHeight w:val="393"/>
        </w:trPr>
        <w:tc>
          <w:tcPr>
            <w:tcW w:w="850" w:type="dxa"/>
            <w:shd w:val="clear" w:color="auto" w:fill="FFFFFF"/>
            <w:tcMar>
              <w:top w:w="72" w:type="dxa"/>
              <w:left w:w="144" w:type="dxa"/>
              <w:bottom w:w="72" w:type="dxa"/>
              <w:right w:w="144" w:type="dxa"/>
            </w:tcMar>
          </w:tcPr>
          <w:p w14:paraId="22CEF3F8"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2012</w:t>
            </w:r>
          </w:p>
        </w:tc>
        <w:tc>
          <w:tcPr>
            <w:tcW w:w="1262" w:type="dxa"/>
            <w:shd w:val="clear" w:color="auto" w:fill="FFFFFF"/>
            <w:tcMar>
              <w:top w:w="72" w:type="dxa"/>
              <w:left w:w="144" w:type="dxa"/>
              <w:bottom w:w="72" w:type="dxa"/>
              <w:right w:w="144" w:type="dxa"/>
            </w:tcMar>
          </w:tcPr>
          <w:p w14:paraId="78722F35" w14:textId="77777777" w:rsidR="00593BC2" w:rsidRPr="00D72149" w:rsidRDefault="00593BC2" w:rsidP="00375DCA">
            <w:pPr>
              <w:spacing w:line="240" w:lineRule="auto"/>
              <w:rPr>
                <w:rFonts w:ascii="Calibri" w:eastAsia="Calibri" w:hAnsi="Calibri" w:cs="Times New Roman"/>
                <w:sz w:val="20"/>
                <w:szCs w:val="20"/>
                <w:vertAlign w:val="superscript"/>
              </w:rPr>
            </w:pPr>
            <w:r w:rsidRPr="00D72149">
              <w:rPr>
                <w:rFonts w:ascii="Calibri" w:eastAsia="Calibri" w:hAnsi="Calibri" w:cs="Times New Roman"/>
                <w:color w:val="000000"/>
                <w:kern w:val="24"/>
                <w:sz w:val="20"/>
                <w:szCs w:val="20"/>
              </w:rPr>
              <w:t>TRENDS</w:t>
            </w:r>
            <w:r w:rsidRPr="00870A77">
              <w:rPr>
                <w:rFonts w:ascii="Calibri" w:eastAsia="Calibri" w:hAnsi="Calibri" w:cs="Times New Roman"/>
                <w:noProof/>
                <w:color w:val="000000"/>
                <w:kern w:val="24"/>
                <w:sz w:val="20"/>
                <w:szCs w:val="20"/>
                <w:vertAlign w:val="superscript"/>
              </w:rPr>
              <w:t>14</w:t>
            </w:r>
          </w:p>
        </w:tc>
        <w:tc>
          <w:tcPr>
            <w:tcW w:w="1454" w:type="dxa"/>
            <w:shd w:val="clear" w:color="auto" w:fill="FFFFFF"/>
            <w:tcMar>
              <w:top w:w="72" w:type="dxa"/>
              <w:left w:w="144" w:type="dxa"/>
              <w:bottom w:w="72" w:type="dxa"/>
              <w:right w:w="144" w:type="dxa"/>
            </w:tcMar>
          </w:tcPr>
          <w:p w14:paraId="4F89F459"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PPMs and ICDs</w:t>
            </w:r>
          </w:p>
          <w:p w14:paraId="7A6FC9FA"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All indications</w:t>
            </w:r>
          </w:p>
        </w:tc>
        <w:tc>
          <w:tcPr>
            <w:tcW w:w="1904" w:type="dxa"/>
            <w:shd w:val="clear" w:color="auto" w:fill="FFFFFF"/>
            <w:tcMar>
              <w:top w:w="72" w:type="dxa"/>
              <w:left w:w="144" w:type="dxa"/>
              <w:bottom w:w="72" w:type="dxa"/>
              <w:right w:w="144" w:type="dxa"/>
            </w:tcMar>
          </w:tcPr>
          <w:p w14:paraId="2DA47F3F"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No history of prior stroke</w:t>
            </w:r>
          </w:p>
          <w:p w14:paraId="1AB25E71"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No history of AF</w:t>
            </w:r>
          </w:p>
          <w:p w14:paraId="47DDE4A0"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No OAC use</w:t>
            </w:r>
          </w:p>
          <w:p w14:paraId="2698A438"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≥1 stroke risk factor</w:t>
            </w:r>
          </w:p>
        </w:tc>
        <w:tc>
          <w:tcPr>
            <w:tcW w:w="916" w:type="dxa"/>
            <w:shd w:val="clear" w:color="auto" w:fill="FFFFFF"/>
          </w:tcPr>
          <w:p w14:paraId="48E0C6DE"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Times-Roman" w:eastAsia="Calibri" w:hAnsi="Times-Roman" w:cs="Times-Roman"/>
                <w:sz w:val="16"/>
                <w:szCs w:val="16"/>
                <w:lang w:val="it-IT" w:eastAsia="it-IT"/>
              </w:rPr>
              <w:t>70.2</w:t>
            </w:r>
            <w:r w:rsidRPr="00D72149">
              <w:rPr>
                <w:rFonts w:ascii="Universal-GreekwithMathPi" w:eastAsia="Calibri" w:hAnsi="Universal-GreekwithMathPi" w:cs="Universal-GreekwithMathPi"/>
                <w:sz w:val="16"/>
                <w:szCs w:val="16"/>
                <w:lang w:eastAsia="it-IT"/>
              </w:rPr>
              <w:t>±</w:t>
            </w:r>
            <w:r w:rsidRPr="00D72149">
              <w:rPr>
                <w:rFonts w:ascii="Times-Roman" w:eastAsia="Calibri" w:hAnsi="Times-Roman" w:cs="Times-Roman"/>
                <w:sz w:val="16"/>
                <w:szCs w:val="16"/>
                <w:lang w:val="it-IT" w:eastAsia="it-IT"/>
              </w:rPr>
              <w:t xml:space="preserve"> 11.8</w:t>
            </w:r>
          </w:p>
        </w:tc>
        <w:tc>
          <w:tcPr>
            <w:tcW w:w="847" w:type="dxa"/>
            <w:shd w:val="clear" w:color="auto" w:fill="FFFFFF"/>
          </w:tcPr>
          <w:p w14:paraId="723A1A46"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66%</w:t>
            </w:r>
          </w:p>
        </w:tc>
        <w:tc>
          <w:tcPr>
            <w:tcW w:w="847" w:type="dxa"/>
            <w:shd w:val="clear" w:color="auto" w:fill="FFFFFF"/>
          </w:tcPr>
          <w:p w14:paraId="3A0ED149"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 xml:space="preserve">N.A. </w:t>
            </w:r>
          </w:p>
        </w:tc>
        <w:tc>
          <w:tcPr>
            <w:tcW w:w="995" w:type="dxa"/>
            <w:shd w:val="clear" w:color="auto" w:fill="FFFFFF"/>
          </w:tcPr>
          <w:p w14:paraId="657FC00C"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Calibri"/>
                <w:color w:val="000000"/>
                <w:sz w:val="20"/>
                <w:szCs w:val="20"/>
              </w:rPr>
              <w:t>≥</w:t>
            </w:r>
            <w:r w:rsidRPr="00D72149">
              <w:rPr>
                <w:rFonts w:ascii="Calibri" w:eastAsia="Calibri" w:hAnsi="Calibri" w:cs="Times New Roman"/>
                <w:color w:val="000000"/>
                <w:sz w:val="20"/>
                <w:szCs w:val="20"/>
              </w:rPr>
              <w:t>2 in 70%</w:t>
            </w:r>
          </w:p>
        </w:tc>
        <w:tc>
          <w:tcPr>
            <w:tcW w:w="1194" w:type="dxa"/>
            <w:shd w:val="clear" w:color="auto" w:fill="FFFFFF"/>
          </w:tcPr>
          <w:p w14:paraId="70F78717"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 xml:space="preserve">  </w:t>
            </w:r>
            <w:r w:rsidRPr="00D72149">
              <w:rPr>
                <w:rFonts w:ascii="Calibri" w:eastAsia="Calibri" w:hAnsi="Calibri" w:cs="Times New Roman"/>
                <w:sz w:val="20"/>
                <w:szCs w:val="20"/>
              </w:rPr>
              <w:t xml:space="preserve"> 1.1 ± 0.7 years</w:t>
            </w:r>
          </w:p>
        </w:tc>
        <w:tc>
          <w:tcPr>
            <w:tcW w:w="1355" w:type="dxa"/>
            <w:shd w:val="clear" w:color="auto" w:fill="FFFFFF"/>
          </w:tcPr>
          <w:p w14:paraId="63066B6C"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&gt;5 min</w:t>
            </w:r>
          </w:p>
        </w:tc>
        <w:tc>
          <w:tcPr>
            <w:tcW w:w="1624" w:type="dxa"/>
            <w:shd w:val="clear" w:color="auto" w:fill="FFFFFF"/>
            <w:tcMar>
              <w:top w:w="72" w:type="dxa"/>
              <w:left w:w="144" w:type="dxa"/>
              <w:bottom w:w="72" w:type="dxa"/>
              <w:right w:w="144" w:type="dxa"/>
            </w:tcMar>
          </w:tcPr>
          <w:p w14:paraId="085407FF"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416/1368 (30%)</w:t>
            </w:r>
          </w:p>
        </w:tc>
      </w:tr>
      <w:tr w:rsidR="00593BC2" w:rsidRPr="00D72149" w14:paraId="034AAE2D" w14:textId="77777777" w:rsidTr="00375DCA">
        <w:trPr>
          <w:trHeight w:val="1614"/>
        </w:trPr>
        <w:tc>
          <w:tcPr>
            <w:tcW w:w="850" w:type="dxa"/>
            <w:shd w:val="clear" w:color="auto" w:fill="FFFFFF"/>
            <w:tcMar>
              <w:top w:w="72" w:type="dxa"/>
              <w:left w:w="144" w:type="dxa"/>
              <w:bottom w:w="72" w:type="dxa"/>
              <w:right w:w="144" w:type="dxa"/>
            </w:tcMar>
          </w:tcPr>
          <w:p w14:paraId="58650037"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2012</w:t>
            </w:r>
          </w:p>
        </w:tc>
        <w:tc>
          <w:tcPr>
            <w:tcW w:w="1262" w:type="dxa"/>
            <w:shd w:val="clear" w:color="auto" w:fill="FFFFFF"/>
            <w:tcMar>
              <w:top w:w="72" w:type="dxa"/>
              <w:left w:w="144" w:type="dxa"/>
              <w:bottom w:w="72" w:type="dxa"/>
              <w:right w:w="144" w:type="dxa"/>
            </w:tcMar>
          </w:tcPr>
          <w:p w14:paraId="35C6125A" w14:textId="77777777" w:rsidR="00593BC2" w:rsidRPr="00D72149" w:rsidRDefault="00593BC2" w:rsidP="00375DCA">
            <w:pPr>
              <w:spacing w:line="240" w:lineRule="auto"/>
              <w:rPr>
                <w:rFonts w:ascii="Calibri" w:eastAsia="Calibri" w:hAnsi="Calibri" w:cs="Times New Roman"/>
                <w:sz w:val="20"/>
                <w:szCs w:val="20"/>
                <w:vertAlign w:val="superscript"/>
              </w:rPr>
            </w:pPr>
            <w:r w:rsidRPr="00D72149">
              <w:rPr>
                <w:rFonts w:ascii="Calibri" w:eastAsia="Calibri" w:hAnsi="Calibri" w:cs="Times New Roman"/>
                <w:color w:val="000000"/>
                <w:kern w:val="24"/>
                <w:sz w:val="20"/>
                <w:szCs w:val="20"/>
              </w:rPr>
              <w:t>ASSERT</w:t>
            </w:r>
            <w:r w:rsidRPr="00870A77">
              <w:rPr>
                <w:rFonts w:ascii="Calibri" w:eastAsia="Calibri" w:hAnsi="Calibri" w:cs="Times New Roman"/>
                <w:noProof/>
                <w:vertAlign w:val="superscript"/>
              </w:rPr>
              <w:t>11</w:t>
            </w:r>
          </w:p>
        </w:tc>
        <w:tc>
          <w:tcPr>
            <w:tcW w:w="1454" w:type="dxa"/>
            <w:shd w:val="clear" w:color="auto" w:fill="FFFFFF"/>
            <w:tcMar>
              <w:top w:w="72" w:type="dxa"/>
              <w:left w:w="144" w:type="dxa"/>
              <w:bottom w:w="72" w:type="dxa"/>
              <w:right w:w="144" w:type="dxa"/>
            </w:tcMar>
          </w:tcPr>
          <w:p w14:paraId="0ABACE68"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PPMs and ICDs</w:t>
            </w:r>
          </w:p>
          <w:p w14:paraId="3B8D18BD"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All indications</w:t>
            </w:r>
          </w:p>
        </w:tc>
        <w:tc>
          <w:tcPr>
            <w:tcW w:w="1904" w:type="dxa"/>
            <w:shd w:val="clear" w:color="auto" w:fill="FFFFFF"/>
            <w:tcMar>
              <w:top w:w="72" w:type="dxa"/>
              <w:left w:w="144" w:type="dxa"/>
              <w:bottom w:w="72" w:type="dxa"/>
              <w:right w:w="144" w:type="dxa"/>
            </w:tcMar>
          </w:tcPr>
          <w:p w14:paraId="2EFAE3E7"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History of hypertension</w:t>
            </w:r>
          </w:p>
          <w:p w14:paraId="6A05D534"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No history of AF</w:t>
            </w:r>
          </w:p>
          <w:p w14:paraId="7CD1263F"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No OAC use</w:t>
            </w:r>
          </w:p>
        </w:tc>
        <w:tc>
          <w:tcPr>
            <w:tcW w:w="916" w:type="dxa"/>
            <w:shd w:val="clear" w:color="auto" w:fill="FFFFFF"/>
          </w:tcPr>
          <w:p w14:paraId="7EB53079" w14:textId="77777777" w:rsidR="00593BC2" w:rsidRPr="00D72149" w:rsidRDefault="00593BC2" w:rsidP="00375DCA">
            <w:pPr>
              <w:spacing w:line="240" w:lineRule="auto"/>
              <w:rPr>
                <w:rFonts w:ascii="AdvOT35fdff1a" w:eastAsia="Calibri" w:hAnsi="AdvOT35fdff1a" w:cs="AdvOT35fdff1a"/>
                <w:sz w:val="16"/>
                <w:szCs w:val="16"/>
                <w:lang w:eastAsia="it-IT"/>
              </w:rPr>
            </w:pPr>
            <w:r w:rsidRPr="00D72149">
              <w:rPr>
                <w:rFonts w:ascii="OTNEJMScalaSansLF" w:eastAsia="Calibri" w:hAnsi="OTNEJMScalaSansLF" w:cs="OTNEJMScalaSansLF"/>
                <w:sz w:val="16"/>
                <w:szCs w:val="16"/>
                <w:lang w:eastAsia="it-IT"/>
              </w:rPr>
              <w:t xml:space="preserve">76±7 </w:t>
            </w:r>
            <w:r w:rsidRPr="00D72149">
              <w:rPr>
                <w:rFonts w:ascii="AdvOT35fdff1a" w:eastAsia="Calibri" w:hAnsi="AdvOT35fdff1a" w:cs="AdvOT35fdff1a"/>
                <w:sz w:val="16"/>
                <w:szCs w:val="16"/>
                <w:lang w:eastAsia="it-IT"/>
              </w:rPr>
              <w:t xml:space="preserve"> for no AHRE</w:t>
            </w:r>
          </w:p>
          <w:p w14:paraId="0811A040" w14:textId="77777777" w:rsidR="00593BC2" w:rsidRPr="00D72149" w:rsidRDefault="00593BC2" w:rsidP="00375DCA">
            <w:pPr>
              <w:spacing w:line="240" w:lineRule="auto"/>
              <w:rPr>
                <w:rFonts w:ascii="OTNEJMScalaSansLF" w:eastAsia="Calibri" w:hAnsi="OTNEJMScalaSansLF" w:cs="OTNEJMScalaSansLF"/>
                <w:sz w:val="16"/>
                <w:szCs w:val="16"/>
                <w:lang w:eastAsia="it-IT"/>
              </w:rPr>
            </w:pPr>
          </w:p>
          <w:p w14:paraId="273D6854" w14:textId="77777777" w:rsidR="00593BC2" w:rsidRPr="00D72149" w:rsidRDefault="00593BC2" w:rsidP="00375DCA">
            <w:pPr>
              <w:spacing w:line="240" w:lineRule="auto"/>
              <w:rPr>
                <w:rFonts w:ascii="Calibri" w:eastAsia="Calibri" w:hAnsi="Calibri" w:cs="Times New Roman"/>
                <w:kern w:val="24"/>
                <w:sz w:val="20"/>
                <w:szCs w:val="20"/>
              </w:rPr>
            </w:pPr>
            <w:r w:rsidRPr="00D72149">
              <w:rPr>
                <w:rFonts w:ascii="OTNEJMScalaSansLF" w:eastAsia="Calibri" w:hAnsi="OTNEJMScalaSansLF" w:cs="OTNEJMScalaSansLF"/>
                <w:sz w:val="16"/>
                <w:szCs w:val="16"/>
                <w:lang w:eastAsia="it-IT"/>
              </w:rPr>
              <w:t xml:space="preserve">77±7 for AHRE detected </w:t>
            </w:r>
          </w:p>
        </w:tc>
        <w:tc>
          <w:tcPr>
            <w:tcW w:w="847" w:type="dxa"/>
            <w:shd w:val="clear" w:color="auto" w:fill="FFFFFF"/>
          </w:tcPr>
          <w:p w14:paraId="79D83761" w14:textId="77777777" w:rsidR="00593BC2" w:rsidRPr="00D72149" w:rsidRDefault="00593BC2" w:rsidP="00375DCA">
            <w:pPr>
              <w:spacing w:line="240" w:lineRule="auto"/>
              <w:rPr>
                <w:rFonts w:ascii="AdvOT35fdff1a" w:eastAsia="Calibri" w:hAnsi="AdvOT35fdff1a" w:cs="AdvOT35fdff1a"/>
                <w:sz w:val="16"/>
                <w:szCs w:val="16"/>
                <w:lang w:eastAsia="it-IT"/>
              </w:rPr>
            </w:pPr>
            <w:r w:rsidRPr="00D72149">
              <w:rPr>
                <w:rFonts w:ascii="OTNEJMScalaSansLF" w:eastAsia="Calibri" w:hAnsi="OTNEJMScalaSansLF" w:cs="OTNEJMScalaSansLF"/>
                <w:sz w:val="16"/>
                <w:szCs w:val="16"/>
                <w:lang w:eastAsia="it-IT"/>
              </w:rPr>
              <w:t xml:space="preserve">59% </w:t>
            </w:r>
            <w:r w:rsidRPr="00D72149">
              <w:rPr>
                <w:rFonts w:ascii="AdvOT35fdff1a" w:eastAsia="Calibri" w:hAnsi="AdvOT35fdff1a" w:cs="AdvOT35fdff1a"/>
                <w:sz w:val="16"/>
                <w:szCs w:val="16"/>
                <w:lang w:eastAsia="it-IT"/>
              </w:rPr>
              <w:t xml:space="preserve"> for no AHRE</w:t>
            </w:r>
          </w:p>
          <w:p w14:paraId="76D16E69" w14:textId="77777777" w:rsidR="00593BC2" w:rsidRPr="00D72149" w:rsidRDefault="00593BC2" w:rsidP="00375DCA">
            <w:pPr>
              <w:spacing w:line="240" w:lineRule="auto"/>
              <w:rPr>
                <w:rFonts w:ascii="OTNEJMScalaSansLF" w:eastAsia="Calibri" w:hAnsi="OTNEJMScalaSansLF" w:cs="OTNEJMScalaSansLF"/>
                <w:sz w:val="16"/>
                <w:szCs w:val="16"/>
                <w:lang w:eastAsia="it-IT"/>
              </w:rPr>
            </w:pPr>
          </w:p>
          <w:p w14:paraId="5B859AD1" w14:textId="77777777" w:rsidR="00593BC2" w:rsidRPr="00D72149" w:rsidRDefault="00593BC2" w:rsidP="00375DCA">
            <w:pPr>
              <w:spacing w:line="240" w:lineRule="auto"/>
              <w:rPr>
                <w:rFonts w:ascii="Calibri" w:eastAsia="Calibri" w:hAnsi="Calibri" w:cs="Times New Roman"/>
                <w:kern w:val="24"/>
                <w:sz w:val="20"/>
                <w:szCs w:val="20"/>
              </w:rPr>
            </w:pPr>
            <w:r w:rsidRPr="00D72149">
              <w:rPr>
                <w:rFonts w:ascii="OTNEJMScalaSansLF" w:eastAsia="Calibri" w:hAnsi="OTNEJMScalaSansLF" w:cs="OTNEJMScalaSansLF"/>
                <w:sz w:val="16"/>
                <w:szCs w:val="16"/>
                <w:lang w:eastAsia="it-IT"/>
              </w:rPr>
              <w:t>56%  for AHRE detected</w:t>
            </w:r>
          </w:p>
        </w:tc>
        <w:tc>
          <w:tcPr>
            <w:tcW w:w="847" w:type="dxa"/>
            <w:shd w:val="clear" w:color="auto" w:fill="FFFFFF"/>
          </w:tcPr>
          <w:p w14:paraId="2F913AB0" w14:textId="77777777" w:rsidR="00593BC2" w:rsidRPr="00D72149" w:rsidRDefault="00593BC2" w:rsidP="00375DCA">
            <w:pPr>
              <w:spacing w:line="240" w:lineRule="auto"/>
              <w:rPr>
                <w:rFonts w:ascii="Calibri" w:eastAsia="Calibri" w:hAnsi="Calibri" w:cs="Times New Roman"/>
                <w:kern w:val="24"/>
                <w:sz w:val="20"/>
                <w:szCs w:val="20"/>
              </w:rPr>
            </w:pPr>
            <w:r w:rsidRPr="00D72149">
              <w:rPr>
                <w:rFonts w:ascii="Calibri" w:eastAsia="Calibri" w:hAnsi="Calibri" w:cs="Times New Roman"/>
                <w:kern w:val="24"/>
                <w:sz w:val="20"/>
                <w:szCs w:val="20"/>
              </w:rPr>
              <w:t>N.A.</w:t>
            </w:r>
          </w:p>
        </w:tc>
        <w:tc>
          <w:tcPr>
            <w:tcW w:w="995" w:type="dxa"/>
            <w:shd w:val="clear" w:color="auto" w:fill="FFFFFF"/>
          </w:tcPr>
          <w:p w14:paraId="718547F4" w14:textId="77777777" w:rsidR="00593BC2" w:rsidRPr="00D72149" w:rsidRDefault="00593BC2" w:rsidP="00375DCA">
            <w:pPr>
              <w:spacing w:line="240" w:lineRule="auto"/>
              <w:rPr>
                <w:rFonts w:ascii="AdvOT35fdff1a" w:eastAsia="Calibri" w:hAnsi="AdvOT35fdff1a" w:cs="AdvOT35fdff1a"/>
                <w:sz w:val="16"/>
                <w:szCs w:val="16"/>
                <w:lang w:eastAsia="it-IT"/>
              </w:rPr>
            </w:pPr>
            <w:r w:rsidRPr="00D72149">
              <w:rPr>
                <w:rFonts w:ascii="OTNEJMScalaSansLF" w:eastAsia="Calibri" w:hAnsi="OTNEJMScalaSansLF" w:cs="OTNEJMScalaSansLF"/>
                <w:sz w:val="16"/>
                <w:szCs w:val="16"/>
                <w:lang w:eastAsia="it-IT"/>
              </w:rPr>
              <w:t>2.3±1.0</w:t>
            </w:r>
            <w:r w:rsidRPr="00D72149">
              <w:rPr>
                <w:rFonts w:ascii="AdvOT35fdff1a" w:eastAsia="Calibri" w:hAnsi="AdvOT35fdff1a" w:cs="AdvOT35fdff1a"/>
                <w:sz w:val="16"/>
                <w:szCs w:val="16"/>
                <w:lang w:eastAsia="it-IT"/>
              </w:rPr>
              <w:t xml:space="preserve">  for no AHRE</w:t>
            </w:r>
          </w:p>
          <w:p w14:paraId="21264990" w14:textId="77777777" w:rsidR="00593BC2" w:rsidRPr="00D72149" w:rsidRDefault="00593BC2" w:rsidP="00375DCA">
            <w:pPr>
              <w:spacing w:line="240" w:lineRule="auto"/>
              <w:rPr>
                <w:rFonts w:ascii="OTNEJMScalaSansLF" w:eastAsia="Calibri" w:hAnsi="OTNEJMScalaSansLF" w:cs="OTNEJMScalaSansLF"/>
                <w:sz w:val="16"/>
                <w:szCs w:val="16"/>
                <w:lang w:eastAsia="it-IT"/>
              </w:rPr>
            </w:pPr>
          </w:p>
          <w:p w14:paraId="54E0DEC5" w14:textId="77777777" w:rsidR="00593BC2" w:rsidRPr="00D72149" w:rsidRDefault="00593BC2" w:rsidP="00375DCA">
            <w:pPr>
              <w:spacing w:line="240" w:lineRule="auto"/>
              <w:rPr>
                <w:rFonts w:ascii="OTNEJMScalaSansLF" w:eastAsia="Calibri" w:hAnsi="OTNEJMScalaSansLF" w:cs="OTNEJMScalaSansLF"/>
                <w:sz w:val="16"/>
                <w:szCs w:val="16"/>
                <w:lang w:eastAsia="it-IT"/>
              </w:rPr>
            </w:pPr>
            <w:r w:rsidRPr="00D72149">
              <w:rPr>
                <w:rFonts w:ascii="OTNEJMScalaSansLF" w:eastAsia="Calibri" w:hAnsi="OTNEJMScalaSansLF" w:cs="OTNEJMScalaSansLF"/>
                <w:sz w:val="16"/>
                <w:szCs w:val="16"/>
                <w:lang w:eastAsia="it-IT"/>
              </w:rPr>
              <w:t>2.2±1.1 for AHRE detected</w:t>
            </w:r>
          </w:p>
        </w:tc>
        <w:tc>
          <w:tcPr>
            <w:tcW w:w="1194" w:type="dxa"/>
            <w:shd w:val="clear" w:color="auto" w:fill="FFFFFF"/>
          </w:tcPr>
          <w:p w14:paraId="51CF1404"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kern w:val="24"/>
                <w:sz w:val="20"/>
                <w:szCs w:val="20"/>
              </w:rPr>
              <w:t>2.5 years</w:t>
            </w:r>
          </w:p>
        </w:tc>
        <w:tc>
          <w:tcPr>
            <w:tcW w:w="1355" w:type="dxa"/>
            <w:shd w:val="clear" w:color="auto" w:fill="FFFFFF"/>
          </w:tcPr>
          <w:p w14:paraId="103FBF3D"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&gt;6 min</w:t>
            </w:r>
          </w:p>
        </w:tc>
        <w:tc>
          <w:tcPr>
            <w:tcW w:w="1624" w:type="dxa"/>
            <w:shd w:val="clear" w:color="auto" w:fill="FFFFFF"/>
            <w:tcMar>
              <w:top w:w="72" w:type="dxa"/>
              <w:left w:w="144" w:type="dxa"/>
              <w:bottom w:w="72" w:type="dxa"/>
              <w:right w:w="144" w:type="dxa"/>
            </w:tcMar>
          </w:tcPr>
          <w:p w14:paraId="78983C35"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895/2580 (34.7%)</w:t>
            </w:r>
          </w:p>
        </w:tc>
      </w:tr>
      <w:tr w:rsidR="00593BC2" w:rsidRPr="00D72149" w14:paraId="5E5198C0" w14:textId="77777777" w:rsidTr="00375DCA">
        <w:trPr>
          <w:trHeight w:val="21"/>
        </w:trPr>
        <w:tc>
          <w:tcPr>
            <w:tcW w:w="850" w:type="dxa"/>
            <w:shd w:val="clear" w:color="auto" w:fill="FFFFFF"/>
            <w:tcMar>
              <w:top w:w="72" w:type="dxa"/>
              <w:left w:w="144" w:type="dxa"/>
              <w:bottom w:w="72" w:type="dxa"/>
              <w:right w:w="144" w:type="dxa"/>
            </w:tcMar>
          </w:tcPr>
          <w:p w14:paraId="63089DA2"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2012</w:t>
            </w:r>
          </w:p>
        </w:tc>
        <w:tc>
          <w:tcPr>
            <w:tcW w:w="1262" w:type="dxa"/>
            <w:shd w:val="clear" w:color="auto" w:fill="FFFFFF"/>
            <w:tcMar>
              <w:top w:w="72" w:type="dxa"/>
              <w:left w:w="144" w:type="dxa"/>
              <w:bottom w:w="72" w:type="dxa"/>
              <w:right w:w="144" w:type="dxa"/>
            </w:tcMar>
          </w:tcPr>
          <w:p w14:paraId="5C942CEA"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Arial"/>
                <w:color w:val="000000"/>
                <w:kern w:val="24"/>
              </w:rPr>
              <w:t>Home Monitor CRT</w:t>
            </w:r>
            <w:r w:rsidRPr="008D370F">
              <w:rPr>
                <w:rFonts w:ascii="Calibri" w:eastAsia="Calibri" w:hAnsi="Calibri" w:cs="Arial"/>
                <w:noProof/>
                <w:color w:val="000000"/>
                <w:kern w:val="24"/>
                <w:vertAlign w:val="superscript"/>
              </w:rPr>
              <w:t>17</w:t>
            </w:r>
          </w:p>
        </w:tc>
        <w:tc>
          <w:tcPr>
            <w:tcW w:w="1454" w:type="dxa"/>
            <w:shd w:val="clear" w:color="auto" w:fill="FFFFFF"/>
            <w:tcMar>
              <w:top w:w="72" w:type="dxa"/>
              <w:left w:w="144" w:type="dxa"/>
              <w:bottom w:w="72" w:type="dxa"/>
              <w:right w:w="144" w:type="dxa"/>
            </w:tcMar>
          </w:tcPr>
          <w:p w14:paraId="3B8BEE6A" w14:textId="77777777" w:rsidR="00593BC2" w:rsidRPr="00D72149" w:rsidRDefault="00593BC2" w:rsidP="00375DC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CRTDs and CRTPs</w:t>
            </w:r>
          </w:p>
          <w:p w14:paraId="02463772" w14:textId="77777777" w:rsidR="00593BC2" w:rsidRPr="00D72149" w:rsidRDefault="00593BC2" w:rsidP="00375DC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CHF</w:t>
            </w:r>
          </w:p>
        </w:tc>
        <w:tc>
          <w:tcPr>
            <w:tcW w:w="1904" w:type="dxa"/>
            <w:shd w:val="clear" w:color="auto" w:fill="FFFFFF"/>
            <w:tcMar>
              <w:top w:w="72" w:type="dxa"/>
              <w:left w:w="144" w:type="dxa"/>
              <w:bottom w:w="72" w:type="dxa"/>
              <w:right w:w="144" w:type="dxa"/>
            </w:tcMar>
          </w:tcPr>
          <w:p w14:paraId="5AC9C935" w14:textId="77777777" w:rsidR="00593BC2" w:rsidRPr="00D72149" w:rsidRDefault="00593BC2" w:rsidP="00375DCA">
            <w:pPr>
              <w:rPr>
                <w:rFonts w:ascii="Calibri" w:eastAsia="Calibri" w:hAnsi="Calibri" w:cs="Calibri"/>
              </w:rPr>
            </w:pPr>
            <w:r w:rsidRPr="00D72149">
              <w:rPr>
                <w:rFonts w:ascii="Calibri" w:eastAsia="Calibri" w:hAnsi="Calibri" w:cs="Times New Roman"/>
                <w:color w:val="000000"/>
                <w:sz w:val="20"/>
                <w:szCs w:val="20"/>
              </w:rPr>
              <w:t>Heart failure</w:t>
            </w:r>
          </w:p>
          <w:p w14:paraId="0A38EA53" w14:textId="77777777" w:rsidR="00593BC2" w:rsidRPr="00D72149" w:rsidRDefault="00593BC2" w:rsidP="00375DCA">
            <w:pPr>
              <w:rPr>
                <w:rFonts w:ascii="Calibri" w:eastAsia="Calibri" w:hAnsi="Calibri" w:cs="Times New Roman"/>
              </w:rPr>
            </w:pPr>
            <w:r w:rsidRPr="00D72149">
              <w:rPr>
                <w:rFonts w:ascii="Calibri" w:eastAsia="Calibri" w:hAnsi="Calibri" w:cs="Times New Roman"/>
                <w:color w:val="000000"/>
                <w:sz w:val="20"/>
                <w:szCs w:val="20"/>
              </w:rPr>
              <w:t>No history of AF</w:t>
            </w:r>
          </w:p>
          <w:p w14:paraId="44822421"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 </w:t>
            </w:r>
          </w:p>
        </w:tc>
        <w:tc>
          <w:tcPr>
            <w:tcW w:w="916" w:type="dxa"/>
            <w:shd w:val="clear" w:color="auto" w:fill="FFFFFF"/>
          </w:tcPr>
          <w:p w14:paraId="4FB0E5BF" w14:textId="77777777" w:rsidR="00593BC2" w:rsidRPr="00D72149" w:rsidRDefault="00593BC2" w:rsidP="00375DCA">
            <w:pPr>
              <w:spacing w:line="240" w:lineRule="auto"/>
              <w:rPr>
                <w:rFonts w:ascii="AdvOT35fdff1a" w:eastAsia="Calibri" w:hAnsi="AdvOT35fdff1a" w:cs="AdvOT35fdff1a"/>
                <w:sz w:val="16"/>
                <w:szCs w:val="16"/>
                <w:lang w:val="it-IT" w:eastAsia="it-IT"/>
              </w:rPr>
            </w:pPr>
            <w:r w:rsidRPr="00D72149">
              <w:rPr>
                <w:rFonts w:ascii="AdvOT35fdff1a" w:eastAsia="Calibri" w:hAnsi="AdvOT35fdff1a" w:cs="AdvOT35fdff1a"/>
                <w:sz w:val="16"/>
                <w:szCs w:val="16"/>
                <w:lang w:val="it-IT" w:eastAsia="it-IT"/>
              </w:rPr>
              <w:t xml:space="preserve">66 </w:t>
            </w:r>
            <w:r w:rsidRPr="00D72149">
              <w:rPr>
                <w:rFonts w:ascii="AdvP4C4E74" w:eastAsia="Calibri" w:hAnsi="AdvP4C4E74" w:cs="AdvP4C4E74"/>
                <w:sz w:val="16"/>
                <w:szCs w:val="16"/>
                <w:lang w:val="it-IT" w:eastAsia="it-IT"/>
              </w:rPr>
              <w:t>±</w:t>
            </w:r>
            <w:r w:rsidRPr="00D72149">
              <w:rPr>
                <w:rFonts w:ascii="AdvOT35fdff1a" w:eastAsia="Calibri" w:hAnsi="AdvOT35fdff1a" w:cs="AdvOT35fdff1a"/>
                <w:sz w:val="16"/>
                <w:szCs w:val="16"/>
                <w:lang w:val="it-IT" w:eastAsia="it-IT"/>
              </w:rPr>
              <w:t>10</w:t>
            </w:r>
          </w:p>
          <w:p w14:paraId="506AAF78" w14:textId="77777777" w:rsidR="00593BC2" w:rsidRPr="00D72149" w:rsidRDefault="00593BC2" w:rsidP="00375DCA">
            <w:pPr>
              <w:rPr>
                <w:rFonts w:ascii="Calibri" w:eastAsia="Calibri" w:hAnsi="Calibri" w:cs="Times New Roman"/>
                <w:color w:val="000000"/>
                <w:sz w:val="20"/>
                <w:szCs w:val="20"/>
              </w:rPr>
            </w:pPr>
          </w:p>
        </w:tc>
        <w:tc>
          <w:tcPr>
            <w:tcW w:w="847" w:type="dxa"/>
            <w:shd w:val="clear" w:color="auto" w:fill="FFFFFF"/>
          </w:tcPr>
          <w:p w14:paraId="27DA7BB1" w14:textId="77777777" w:rsidR="00593BC2" w:rsidRPr="00D72149" w:rsidRDefault="00593BC2" w:rsidP="00375DCA">
            <w:pPr>
              <w:rPr>
                <w:rFonts w:ascii="Calibri" w:eastAsia="Calibri" w:hAnsi="Calibri" w:cs="Times New Roman"/>
                <w:color w:val="000000"/>
                <w:sz w:val="20"/>
                <w:szCs w:val="20"/>
              </w:rPr>
            </w:pPr>
            <w:r w:rsidRPr="00D72149">
              <w:rPr>
                <w:rFonts w:ascii="Calibri" w:eastAsia="Calibri" w:hAnsi="Calibri" w:cs="Times New Roman"/>
                <w:color w:val="000000"/>
                <w:sz w:val="20"/>
                <w:szCs w:val="20"/>
              </w:rPr>
              <w:t>77%</w:t>
            </w:r>
          </w:p>
        </w:tc>
        <w:tc>
          <w:tcPr>
            <w:tcW w:w="847" w:type="dxa"/>
            <w:shd w:val="clear" w:color="auto" w:fill="FFFFFF"/>
          </w:tcPr>
          <w:p w14:paraId="03C7FAC3" w14:textId="77777777" w:rsidR="00593BC2" w:rsidRPr="00D72149" w:rsidRDefault="00593BC2" w:rsidP="00375DCA">
            <w:pPr>
              <w:rPr>
                <w:rFonts w:ascii="Calibri" w:eastAsia="Calibri" w:hAnsi="Calibri" w:cs="Times New Roman"/>
                <w:color w:val="000000"/>
                <w:sz w:val="20"/>
                <w:szCs w:val="20"/>
              </w:rPr>
            </w:pPr>
            <w:r w:rsidRPr="00D72149">
              <w:rPr>
                <w:rFonts w:ascii="AdvOTb7819099" w:eastAsia="Calibri" w:hAnsi="AdvOTb7819099" w:cs="AdvOTb7819099"/>
                <w:color w:val="231F20"/>
                <w:sz w:val="16"/>
                <w:szCs w:val="16"/>
                <w:lang w:val="it-IT" w:eastAsia="it-IT"/>
              </w:rPr>
              <w:t>25 (20–30)</w:t>
            </w:r>
          </w:p>
        </w:tc>
        <w:tc>
          <w:tcPr>
            <w:tcW w:w="995" w:type="dxa"/>
            <w:shd w:val="clear" w:color="auto" w:fill="FFFFFF"/>
          </w:tcPr>
          <w:p w14:paraId="29EBCCEE" w14:textId="77777777" w:rsidR="00593BC2" w:rsidRPr="00D72149" w:rsidRDefault="00593BC2" w:rsidP="00375DCA">
            <w:pPr>
              <w:rPr>
                <w:rFonts w:ascii="Calibri" w:eastAsia="Calibri" w:hAnsi="Calibri" w:cs="Times New Roman"/>
                <w:color w:val="000000"/>
                <w:sz w:val="20"/>
                <w:szCs w:val="20"/>
              </w:rPr>
            </w:pPr>
            <w:r w:rsidRPr="00D72149">
              <w:rPr>
                <w:rFonts w:ascii="Calibri" w:eastAsia="Calibri" w:hAnsi="Calibri" w:cs="Calibri"/>
                <w:color w:val="000000"/>
                <w:sz w:val="20"/>
                <w:szCs w:val="20"/>
              </w:rPr>
              <w:t>≥</w:t>
            </w:r>
            <w:r w:rsidRPr="00D72149">
              <w:rPr>
                <w:rFonts w:ascii="Calibri" w:eastAsia="Calibri" w:hAnsi="Calibri" w:cs="Times New Roman"/>
                <w:color w:val="000000"/>
                <w:sz w:val="20"/>
                <w:szCs w:val="20"/>
              </w:rPr>
              <w:t xml:space="preserve">2 in 64% </w:t>
            </w:r>
          </w:p>
        </w:tc>
        <w:tc>
          <w:tcPr>
            <w:tcW w:w="1194" w:type="dxa"/>
            <w:shd w:val="clear" w:color="auto" w:fill="FFFFFF"/>
          </w:tcPr>
          <w:p w14:paraId="562181E1" w14:textId="77777777" w:rsidR="00593BC2" w:rsidRPr="00D72149" w:rsidRDefault="00593BC2" w:rsidP="00375DCA">
            <w:pPr>
              <w:rPr>
                <w:rFonts w:ascii="Calibri" w:eastAsia="Calibri" w:hAnsi="Calibri" w:cs="Calibri"/>
              </w:rPr>
            </w:pPr>
            <w:r w:rsidRPr="00D72149">
              <w:rPr>
                <w:rFonts w:ascii="Calibri" w:eastAsia="Calibri" w:hAnsi="Calibri" w:cs="Times New Roman"/>
                <w:color w:val="000000"/>
                <w:sz w:val="20"/>
                <w:szCs w:val="20"/>
              </w:rPr>
              <w:t>370 days (253-290)</w:t>
            </w:r>
          </w:p>
          <w:p w14:paraId="5E807026"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 </w:t>
            </w:r>
          </w:p>
        </w:tc>
        <w:tc>
          <w:tcPr>
            <w:tcW w:w="1355" w:type="dxa"/>
            <w:shd w:val="clear" w:color="auto" w:fill="FFFFFF"/>
          </w:tcPr>
          <w:p w14:paraId="005B52BA" w14:textId="77777777" w:rsidR="00593BC2" w:rsidRPr="00D72149" w:rsidRDefault="00593BC2" w:rsidP="00375DCA">
            <w:pPr>
              <w:spacing w:line="240" w:lineRule="auto"/>
              <w:ind w:left="360"/>
              <w:rPr>
                <w:rFonts w:ascii="Calibri" w:eastAsia="Calibri" w:hAnsi="Calibri" w:cs="Times New Roman"/>
                <w:color w:val="000000"/>
                <w:sz w:val="20"/>
                <w:szCs w:val="20"/>
              </w:rPr>
            </w:pPr>
            <w:r w:rsidRPr="00D72149">
              <w:rPr>
                <w:rFonts w:ascii="Calibri" w:eastAsia="Calibri" w:hAnsi="Calibri" w:cs="Calibri"/>
                <w:color w:val="000000"/>
                <w:sz w:val="20"/>
                <w:szCs w:val="20"/>
              </w:rPr>
              <w:t>≥</w:t>
            </w:r>
            <w:r w:rsidRPr="00D72149">
              <w:rPr>
                <w:rFonts w:ascii="Calibri" w:eastAsia="Calibri" w:hAnsi="Calibri" w:cs="Times New Roman"/>
                <w:color w:val="000000"/>
                <w:sz w:val="20"/>
                <w:szCs w:val="20"/>
              </w:rPr>
              <w:t xml:space="preserve">14 min </w:t>
            </w:r>
          </w:p>
        </w:tc>
        <w:tc>
          <w:tcPr>
            <w:tcW w:w="1624" w:type="dxa"/>
            <w:shd w:val="clear" w:color="auto" w:fill="FFFFFF"/>
            <w:tcMar>
              <w:top w:w="72" w:type="dxa"/>
              <w:left w:w="144" w:type="dxa"/>
              <w:bottom w:w="72" w:type="dxa"/>
              <w:right w:w="144" w:type="dxa"/>
            </w:tcMar>
          </w:tcPr>
          <w:p w14:paraId="4A8152C8"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126/560 (23%)</w:t>
            </w:r>
          </w:p>
        </w:tc>
      </w:tr>
      <w:tr w:rsidR="00593BC2" w:rsidRPr="00D72149" w14:paraId="671B50A8" w14:textId="77777777" w:rsidTr="00375DCA">
        <w:trPr>
          <w:trHeight w:val="21"/>
        </w:trPr>
        <w:tc>
          <w:tcPr>
            <w:tcW w:w="850" w:type="dxa"/>
            <w:shd w:val="clear" w:color="auto" w:fill="FFFFFF"/>
            <w:tcMar>
              <w:top w:w="72" w:type="dxa"/>
              <w:left w:w="144" w:type="dxa"/>
              <w:bottom w:w="72" w:type="dxa"/>
              <w:right w:w="144" w:type="dxa"/>
            </w:tcMar>
          </w:tcPr>
          <w:p w14:paraId="7B5DDAA8"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2013</w:t>
            </w:r>
          </w:p>
        </w:tc>
        <w:tc>
          <w:tcPr>
            <w:tcW w:w="1262" w:type="dxa"/>
            <w:shd w:val="clear" w:color="auto" w:fill="FFFFFF"/>
            <w:tcMar>
              <w:top w:w="72" w:type="dxa"/>
              <w:left w:w="144" w:type="dxa"/>
              <w:bottom w:w="72" w:type="dxa"/>
              <w:right w:w="144" w:type="dxa"/>
            </w:tcMar>
          </w:tcPr>
          <w:p w14:paraId="5A9A6839" w14:textId="77777777" w:rsidR="00593BC2" w:rsidRPr="00D72149" w:rsidRDefault="00593BC2" w:rsidP="00375DCA">
            <w:pPr>
              <w:spacing w:line="240" w:lineRule="auto"/>
              <w:rPr>
                <w:rFonts w:ascii="Calibri" w:eastAsia="Calibri" w:hAnsi="Calibri" w:cs="Times New Roman"/>
                <w:sz w:val="20"/>
                <w:szCs w:val="20"/>
                <w:vertAlign w:val="superscript"/>
              </w:rPr>
            </w:pPr>
            <w:r w:rsidRPr="00D72149">
              <w:rPr>
                <w:rFonts w:ascii="Calibri" w:eastAsia="Calibri" w:hAnsi="Calibri" w:cs="Times New Roman"/>
                <w:color w:val="000000"/>
                <w:kern w:val="24"/>
                <w:sz w:val="20"/>
                <w:szCs w:val="20"/>
              </w:rPr>
              <w:t>Healey et al.</w:t>
            </w:r>
            <w:r w:rsidRPr="00870A77">
              <w:rPr>
                <w:rFonts w:ascii="Calibri" w:eastAsia="Calibri" w:hAnsi="Calibri" w:cs="Times New Roman"/>
                <w:noProof/>
                <w:color w:val="000000"/>
                <w:kern w:val="24"/>
                <w:sz w:val="20"/>
                <w:szCs w:val="20"/>
                <w:vertAlign w:val="superscript"/>
              </w:rPr>
              <w:t>12</w:t>
            </w:r>
          </w:p>
        </w:tc>
        <w:tc>
          <w:tcPr>
            <w:tcW w:w="1454" w:type="dxa"/>
            <w:shd w:val="clear" w:color="auto" w:fill="FFFFFF"/>
            <w:tcMar>
              <w:top w:w="72" w:type="dxa"/>
              <w:left w:w="144" w:type="dxa"/>
              <w:bottom w:w="72" w:type="dxa"/>
              <w:right w:w="144" w:type="dxa"/>
            </w:tcMar>
          </w:tcPr>
          <w:p w14:paraId="709D4306"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PPMs</w:t>
            </w:r>
          </w:p>
          <w:p w14:paraId="5C2121BB"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All indications</w:t>
            </w:r>
          </w:p>
        </w:tc>
        <w:tc>
          <w:tcPr>
            <w:tcW w:w="1904" w:type="dxa"/>
            <w:shd w:val="clear" w:color="auto" w:fill="FFFFFF"/>
            <w:tcMar>
              <w:top w:w="72" w:type="dxa"/>
              <w:left w:w="144" w:type="dxa"/>
              <w:bottom w:w="72" w:type="dxa"/>
              <w:right w:w="144" w:type="dxa"/>
            </w:tcMar>
          </w:tcPr>
          <w:p w14:paraId="7E17FA24"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 xml:space="preserve">All </w:t>
            </w:r>
          </w:p>
        </w:tc>
        <w:tc>
          <w:tcPr>
            <w:tcW w:w="916" w:type="dxa"/>
            <w:shd w:val="clear" w:color="auto" w:fill="FFFFFF"/>
          </w:tcPr>
          <w:p w14:paraId="78E436E7" w14:textId="77777777" w:rsidR="00593BC2" w:rsidRPr="00D72149" w:rsidRDefault="00593BC2" w:rsidP="00375DCA">
            <w:pPr>
              <w:spacing w:line="240" w:lineRule="auto"/>
              <w:rPr>
                <w:rFonts w:ascii="AdvOT35fdff1a" w:eastAsia="Calibri" w:hAnsi="AdvOT35fdff1a" w:cs="AdvOT35fdff1a"/>
                <w:sz w:val="16"/>
                <w:szCs w:val="16"/>
                <w:lang w:eastAsia="it-IT"/>
              </w:rPr>
            </w:pPr>
            <w:r w:rsidRPr="00D72149">
              <w:rPr>
                <w:rFonts w:ascii="AdvOT35fdff1a" w:eastAsia="Calibri" w:hAnsi="AdvOT35fdff1a" w:cs="AdvOT35fdff1a"/>
                <w:sz w:val="16"/>
                <w:szCs w:val="16"/>
                <w:lang w:eastAsia="it-IT"/>
              </w:rPr>
              <w:t xml:space="preserve">71.7 </w:t>
            </w:r>
            <w:r w:rsidRPr="00D72149">
              <w:rPr>
                <w:rFonts w:ascii="AdvP4C4E74" w:eastAsia="Calibri" w:hAnsi="AdvP4C4E74" w:cs="AdvP4C4E74"/>
                <w:sz w:val="16"/>
                <w:szCs w:val="16"/>
                <w:lang w:eastAsia="it-IT"/>
              </w:rPr>
              <w:t>±</w:t>
            </w:r>
            <w:r w:rsidRPr="00D72149">
              <w:rPr>
                <w:rFonts w:ascii="AdvOT35fdff1a" w:eastAsia="Calibri" w:hAnsi="AdvOT35fdff1a" w:cs="AdvOT35fdff1a"/>
                <w:sz w:val="16"/>
                <w:szCs w:val="16"/>
                <w:lang w:eastAsia="it-IT"/>
              </w:rPr>
              <w:t>14.4 for no AHRE</w:t>
            </w:r>
          </w:p>
          <w:p w14:paraId="661B379F" w14:textId="77777777" w:rsidR="00593BC2" w:rsidRPr="00D72149" w:rsidRDefault="00593BC2" w:rsidP="00375DCA">
            <w:pPr>
              <w:spacing w:line="240" w:lineRule="auto"/>
              <w:rPr>
                <w:rFonts w:ascii="AdvOT35fdff1a" w:eastAsia="Calibri" w:hAnsi="AdvOT35fdff1a" w:cs="AdvOT35fdff1a"/>
                <w:sz w:val="16"/>
                <w:szCs w:val="16"/>
                <w:lang w:eastAsia="it-IT"/>
              </w:rPr>
            </w:pPr>
            <w:r w:rsidRPr="00D72149">
              <w:rPr>
                <w:rFonts w:ascii="AdvOT35fdff1a" w:eastAsia="Calibri" w:hAnsi="AdvOT35fdff1a" w:cs="AdvOT35fdff1a"/>
                <w:sz w:val="16"/>
                <w:szCs w:val="16"/>
                <w:lang w:eastAsia="it-IT"/>
              </w:rPr>
              <w:t>74.3</w:t>
            </w:r>
            <w:r w:rsidRPr="00D72149">
              <w:rPr>
                <w:rFonts w:ascii="AdvP4C4E74" w:eastAsia="Calibri" w:hAnsi="AdvP4C4E74" w:cs="AdvP4C4E74"/>
                <w:sz w:val="16"/>
                <w:szCs w:val="16"/>
                <w:lang w:eastAsia="it-IT"/>
              </w:rPr>
              <w:t>±</w:t>
            </w:r>
            <w:r w:rsidRPr="00D72149">
              <w:rPr>
                <w:rFonts w:ascii="AdvOT35fdff1a" w:eastAsia="Calibri" w:hAnsi="AdvOT35fdff1a" w:cs="AdvOT35fdff1a"/>
                <w:sz w:val="16"/>
                <w:szCs w:val="16"/>
                <w:lang w:eastAsia="it-IT"/>
              </w:rPr>
              <w:t xml:space="preserve">13.7 for AHRE detected </w:t>
            </w:r>
          </w:p>
        </w:tc>
        <w:tc>
          <w:tcPr>
            <w:tcW w:w="847" w:type="dxa"/>
            <w:shd w:val="clear" w:color="auto" w:fill="FFFFFF"/>
          </w:tcPr>
          <w:p w14:paraId="3D31CAC5" w14:textId="77777777" w:rsidR="00593BC2" w:rsidRPr="00D72149" w:rsidRDefault="00593BC2" w:rsidP="00375DCA">
            <w:pPr>
              <w:spacing w:line="240" w:lineRule="auto"/>
              <w:rPr>
                <w:rFonts w:ascii="AdvOT35fdff1a" w:eastAsia="Calibri" w:hAnsi="AdvOT35fdff1a" w:cs="AdvOT35fdff1a"/>
                <w:sz w:val="16"/>
                <w:szCs w:val="16"/>
                <w:lang w:eastAsia="it-IT"/>
              </w:rPr>
            </w:pPr>
            <w:r w:rsidRPr="00D72149">
              <w:rPr>
                <w:rFonts w:ascii="AdvOT35fdff1a" w:eastAsia="Calibri" w:hAnsi="AdvOT35fdff1a" w:cs="AdvOT35fdff1a"/>
                <w:sz w:val="16"/>
                <w:szCs w:val="16"/>
                <w:lang w:eastAsia="it-IT"/>
              </w:rPr>
              <w:t>59% for no AHRE</w:t>
            </w:r>
          </w:p>
          <w:p w14:paraId="3A3CB2A5"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AdvOT35fdff1a" w:eastAsia="Calibri" w:hAnsi="AdvOT35fdff1a" w:cs="AdvOT35fdff1a"/>
                <w:sz w:val="16"/>
                <w:szCs w:val="16"/>
                <w:lang w:eastAsia="it-IT"/>
              </w:rPr>
              <w:t>58% for AHRE detected</w:t>
            </w:r>
          </w:p>
        </w:tc>
        <w:tc>
          <w:tcPr>
            <w:tcW w:w="847" w:type="dxa"/>
            <w:shd w:val="clear" w:color="auto" w:fill="FFFFFF"/>
          </w:tcPr>
          <w:p w14:paraId="459E3DEE"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N.A.</w:t>
            </w:r>
          </w:p>
        </w:tc>
        <w:tc>
          <w:tcPr>
            <w:tcW w:w="995" w:type="dxa"/>
            <w:shd w:val="clear" w:color="auto" w:fill="FFFFFF"/>
          </w:tcPr>
          <w:p w14:paraId="62BAB311" w14:textId="77777777" w:rsidR="00593BC2" w:rsidRPr="00D72149" w:rsidRDefault="00593BC2" w:rsidP="00375DCA">
            <w:pPr>
              <w:spacing w:line="240" w:lineRule="auto"/>
              <w:rPr>
                <w:rFonts w:ascii="AdvOT35fdff1a" w:eastAsia="Calibri" w:hAnsi="AdvOT35fdff1a" w:cs="AdvOT35fdff1a"/>
                <w:sz w:val="16"/>
                <w:szCs w:val="16"/>
                <w:lang w:eastAsia="it-IT"/>
              </w:rPr>
            </w:pPr>
            <w:r w:rsidRPr="00D72149">
              <w:rPr>
                <w:rFonts w:ascii="AdvOT35fdff1a" w:eastAsia="Calibri" w:hAnsi="AdvOT35fdff1a" w:cs="AdvOT35fdff1a"/>
                <w:sz w:val="16"/>
                <w:szCs w:val="16"/>
                <w:lang w:eastAsia="it-IT"/>
              </w:rPr>
              <w:t>2.02±</w:t>
            </w:r>
            <w:r w:rsidRPr="00D72149">
              <w:rPr>
                <w:rFonts w:ascii="AdvP4C4E74" w:eastAsia="Calibri" w:hAnsi="AdvP4C4E74" w:cs="AdvP4C4E74"/>
                <w:sz w:val="16"/>
                <w:szCs w:val="16"/>
                <w:lang w:eastAsia="it-IT"/>
              </w:rPr>
              <w:t xml:space="preserve"> </w:t>
            </w:r>
            <w:r w:rsidRPr="00D72149">
              <w:rPr>
                <w:rFonts w:ascii="AdvOT35fdff1a" w:eastAsia="Calibri" w:hAnsi="AdvOT35fdff1a" w:cs="AdvOT35fdff1a"/>
                <w:sz w:val="16"/>
                <w:szCs w:val="16"/>
                <w:lang w:eastAsia="it-IT"/>
              </w:rPr>
              <w:t>1.30 for no AHRE</w:t>
            </w:r>
          </w:p>
          <w:p w14:paraId="2F748AB0"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AdvOT35fdff1a" w:eastAsia="Calibri" w:hAnsi="AdvOT35fdff1a" w:cs="AdvOT35fdff1a"/>
                <w:sz w:val="16"/>
                <w:szCs w:val="16"/>
                <w:lang w:eastAsia="it-IT"/>
              </w:rPr>
              <w:t>2.23±1.47 for AHRE detected</w:t>
            </w:r>
          </w:p>
        </w:tc>
        <w:tc>
          <w:tcPr>
            <w:tcW w:w="1194" w:type="dxa"/>
            <w:shd w:val="clear" w:color="auto" w:fill="FFFFFF"/>
          </w:tcPr>
          <w:p w14:paraId="24F950EA"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 xml:space="preserve"> Single center</w:t>
            </w:r>
          </w:p>
          <w:p w14:paraId="0BA1E5B8"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Retrospective</w:t>
            </w:r>
          </w:p>
        </w:tc>
        <w:tc>
          <w:tcPr>
            <w:tcW w:w="1355" w:type="dxa"/>
            <w:shd w:val="clear" w:color="auto" w:fill="FFFFFF"/>
          </w:tcPr>
          <w:p w14:paraId="5CF68CF9" w14:textId="77777777" w:rsidR="00593BC2" w:rsidRPr="00D72149" w:rsidRDefault="00593BC2" w:rsidP="00375DCA">
            <w:pPr>
              <w:spacing w:line="240" w:lineRule="auto"/>
              <w:ind w:left="720"/>
              <w:rPr>
                <w:rFonts w:ascii="Calibri" w:eastAsia="Calibri" w:hAnsi="Calibri" w:cs="Times New Roman"/>
                <w:color w:val="000000"/>
                <w:kern w:val="24"/>
                <w:sz w:val="20"/>
                <w:szCs w:val="20"/>
              </w:rPr>
            </w:pPr>
            <w:r w:rsidRPr="00D72149">
              <w:rPr>
                <w:rFonts w:ascii="Calibri" w:eastAsia="Calibri" w:hAnsi="Calibri" w:cs="Times New Roman"/>
                <w:color w:val="000000"/>
                <w:kern w:val="24"/>
                <w:sz w:val="20"/>
                <w:szCs w:val="20"/>
              </w:rPr>
              <w:t xml:space="preserve">&gt;5 min </w:t>
            </w:r>
          </w:p>
        </w:tc>
        <w:tc>
          <w:tcPr>
            <w:tcW w:w="1624" w:type="dxa"/>
            <w:shd w:val="clear" w:color="auto" w:fill="FFFFFF"/>
            <w:tcMar>
              <w:top w:w="72" w:type="dxa"/>
              <w:left w:w="144" w:type="dxa"/>
              <w:bottom w:w="72" w:type="dxa"/>
              <w:right w:w="144" w:type="dxa"/>
            </w:tcMar>
          </w:tcPr>
          <w:p w14:paraId="798B1115" w14:textId="77777777" w:rsidR="00593BC2" w:rsidRPr="00D72149" w:rsidRDefault="00593BC2" w:rsidP="00375DCA">
            <w:pPr>
              <w:spacing w:line="240" w:lineRule="auto"/>
              <w:rPr>
                <w:rFonts w:ascii="Calibri" w:eastAsia="Calibri" w:hAnsi="Calibri" w:cs="Times New Roman"/>
                <w:sz w:val="20"/>
                <w:szCs w:val="20"/>
              </w:rPr>
            </w:pPr>
            <w:r w:rsidRPr="00D72149">
              <w:rPr>
                <w:rFonts w:ascii="Calibri" w:eastAsia="Calibri" w:hAnsi="Calibri" w:cs="Times New Roman"/>
                <w:color w:val="000000"/>
                <w:kern w:val="24"/>
                <w:sz w:val="20"/>
                <w:szCs w:val="20"/>
              </w:rPr>
              <w:t>246/445 (55.3%)</w:t>
            </w:r>
          </w:p>
        </w:tc>
      </w:tr>
      <w:tr w:rsidR="00593BC2" w:rsidRPr="00D72149" w14:paraId="005DF75D" w14:textId="77777777" w:rsidTr="00375DCA">
        <w:trPr>
          <w:trHeight w:val="21"/>
        </w:trPr>
        <w:tc>
          <w:tcPr>
            <w:tcW w:w="850" w:type="dxa"/>
            <w:shd w:val="clear" w:color="auto" w:fill="FFFFFF"/>
            <w:tcMar>
              <w:top w:w="72" w:type="dxa"/>
              <w:left w:w="144" w:type="dxa"/>
              <w:bottom w:w="72" w:type="dxa"/>
              <w:right w:w="144" w:type="dxa"/>
            </w:tcMar>
          </w:tcPr>
          <w:p w14:paraId="1DF22AF4"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2015</w:t>
            </w:r>
          </w:p>
        </w:tc>
        <w:tc>
          <w:tcPr>
            <w:tcW w:w="1262" w:type="dxa"/>
            <w:shd w:val="clear" w:color="auto" w:fill="FFFFFF"/>
            <w:tcMar>
              <w:top w:w="72" w:type="dxa"/>
              <w:left w:w="144" w:type="dxa"/>
              <w:bottom w:w="72" w:type="dxa"/>
              <w:right w:w="144" w:type="dxa"/>
            </w:tcMar>
          </w:tcPr>
          <w:p w14:paraId="6E669806" w14:textId="77777777" w:rsidR="00593BC2" w:rsidRPr="00D72149" w:rsidRDefault="00593BC2" w:rsidP="00375DC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IMPACT</w:t>
            </w:r>
            <w:r w:rsidRPr="008D370F">
              <w:rPr>
                <w:rFonts w:ascii="Calibri" w:eastAsia="Calibri" w:hAnsi="Calibri" w:cs="Times New Roman"/>
                <w:noProof/>
                <w:color w:val="000000"/>
                <w:sz w:val="20"/>
                <w:szCs w:val="20"/>
                <w:vertAlign w:val="superscript"/>
              </w:rPr>
              <w:t>18</w:t>
            </w:r>
          </w:p>
        </w:tc>
        <w:tc>
          <w:tcPr>
            <w:tcW w:w="1454" w:type="dxa"/>
            <w:shd w:val="clear" w:color="auto" w:fill="FFFFFF"/>
            <w:tcMar>
              <w:top w:w="72" w:type="dxa"/>
              <w:left w:w="144" w:type="dxa"/>
              <w:bottom w:w="72" w:type="dxa"/>
              <w:right w:w="144" w:type="dxa"/>
            </w:tcMar>
          </w:tcPr>
          <w:p w14:paraId="70E2FFA9" w14:textId="77777777" w:rsidR="00593BC2" w:rsidRPr="00D72149" w:rsidRDefault="00593BC2" w:rsidP="00375DC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ICDs and CRTDs</w:t>
            </w:r>
          </w:p>
          <w:p w14:paraId="4F76DC5F" w14:textId="77777777" w:rsidR="00593BC2" w:rsidRPr="00D72149" w:rsidRDefault="00593BC2" w:rsidP="00375DC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All indications</w:t>
            </w:r>
          </w:p>
        </w:tc>
        <w:tc>
          <w:tcPr>
            <w:tcW w:w="1904" w:type="dxa"/>
            <w:shd w:val="clear" w:color="auto" w:fill="FFFFFF"/>
            <w:tcMar>
              <w:top w:w="72" w:type="dxa"/>
              <w:left w:w="144" w:type="dxa"/>
              <w:bottom w:w="72" w:type="dxa"/>
              <w:right w:w="144" w:type="dxa"/>
            </w:tcMar>
          </w:tcPr>
          <w:p w14:paraId="1DF10A98" w14:textId="77777777" w:rsidR="00593BC2" w:rsidRPr="00D72149" w:rsidRDefault="00593BC2" w:rsidP="00375DCA">
            <w:pPr>
              <w:rPr>
                <w:rFonts w:ascii="Calibri" w:eastAsia="Calibri" w:hAnsi="Calibri" w:cs="Calibri"/>
              </w:rPr>
            </w:pPr>
            <w:r w:rsidRPr="00D72149">
              <w:rPr>
                <w:rFonts w:ascii="Calibri" w:eastAsia="Calibri" w:hAnsi="Calibri" w:cs="Times New Roman"/>
                <w:color w:val="000000"/>
                <w:sz w:val="20"/>
                <w:szCs w:val="20"/>
              </w:rPr>
              <w:t>No permanent AF</w:t>
            </w:r>
          </w:p>
          <w:p w14:paraId="43303A24" w14:textId="77777777" w:rsidR="00593BC2" w:rsidRPr="00D72149" w:rsidRDefault="00593BC2" w:rsidP="00375DCA">
            <w:pPr>
              <w:rPr>
                <w:rFonts w:ascii="Calibri" w:eastAsia="Calibri" w:hAnsi="Calibri" w:cs="Times New Roman"/>
              </w:rPr>
            </w:pPr>
            <w:r w:rsidRPr="00D72149">
              <w:rPr>
                <w:rFonts w:ascii="Calibri" w:eastAsia="Calibri" w:hAnsi="Calibri" w:cs="Times New Roman"/>
                <w:color w:val="000000"/>
                <w:sz w:val="20"/>
                <w:szCs w:val="20"/>
              </w:rPr>
              <w:t>No contra-indications for OAC</w:t>
            </w:r>
          </w:p>
        </w:tc>
        <w:tc>
          <w:tcPr>
            <w:tcW w:w="916" w:type="dxa"/>
            <w:shd w:val="clear" w:color="auto" w:fill="FFFFFF"/>
          </w:tcPr>
          <w:p w14:paraId="2C335783" w14:textId="77777777" w:rsidR="00593BC2" w:rsidRPr="00D72149" w:rsidRDefault="00593BC2" w:rsidP="00375DCA">
            <w:pPr>
              <w:spacing w:line="240" w:lineRule="auto"/>
              <w:rPr>
                <w:rFonts w:ascii="AdvOTb7819099" w:eastAsia="Calibri" w:hAnsi="AdvOTb7819099" w:cs="AdvOTb7819099"/>
                <w:sz w:val="16"/>
                <w:szCs w:val="16"/>
                <w:lang w:val="it-IT" w:eastAsia="it-IT"/>
              </w:rPr>
            </w:pPr>
            <w:r w:rsidRPr="00D72149">
              <w:rPr>
                <w:rFonts w:ascii="AdvOTb7819099" w:eastAsia="Calibri" w:hAnsi="AdvOTb7819099" w:cs="AdvOTb7819099"/>
                <w:sz w:val="16"/>
                <w:szCs w:val="16"/>
                <w:lang w:val="it-IT" w:eastAsia="it-IT"/>
              </w:rPr>
              <w:t>64.2</w:t>
            </w:r>
            <w:r w:rsidRPr="00D72149">
              <w:rPr>
                <w:rFonts w:ascii="AdvPi1" w:eastAsia="Calibri" w:hAnsi="AdvPi1" w:cs="AdvPi1"/>
                <w:sz w:val="16"/>
                <w:szCs w:val="16"/>
                <w:lang w:val="it-IT" w:eastAsia="it-IT"/>
              </w:rPr>
              <w:t>+</w:t>
            </w:r>
            <w:r w:rsidRPr="00D72149">
              <w:rPr>
                <w:rFonts w:ascii="AdvOTb7819099" w:eastAsia="Calibri" w:hAnsi="AdvOTb7819099" w:cs="AdvOTb7819099"/>
                <w:sz w:val="16"/>
                <w:szCs w:val="16"/>
                <w:lang w:val="it-IT" w:eastAsia="it-IT"/>
              </w:rPr>
              <w:t>11.5 for Control</w:t>
            </w:r>
          </w:p>
          <w:p w14:paraId="48B10DA9" w14:textId="77777777" w:rsidR="00593BC2" w:rsidRPr="00D72149" w:rsidRDefault="00593BC2" w:rsidP="00375DCA">
            <w:pPr>
              <w:spacing w:line="240" w:lineRule="auto"/>
              <w:rPr>
                <w:rFonts w:ascii="AdvOTb7819099" w:eastAsia="Calibri" w:hAnsi="AdvOTb7819099" w:cs="AdvOTb7819099"/>
                <w:sz w:val="16"/>
                <w:szCs w:val="16"/>
                <w:lang w:val="it-IT" w:eastAsia="it-IT"/>
              </w:rPr>
            </w:pPr>
            <w:r w:rsidRPr="00D72149">
              <w:rPr>
                <w:rFonts w:ascii="AdvOTb7819099" w:eastAsia="Calibri" w:hAnsi="AdvOTb7819099" w:cs="AdvOTb7819099"/>
                <w:sz w:val="16"/>
                <w:szCs w:val="16"/>
                <w:lang w:val="it-IT" w:eastAsia="it-IT"/>
              </w:rPr>
              <w:t>64.7</w:t>
            </w:r>
            <w:r w:rsidRPr="00D72149">
              <w:rPr>
                <w:rFonts w:ascii="AdvPi1" w:eastAsia="Calibri" w:hAnsi="AdvPi1" w:cs="AdvPi1"/>
                <w:sz w:val="16"/>
                <w:szCs w:val="16"/>
                <w:lang w:val="it-IT" w:eastAsia="it-IT"/>
              </w:rPr>
              <w:t>+</w:t>
            </w:r>
            <w:r w:rsidRPr="00D72149">
              <w:rPr>
                <w:rFonts w:ascii="AdvOTb7819099" w:eastAsia="Calibri" w:hAnsi="AdvOTb7819099" w:cs="AdvOTb7819099"/>
                <w:sz w:val="16"/>
                <w:szCs w:val="16"/>
                <w:lang w:val="it-IT" w:eastAsia="it-IT"/>
              </w:rPr>
              <w:t xml:space="preserve">10.8 for Intervention </w:t>
            </w:r>
          </w:p>
          <w:p w14:paraId="4B65FAC3" w14:textId="77777777" w:rsidR="00593BC2" w:rsidRPr="00D72149" w:rsidRDefault="00593BC2" w:rsidP="00375DCA">
            <w:pPr>
              <w:spacing w:line="240" w:lineRule="auto"/>
              <w:rPr>
                <w:rFonts w:ascii="Calibri" w:eastAsia="Calibri" w:hAnsi="Calibri" w:cs="Times New Roman"/>
                <w:color w:val="000000"/>
                <w:sz w:val="20"/>
                <w:szCs w:val="20"/>
              </w:rPr>
            </w:pPr>
          </w:p>
        </w:tc>
        <w:tc>
          <w:tcPr>
            <w:tcW w:w="847" w:type="dxa"/>
            <w:shd w:val="clear" w:color="auto" w:fill="FFFFFF"/>
          </w:tcPr>
          <w:p w14:paraId="2251FA09" w14:textId="77777777" w:rsidR="00593BC2" w:rsidRPr="00D72149" w:rsidRDefault="00593BC2" w:rsidP="00375DCA">
            <w:pPr>
              <w:spacing w:line="240" w:lineRule="auto"/>
              <w:rPr>
                <w:rFonts w:ascii="AdvOTb7819099" w:eastAsia="Calibri" w:hAnsi="AdvOTb7819099" w:cs="AdvOTb7819099"/>
                <w:sz w:val="16"/>
                <w:szCs w:val="16"/>
                <w:lang w:val="it-IT" w:eastAsia="it-IT"/>
              </w:rPr>
            </w:pPr>
            <w:r w:rsidRPr="00D72149">
              <w:rPr>
                <w:rFonts w:ascii="AdvOTb7819099" w:eastAsia="Calibri" w:hAnsi="AdvOTb7819099" w:cs="AdvOTb7819099"/>
                <w:sz w:val="16"/>
                <w:szCs w:val="16"/>
                <w:lang w:val="it-IT" w:eastAsia="it-IT"/>
              </w:rPr>
              <w:t>73% for Control</w:t>
            </w:r>
          </w:p>
          <w:p w14:paraId="3DF1F406" w14:textId="77777777" w:rsidR="00593BC2" w:rsidRPr="00D72149" w:rsidRDefault="00593BC2" w:rsidP="00375DCA">
            <w:pPr>
              <w:spacing w:line="240" w:lineRule="auto"/>
              <w:rPr>
                <w:rFonts w:ascii="AdvOTb7819099" w:eastAsia="Calibri" w:hAnsi="AdvOTb7819099" w:cs="AdvOTb7819099"/>
                <w:sz w:val="16"/>
                <w:szCs w:val="16"/>
                <w:lang w:val="it-IT" w:eastAsia="it-IT"/>
              </w:rPr>
            </w:pPr>
            <w:r w:rsidRPr="00D72149">
              <w:rPr>
                <w:rFonts w:ascii="AdvOTb7819099" w:eastAsia="Calibri" w:hAnsi="AdvOTb7819099" w:cs="AdvOTb7819099"/>
                <w:sz w:val="16"/>
                <w:szCs w:val="16"/>
                <w:lang w:val="it-IT" w:eastAsia="it-IT"/>
              </w:rPr>
              <w:t xml:space="preserve">74% for Intervention </w:t>
            </w:r>
          </w:p>
          <w:p w14:paraId="062B7255" w14:textId="77777777" w:rsidR="00593BC2" w:rsidRPr="00D72149" w:rsidRDefault="00593BC2" w:rsidP="00375DCA">
            <w:pPr>
              <w:spacing w:line="240" w:lineRule="auto"/>
              <w:rPr>
                <w:rFonts w:ascii="Calibri" w:eastAsia="Calibri" w:hAnsi="Calibri" w:cs="Times New Roman"/>
                <w:color w:val="000000"/>
                <w:sz w:val="20"/>
                <w:szCs w:val="20"/>
              </w:rPr>
            </w:pPr>
          </w:p>
        </w:tc>
        <w:tc>
          <w:tcPr>
            <w:tcW w:w="847" w:type="dxa"/>
            <w:shd w:val="clear" w:color="auto" w:fill="FFFFFF"/>
          </w:tcPr>
          <w:p w14:paraId="4BCDECC9" w14:textId="77777777" w:rsidR="00593BC2" w:rsidRPr="00D72149" w:rsidRDefault="00593BC2" w:rsidP="00375DCA">
            <w:pPr>
              <w:spacing w:line="240" w:lineRule="auto"/>
              <w:rPr>
                <w:rFonts w:ascii="AdvOTb7819099" w:eastAsia="Calibri" w:hAnsi="AdvOTb7819099" w:cs="AdvOTb7819099"/>
                <w:sz w:val="16"/>
                <w:szCs w:val="16"/>
                <w:lang w:val="it-IT" w:eastAsia="it-IT"/>
              </w:rPr>
            </w:pPr>
            <w:r w:rsidRPr="00D72149">
              <w:rPr>
                <w:rFonts w:ascii="AdvOTb7819099" w:eastAsia="Calibri" w:hAnsi="AdvOTb7819099" w:cs="AdvOTb7819099"/>
                <w:sz w:val="16"/>
                <w:szCs w:val="16"/>
                <w:lang w:val="it-IT" w:eastAsia="it-IT"/>
              </w:rPr>
              <w:t>29.4</w:t>
            </w:r>
            <w:r w:rsidRPr="00D72149">
              <w:rPr>
                <w:rFonts w:ascii="AdvPi1" w:eastAsia="Calibri" w:hAnsi="AdvPi1" w:cs="AdvPi1"/>
                <w:sz w:val="16"/>
                <w:szCs w:val="16"/>
                <w:lang w:val="it-IT" w:eastAsia="it-IT"/>
              </w:rPr>
              <w:t>+</w:t>
            </w:r>
            <w:r w:rsidRPr="00D72149">
              <w:rPr>
                <w:rFonts w:ascii="AdvOTb7819099" w:eastAsia="Calibri" w:hAnsi="AdvOTb7819099" w:cs="AdvOTb7819099"/>
                <w:sz w:val="16"/>
                <w:szCs w:val="16"/>
                <w:lang w:val="it-IT" w:eastAsia="it-IT"/>
              </w:rPr>
              <w:t>11.3 for Control</w:t>
            </w:r>
          </w:p>
          <w:p w14:paraId="3601C6EB" w14:textId="77777777" w:rsidR="00593BC2" w:rsidRPr="00D72149" w:rsidRDefault="00593BC2" w:rsidP="00375DCA">
            <w:pPr>
              <w:spacing w:line="240" w:lineRule="auto"/>
              <w:rPr>
                <w:rFonts w:ascii="AdvOTb7819099" w:eastAsia="Calibri" w:hAnsi="AdvOTb7819099" w:cs="AdvOTb7819099"/>
                <w:sz w:val="16"/>
                <w:szCs w:val="16"/>
                <w:lang w:val="it-IT" w:eastAsia="it-IT"/>
              </w:rPr>
            </w:pPr>
            <w:r w:rsidRPr="00D72149">
              <w:rPr>
                <w:rFonts w:ascii="AdvOTb7819099" w:eastAsia="Calibri" w:hAnsi="AdvOTb7819099" w:cs="AdvOTb7819099"/>
                <w:sz w:val="16"/>
                <w:szCs w:val="16"/>
                <w:lang w:val="it-IT" w:eastAsia="it-IT"/>
              </w:rPr>
              <w:t>29.9</w:t>
            </w:r>
            <w:r w:rsidRPr="00D72149">
              <w:rPr>
                <w:rFonts w:ascii="AdvPi1" w:eastAsia="Calibri" w:hAnsi="AdvPi1" w:cs="AdvPi1"/>
                <w:sz w:val="16"/>
                <w:szCs w:val="16"/>
                <w:lang w:val="it-IT" w:eastAsia="it-IT"/>
              </w:rPr>
              <w:t>+</w:t>
            </w:r>
            <w:r w:rsidRPr="00D72149">
              <w:rPr>
                <w:rFonts w:ascii="AdvOTb7819099" w:eastAsia="Calibri" w:hAnsi="AdvOTb7819099" w:cs="AdvOTb7819099"/>
                <w:sz w:val="16"/>
                <w:szCs w:val="16"/>
                <w:lang w:val="it-IT" w:eastAsia="it-IT"/>
              </w:rPr>
              <w:t xml:space="preserve">10.8 for Intervention </w:t>
            </w:r>
          </w:p>
          <w:p w14:paraId="7D38EE6C" w14:textId="77777777" w:rsidR="00593BC2" w:rsidRPr="00D72149" w:rsidRDefault="00593BC2" w:rsidP="00375DCA">
            <w:pPr>
              <w:spacing w:line="240" w:lineRule="auto"/>
              <w:rPr>
                <w:rFonts w:ascii="Calibri" w:eastAsia="Calibri" w:hAnsi="Calibri" w:cs="Times New Roman"/>
                <w:color w:val="000000"/>
                <w:sz w:val="20"/>
                <w:szCs w:val="20"/>
              </w:rPr>
            </w:pPr>
          </w:p>
        </w:tc>
        <w:tc>
          <w:tcPr>
            <w:tcW w:w="995" w:type="dxa"/>
            <w:shd w:val="clear" w:color="auto" w:fill="FFFFFF"/>
          </w:tcPr>
          <w:p w14:paraId="0C1FA943" w14:textId="77777777" w:rsidR="00593BC2" w:rsidRPr="00D72149" w:rsidRDefault="00593BC2" w:rsidP="00375DC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 xml:space="preserve"> 2 (median)</w:t>
            </w:r>
          </w:p>
        </w:tc>
        <w:tc>
          <w:tcPr>
            <w:tcW w:w="1194" w:type="dxa"/>
            <w:shd w:val="clear" w:color="auto" w:fill="FFFFFF"/>
          </w:tcPr>
          <w:p w14:paraId="35AD24EA"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701 days</w:t>
            </w:r>
          </w:p>
        </w:tc>
        <w:tc>
          <w:tcPr>
            <w:tcW w:w="1355" w:type="dxa"/>
            <w:shd w:val="clear" w:color="auto" w:fill="FFFFFF"/>
          </w:tcPr>
          <w:p w14:paraId="4E6DF9FA" w14:textId="77777777" w:rsidR="00593BC2" w:rsidRPr="00D72149" w:rsidRDefault="00593BC2" w:rsidP="00375DCA">
            <w:pPr>
              <w:spacing w:line="240" w:lineRule="auto"/>
              <w:jc w:val="center"/>
              <w:rPr>
                <w:rFonts w:ascii="Calibri" w:eastAsia="Calibri" w:hAnsi="Calibri" w:cs="Times New Roman"/>
                <w:color w:val="000000"/>
                <w:sz w:val="20"/>
                <w:szCs w:val="20"/>
              </w:rPr>
            </w:pPr>
            <w:r w:rsidRPr="00D72149">
              <w:rPr>
                <w:rFonts w:ascii="Times New Roman" w:eastAsia="Calibri" w:hAnsi="Times New Roman" w:cs="Times New Roman"/>
                <w:sz w:val="17"/>
                <w:szCs w:val="17"/>
              </w:rPr>
              <w:t>&gt;4-12 sec</w:t>
            </w:r>
          </w:p>
        </w:tc>
        <w:tc>
          <w:tcPr>
            <w:tcW w:w="1624" w:type="dxa"/>
            <w:shd w:val="clear" w:color="auto" w:fill="FFFFFF"/>
            <w:tcMar>
              <w:top w:w="72" w:type="dxa"/>
              <w:left w:w="144" w:type="dxa"/>
              <w:bottom w:w="72" w:type="dxa"/>
              <w:right w:w="144" w:type="dxa"/>
            </w:tcMar>
          </w:tcPr>
          <w:p w14:paraId="6C1BC4E8" w14:textId="77777777" w:rsidR="00593BC2" w:rsidRPr="00D72149" w:rsidRDefault="00593BC2" w:rsidP="00375DCA">
            <w:pPr>
              <w:spacing w:line="240" w:lineRule="auto"/>
              <w:rPr>
                <w:rFonts w:ascii="Calibri" w:eastAsia="Calibri" w:hAnsi="Calibri" w:cs="Times New Roman"/>
                <w:color w:val="000000"/>
                <w:kern w:val="24"/>
                <w:sz w:val="20"/>
                <w:szCs w:val="20"/>
              </w:rPr>
            </w:pPr>
            <w:r w:rsidRPr="00D72149">
              <w:rPr>
                <w:rFonts w:ascii="Calibri" w:eastAsia="Calibri" w:hAnsi="Calibri" w:cs="Times New Roman"/>
                <w:color w:val="000000"/>
                <w:sz w:val="20"/>
                <w:szCs w:val="20"/>
              </w:rPr>
              <w:t>945/2718 (34.8%)</w:t>
            </w:r>
          </w:p>
        </w:tc>
      </w:tr>
      <w:tr w:rsidR="00593BC2" w:rsidRPr="00D72149" w14:paraId="0BFDA6D7" w14:textId="77777777" w:rsidTr="00375DCA">
        <w:trPr>
          <w:trHeight w:val="21"/>
        </w:trPr>
        <w:tc>
          <w:tcPr>
            <w:tcW w:w="850" w:type="dxa"/>
            <w:shd w:val="clear" w:color="auto" w:fill="FFFFFF"/>
            <w:tcMar>
              <w:top w:w="72" w:type="dxa"/>
              <w:left w:w="144" w:type="dxa"/>
              <w:bottom w:w="72" w:type="dxa"/>
              <w:right w:w="144" w:type="dxa"/>
            </w:tcMar>
          </w:tcPr>
          <w:p w14:paraId="2FE760A9" w14:textId="77777777" w:rsidR="00593BC2" w:rsidRPr="00D72149" w:rsidRDefault="00593BC2" w:rsidP="00375DC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2016</w:t>
            </w:r>
          </w:p>
        </w:tc>
        <w:tc>
          <w:tcPr>
            <w:tcW w:w="1262" w:type="dxa"/>
            <w:shd w:val="clear" w:color="auto" w:fill="FFFFFF"/>
            <w:tcMar>
              <w:top w:w="72" w:type="dxa"/>
              <w:left w:w="144" w:type="dxa"/>
              <w:bottom w:w="72" w:type="dxa"/>
              <w:right w:w="144" w:type="dxa"/>
            </w:tcMar>
          </w:tcPr>
          <w:p w14:paraId="5A73FDE0" w14:textId="77777777" w:rsidR="00593BC2" w:rsidRPr="00D72149" w:rsidRDefault="00593BC2" w:rsidP="00375DC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RATE Registry</w:t>
            </w:r>
            <w:r>
              <w:t xml:space="preserve"> </w:t>
            </w:r>
            <w:r w:rsidRPr="00870A77">
              <w:rPr>
                <w:rFonts w:ascii="Calibri" w:eastAsia="Calibri" w:hAnsi="Calibri" w:cs="Times New Roman"/>
                <w:noProof/>
                <w:color w:val="000000"/>
                <w:sz w:val="20"/>
                <w:szCs w:val="20"/>
                <w:vertAlign w:val="superscript"/>
              </w:rPr>
              <w:t>13</w:t>
            </w:r>
            <w:r w:rsidRPr="00D72149">
              <w:rPr>
                <w:rFonts w:ascii="Calibri" w:eastAsia="Calibri" w:hAnsi="Calibri" w:cs="Times New Roman"/>
                <w:color w:val="000000"/>
                <w:sz w:val="20"/>
                <w:szCs w:val="20"/>
              </w:rPr>
              <w:t xml:space="preserve"> </w:t>
            </w:r>
          </w:p>
        </w:tc>
        <w:tc>
          <w:tcPr>
            <w:tcW w:w="1454" w:type="dxa"/>
            <w:shd w:val="clear" w:color="auto" w:fill="FFFFFF"/>
            <w:tcMar>
              <w:top w:w="72" w:type="dxa"/>
              <w:left w:w="144" w:type="dxa"/>
              <w:bottom w:w="72" w:type="dxa"/>
              <w:right w:w="144" w:type="dxa"/>
            </w:tcMar>
          </w:tcPr>
          <w:p w14:paraId="2EDF515E" w14:textId="77777777" w:rsidR="00593BC2" w:rsidRPr="00D72149" w:rsidRDefault="00593BC2" w:rsidP="00375DCA">
            <w:pPr>
              <w:spacing w:line="240" w:lineRule="auto"/>
              <w:rPr>
                <w:rFonts w:ascii="Calibri" w:eastAsia="Calibri" w:hAnsi="Calibri" w:cs="Times New Roman"/>
                <w:color w:val="000000"/>
                <w:sz w:val="20"/>
                <w:szCs w:val="20"/>
              </w:rPr>
            </w:pPr>
            <w:r w:rsidRPr="00D72149">
              <w:rPr>
                <w:rFonts w:ascii="Calibri" w:eastAsia="Calibri" w:hAnsi="Calibri" w:cs="Times New Roman"/>
              </w:rPr>
              <w:t>PPMs and ICDs</w:t>
            </w:r>
          </w:p>
        </w:tc>
        <w:tc>
          <w:tcPr>
            <w:tcW w:w="1904" w:type="dxa"/>
            <w:shd w:val="clear" w:color="auto" w:fill="FFFFFF"/>
            <w:tcMar>
              <w:top w:w="72" w:type="dxa"/>
              <w:left w:w="144" w:type="dxa"/>
              <w:bottom w:w="72" w:type="dxa"/>
              <w:right w:w="144" w:type="dxa"/>
            </w:tcMar>
          </w:tcPr>
          <w:p w14:paraId="48415891" w14:textId="77777777" w:rsidR="00593BC2" w:rsidRPr="00D72149" w:rsidRDefault="00593BC2" w:rsidP="00375DCA">
            <w:pPr>
              <w:rPr>
                <w:rFonts w:ascii="Calibri" w:eastAsia="Calibri" w:hAnsi="Calibri" w:cs="Times New Roman"/>
              </w:rPr>
            </w:pPr>
            <w:r w:rsidRPr="00D72149">
              <w:rPr>
                <w:rFonts w:ascii="Calibri" w:eastAsia="Calibri" w:hAnsi="Calibri" w:cs="Times New Roman"/>
              </w:rPr>
              <w:t>All</w:t>
            </w:r>
          </w:p>
          <w:p w14:paraId="0DEF8F37" w14:textId="77777777" w:rsidR="00593BC2" w:rsidRPr="00D72149" w:rsidRDefault="00593BC2" w:rsidP="00375DCA">
            <w:pPr>
              <w:rPr>
                <w:rFonts w:ascii="Calibri" w:eastAsia="Calibri" w:hAnsi="Calibri" w:cs="Times New Roman"/>
                <w:color w:val="000000"/>
                <w:sz w:val="20"/>
                <w:szCs w:val="20"/>
              </w:rPr>
            </w:pPr>
            <w:r w:rsidRPr="00D72149">
              <w:rPr>
                <w:rFonts w:ascii="Calibri" w:eastAsia="Calibri" w:hAnsi="Calibri" w:cs="Times New Roman"/>
              </w:rPr>
              <w:t xml:space="preserve">No permanent AF,                            </w:t>
            </w:r>
          </w:p>
        </w:tc>
        <w:tc>
          <w:tcPr>
            <w:tcW w:w="916" w:type="dxa"/>
            <w:shd w:val="clear" w:color="auto" w:fill="FFFFFF"/>
          </w:tcPr>
          <w:p w14:paraId="3A55F0F8" w14:textId="77777777" w:rsidR="00593BC2" w:rsidRPr="00D72149" w:rsidRDefault="00593BC2" w:rsidP="00375DCA">
            <w:pPr>
              <w:spacing w:line="240" w:lineRule="auto"/>
              <w:rPr>
                <w:rFonts w:ascii="Times New Roman" w:eastAsia="Calibri" w:hAnsi="Times New Roman" w:cs="Times New Roman"/>
                <w:sz w:val="18"/>
                <w:szCs w:val="18"/>
              </w:rPr>
            </w:pPr>
            <w:r w:rsidRPr="00D72149">
              <w:rPr>
                <w:rFonts w:ascii="Times New Roman" w:eastAsia="Calibri" w:hAnsi="Times New Roman" w:cs="Times New Roman"/>
                <w:sz w:val="18"/>
                <w:szCs w:val="18"/>
              </w:rPr>
              <w:t xml:space="preserve">73.6±11.8 for PPMs,  </w:t>
            </w:r>
          </w:p>
          <w:p w14:paraId="0E0A3895" w14:textId="77777777" w:rsidR="00593BC2" w:rsidRPr="00D72149" w:rsidRDefault="00593BC2" w:rsidP="00375DCA">
            <w:pPr>
              <w:spacing w:line="240" w:lineRule="auto"/>
              <w:rPr>
                <w:rFonts w:ascii="Calibri" w:eastAsia="Calibri" w:hAnsi="Calibri" w:cs="Times New Roman"/>
              </w:rPr>
            </w:pPr>
            <w:r w:rsidRPr="00D72149">
              <w:rPr>
                <w:rFonts w:ascii="Times New Roman" w:eastAsia="Calibri" w:hAnsi="Times New Roman" w:cs="Times New Roman"/>
                <w:sz w:val="18"/>
                <w:szCs w:val="18"/>
              </w:rPr>
              <w:t>64.5±12.6 for ICDs</w:t>
            </w:r>
          </w:p>
        </w:tc>
        <w:tc>
          <w:tcPr>
            <w:tcW w:w="847" w:type="dxa"/>
            <w:shd w:val="clear" w:color="auto" w:fill="FFFFFF"/>
          </w:tcPr>
          <w:p w14:paraId="3929617B" w14:textId="77777777" w:rsidR="00593BC2" w:rsidRPr="00D72149" w:rsidRDefault="00593BC2" w:rsidP="00375DCA">
            <w:pPr>
              <w:spacing w:line="240" w:lineRule="auto"/>
              <w:rPr>
                <w:rFonts w:ascii="Calibri" w:eastAsia="Calibri" w:hAnsi="Calibri" w:cs="Times New Roman"/>
              </w:rPr>
            </w:pPr>
            <w:r w:rsidRPr="00D72149">
              <w:rPr>
                <w:rFonts w:ascii="Calibri" w:eastAsia="Calibri" w:hAnsi="Calibri" w:cs="Times New Roman"/>
              </w:rPr>
              <w:t>54% in PPM</w:t>
            </w:r>
          </w:p>
          <w:p w14:paraId="038D6BC0" w14:textId="77777777" w:rsidR="00593BC2" w:rsidRPr="00D72149" w:rsidRDefault="00593BC2" w:rsidP="00375DCA">
            <w:pPr>
              <w:spacing w:line="240" w:lineRule="auto"/>
              <w:rPr>
                <w:rFonts w:ascii="Calibri" w:eastAsia="Calibri" w:hAnsi="Calibri" w:cs="Times New Roman"/>
              </w:rPr>
            </w:pPr>
            <w:r>
              <w:rPr>
                <w:rFonts w:ascii="Calibri" w:eastAsia="Calibri" w:hAnsi="Calibri" w:cs="Times New Roman"/>
              </w:rPr>
              <w:t>72% in ICD</w:t>
            </w:r>
            <w:r w:rsidRPr="00D72149">
              <w:rPr>
                <w:rFonts w:ascii="Calibri" w:eastAsia="Calibri" w:hAnsi="Calibri" w:cs="Times New Roman"/>
              </w:rPr>
              <w:t>s</w:t>
            </w:r>
          </w:p>
        </w:tc>
        <w:tc>
          <w:tcPr>
            <w:tcW w:w="847" w:type="dxa"/>
            <w:shd w:val="clear" w:color="auto" w:fill="FFFFFF"/>
          </w:tcPr>
          <w:p w14:paraId="636B63D6" w14:textId="77777777" w:rsidR="00593BC2" w:rsidRPr="00D72149" w:rsidRDefault="00593BC2" w:rsidP="00375DCA">
            <w:pPr>
              <w:spacing w:line="240" w:lineRule="auto"/>
              <w:rPr>
                <w:rFonts w:ascii="HelveticaNeueLTStd-LtCn" w:eastAsia="Calibri" w:hAnsi="HelveticaNeueLTStd-LtCn" w:cs="HelveticaNeueLTStd-LtCn"/>
                <w:sz w:val="18"/>
                <w:szCs w:val="18"/>
                <w:lang w:val="it-IT" w:eastAsia="it-IT"/>
              </w:rPr>
            </w:pPr>
            <w:r w:rsidRPr="00D72149">
              <w:rPr>
                <w:rFonts w:ascii="HelveticaNeueLTStd-LtCn" w:eastAsia="Calibri" w:hAnsi="HelveticaNeueLTStd-LtCn" w:cs="HelveticaNeueLTStd-LtCn"/>
                <w:sz w:val="18"/>
                <w:szCs w:val="18"/>
                <w:lang w:val="it-IT" w:eastAsia="it-IT"/>
              </w:rPr>
              <w:t>57.8±10.5 for PPM</w:t>
            </w:r>
          </w:p>
          <w:p w14:paraId="29E206B3" w14:textId="77777777" w:rsidR="00593BC2" w:rsidRPr="00D72149" w:rsidRDefault="00593BC2" w:rsidP="00375DCA">
            <w:pPr>
              <w:spacing w:line="240" w:lineRule="auto"/>
              <w:rPr>
                <w:rFonts w:ascii="Calibri" w:eastAsia="Calibri" w:hAnsi="Calibri" w:cs="Times New Roman"/>
              </w:rPr>
            </w:pPr>
            <w:r w:rsidRPr="00D72149">
              <w:rPr>
                <w:rFonts w:ascii="HelveticaNeueLTStd-LtCn" w:eastAsia="Calibri" w:hAnsi="HelveticaNeueLTStd-LtCn" w:cs="HelveticaNeueLTStd-LtCn"/>
                <w:sz w:val="18"/>
                <w:szCs w:val="18"/>
                <w:lang w:val="it-IT" w:eastAsia="it-IT"/>
              </w:rPr>
              <w:t>29.2±11.3 for ICDs</w:t>
            </w:r>
          </w:p>
        </w:tc>
        <w:tc>
          <w:tcPr>
            <w:tcW w:w="995" w:type="dxa"/>
            <w:shd w:val="clear" w:color="auto" w:fill="FFFFFF"/>
          </w:tcPr>
          <w:p w14:paraId="5F27C177" w14:textId="77777777" w:rsidR="00593BC2" w:rsidRPr="00D72149" w:rsidRDefault="00593BC2" w:rsidP="00375DCA">
            <w:pPr>
              <w:spacing w:line="240" w:lineRule="auto"/>
              <w:rPr>
                <w:rFonts w:ascii="HelveticaNeueLTStd-LtCn" w:eastAsia="Calibri" w:hAnsi="HelveticaNeueLTStd-LtCn" w:cs="HelveticaNeueLTStd-LtCn"/>
                <w:sz w:val="18"/>
                <w:szCs w:val="18"/>
                <w:lang w:val="it-IT" w:eastAsia="it-IT"/>
              </w:rPr>
            </w:pPr>
            <w:r w:rsidRPr="00D72149">
              <w:rPr>
                <w:rFonts w:ascii="Calibri" w:eastAsia="Calibri" w:hAnsi="Calibri" w:cs="Times New Roman"/>
              </w:rPr>
              <w:t xml:space="preserve"> </w:t>
            </w:r>
            <w:r w:rsidRPr="00D72149">
              <w:rPr>
                <w:rFonts w:ascii="HelveticaNeueLTStd-LtCn" w:eastAsia="Calibri" w:hAnsi="HelveticaNeueLTStd-LtCn" w:cs="HelveticaNeueLTStd-LtCn"/>
                <w:sz w:val="18"/>
                <w:szCs w:val="18"/>
                <w:lang w:val="it-IT" w:eastAsia="it-IT"/>
              </w:rPr>
              <w:t>1.8±1.0 for PPM</w:t>
            </w:r>
          </w:p>
          <w:p w14:paraId="1335D42A" w14:textId="77777777" w:rsidR="00593BC2" w:rsidRPr="00D72149" w:rsidRDefault="00593BC2" w:rsidP="00375DCA">
            <w:pPr>
              <w:spacing w:line="240" w:lineRule="auto"/>
              <w:rPr>
                <w:rFonts w:ascii="Calibri" w:eastAsia="Calibri" w:hAnsi="Calibri" w:cs="Times New Roman"/>
              </w:rPr>
            </w:pPr>
            <w:r w:rsidRPr="00D72149">
              <w:rPr>
                <w:rFonts w:ascii="HelveticaNeueLTStd-LtCn" w:eastAsia="Calibri" w:hAnsi="HelveticaNeueLTStd-LtCn" w:cs="HelveticaNeueLTStd-LtCn"/>
                <w:sz w:val="18"/>
                <w:szCs w:val="18"/>
                <w:lang w:val="it-IT" w:eastAsia="it-IT"/>
              </w:rPr>
              <w:t>2.0±0.8 for ICDs</w:t>
            </w:r>
          </w:p>
        </w:tc>
        <w:tc>
          <w:tcPr>
            <w:tcW w:w="1194" w:type="dxa"/>
            <w:shd w:val="clear" w:color="auto" w:fill="FFFFFF"/>
          </w:tcPr>
          <w:p w14:paraId="1319123F" w14:textId="77777777" w:rsidR="00593BC2" w:rsidRPr="00D72149" w:rsidRDefault="00593BC2" w:rsidP="00375DCA">
            <w:pPr>
              <w:spacing w:line="240" w:lineRule="auto"/>
              <w:rPr>
                <w:rFonts w:ascii="Calibri" w:eastAsia="Calibri" w:hAnsi="Calibri" w:cs="Times New Roman"/>
                <w:color w:val="000000"/>
                <w:sz w:val="20"/>
                <w:szCs w:val="20"/>
              </w:rPr>
            </w:pPr>
            <w:r w:rsidRPr="00D72149">
              <w:rPr>
                <w:rFonts w:ascii="Calibri" w:eastAsia="Calibri" w:hAnsi="Calibri" w:cs="Times New Roman"/>
              </w:rPr>
              <w:t xml:space="preserve">22.9 months (median)                   </w:t>
            </w:r>
          </w:p>
        </w:tc>
        <w:tc>
          <w:tcPr>
            <w:tcW w:w="1355" w:type="dxa"/>
            <w:shd w:val="clear" w:color="auto" w:fill="FFFFFF"/>
          </w:tcPr>
          <w:p w14:paraId="43DDBD33" w14:textId="77777777" w:rsidR="00593BC2" w:rsidRPr="00D72149" w:rsidRDefault="00593BC2" w:rsidP="00375DC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&gt; 3 atrial premature complexes</w:t>
            </w:r>
          </w:p>
        </w:tc>
        <w:tc>
          <w:tcPr>
            <w:tcW w:w="1624" w:type="dxa"/>
            <w:shd w:val="clear" w:color="auto" w:fill="FFFFFF"/>
            <w:tcMar>
              <w:top w:w="72" w:type="dxa"/>
              <w:left w:w="144" w:type="dxa"/>
              <w:bottom w:w="72" w:type="dxa"/>
              <w:right w:w="144" w:type="dxa"/>
            </w:tcMar>
          </w:tcPr>
          <w:p w14:paraId="2CB01DDA" w14:textId="77777777" w:rsidR="00593BC2" w:rsidRPr="00D72149" w:rsidRDefault="00593BC2" w:rsidP="00375DC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145/300(48%) of PPM pts</w:t>
            </w:r>
          </w:p>
          <w:p w14:paraId="7B76033E" w14:textId="77777777" w:rsidR="00593BC2" w:rsidRPr="00D72149" w:rsidRDefault="00593BC2" w:rsidP="00375DCA">
            <w:pPr>
              <w:spacing w:line="240" w:lineRule="auto"/>
              <w:rPr>
                <w:rFonts w:ascii="Calibri" w:eastAsia="Calibri" w:hAnsi="Calibri" w:cs="Times New Roman"/>
                <w:color w:val="000000"/>
                <w:sz w:val="20"/>
                <w:szCs w:val="20"/>
              </w:rPr>
            </w:pPr>
            <w:r>
              <w:rPr>
                <w:rFonts w:ascii="Calibri" w:eastAsia="Calibri" w:hAnsi="Calibri" w:cs="Times New Roman"/>
                <w:color w:val="000000"/>
                <w:sz w:val="20"/>
                <w:szCs w:val="20"/>
              </w:rPr>
              <w:t>155/300 (52%) of I</w:t>
            </w:r>
            <w:r w:rsidRPr="00D72149">
              <w:rPr>
                <w:rFonts w:ascii="Calibri" w:eastAsia="Calibri" w:hAnsi="Calibri" w:cs="Times New Roman"/>
                <w:color w:val="000000"/>
                <w:sz w:val="20"/>
                <w:szCs w:val="20"/>
              </w:rPr>
              <w:t>CD pts</w:t>
            </w:r>
          </w:p>
          <w:p w14:paraId="79675390" w14:textId="77777777" w:rsidR="00593BC2" w:rsidRPr="00D72149" w:rsidRDefault="00593BC2" w:rsidP="00375DCA">
            <w:pPr>
              <w:spacing w:line="240" w:lineRule="auto"/>
              <w:rPr>
                <w:rFonts w:ascii="Calibri" w:eastAsia="Calibri" w:hAnsi="Calibri" w:cs="Times New Roman"/>
                <w:color w:val="000000"/>
                <w:sz w:val="20"/>
                <w:szCs w:val="20"/>
              </w:rPr>
            </w:pPr>
            <w:r w:rsidRPr="00D72149">
              <w:rPr>
                <w:rFonts w:ascii="Calibri" w:eastAsia="Calibri" w:hAnsi="Calibri" w:cs="Times New Roman"/>
                <w:color w:val="000000"/>
                <w:sz w:val="20"/>
                <w:szCs w:val="20"/>
              </w:rPr>
              <w:t>Of the representative samples studied</w:t>
            </w:r>
          </w:p>
        </w:tc>
      </w:tr>
    </w:tbl>
    <w:p w14:paraId="1CF62C65" w14:textId="77777777" w:rsidR="00593BC2" w:rsidRPr="00D72149" w:rsidRDefault="00593BC2" w:rsidP="00593BC2">
      <w:pPr>
        <w:spacing w:after="0" w:line="240" w:lineRule="auto"/>
        <w:rPr>
          <w:rFonts w:ascii="Calibri" w:eastAsia="MS Mincho" w:hAnsi="Calibri" w:cs="Times New Roman"/>
          <w:sz w:val="20"/>
          <w:szCs w:val="20"/>
          <w:lang w:val="en-GB" w:eastAsia="sv-SE"/>
        </w:rPr>
      </w:pPr>
    </w:p>
    <w:p w14:paraId="2B11F190" w14:textId="77777777" w:rsidR="00593BC2" w:rsidRPr="00D72149" w:rsidRDefault="00593BC2" w:rsidP="00593BC2">
      <w:pPr>
        <w:keepNext/>
        <w:keepLines/>
        <w:tabs>
          <w:tab w:val="left" w:pos="3119"/>
        </w:tabs>
        <w:spacing w:before="480" w:after="0"/>
        <w:outlineLvl w:val="0"/>
        <w:rPr>
          <w:rFonts w:ascii="Calibri" w:eastAsia="MS Gothic" w:hAnsi="Calibri" w:cs="Times New Roman"/>
          <w:bCs/>
          <w:color w:val="000000"/>
        </w:rPr>
      </w:pPr>
      <w:r w:rsidRPr="00D72149">
        <w:rPr>
          <w:rFonts w:ascii="Calibri" w:eastAsia="MS Gothic" w:hAnsi="Calibri" w:cs="Times New Roman"/>
          <w:b/>
          <w:bCs/>
          <w:color w:val="000000"/>
        </w:rPr>
        <w:t xml:space="preserve">Legend: </w:t>
      </w:r>
      <w:r w:rsidRPr="00D72149">
        <w:rPr>
          <w:rFonts w:ascii="Calibri" w:eastAsia="MS Gothic" w:hAnsi="Calibri" w:cs="Times New Roman"/>
          <w:bCs/>
          <w:color w:val="000000"/>
        </w:rPr>
        <w:t>PPM = permanent pacemaker; ICD = Implanted cardioverter defibrillator</w:t>
      </w:r>
      <w:r>
        <w:rPr>
          <w:rFonts w:ascii="Calibri" w:eastAsia="MS Gothic" w:hAnsi="Calibri" w:cs="Times New Roman"/>
          <w:bCs/>
          <w:color w:val="000000"/>
        </w:rPr>
        <w:t>; AHREs = atrial high rate episodes</w:t>
      </w:r>
    </w:p>
    <w:p w14:paraId="6A6CF71A" w14:textId="77777777" w:rsidR="00597826" w:rsidRDefault="00597826" w:rsidP="00375DCA">
      <w:pPr>
        <w:rPr>
          <w:rFonts w:ascii="Calibri" w:eastAsia="Calibri" w:hAnsi="Calibri" w:cs="Times New Roman"/>
        </w:rPr>
      </w:pPr>
      <w:r w:rsidRPr="00D72149">
        <w:rPr>
          <w:rFonts w:ascii="Calibri" w:eastAsia="Calibri" w:hAnsi="Calibri" w:cs="Times New Roman"/>
        </w:rPr>
        <w:br w:type="page"/>
      </w:r>
    </w:p>
    <w:p w14:paraId="71509FD2" w14:textId="77777777" w:rsidR="00364075" w:rsidRPr="00D72149" w:rsidRDefault="00364075" w:rsidP="00364075">
      <w:pPr>
        <w:spacing w:line="240" w:lineRule="auto"/>
        <w:rPr>
          <w:rFonts w:ascii="Calibri" w:eastAsia="Calibri" w:hAnsi="Calibri" w:cs="Times New Roman"/>
          <w:b/>
          <w:bCs/>
        </w:rPr>
      </w:pPr>
      <w:r w:rsidRPr="00D72149">
        <w:rPr>
          <w:rFonts w:ascii="Calibri" w:eastAsia="Calibri" w:hAnsi="Calibri" w:cs="Times New Roman"/>
          <w:b/>
          <w:bCs/>
        </w:rPr>
        <w:t xml:space="preserve">Table 2: Summary of studies regarding CIED-detected </w:t>
      </w:r>
      <w:r>
        <w:rPr>
          <w:rFonts w:ascii="Calibri" w:eastAsia="MS Gothic" w:hAnsi="Calibri" w:cs="Times New Roman"/>
          <w:bCs/>
          <w:color w:val="000000"/>
        </w:rPr>
        <w:t>atrial high rate episodes</w:t>
      </w:r>
      <w:r w:rsidRPr="00D72149">
        <w:rPr>
          <w:rFonts w:ascii="Calibri" w:eastAsia="Calibri" w:hAnsi="Calibri" w:cs="Times New Roman"/>
          <w:b/>
          <w:bCs/>
        </w:rPr>
        <w:t xml:space="preserve"> </w:t>
      </w:r>
      <w:r>
        <w:rPr>
          <w:rFonts w:ascii="Calibri" w:eastAsia="Calibri" w:hAnsi="Calibri" w:cs="Times New Roman"/>
          <w:b/>
          <w:bCs/>
        </w:rPr>
        <w:t>(</w:t>
      </w:r>
      <w:r w:rsidRPr="00D72149">
        <w:rPr>
          <w:rFonts w:ascii="Calibri" w:eastAsia="Calibri" w:hAnsi="Calibri" w:cs="Times New Roman"/>
          <w:b/>
          <w:bCs/>
        </w:rPr>
        <w:t>AHREs</w:t>
      </w:r>
      <w:r>
        <w:rPr>
          <w:rFonts w:ascii="Calibri" w:eastAsia="Calibri" w:hAnsi="Calibri" w:cs="Times New Roman"/>
          <w:b/>
          <w:bCs/>
        </w:rPr>
        <w:t>)</w:t>
      </w:r>
      <w:r w:rsidRPr="00D72149">
        <w:rPr>
          <w:rFonts w:ascii="Calibri" w:eastAsia="Calibri" w:hAnsi="Calibri" w:cs="Times New Roman"/>
          <w:b/>
          <w:bCs/>
        </w:rPr>
        <w:t xml:space="preserve"> and thromboembolic risk  </w:t>
      </w:r>
    </w:p>
    <w:tbl>
      <w:tblPr>
        <w:tblW w:w="15114"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827"/>
        <w:gridCol w:w="1567"/>
        <w:gridCol w:w="1126"/>
        <w:gridCol w:w="1590"/>
        <w:gridCol w:w="2010"/>
        <w:gridCol w:w="2010"/>
        <w:gridCol w:w="1710"/>
        <w:gridCol w:w="2040"/>
        <w:gridCol w:w="2234"/>
      </w:tblGrid>
      <w:tr w:rsidR="00364075" w:rsidRPr="00D72149" w14:paraId="3E0CF538" w14:textId="77777777" w:rsidTr="00375DCA">
        <w:trPr>
          <w:trHeight w:val="441"/>
        </w:trPr>
        <w:tc>
          <w:tcPr>
            <w:tcW w:w="827" w:type="dxa"/>
          </w:tcPr>
          <w:p w14:paraId="3D103366"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b/>
                <w:bCs/>
                <w:kern w:val="24"/>
                <w:lang w:val="en-AU"/>
              </w:rPr>
              <w:t>Year</w:t>
            </w:r>
          </w:p>
        </w:tc>
        <w:tc>
          <w:tcPr>
            <w:tcW w:w="1567" w:type="dxa"/>
          </w:tcPr>
          <w:p w14:paraId="3190B07D"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b/>
                <w:bCs/>
                <w:kern w:val="24"/>
                <w:lang w:val="en-AU"/>
              </w:rPr>
              <w:t>Trial</w:t>
            </w:r>
          </w:p>
        </w:tc>
        <w:tc>
          <w:tcPr>
            <w:tcW w:w="1126" w:type="dxa"/>
          </w:tcPr>
          <w:p w14:paraId="16CF7C7C"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b/>
                <w:bCs/>
                <w:kern w:val="24"/>
                <w:lang w:val="en-AU"/>
              </w:rPr>
              <w:t xml:space="preserve">Number of patients </w:t>
            </w:r>
          </w:p>
        </w:tc>
        <w:tc>
          <w:tcPr>
            <w:tcW w:w="1590" w:type="dxa"/>
          </w:tcPr>
          <w:p w14:paraId="30E7690E"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b/>
                <w:bCs/>
                <w:kern w:val="24"/>
                <w:lang w:val="en-AU"/>
              </w:rPr>
              <w:t>Duration of Follow-up</w:t>
            </w:r>
          </w:p>
        </w:tc>
        <w:tc>
          <w:tcPr>
            <w:tcW w:w="2010" w:type="dxa"/>
          </w:tcPr>
          <w:p w14:paraId="38B606EB" w14:textId="77777777" w:rsidR="00364075" w:rsidRPr="00D72149" w:rsidRDefault="00364075" w:rsidP="00375DCA">
            <w:pPr>
              <w:spacing w:after="0" w:line="240" w:lineRule="auto"/>
              <w:rPr>
                <w:rFonts w:ascii="Calibri" w:eastAsia="Calibri" w:hAnsi="Calibri" w:cs="Arial"/>
                <w:b/>
                <w:bCs/>
                <w:kern w:val="24"/>
                <w:lang w:val="en-AU"/>
              </w:rPr>
            </w:pPr>
            <w:r w:rsidRPr="00D72149">
              <w:rPr>
                <w:rFonts w:ascii="Calibri" w:eastAsia="Calibri" w:hAnsi="Calibri" w:cs="Arial"/>
                <w:b/>
                <w:bCs/>
                <w:kern w:val="24"/>
                <w:lang w:val="en-AU"/>
              </w:rPr>
              <w:t>AF Burden Threshold</w:t>
            </w:r>
          </w:p>
        </w:tc>
        <w:tc>
          <w:tcPr>
            <w:tcW w:w="2010" w:type="dxa"/>
          </w:tcPr>
          <w:p w14:paraId="3A342E21" w14:textId="77777777" w:rsidR="00364075" w:rsidRPr="00D72149" w:rsidRDefault="00364075" w:rsidP="00375DCA">
            <w:pPr>
              <w:spacing w:after="0" w:line="240" w:lineRule="auto"/>
              <w:rPr>
                <w:rFonts w:ascii="Calibri" w:eastAsia="Calibri" w:hAnsi="Calibri" w:cs="Arial"/>
                <w:b/>
                <w:bCs/>
                <w:kern w:val="24"/>
                <w:lang w:val="en-AU"/>
              </w:rPr>
            </w:pPr>
            <w:r w:rsidRPr="00D72149">
              <w:rPr>
                <w:rFonts w:ascii="Calibri" w:eastAsia="Calibri" w:hAnsi="Calibri" w:cs="Arial"/>
                <w:b/>
                <w:bCs/>
                <w:kern w:val="24"/>
                <w:lang w:val="en-AU"/>
              </w:rPr>
              <w:t>Atrial Rate Cutoff</w:t>
            </w:r>
          </w:p>
        </w:tc>
        <w:tc>
          <w:tcPr>
            <w:tcW w:w="1710" w:type="dxa"/>
          </w:tcPr>
          <w:p w14:paraId="7EDA69C6" w14:textId="77777777" w:rsidR="00364075" w:rsidRPr="00D72149" w:rsidRDefault="00364075" w:rsidP="00375DCA">
            <w:pPr>
              <w:spacing w:after="0" w:line="240" w:lineRule="auto"/>
              <w:rPr>
                <w:rFonts w:ascii="Calibri" w:eastAsia="Calibri" w:hAnsi="Calibri" w:cs="Arial"/>
                <w:b/>
                <w:bCs/>
                <w:kern w:val="24"/>
                <w:lang w:val="en-AU"/>
              </w:rPr>
            </w:pPr>
            <w:r w:rsidRPr="00D72149">
              <w:rPr>
                <w:rFonts w:ascii="Calibri" w:eastAsia="Calibri" w:hAnsi="Calibri" w:cs="Arial"/>
                <w:b/>
                <w:bCs/>
                <w:kern w:val="24"/>
                <w:lang w:val="en-AU"/>
              </w:rPr>
              <w:t>AF Burden Threshold</w:t>
            </w:r>
          </w:p>
        </w:tc>
        <w:tc>
          <w:tcPr>
            <w:tcW w:w="2040" w:type="dxa"/>
          </w:tcPr>
          <w:p w14:paraId="1C18BD34" w14:textId="77777777" w:rsidR="00364075" w:rsidRPr="00D72149" w:rsidRDefault="00364075" w:rsidP="00375DCA">
            <w:pPr>
              <w:spacing w:after="0" w:line="240" w:lineRule="auto"/>
              <w:rPr>
                <w:rFonts w:ascii="Calibri" w:eastAsia="Calibri" w:hAnsi="Calibri" w:cs="Arial"/>
                <w:b/>
                <w:bCs/>
                <w:kern w:val="24"/>
                <w:lang w:val="en-AU"/>
              </w:rPr>
            </w:pPr>
            <w:r w:rsidRPr="00D72149">
              <w:rPr>
                <w:rFonts w:ascii="Calibri" w:eastAsia="Calibri" w:hAnsi="Calibri" w:cs="Arial"/>
                <w:b/>
                <w:bCs/>
                <w:kern w:val="24"/>
                <w:lang w:val="en-AU"/>
              </w:rPr>
              <w:t>Hazard Ratio for TE Event</w:t>
            </w:r>
          </w:p>
        </w:tc>
        <w:tc>
          <w:tcPr>
            <w:tcW w:w="2234" w:type="dxa"/>
          </w:tcPr>
          <w:p w14:paraId="7C1F397F" w14:textId="77777777" w:rsidR="00364075" w:rsidRPr="00D72149" w:rsidRDefault="00364075" w:rsidP="00375DCA">
            <w:pPr>
              <w:spacing w:after="0" w:line="240" w:lineRule="auto"/>
              <w:rPr>
                <w:rFonts w:ascii="Calibri" w:eastAsia="Calibri" w:hAnsi="Calibri" w:cs="Arial"/>
                <w:b/>
                <w:bCs/>
                <w:kern w:val="24"/>
                <w:lang w:val="en-AU"/>
              </w:rPr>
            </w:pPr>
            <w:r w:rsidRPr="00D72149">
              <w:rPr>
                <w:rFonts w:ascii="Calibri" w:eastAsia="Calibri" w:hAnsi="Calibri" w:cs="Arial"/>
                <w:b/>
                <w:bCs/>
                <w:kern w:val="24"/>
                <w:lang w:val="en-AU"/>
              </w:rPr>
              <w:t>TE Event Rate</w:t>
            </w:r>
          </w:p>
          <w:p w14:paraId="54EDB386"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b/>
                <w:bCs/>
                <w:kern w:val="24"/>
                <w:lang w:val="en-AU"/>
              </w:rPr>
              <w:t>(below vs. above AF burden threshold)</w:t>
            </w:r>
          </w:p>
        </w:tc>
      </w:tr>
      <w:tr w:rsidR="00364075" w:rsidRPr="00D72149" w14:paraId="438C7AAB" w14:textId="77777777" w:rsidTr="00375DCA">
        <w:trPr>
          <w:trHeight w:val="506"/>
        </w:trPr>
        <w:tc>
          <w:tcPr>
            <w:tcW w:w="827" w:type="dxa"/>
          </w:tcPr>
          <w:p w14:paraId="12284182"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color w:val="000000"/>
                <w:kern w:val="24"/>
                <w:lang w:val="en-AU"/>
              </w:rPr>
              <w:t>2003</w:t>
            </w:r>
          </w:p>
        </w:tc>
        <w:tc>
          <w:tcPr>
            <w:tcW w:w="1567" w:type="dxa"/>
          </w:tcPr>
          <w:p w14:paraId="2D65DBBD" w14:textId="77777777" w:rsidR="00364075" w:rsidRPr="00D72149" w:rsidRDefault="00364075" w:rsidP="00375DCA">
            <w:pPr>
              <w:spacing w:after="0" w:line="240" w:lineRule="auto"/>
              <w:rPr>
                <w:rFonts w:ascii="Calibri" w:eastAsia="Calibri" w:hAnsi="Calibri" w:cs="Arial"/>
                <w:vertAlign w:val="superscript"/>
                <w:lang w:val="en-AU"/>
              </w:rPr>
            </w:pPr>
            <w:r w:rsidRPr="00D72149">
              <w:rPr>
                <w:rFonts w:ascii="Calibri" w:eastAsia="Calibri" w:hAnsi="Calibri" w:cs="Arial"/>
                <w:lang w:val="en-AU"/>
              </w:rPr>
              <w:t>Ancillary MOST</w:t>
            </w:r>
            <w:r w:rsidRPr="00870A77">
              <w:rPr>
                <w:rFonts w:ascii="Calibri" w:eastAsia="Calibri" w:hAnsi="Calibri" w:cs="Arial"/>
                <w:noProof/>
                <w:vertAlign w:val="superscript"/>
                <w:lang w:val="en-AU"/>
              </w:rPr>
              <w:t>10</w:t>
            </w:r>
          </w:p>
        </w:tc>
        <w:tc>
          <w:tcPr>
            <w:tcW w:w="1126" w:type="dxa"/>
          </w:tcPr>
          <w:p w14:paraId="37ABAE63"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312</w:t>
            </w:r>
          </w:p>
        </w:tc>
        <w:tc>
          <w:tcPr>
            <w:tcW w:w="1590" w:type="dxa"/>
          </w:tcPr>
          <w:p w14:paraId="504DE5CE"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27 months</w:t>
            </w:r>
          </w:p>
          <w:p w14:paraId="5775E182"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(median)</w:t>
            </w:r>
          </w:p>
        </w:tc>
        <w:tc>
          <w:tcPr>
            <w:tcW w:w="2010" w:type="dxa"/>
          </w:tcPr>
          <w:p w14:paraId="6059119D"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5 minutes</w:t>
            </w:r>
          </w:p>
        </w:tc>
        <w:tc>
          <w:tcPr>
            <w:tcW w:w="2010" w:type="dxa"/>
          </w:tcPr>
          <w:p w14:paraId="5405A89F"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&gt;220 bpm</w:t>
            </w:r>
          </w:p>
        </w:tc>
        <w:tc>
          <w:tcPr>
            <w:tcW w:w="1710" w:type="dxa"/>
          </w:tcPr>
          <w:p w14:paraId="7822CDE0"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5 minutes</w:t>
            </w:r>
          </w:p>
        </w:tc>
        <w:tc>
          <w:tcPr>
            <w:tcW w:w="2040" w:type="dxa"/>
          </w:tcPr>
          <w:p w14:paraId="6A40FCB7"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6.7 (p=0.020) </w:t>
            </w:r>
          </w:p>
          <w:p w14:paraId="5A2BD983" w14:textId="77777777" w:rsidR="00364075" w:rsidRPr="00D72149" w:rsidRDefault="00364075" w:rsidP="00375DCA">
            <w:pPr>
              <w:spacing w:after="0" w:line="240" w:lineRule="auto"/>
              <w:rPr>
                <w:rFonts w:ascii="Calibri" w:eastAsia="Calibri" w:hAnsi="Calibri" w:cs="Arial"/>
                <w:color w:val="FF0000"/>
                <w:kern w:val="24"/>
                <w:lang w:val="en-AU"/>
              </w:rPr>
            </w:pPr>
          </w:p>
        </w:tc>
        <w:tc>
          <w:tcPr>
            <w:tcW w:w="2234" w:type="dxa"/>
          </w:tcPr>
          <w:p w14:paraId="5F44590B"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3.2% overall</w:t>
            </w:r>
          </w:p>
          <w:p w14:paraId="5C18EEC2"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(1.3% vs. 5%)</w:t>
            </w:r>
          </w:p>
        </w:tc>
      </w:tr>
      <w:tr w:rsidR="00364075" w:rsidRPr="00D72149" w14:paraId="1B2E7578" w14:textId="77777777" w:rsidTr="00375DCA">
        <w:trPr>
          <w:trHeight w:val="393"/>
        </w:trPr>
        <w:tc>
          <w:tcPr>
            <w:tcW w:w="827" w:type="dxa"/>
          </w:tcPr>
          <w:p w14:paraId="7F4AC510"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2005</w:t>
            </w:r>
          </w:p>
        </w:tc>
        <w:tc>
          <w:tcPr>
            <w:tcW w:w="1567" w:type="dxa"/>
          </w:tcPr>
          <w:p w14:paraId="7276F9EF" w14:textId="77777777" w:rsidR="00364075" w:rsidRPr="00D72149" w:rsidRDefault="00364075" w:rsidP="00375DCA">
            <w:pPr>
              <w:spacing w:after="0" w:line="240" w:lineRule="auto"/>
              <w:rPr>
                <w:rFonts w:ascii="Calibri" w:eastAsia="Calibri" w:hAnsi="Calibri" w:cs="Arial"/>
                <w:color w:val="000000"/>
                <w:kern w:val="24"/>
                <w:vertAlign w:val="superscript"/>
                <w:lang w:val="en-AU"/>
              </w:rPr>
            </w:pPr>
            <w:r w:rsidRPr="00D72149">
              <w:rPr>
                <w:rFonts w:ascii="Calibri" w:eastAsia="Calibri" w:hAnsi="Calibri" w:cs="Arial"/>
                <w:color w:val="000000"/>
                <w:kern w:val="24"/>
                <w:lang w:val="en-AU"/>
              </w:rPr>
              <w:t>Italian AT500 Registry</w:t>
            </w:r>
            <w:r w:rsidRPr="00870A77">
              <w:rPr>
                <w:rFonts w:ascii="Calibri" w:eastAsia="Calibri" w:hAnsi="Calibri" w:cs="Arial"/>
                <w:noProof/>
                <w:color w:val="000000"/>
                <w:kern w:val="24"/>
                <w:vertAlign w:val="superscript"/>
                <w:lang w:val="en-AU"/>
              </w:rPr>
              <w:t>7</w:t>
            </w:r>
          </w:p>
        </w:tc>
        <w:tc>
          <w:tcPr>
            <w:tcW w:w="1126" w:type="dxa"/>
          </w:tcPr>
          <w:p w14:paraId="595F413B"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725</w:t>
            </w:r>
          </w:p>
        </w:tc>
        <w:tc>
          <w:tcPr>
            <w:tcW w:w="1590" w:type="dxa"/>
          </w:tcPr>
          <w:p w14:paraId="36565491"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22 months</w:t>
            </w:r>
          </w:p>
          <w:p w14:paraId="28F71A3D"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(median)</w:t>
            </w:r>
          </w:p>
        </w:tc>
        <w:tc>
          <w:tcPr>
            <w:tcW w:w="2010" w:type="dxa"/>
          </w:tcPr>
          <w:p w14:paraId="2AB66EA7"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24 hours</w:t>
            </w:r>
          </w:p>
        </w:tc>
        <w:tc>
          <w:tcPr>
            <w:tcW w:w="2010" w:type="dxa"/>
          </w:tcPr>
          <w:p w14:paraId="33BFC400"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&gt;174 bpm</w:t>
            </w:r>
          </w:p>
        </w:tc>
        <w:tc>
          <w:tcPr>
            <w:tcW w:w="1710" w:type="dxa"/>
          </w:tcPr>
          <w:p w14:paraId="5ECF0AD7"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24 hours</w:t>
            </w:r>
          </w:p>
        </w:tc>
        <w:tc>
          <w:tcPr>
            <w:tcW w:w="2040" w:type="dxa"/>
          </w:tcPr>
          <w:p w14:paraId="47DFC7F3"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3.1 (p=0.044)</w:t>
            </w:r>
          </w:p>
          <w:p w14:paraId="6F069A0E"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Times New Roman" w:eastAsia="Calibri" w:hAnsi="Times New Roman" w:cs="Times New Roman"/>
                <w:sz w:val="18"/>
                <w:szCs w:val="18"/>
              </w:rPr>
              <w:t>CI 1.1 to 10.5</w:t>
            </w:r>
          </w:p>
        </w:tc>
        <w:tc>
          <w:tcPr>
            <w:tcW w:w="2234" w:type="dxa"/>
          </w:tcPr>
          <w:p w14:paraId="6B50F0B0"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1.2% annual rate</w:t>
            </w:r>
          </w:p>
        </w:tc>
      </w:tr>
      <w:tr w:rsidR="00364075" w:rsidRPr="00D72149" w14:paraId="6CCB15EC" w14:textId="77777777" w:rsidTr="00375DCA">
        <w:trPr>
          <w:trHeight w:val="393"/>
        </w:trPr>
        <w:tc>
          <w:tcPr>
            <w:tcW w:w="827" w:type="dxa"/>
          </w:tcPr>
          <w:p w14:paraId="605D34DD"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2009</w:t>
            </w:r>
          </w:p>
        </w:tc>
        <w:tc>
          <w:tcPr>
            <w:tcW w:w="1567" w:type="dxa"/>
          </w:tcPr>
          <w:p w14:paraId="72C1EBEE" w14:textId="77777777" w:rsidR="00364075" w:rsidRPr="00D72149" w:rsidRDefault="00364075" w:rsidP="00375DCA">
            <w:pPr>
              <w:spacing w:after="0" w:line="240" w:lineRule="auto"/>
              <w:rPr>
                <w:rFonts w:ascii="Calibri" w:eastAsia="Calibri" w:hAnsi="Calibri" w:cs="Arial"/>
                <w:color w:val="000000"/>
                <w:kern w:val="24"/>
                <w:vertAlign w:val="superscript"/>
                <w:lang w:val="en-AU"/>
              </w:rPr>
            </w:pPr>
            <w:r w:rsidRPr="00D72149">
              <w:rPr>
                <w:rFonts w:ascii="Calibri" w:eastAsia="Calibri" w:hAnsi="Calibri" w:cs="Arial"/>
                <w:color w:val="000000"/>
                <w:kern w:val="24"/>
                <w:lang w:val="en-AU"/>
              </w:rPr>
              <w:t>Botto et al.</w:t>
            </w:r>
            <w:r w:rsidRPr="00870A77">
              <w:rPr>
                <w:rFonts w:ascii="Calibri" w:eastAsia="Calibri" w:hAnsi="Calibri" w:cs="Arial"/>
                <w:noProof/>
                <w:color w:val="000000"/>
                <w:kern w:val="24"/>
                <w:vertAlign w:val="superscript"/>
                <w:lang w:val="en-AU"/>
              </w:rPr>
              <w:t>6</w:t>
            </w:r>
            <w:r w:rsidRPr="00D72149">
              <w:rPr>
                <w:rFonts w:ascii="Calibri" w:eastAsia="Calibri" w:hAnsi="Calibri" w:cs="Arial"/>
                <w:color w:val="000000"/>
                <w:kern w:val="24"/>
                <w:vertAlign w:val="superscript"/>
                <w:lang w:val="en-AU"/>
              </w:rPr>
              <w:t xml:space="preserve"> </w:t>
            </w:r>
          </w:p>
        </w:tc>
        <w:tc>
          <w:tcPr>
            <w:tcW w:w="1126" w:type="dxa"/>
          </w:tcPr>
          <w:p w14:paraId="14850E03"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568</w:t>
            </w:r>
          </w:p>
        </w:tc>
        <w:tc>
          <w:tcPr>
            <w:tcW w:w="1590" w:type="dxa"/>
          </w:tcPr>
          <w:p w14:paraId="4F774901"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1 year </w:t>
            </w:r>
          </w:p>
          <w:p w14:paraId="2E3882E2"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(mean)</w:t>
            </w:r>
          </w:p>
        </w:tc>
        <w:tc>
          <w:tcPr>
            <w:tcW w:w="2010" w:type="dxa"/>
          </w:tcPr>
          <w:p w14:paraId="4901D192"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CHADS</w:t>
            </w:r>
            <w:r w:rsidRPr="00D72149">
              <w:rPr>
                <w:rFonts w:ascii="Calibri" w:eastAsia="Calibri" w:hAnsi="Calibri" w:cs="Arial"/>
                <w:color w:val="000000"/>
                <w:kern w:val="24"/>
                <w:vertAlign w:val="subscript"/>
                <w:lang w:val="en-AU"/>
              </w:rPr>
              <w:t>2</w:t>
            </w:r>
            <w:r w:rsidRPr="00D72149">
              <w:rPr>
                <w:rFonts w:ascii="Calibri" w:eastAsia="Calibri" w:hAnsi="Calibri" w:cs="Arial"/>
                <w:color w:val="000000"/>
                <w:kern w:val="24"/>
                <w:lang w:val="en-AU"/>
              </w:rPr>
              <w:t>+AF burden</w:t>
            </w:r>
          </w:p>
        </w:tc>
        <w:tc>
          <w:tcPr>
            <w:tcW w:w="2010" w:type="dxa"/>
          </w:tcPr>
          <w:p w14:paraId="65D1B417"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&gt;174 bpm</w:t>
            </w:r>
          </w:p>
        </w:tc>
        <w:tc>
          <w:tcPr>
            <w:tcW w:w="1710" w:type="dxa"/>
          </w:tcPr>
          <w:p w14:paraId="38F6BF55" w14:textId="77777777" w:rsidR="00364075" w:rsidRPr="00D72149" w:rsidRDefault="00364075" w:rsidP="00375DCA">
            <w:pPr>
              <w:spacing w:after="0" w:line="240" w:lineRule="auto"/>
              <w:ind w:left="134"/>
              <w:rPr>
                <w:rFonts w:ascii="Calibri" w:eastAsia="Calibri" w:hAnsi="Calibri" w:cs="Arial"/>
                <w:color w:val="000000"/>
                <w:kern w:val="24"/>
                <w:lang w:val="en-AU"/>
              </w:rPr>
            </w:pPr>
            <w:r w:rsidRPr="00D72149">
              <w:rPr>
                <w:rFonts w:ascii="Calibri" w:eastAsia="Calibri" w:hAnsi="Calibri" w:cs="Arial"/>
                <w:color w:val="000000"/>
                <w:kern w:val="24"/>
                <w:lang w:val="en-AU"/>
              </w:rPr>
              <w:t>CHADS</w:t>
            </w:r>
            <w:r w:rsidRPr="00D72149">
              <w:rPr>
                <w:rFonts w:ascii="Calibri" w:eastAsia="Calibri" w:hAnsi="Calibri" w:cs="Arial"/>
                <w:color w:val="000000"/>
                <w:kern w:val="24"/>
                <w:vertAlign w:val="subscript"/>
                <w:lang w:val="en-AU"/>
              </w:rPr>
              <w:t>2</w:t>
            </w:r>
            <w:r w:rsidRPr="00D72149">
              <w:rPr>
                <w:rFonts w:ascii="Calibri" w:eastAsia="Calibri" w:hAnsi="Calibri" w:cs="Arial"/>
                <w:color w:val="000000"/>
                <w:kern w:val="24"/>
                <w:lang w:val="en-AU"/>
              </w:rPr>
              <w:t>+AF burden</w:t>
            </w:r>
          </w:p>
        </w:tc>
        <w:tc>
          <w:tcPr>
            <w:tcW w:w="2040" w:type="dxa"/>
          </w:tcPr>
          <w:p w14:paraId="6D16E5B6"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n/a</w:t>
            </w:r>
          </w:p>
        </w:tc>
        <w:tc>
          <w:tcPr>
            <w:tcW w:w="2234" w:type="dxa"/>
          </w:tcPr>
          <w:p w14:paraId="22775C0C"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2.5% overall</w:t>
            </w:r>
          </w:p>
          <w:p w14:paraId="5813059C"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(0.8% vs. 5%)</w:t>
            </w:r>
          </w:p>
        </w:tc>
      </w:tr>
      <w:tr w:rsidR="00364075" w:rsidRPr="00D72149" w14:paraId="7B4F309C" w14:textId="77777777" w:rsidTr="00375DCA">
        <w:trPr>
          <w:trHeight w:val="393"/>
        </w:trPr>
        <w:tc>
          <w:tcPr>
            <w:tcW w:w="827" w:type="dxa"/>
          </w:tcPr>
          <w:p w14:paraId="46150049"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2009</w:t>
            </w:r>
          </w:p>
        </w:tc>
        <w:tc>
          <w:tcPr>
            <w:tcW w:w="1567" w:type="dxa"/>
          </w:tcPr>
          <w:p w14:paraId="2EB8CC9C" w14:textId="77777777" w:rsidR="00364075" w:rsidRPr="00D72149" w:rsidRDefault="00364075" w:rsidP="00375DCA">
            <w:pPr>
              <w:spacing w:after="0" w:line="240" w:lineRule="auto"/>
              <w:rPr>
                <w:rFonts w:ascii="Calibri" w:eastAsia="Calibri" w:hAnsi="Calibri" w:cs="Arial"/>
                <w:color w:val="000000"/>
                <w:kern w:val="24"/>
                <w:vertAlign w:val="superscript"/>
                <w:lang w:val="en-AU"/>
              </w:rPr>
            </w:pPr>
            <w:r w:rsidRPr="00D72149">
              <w:rPr>
                <w:rFonts w:ascii="Calibri" w:eastAsia="Calibri" w:hAnsi="Calibri" w:cs="Arial"/>
                <w:color w:val="000000"/>
                <w:kern w:val="24"/>
                <w:lang w:val="en-AU"/>
              </w:rPr>
              <w:t>TRENDS</w:t>
            </w:r>
            <w:r w:rsidRPr="00870A77">
              <w:rPr>
                <w:rFonts w:ascii="Calibri" w:eastAsia="Calibri" w:hAnsi="Calibri" w:cs="Arial"/>
                <w:noProof/>
                <w:color w:val="000000"/>
                <w:kern w:val="24"/>
                <w:vertAlign w:val="superscript"/>
                <w:lang w:val="en-AU"/>
              </w:rPr>
              <w:t>9</w:t>
            </w:r>
          </w:p>
        </w:tc>
        <w:tc>
          <w:tcPr>
            <w:tcW w:w="1126" w:type="dxa"/>
          </w:tcPr>
          <w:p w14:paraId="028E3938"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2486</w:t>
            </w:r>
          </w:p>
        </w:tc>
        <w:tc>
          <w:tcPr>
            <w:tcW w:w="1590" w:type="dxa"/>
          </w:tcPr>
          <w:p w14:paraId="2535C3D4"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1.4 years</w:t>
            </w:r>
          </w:p>
          <w:p w14:paraId="1AA6757C"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(mean)</w:t>
            </w:r>
          </w:p>
        </w:tc>
        <w:tc>
          <w:tcPr>
            <w:tcW w:w="2010" w:type="dxa"/>
          </w:tcPr>
          <w:p w14:paraId="7EF5DBE0"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5.5 hours</w:t>
            </w:r>
          </w:p>
        </w:tc>
        <w:tc>
          <w:tcPr>
            <w:tcW w:w="2010" w:type="dxa"/>
          </w:tcPr>
          <w:p w14:paraId="39012BAB"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&gt;175 bpm</w:t>
            </w:r>
          </w:p>
        </w:tc>
        <w:tc>
          <w:tcPr>
            <w:tcW w:w="1710" w:type="dxa"/>
          </w:tcPr>
          <w:p w14:paraId="7CF50C5E"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5.5 hours</w:t>
            </w:r>
          </w:p>
        </w:tc>
        <w:tc>
          <w:tcPr>
            <w:tcW w:w="2040" w:type="dxa"/>
          </w:tcPr>
          <w:p w14:paraId="5FE87CC4"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2.2 (p=0.060)</w:t>
            </w:r>
          </w:p>
          <w:p w14:paraId="7507468A"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Times New Roman" w:eastAsia="Calibri" w:hAnsi="Times New Roman" w:cs="Times New Roman"/>
                <w:sz w:val="20"/>
                <w:szCs w:val="20"/>
                <w:lang w:val="en-AU"/>
              </w:rPr>
              <w:t>(0.96 to 5.05, p= 0.06)</w:t>
            </w:r>
          </w:p>
        </w:tc>
        <w:tc>
          <w:tcPr>
            <w:tcW w:w="2234" w:type="dxa"/>
          </w:tcPr>
          <w:p w14:paraId="332A0615"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1.2% overall</w:t>
            </w:r>
          </w:p>
          <w:p w14:paraId="6E382779"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(1.1% vs. 2.4%)</w:t>
            </w:r>
          </w:p>
        </w:tc>
      </w:tr>
      <w:tr w:rsidR="00364075" w:rsidRPr="00D72149" w14:paraId="159BDF1A" w14:textId="77777777" w:rsidTr="00375DCA">
        <w:trPr>
          <w:trHeight w:val="393"/>
        </w:trPr>
        <w:tc>
          <w:tcPr>
            <w:tcW w:w="827" w:type="dxa"/>
          </w:tcPr>
          <w:p w14:paraId="2808C0FE"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color w:val="000000"/>
                <w:kern w:val="24"/>
                <w:lang w:val="en-AU"/>
              </w:rPr>
              <w:t>2012</w:t>
            </w:r>
          </w:p>
        </w:tc>
        <w:tc>
          <w:tcPr>
            <w:tcW w:w="1567" w:type="dxa"/>
          </w:tcPr>
          <w:p w14:paraId="72E08E89" w14:textId="77777777" w:rsidR="00364075" w:rsidRPr="00D72149" w:rsidRDefault="00364075" w:rsidP="00375DCA">
            <w:pPr>
              <w:spacing w:after="0" w:line="240" w:lineRule="auto"/>
              <w:rPr>
                <w:rFonts w:ascii="Calibri" w:eastAsia="Calibri" w:hAnsi="Calibri" w:cs="Arial"/>
                <w:color w:val="000000"/>
                <w:kern w:val="24"/>
                <w:vertAlign w:val="superscript"/>
                <w:lang w:val="en-AU"/>
              </w:rPr>
            </w:pPr>
            <w:r w:rsidRPr="00D72149">
              <w:rPr>
                <w:rFonts w:ascii="Calibri" w:eastAsia="Calibri" w:hAnsi="Calibri" w:cs="Arial"/>
                <w:color w:val="000000"/>
                <w:kern w:val="24"/>
                <w:lang w:val="en-AU"/>
              </w:rPr>
              <w:t>Home Monitor CRT</w:t>
            </w:r>
            <w:r w:rsidRPr="008D370F">
              <w:rPr>
                <w:rFonts w:ascii="Calibri" w:eastAsia="Calibri" w:hAnsi="Calibri" w:cs="Arial"/>
                <w:noProof/>
                <w:color w:val="000000"/>
                <w:kern w:val="24"/>
                <w:vertAlign w:val="superscript"/>
                <w:lang w:val="en-AU"/>
              </w:rPr>
              <w:t>17</w:t>
            </w:r>
          </w:p>
        </w:tc>
        <w:tc>
          <w:tcPr>
            <w:tcW w:w="1126" w:type="dxa"/>
          </w:tcPr>
          <w:p w14:paraId="2BC91BCD"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560</w:t>
            </w:r>
          </w:p>
        </w:tc>
        <w:tc>
          <w:tcPr>
            <w:tcW w:w="1590" w:type="dxa"/>
          </w:tcPr>
          <w:p w14:paraId="5D3C4F07"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370 days</w:t>
            </w:r>
          </w:p>
          <w:p w14:paraId="6DB0AB4A"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(median)</w:t>
            </w:r>
          </w:p>
        </w:tc>
        <w:tc>
          <w:tcPr>
            <w:tcW w:w="2010" w:type="dxa"/>
          </w:tcPr>
          <w:p w14:paraId="2DA8175E"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3.8 hours</w:t>
            </w:r>
          </w:p>
        </w:tc>
        <w:tc>
          <w:tcPr>
            <w:tcW w:w="2010" w:type="dxa"/>
          </w:tcPr>
          <w:p w14:paraId="249530C4"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&gt;180 bpm</w:t>
            </w:r>
          </w:p>
        </w:tc>
        <w:tc>
          <w:tcPr>
            <w:tcW w:w="1710" w:type="dxa"/>
          </w:tcPr>
          <w:p w14:paraId="0A7C8ADA"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3.8 hours</w:t>
            </w:r>
          </w:p>
        </w:tc>
        <w:tc>
          <w:tcPr>
            <w:tcW w:w="2040" w:type="dxa"/>
          </w:tcPr>
          <w:p w14:paraId="66E770C9" w14:textId="77777777" w:rsidR="00364075" w:rsidRPr="00D72149" w:rsidRDefault="00364075" w:rsidP="00375DCA">
            <w:pPr>
              <w:widowControl w:val="0"/>
              <w:autoSpaceDE w:val="0"/>
              <w:autoSpaceDN w:val="0"/>
              <w:adjustRightInd w:val="0"/>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9.4 (p=0.006) </w:t>
            </w:r>
            <w:r w:rsidRPr="00D72149">
              <w:rPr>
                <w:rFonts w:ascii="Times New Roman" w:eastAsia="Calibri" w:hAnsi="Times New Roman" w:cs="Times New Roman"/>
                <w:color w:val="231F20"/>
                <w:sz w:val="18"/>
                <w:szCs w:val="18"/>
                <w:lang w:val="en-AU"/>
              </w:rPr>
              <w:t>(1.8–47, 0,  p=0.006)</w:t>
            </w:r>
          </w:p>
        </w:tc>
        <w:tc>
          <w:tcPr>
            <w:tcW w:w="2234" w:type="dxa"/>
          </w:tcPr>
          <w:p w14:paraId="57DEB392"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2.0% overall</w:t>
            </w:r>
          </w:p>
        </w:tc>
      </w:tr>
      <w:tr w:rsidR="00364075" w:rsidRPr="00D72149" w14:paraId="7BE89A35" w14:textId="77777777" w:rsidTr="00375DCA">
        <w:trPr>
          <w:trHeight w:val="393"/>
        </w:trPr>
        <w:tc>
          <w:tcPr>
            <w:tcW w:w="827" w:type="dxa"/>
          </w:tcPr>
          <w:p w14:paraId="17CAB3FA"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color w:val="000000"/>
                <w:kern w:val="24"/>
                <w:lang w:val="en-AU"/>
              </w:rPr>
              <w:t>2012</w:t>
            </w:r>
          </w:p>
        </w:tc>
        <w:tc>
          <w:tcPr>
            <w:tcW w:w="1567" w:type="dxa"/>
          </w:tcPr>
          <w:p w14:paraId="566734E4" w14:textId="77777777" w:rsidR="00364075" w:rsidRPr="00D72149" w:rsidRDefault="00364075" w:rsidP="00375DCA">
            <w:pPr>
              <w:spacing w:after="0" w:line="240" w:lineRule="auto"/>
              <w:rPr>
                <w:rFonts w:ascii="Calibri" w:eastAsia="Calibri" w:hAnsi="Calibri" w:cs="Arial"/>
                <w:color w:val="000000"/>
                <w:kern w:val="24"/>
                <w:vertAlign w:val="superscript"/>
                <w:lang w:val="en-AU"/>
              </w:rPr>
            </w:pPr>
            <w:r w:rsidRPr="00D72149">
              <w:rPr>
                <w:rFonts w:ascii="Calibri" w:eastAsia="Calibri" w:hAnsi="Calibri" w:cs="Arial"/>
                <w:color w:val="000000"/>
                <w:kern w:val="24"/>
                <w:lang w:val="en-AU"/>
              </w:rPr>
              <w:t>ASSERT</w:t>
            </w:r>
            <w:r w:rsidRPr="00870A77">
              <w:rPr>
                <w:rFonts w:ascii="Calibri" w:eastAsia="Calibri" w:hAnsi="Calibri" w:cs="Times New Roman"/>
                <w:noProof/>
                <w:vertAlign w:val="superscript"/>
                <w:lang w:val="en-AU"/>
              </w:rPr>
              <w:t>11</w:t>
            </w:r>
          </w:p>
        </w:tc>
        <w:tc>
          <w:tcPr>
            <w:tcW w:w="1126" w:type="dxa"/>
          </w:tcPr>
          <w:p w14:paraId="5064FC13"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2580</w:t>
            </w:r>
          </w:p>
        </w:tc>
        <w:tc>
          <w:tcPr>
            <w:tcW w:w="1590" w:type="dxa"/>
          </w:tcPr>
          <w:p w14:paraId="4D27384C"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2.5 years</w:t>
            </w:r>
          </w:p>
          <w:p w14:paraId="74A79BD0"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(mean)</w:t>
            </w:r>
          </w:p>
        </w:tc>
        <w:tc>
          <w:tcPr>
            <w:tcW w:w="2010" w:type="dxa"/>
          </w:tcPr>
          <w:p w14:paraId="5D118374"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6 minutes</w:t>
            </w:r>
          </w:p>
        </w:tc>
        <w:tc>
          <w:tcPr>
            <w:tcW w:w="2010" w:type="dxa"/>
          </w:tcPr>
          <w:p w14:paraId="03ECF3F4"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&gt;190 bpm</w:t>
            </w:r>
          </w:p>
        </w:tc>
        <w:tc>
          <w:tcPr>
            <w:tcW w:w="1710" w:type="dxa"/>
          </w:tcPr>
          <w:p w14:paraId="34577FF4"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6 minutes</w:t>
            </w:r>
          </w:p>
        </w:tc>
        <w:tc>
          <w:tcPr>
            <w:tcW w:w="2040" w:type="dxa"/>
          </w:tcPr>
          <w:p w14:paraId="1BD482D8"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Calibri" w:eastAsia="Calibri" w:hAnsi="Calibri" w:cs="Arial"/>
                <w:color w:val="000000"/>
                <w:kern w:val="24"/>
                <w:lang w:val="en-AU"/>
              </w:rPr>
              <w:t xml:space="preserve"> 2.5 (p=0.007) </w:t>
            </w:r>
          </w:p>
          <w:p w14:paraId="42AC4BB8" w14:textId="77777777" w:rsidR="00364075" w:rsidRPr="00D72149" w:rsidRDefault="00364075" w:rsidP="00375DCA">
            <w:pPr>
              <w:spacing w:after="0" w:line="240" w:lineRule="auto"/>
              <w:rPr>
                <w:rFonts w:ascii="Calibri" w:eastAsia="Calibri" w:hAnsi="Calibri" w:cs="Arial"/>
                <w:color w:val="000000"/>
                <w:kern w:val="24"/>
                <w:lang w:val="en-AU"/>
              </w:rPr>
            </w:pPr>
            <w:r w:rsidRPr="00D72149">
              <w:rPr>
                <w:rFonts w:ascii="OTNEJMQuadraat" w:eastAsia="Calibri" w:hAnsi="OTNEJMQuadraat" w:cs="Times New Roman"/>
                <w:sz w:val="24"/>
                <w:szCs w:val="24"/>
              </w:rPr>
              <w:t xml:space="preserve"> </w:t>
            </w:r>
            <w:r w:rsidRPr="00D72149">
              <w:rPr>
                <w:rFonts w:ascii="OTNEJMQuadraat" w:eastAsia="Calibri" w:hAnsi="OTNEJMQuadraat" w:cs="OTNEJMQuadraat"/>
                <w:color w:val="000000"/>
                <w:sz w:val="20"/>
                <w:szCs w:val="20"/>
              </w:rPr>
              <w:t>CI, 1.28 to 4.85</w:t>
            </w:r>
          </w:p>
        </w:tc>
        <w:tc>
          <w:tcPr>
            <w:tcW w:w="2234" w:type="dxa"/>
          </w:tcPr>
          <w:p w14:paraId="66E1B4F9" w14:textId="77777777" w:rsidR="00364075" w:rsidRPr="00D72149" w:rsidRDefault="00364075" w:rsidP="00375DCA">
            <w:pPr>
              <w:spacing w:after="0" w:line="240" w:lineRule="auto"/>
              <w:rPr>
                <w:rFonts w:ascii="Calibri" w:eastAsia="Calibri" w:hAnsi="Calibri" w:cs="Arial"/>
                <w:lang w:val="en-AU"/>
              </w:rPr>
            </w:pPr>
            <w:r w:rsidRPr="00D72149">
              <w:rPr>
                <w:rFonts w:ascii="Calibri" w:eastAsia="Calibri" w:hAnsi="Calibri" w:cs="Arial"/>
                <w:lang w:val="en-AU"/>
              </w:rPr>
              <w:t>(0.69% vs. 1.69%)</w:t>
            </w:r>
          </w:p>
        </w:tc>
      </w:tr>
      <w:tr w:rsidR="00364075" w:rsidRPr="00D72149" w14:paraId="6A6C37EB" w14:textId="77777777" w:rsidTr="00375DCA">
        <w:trPr>
          <w:trHeight w:val="393"/>
        </w:trPr>
        <w:tc>
          <w:tcPr>
            <w:tcW w:w="827" w:type="dxa"/>
          </w:tcPr>
          <w:p w14:paraId="2570D6B8" w14:textId="77777777" w:rsidR="00364075" w:rsidRPr="00D72149" w:rsidRDefault="00364075" w:rsidP="00375DC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2014</w:t>
            </w:r>
          </w:p>
        </w:tc>
        <w:tc>
          <w:tcPr>
            <w:tcW w:w="1567" w:type="dxa"/>
          </w:tcPr>
          <w:p w14:paraId="74EA273C" w14:textId="77777777" w:rsidR="00364075" w:rsidRPr="00D72149" w:rsidRDefault="00364075" w:rsidP="00375DC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SOS</w:t>
            </w:r>
            <w:r w:rsidRPr="008D370F">
              <w:rPr>
                <w:rFonts w:ascii="Calibri" w:eastAsia="Calibri" w:hAnsi="Calibri" w:cs="Times New Roman"/>
                <w:noProof/>
                <w:color w:val="000000"/>
                <w:kern w:val="24"/>
                <w:vertAlign w:val="superscript"/>
                <w:lang w:val="en-AU"/>
              </w:rPr>
              <w:t>26</w:t>
            </w:r>
          </w:p>
        </w:tc>
        <w:tc>
          <w:tcPr>
            <w:tcW w:w="1126" w:type="dxa"/>
          </w:tcPr>
          <w:p w14:paraId="55F01332" w14:textId="77777777" w:rsidR="00364075" w:rsidRPr="00D72149" w:rsidRDefault="00364075" w:rsidP="00375DCA">
            <w:pPr>
              <w:spacing w:after="0" w:line="240" w:lineRule="auto"/>
              <w:rPr>
                <w:rFonts w:ascii="Calibri" w:eastAsia="Calibri" w:hAnsi="Calibri" w:cs="Times New Roman"/>
                <w:lang w:val="en-AU"/>
              </w:rPr>
            </w:pPr>
            <w:r w:rsidRPr="00D72149">
              <w:rPr>
                <w:rFonts w:ascii="Calibri" w:eastAsia="Calibri" w:hAnsi="Calibri" w:cs="Times New Roman"/>
                <w:color w:val="000000"/>
                <w:kern w:val="24"/>
                <w:lang w:val="en-AU"/>
              </w:rPr>
              <w:t>10016</w:t>
            </w:r>
          </w:p>
        </w:tc>
        <w:tc>
          <w:tcPr>
            <w:tcW w:w="1590" w:type="dxa"/>
          </w:tcPr>
          <w:p w14:paraId="761D3C4D" w14:textId="77777777" w:rsidR="00364075" w:rsidRPr="00D72149" w:rsidRDefault="00364075" w:rsidP="00375DCA">
            <w:pPr>
              <w:spacing w:after="0" w:line="240" w:lineRule="auto"/>
              <w:rPr>
                <w:rFonts w:ascii="Calibri" w:eastAsia="Calibri" w:hAnsi="Calibri" w:cs="Times New Roman"/>
                <w:kern w:val="24"/>
                <w:lang w:val="en-AU"/>
              </w:rPr>
            </w:pPr>
            <w:r w:rsidRPr="00D72149">
              <w:rPr>
                <w:rFonts w:ascii="Calibri" w:eastAsia="Calibri" w:hAnsi="Calibri" w:cs="Times New Roman"/>
                <w:kern w:val="24"/>
                <w:lang w:val="en-AU"/>
              </w:rPr>
              <w:t>2 years</w:t>
            </w:r>
          </w:p>
          <w:p w14:paraId="5A9F5FB1" w14:textId="77777777" w:rsidR="00364075" w:rsidRPr="00D72149" w:rsidRDefault="00364075" w:rsidP="00375DCA">
            <w:pPr>
              <w:spacing w:after="0" w:line="240" w:lineRule="auto"/>
              <w:rPr>
                <w:rFonts w:ascii="Calibri" w:eastAsia="Calibri" w:hAnsi="Calibri" w:cs="Times New Roman"/>
                <w:lang w:val="en-AU"/>
              </w:rPr>
            </w:pPr>
            <w:r w:rsidRPr="00D72149">
              <w:rPr>
                <w:rFonts w:ascii="Calibri" w:eastAsia="Calibri" w:hAnsi="Calibri" w:cs="Times New Roman"/>
                <w:kern w:val="24"/>
                <w:lang w:val="en-AU"/>
              </w:rPr>
              <w:t>(median)</w:t>
            </w:r>
          </w:p>
        </w:tc>
        <w:tc>
          <w:tcPr>
            <w:tcW w:w="2010" w:type="dxa"/>
          </w:tcPr>
          <w:p w14:paraId="2F26DDBF" w14:textId="77777777" w:rsidR="00364075" w:rsidRPr="00D72149" w:rsidRDefault="00364075" w:rsidP="00375DC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 xml:space="preserve">  1 hour</w:t>
            </w:r>
          </w:p>
        </w:tc>
        <w:tc>
          <w:tcPr>
            <w:tcW w:w="2010" w:type="dxa"/>
          </w:tcPr>
          <w:p w14:paraId="0115B711" w14:textId="77777777" w:rsidR="00364075" w:rsidRPr="00D72149" w:rsidRDefault="00364075" w:rsidP="00375DC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 xml:space="preserve">  &gt;175 bpm</w:t>
            </w:r>
          </w:p>
        </w:tc>
        <w:tc>
          <w:tcPr>
            <w:tcW w:w="1710" w:type="dxa"/>
          </w:tcPr>
          <w:p w14:paraId="391CB003" w14:textId="77777777" w:rsidR="00364075" w:rsidRPr="00D72149" w:rsidRDefault="00364075" w:rsidP="00375DC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 xml:space="preserve">  1 hour</w:t>
            </w:r>
          </w:p>
        </w:tc>
        <w:tc>
          <w:tcPr>
            <w:tcW w:w="2040" w:type="dxa"/>
          </w:tcPr>
          <w:p w14:paraId="1C993CB5" w14:textId="77777777" w:rsidR="00364075" w:rsidRPr="00D72149" w:rsidRDefault="00364075" w:rsidP="00375DCA">
            <w:pPr>
              <w:spacing w:after="0" w:line="240" w:lineRule="auto"/>
              <w:rPr>
                <w:rFonts w:ascii="Calibri" w:eastAsia="Calibri" w:hAnsi="Calibri" w:cs="Times New Roman"/>
                <w:lang w:val="en-AU" w:eastAsia="it-IT"/>
              </w:rPr>
            </w:pPr>
            <w:r w:rsidRPr="00D72149">
              <w:rPr>
                <w:rFonts w:ascii="Calibri" w:eastAsia="Calibri" w:hAnsi="Calibri" w:cs="Times New Roman"/>
                <w:lang w:val="en-AU" w:eastAsia="it-IT"/>
              </w:rPr>
              <w:t>2.11 (p=0.008)</w:t>
            </w:r>
          </w:p>
          <w:p w14:paraId="3DBAB3FC" w14:textId="77777777" w:rsidR="00364075" w:rsidRPr="00D72149" w:rsidRDefault="00364075" w:rsidP="00375DCA">
            <w:pPr>
              <w:spacing w:after="0" w:line="240" w:lineRule="auto"/>
              <w:rPr>
                <w:rFonts w:ascii="Calibri" w:eastAsia="Calibri" w:hAnsi="Calibri" w:cs="Times New Roman"/>
                <w:lang w:val="en-AU" w:eastAsia="it-IT"/>
              </w:rPr>
            </w:pPr>
            <w:r w:rsidRPr="00D72149">
              <w:rPr>
                <w:rFonts w:ascii="Times New Roman" w:eastAsia="Calibri" w:hAnsi="Times New Roman" w:cs="Times New Roman"/>
                <w:sz w:val="18"/>
                <w:szCs w:val="18"/>
              </w:rPr>
              <w:t>CI: 1.22–3.64</w:t>
            </w:r>
          </w:p>
        </w:tc>
        <w:tc>
          <w:tcPr>
            <w:tcW w:w="2234" w:type="dxa"/>
          </w:tcPr>
          <w:p w14:paraId="3E97A848" w14:textId="77777777" w:rsidR="00364075" w:rsidRPr="00D72149" w:rsidRDefault="00364075" w:rsidP="00375DCA">
            <w:pPr>
              <w:spacing w:after="0" w:line="240" w:lineRule="auto"/>
              <w:rPr>
                <w:rFonts w:ascii="Calibri" w:eastAsia="Calibri" w:hAnsi="Calibri" w:cs="Times New Roman"/>
                <w:lang w:val="en-AU" w:eastAsia="it-IT"/>
              </w:rPr>
            </w:pPr>
            <w:r w:rsidRPr="00D72149">
              <w:rPr>
                <w:rFonts w:ascii="Calibri" w:eastAsia="Calibri" w:hAnsi="Calibri" w:cs="Times New Roman"/>
                <w:lang w:val="en-AU" w:eastAsia="it-IT"/>
              </w:rPr>
              <w:t>0.39% per year</w:t>
            </w:r>
          </w:p>
          <w:p w14:paraId="5B1FB4E9" w14:textId="77777777" w:rsidR="00364075" w:rsidRPr="00D72149" w:rsidRDefault="00364075" w:rsidP="00375DCA">
            <w:pPr>
              <w:spacing w:after="0" w:line="240" w:lineRule="auto"/>
              <w:rPr>
                <w:rFonts w:ascii="Calibri" w:eastAsia="Calibri" w:hAnsi="Calibri" w:cs="Times New Roman"/>
                <w:lang w:val="en-AU"/>
              </w:rPr>
            </w:pPr>
            <w:r w:rsidRPr="00D72149">
              <w:rPr>
                <w:rFonts w:ascii="Calibri" w:eastAsia="Calibri" w:hAnsi="Calibri" w:cs="Times New Roman"/>
                <w:lang w:val="en-AU" w:eastAsia="it-IT"/>
              </w:rPr>
              <w:t>overall</w:t>
            </w:r>
          </w:p>
        </w:tc>
      </w:tr>
      <w:tr w:rsidR="00364075" w:rsidRPr="00D72149" w14:paraId="27669938" w14:textId="77777777" w:rsidTr="00375DCA">
        <w:trPr>
          <w:trHeight w:val="393"/>
        </w:trPr>
        <w:tc>
          <w:tcPr>
            <w:tcW w:w="827" w:type="dxa"/>
          </w:tcPr>
          <w:p w14:paraId="54AA1414" w14:textId="77777777" w:rsidR="00364075" w:rsidRPr="00D72149" w:rsidRDefault="00364075" w:rsidP="00375DC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2016</w:t>
            </w:r>
          </w:p>
        </w:tc>
        <w:tc>
          <w:tcPr>
            <w:tcW w:w="1567" w:type="dxa"/>
          </w:tcPr>
          <w:p w14:paraId="1BD117B6" w14:textId="77777777" w:rsidR="00364075" w:rsidRPr="00D72149" w:rsidRDefault="00364075" w:rsidP="00375DCA">
            <w:pPr>
              <w:spacing w:after="0" w:line="240" w:lineRule="auto"/>
              <w:rPr>
                <w:rFonts w:ascii="Calibri" w:eastAsia="Calibri" w:hAnsi="Calibri" w:cs="Times New Roman"/>
                <w:color w:val="000000"/>
                <w:kern w:val="24"/>
                <w:lang w:val="en-AU"/>
              </w:rPr>
            </w:pPr>
            <w:r w:rsidRPr="00D72149">
              <w:rPr>
                <w:rFonts w:ascii="Calibri" w:eastAsia="Calibri" w:hAnsi="Calibri" w:cs="Times New Roman"/>
                <w:lang w:val="en-AU"/>
              </w:rPr>
              <w:t>RATE Registry</w:t>
            </w:r>
            <w:r>
              <w:t xml:space="preserve"> </w:t>
            </w:r>
            <w:r w:rsidRPr="00870A77">
              <w:rPr>
                <w:rFonts w:ascii="Calibri" w:eastAsia="Calibri" w:hAnsi="Calibri" w:cs="Times New Roman"/>
                <w:noProof/>
                <w:vertAlign w:val="superscript"/>
                <w:lang w:val="en-AU"/>
              </w:rPr>
              <w:t>13</w:t>
            </w:r>
            <w:r w:rsidRPr="00D72149">
              <w:rPr>
                <w:rFonts w:ascii="Calibri" w:eastAsia="Calibri" w:hAnsi="Calibri" w:cs="Times New Roman"/>
                <w:lang w:val="en-AU"/>
              </w:rPr>
              <w:t xml:space="preserve">         </w:t>
            </w:r>
          </w:p>
        </w:tc>
        <w:tc>
          <w:tcPr>
            <w:tcW w:w="1126" w:type="dxa"/>
          </w:tcPr>
          <w:p w14:paraId="3F876FCB" w14:textId="77777777" w:rsidR="00364075" w:rsidRPr="00D72149" w:rsidRDefault="00364075" w:rsidP="00375DCA">
            <w:pPr>
              <w:spacing w:after="0" w:line="240" w:lineRule="auto"/>
              <w:rPr>
                <w:rFonts w:ascii="Calibri" w:eastAsia="Calibri" w:hAnsi="Calibri" w:cs="Calibri"/>
                <w:color w:val="000000"/>
                <w:kern w:val="24"/>
                <w:sz w:val="16"/>
                <w:szCs w:val="16"/>
                <w:lang w:val="en-AU"/>
              </w:rPr>
            </w:pPr>
            <w:r w:rsidRPr="00D72149">
              <w:rPr>
                <w:rFonts w:ascii="Calibri" w:eastAsia="Calibri" w:hAnsi="Calibri" w:cs="Calibri"/>
                <w:color w:val="000000"/>
                <w:kern w:val="24"/>
                <w:sz w:val="16"/>
                <w:szCs w:val="16"/>
                <w:lang w:val="en-AU"/>
              </w:rPr>
              <w:t>5379</w:t>
            </w:r>
          </w:p>
          <w:p w14:paraId="49D88DF2" w14:textId="77777777" w:rsidR="00364075" w:rsidRPr="00D72149" w:rsidRDefault="00364075" w:rsidP="00375DCA">
            <w:pPr>
              <w:spacing w:after="0" w:line="240" w:lineRule="auto"/>
              <w:rPr>
                <w:rFonts w:ascii="Calibri" w:eastAsia="Calibri" w:hAnsi="Calibri" w:cs="Times New Roman"/>
                <w:color w:val="000000"/>
                <w:kern w:val="24"/>
              </w:rPr>
            </w:pPr>
            <w:r w:rsidRPr="00D72149">
              <w:rPr>
                <w:rFonts w:ascii="Calibri" w:eastAsia="Calibri" w:hAnsi="Calibri" w:cs="Calibri"/>
                <w:color w:val="000000"/>
                <w:kern w:val="24"/>
                <w:sz w:val="16"/>
                <w:szCs w:val="16"/>
                <w:lang w:val="en-AU"/>
              </w:rPr>
              <w:t>(</w:t>
            </w:r>
            <w:r w:rsidRPr="00D72149">
              <w:rPr>
                <w:rFonts w:ascii="Calibri" w:eastAsia="Calibri" w:hAnsi="Calibri" w:cs="Calibri"/>
                <w:sz w:val="16"/>
                <w:szCs w:val="16"/>
              </w:rPr>
              <w:t>3141 with pacemakers and 2238 with ICDs)</w:t>
            </w:r>
            <w:r w:rsidRPr="00D72149">
              <w:rPr>
                <w:rFonts w:ascii="NewsGothic" w:eastAsia="Calibri" w:hAnsi="NewsGothic" w:cs="NewsGothic"/>
              </w:rPr>
              <w:t xml:space="preserve"> </w:t>
            </w:r>
          </w:p>
        </w:tc>
        <w:tc>
          <w:tcPr>
            <w:tcW w:w="1590" w:type="dxa"/>
          </w:tcPr>
          <w:p w14:paraId="13CA5688" w14:textId="77777777" w:rsidR="00364075" w:rsidRPr="00D72149" w:rsidRDefault="00364075" w:rsidP="00375DCA">
            <w:pPr>
              <w:spacing w:after="0" w:line="240" w:lineRule="auto"/>
              <w:rPr>
                <w:rFonts w:ascii="Calibri" w:eastAsia="Calibri" w:hAnsi="Calibri" w:cs="Times New Roman"/>
                <w:kern w:val="24"/>
                <w:lang w:val="en-AU"/>
              </w:rPr>
            </w:pPr>
            <w:r w:rsidRPr="00D72149">
              <w:rPr>
                <w:rFonts w:ascii="Calibri" w:eastAsia="Calibri" w:hAnsi="Calibri" w:cs="Times New Roman"/>
                <w:lang w:val="en-AU"/>
              </w:rPr>
              <w:t xml:space="preserve">22.9 months (median)        </w:t>
            </w:r>
          </w:p>
        </w:tc>
        <w:tc>
          <w:tcPr>
            <w:tcW w:w="2010" w:type="dxa"/>
          </w:tcPr>
          <w:p w14:paraId="54665C2C" w14:textId="77777777" w:rsidR="00364075" w:rsidRPr="00D72149" w:rsidRDefault="00364075" w:rsidP="00375DC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Non-sustained episodes of AHRE with a duration from 3 atrial premature complexes  to 15-20 seconds</w:t>
            </w:r>
          </w:p>
          <w:p w14:paraId="75EAE9BC" w14:textId="77777777" w:rsidR="00364075" w:rsidRPr="00D72149" w:rsidRDefault="00364075" w:rsidP="00375DCA">
            <w:pPr>
              <w:spacing w:after="0" w:line="240" w:lineRule="auto"/>
              <w:rPr>
                <w:rFonts w:ascii="Calibri" w:eastAsia="Calibri" w:hAnsi="Calibri" w:cs="Times New Roman"/>
                <w:color w:val="000000"/>
                <w:kern w:val="24"/>
                <w:lang w:val="en-AU"/>
              </w:rPr>
            </w:pPr>
          </w:p>
        </w:tc>
        <w:tc>
          <w:tcPr>
            <w:tcW w:w="2010" w:type="dxa"/>
          </w:tcPr>
          <w:p w14:paraId="5015C4C3" w14:textId="77777777" w:rsidR="00364075" w:rsidRPr="00D72149" w:rsidRDefault="00364075" w:rsidP="00375DC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 xml:space="preserve">N.A. </w:t>
            </w:r>
          </w:p>
        </w:tc>
        <w:tc>
          <w:tcPr>
            <w:tcW w:w="1710" w:type="dxa"/>
          </w:tcPr>
          <w:p w14:paraId="6E2A433B" w14:textId="77777777" w:rsidR="00364075" w:rsidRPr="00D72149" w:rsidRDefault="00364075" w:rsidP="00375DCA">
            <w:pPr>
              <w:spacing w:after="0" w:line="240" w:lineRule="auto"/>
              <w:rPr>
                <w:rFonts w:ascii="Calibri" w:eastAsia="Calibri" w:hAnsi="Calibri" w:cs="Times New Roman"/>
                <w:color w:val="000000"/>
                <w:kern w:val="24"/>
                <w:lang w:val="en-AU"/>
              </w:rPr>
            </w:pPr>
            <w:r w:rsidRPr="00D72149">
              <w:rPr>
                <w:rFonts w:ascii="Calibri" w:eastAsia="Calibri" w:hAnsi="Calibri" w:cs="Times New Roman"/>
                <w:color w:val="000000"/>
                <w:kern w:val="24"/>
                <w:lang w:val="en-AU"/>
              </w:rPr>
              <w:t>Non-sustained episodes of AHRE with a duration from 3 atrial premature complexes  to 15-20 seconds</w:t>
            </w:r>
          </w:p>
          <w:p w14:paraId="666218D4" w14:textId="77777777" w:rsidR="00364075" w:rsidRPr="00D72149" w:rsidRDefault="00364075" w:rsidP="00375DCA">
            <w:pPr>
              <w:spacing w:after="0" w:line="240" w:lineRule="auto"/>
              <w:rPr>
                <w:rFonts w:ascii="Calibri" w:eastAsia="Calibri" w:hAnsi="Calibri" w:cs="Times New Roman"/>
                <w:color w:val="000000"/>
                <w:kern w:val="24"/>
                <w:lang w:val="en-AU"/>
              </w:rPr>
            </w:pPr>
          </w:p>
        </w:tc>
        <w:tc>
          <w:tcPr>
            <w:tcW w:w="2040" w:type="dxa"/>
          </w:tcPr>
          <w:p w14:paraId="5C5F7A85" w14:textId="77777777" w:rsidR="00364075" w:rsidRPr="00D72149" w:rsidRDefault="00364075" w:rsidP="00375DCA">
            <w:pPr>
              <w:autoSpaceDE w:val="0"/>
              <w:autoSpaceDN w:val="0"/>
              <w:adjustRightInd w:val="0"/>
              <w:spacing w:after="0" w:line="240" w:lineRule="auto"/>
              <w:rPr>
                <w:rFonts w:ascii="Calibri" w:eastAsia="Calibri" w:hAnsi="Calibri" w:cs="Calibri"/>
                <w:sz w:val="20"/>
                <w:szCs w:val="20"/>
                <w:lang w:val="it-IT"/>
              </w:rPr>
            </w:pPr>
            <w:r w:rsidRPr="00D72149">
              <w:rPr>
                <w:rFonts w:ascii="Calibri" w:eastAsia="Calibri" w:hAnsi="Calibri" w:cs="Calibri"/>
                <w:sz w:val="20"/>
                <w:szCs w:val="20"/>
                <w:lang w:val="it-IT"/>
              </w:rPr>
              <w:t xml:space="preserve">HR 0.87  (95% CI 0.58–1.31, </w:t>
            </w:r>
            <w:r w:rsidRPr="00D72149">
              <w:rPr>
                <w:rFonts w:ascii="Calibri" w:eastAsia="Calibri" w:hAnsi="Calibri" w:cs="Calibri"/>
                <w:i/>
                <w:iCs/>
                <w:sz w:val="20"/>
                <w:szCs w:val="20"/>
                <w:lang w:val="it-IT"/>
              </w:rPr>
              <w:t>p</w:t>
            </w:r>
            <w:r w:rsidRPr="00D72149">
              <w:rPr>
                <w:rFonts w:ascii="Calibri" w:eastAsia="Calibri" w:hAnsi="Calibri" w:cs="Calibri"/>
                <w:sz w:val="20"/>
                <w:szCs w:val="20"/>
                <w:lang w:val="it-IT"/>
              </w:rPr>
              <w:t>=0.51)</w:t>
            </w:r>
          </w:p>
        </w:tc>
        <w:tc>
          <w:tcPr>
            <w:tcW w:w="2234" w:type="dxa"/>
          </w:tcPr>
          <w:p w14:paraId="55EC23AC" w14:textId="77777777" w:rsidR="00364075" w:rsidRPr="00D72149" w:rsidRDefault="00364075" w:rsidP="00375DCA">
            <w:pPr>
              <w:spacing w:after="0" w:line="240" w:lineRule="auto"/>
              <w:rPr>
                <w:rFonts w:ascii="Calibri" w:eastAsia="Calibri" w:hAnsi="Calibri" w:cs="Times New Roman"/>
                <w:color w:val="000000"/>
                <w:kern w:val="24"/>
                <w:sz w:val="20"/>
                <w:szCs w:val="20"/>
                <w:lang w:val="en-AU"/>
              </w:rPr>
            </w:pPr>
            <w:r w:rsidRPr="00D72149">
              <w:rPr>
                <w:rFonts w:ascii="Calibri" w:eastAsia="Calibri" w:hAnsi="Calibri" w:cs="Times New Roman"/>
                <w:color w:val="000000"/>
                <w:kern w:val="24"/>
                <w:sz w:val="20"/>
                <w:szCs w:val="20"/>
                <w:lang w:val="en-AU"/>
              </w:rPr>
              <w:t xml:space="preserve">For non-sustained episodes of AHRE : </w:t>
            </w:r>
          </w:p>
          <w:p w14:paraId="5F2151C7" w14:textId="77777777" w:rsidR="00364075" w:rsidRPr="00D72149" w:rsidRDefault="00364075" w:rsidP="00375DCA">
            <w:pPr>
              <w:spacing w:after="0" w:line="240" w:lineRule="auto"/>
              <w:rPr>
                <w:rFonts w:ascii="Times New Roman" w:eastAsia="Calibri" w:hAnsi="Times New Roman" w:cs="Times New Roman"/>
                <w:sz w:val="20"/>
                <w:szCs w:val="20"/>
                <w:lang w:val="en-AU"/>
              </w:rPr>
            </w:pPr>
            <w:r w:rsidRPr="00D72149">
              <w:rPr>
                <w:rFonts w:ascii="Times New Roman" w:eastAsia="Calibri" w:hAnsi="Times New Roman" w:cs="Times New Roman"/>
                <w:sz w:val="20"/>
                <w:szCs w:val="20"/>
                <w:lang w:val="en-AU"/>
              </w:rPr>
              <w:t xml:space="preserve">0.55 (0.34–0.76) % per year  for pacemakers and </w:t>
            </w:r>
          </w:p>
          <w:p w14:paraId="1C4B2666" w14:textId="77777777" w:rsidR="00364075" w:rsidRPr="00D72149" w:rsidRDefault="00364075" w:rsidP="00375DCA">
            <w:pPr>
              <w:spacing w:after="0" w:line="240" w:lineRule="auto"/>
              <w:rPr>
                <w:rFonts w:ascii="Calibri" w:eastAsia="Calibri" w:hAnsi="Calibri" w:cs="Times New Roman"/>
                <w:sz w:val="20"/>
                <w:szCs w:val="20"/>
                <w:lang w:val="en-AU"/>
              </w:rPr>
            </w:pPr>
            <w:r w:rsidRPr="00D72149">
              <w:rPr>
                <w:rFonts w:ascii="Times New Roman" w:eastAsia="Calibri" w:hAnsi="Times New Roman" w:cs="Times New Roman"/>
                <w:sz w:val="20"/>
                <w:szCs w:val="20"/>
                <w:lang w:val="en-AU"/>
              </w:rPr>
              <w:t>0.81 (0.50–1.12) ) % per year for ICDs</w:t>
            </w:r>
          </w:p>
          <w:p w14:paraId="0A0CC823" w14:textId="77777777" w:rsidR="00364075" w:rsidRPr="00D72149" w:rsidRDefault="00364075" w:rsidP="00375DCA">
            <w:pPr>
              <w:spacing w:after="0" w:line="240" w:lineRule="auto"/>
              <w:rPr>
                <w:rFonts w:ascii="Calibri" w:eastAsia="Calibri" w:hAnsi="Calibri" w:cs="Times New Roman"/>
                <w:lang w:val="en-AU" w:eastAsia="it-IT"/>
              </w:rPr>
            </w:pPr>
          </w:p>
        </w:tc>
      </w:tr>
    </w:tbl>
    <w:p w14:paraId="2610BD28" w14:textId="77777777" w:rsidR="00364075" w:rsidRPr="00D72149" w:rsidRDefault="00364075" w:rsidP="00364075">
      <w:pPr>
        <w:jc w:val="both"/>
        <w:rPr>
          <w:rFonts w:ascii="Calibri" w:eastAsia="Calibri" w:hAnsi="Calibri" w:cs="Times New Roman"/>
        </w:rPr>
      </w:pPr>
      <w:r w:rsidRPr="00D72149">
        <w:rPr>
          <w:rFonts w:ascii="Calibri" w:eastAsia="Calibri" w:hAnsi="Calibri" w:cs="Times New Roman"/>
        </w:rPr>
        <w:t>Legend TE = Thrombo-embolic</w:t>
      </w:r>
    </w:p>
    <w:p w14:paraId="6B3569C4" w14:textId="77777777" w:rsidR="00364075" w:rsidRPr="00D72149" w:rsidRDefault="00364075" w:rsidP="00375DCA">
      <w:pPr>
        <w:rPr>
          <w:rFonts w:ascii="Calibri" w:eastAsia="Calibri" w:hAnsi="Calibri" w:cs="Times New Roman"/>
        </w:rPr>
      </w:pPr>
    </w:p>
    <w:p w14:paraId="7B2773EB" w14:textId="77777777" w:rsidR="00597826" w:rsidRPr="00D72149" w:rsidRDefault="00597826" w:rsidP="00375DCA">
      <w:pPr>
        <w:jc w:val="both"/>
        <w:rPr>
          <w:rFonts w:ascii="Calibri" w:eastAsia="Calibri" w:hAnsi="Calibri" w:cs="Times New Roman"/>
        </w:rPr>
        <w:sectPr w:rsidR="00597826" w:rsidRPr="00D72149" w:rsidSect="00375DCA">
          <w:pgSz w:w="15840" w:h="12240" w:orient="landscape"/>
          <w:pgMar w:top="1440" w:right="1440" w:bottom="1440" w:left="1440" w:header="720" w:footer="720" w:gutter="0"/>
          <w:cols w:space="720"/>
          <w:docGrid w:linePitch="360"/>
        </w:sectPr>
      </w:pPr>
    </w:p>
    <w:p w14:paraId="3396F7FB" w14:textId="77777777" w:rsidR="00BC0926" w:rsidRPr="00D72149" w:rsidRDefault="00BC0926" w:rsidP="00BC0926">
      <w:pPr>
        <w:spacing w:line="240" w:lineRule="auto"/>
        <w:rPr>
          <w:rFonts w:ascii="Calibri" w:eastAsia="Calibri" w:hAnsi="Calibri" w:cs="Times New Roman"/>
          <w:b/>
          <w:bCs/>
          <w:highlight w:val="yellow"/>
        </w:rPr>
      </w:pPr>
      <w:r w:rsidRPr="00D72149">
        <w:rPr>
          <w:rFonts w:ascii="Calibri" w:eastAsia="Calibri" w:hAnsi="Calibri" w:cs="Times New Roman"/>
          <w:b/>
          <w:bCs/>
        </w:rPr>
        <w:t xml:space="preserve">Table 3: Temporal relationship between CIED-detected </w:t>
      </w:r>
      <w:r>
        <w:rPr>
          <w:rFonts w:ascii="Calibri" w:eastAsia="MS Gothic" w:hAnsi="Calibri" w:cs="Times New Roman"/>
          <w:bCs/>
          <w:color w:val="000000"/>
        </w:rPr>
        <w:t>atrial high rate episodes</w:t>
      </w:r>
      <w:r w:rsidRPr="00D72149">
        <w:rPr>
          <w:rFonts w:ascii="Calibri" w:eastAsia="Calibri" w:hAnsi="Calibri" w:cs="Times New Roman"/>
          <w:b/>
          <w:bCs/>
        </w:rPr>
        <w:t xml:space="preserve"> </w:t>
      </w:r>
      <w:r>
        <w:rPr>
          <w:rFonts w:ascii="Calibri" w:eastAsia="Calibri" w:hAnsi="Calibri" w:cs="Times New Roman"/>
          <w:b/>
          <w:bCs/>
        </w:rPr>
        <w:t>(</w:t>
      </w:r>
      <w:r w:rsidRPr="00D72149">
        <w:rPr>
          <w:rFonts w:ascii="Calibri" w:eastAsia="Calibri" w:hAnsi="Calibri" w:cs="Times New Roman"/>
          <w:b/>
          <w:bCs/>
        </w:rPr>
        <w:t>AHREs</w:t>
      </w:r>
      <w:r>
        <w:rPr>
          <w:rFonts w:ascii="Calibri" w:eastAsia="Calibri" w:hAnsi="Calibri" w:cs="Times New Roman"/>
          <w:b/>
          <w:bCs/>
        </w:rPr>
        <w:t>)</w:t>
      </w:r>
      <w:r w:rsidRPr="00D72149">
        <w:rPr>
          <w:rFonts w:ascii="Calibri" w:eastAsia="Calibri" w:hAnsi="Calibri" w:cs="Times New Roman"/>
          <w:b/>
          <w:bCs/>
        </w:rPr>
        <w:t xml:space="preserve"> and stroke  </w:t>
      </w:r>
    </w:p>
    <w:tbl>
      <w:tblPr>
        <w:tblW w:w="12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1079"/>
        <w:gridCol w:w="1292"/>
        <w:gridCol w:w="1515"/>
        <w:gridCol w:w="1523"/>
        <w:gridCol w:w="1906"/>
        <w:gridCol w:w="1621"/>
        <w:gridCol w:w="1911"/>
        <w:gridCol w:w="2113"/>
      </w:tblGrid>
      <w:tr w:rsidR="00BC0926" w:rsidRPr="00D72149" w14:paraId="661752A0" w14:textId="77777777" w:rsidTr="00375DCA">
        <w:trPr>
          <w:trHeight w:val="1026"/>
        </w:trPr>
        <w:tc>
          <w:tcPr>
            <w:tcW w:w="1079" w:type="dxa"/>
            <w:hideMark/>
          </w:tcPr>
          <w:p w14:paraId="41B42A88"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Year</w:t>
            </w:r>
          </w:p>
        </w:tc>
        <w:tc>
          <w:tcPr>
            <w:tcW w:w="1292" w:type="dxa"/>
            <w:hideMark/>
          </w:tcPr>
          <w:p w14:paraId="37D06EC9"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Trial</w:t>
            </w:r>
          </w:p>
        </w:tc>
        <w:tc>
          <w:tcPr>
            <w:tcW w:w="1515" w:type="dxa"/>
            <w:hideMark/>
          </w:tcPr>
          <w:p w14:paraId="5236E485"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Number of patients with TE Event</w:t>
            </w:r>
          </w:p>
        </w:tc>
        <w:tc>
          <w:tcPr>
            <w:tcW w:w="1523" w:type="dxa"/>
            <w:hideMark/>
          </w:tcPr>
          <w:p w14:paraId="1EE99171"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Definition of AF episode</w:t>
            </w:r>
          </w:p>
        </w:tc>
        <w:tc>
          <w:tcPr>
            <w:tcW w:w="1906" w:type="dxa"/>
            <w:hideMark/>
          </w:tcPr>
          <w:p w14:paraId="017D6EB3"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Any AF Detected Prior to TE Event</w:t>
            </w:r>
          </w:p>
        </w:tc>
        <w:tc>
          <w:tcPr>
            <w:tcW w:w="1621" w:type="dxa"/>
            <w:hideMark/>
          </w:tcPr>
          <w:p w14:paraId="440C89EA"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AF Detected only after TE Event</w:t>
            </w:r>
          </w:p>
        </w:tc>
        <w:tc>
          <w:tcPr>
            <w:tcW w:w="1911" w:type="dxa"/>
            <w:hideMark/>
          </w:tcPr>
          <w:p w14:paraId="3013BB63"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No AF in 30 Days Prior to TE Event</w:t>
            </w:r>
          </w:p>
        </w:tc>
        <w:tc>
          <w:tcPr>
            <w:tcW w:w="2113" w:type="dxa"/>
            <w:hideMark/>
          </w:tcPr>
          <w:p w14:paraId="0008A10E"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b/>
                <w:bCs/>
                <w:lang w:val="en-AU"/>
              </w:rPr>
              <w:t>Any AF in 30 Days Prior to TE Event</w:t>
            </w:r>
          </w:p>
        </w:tc>
      </w:tr>
      <w:tr w:rsidR="00BC0926" w:rsidRPr="00D72149" w14:paraId="0D27C438" w14:textId="77777777" w:rsidTr="00375DCA">
        <w:trPr>
          <w:trHeight w:val="435"/>
        </w:trPr>
        <w:tc>
          <w:tcPr>
            <w:tcW w:w="1079" w:type="dxa"/>
          </w:tcPr>
          <w:p w14:paraId="27C9BB57"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2012</w:t>
            </w:r>
          </w:p>
        </w:tc>
        <w:tc>
          <w:tcPr>
            <w:tcW w:w="1292" w:type="dxa"/>
          </w:tcPr>
          <w:p w14:paraId="0124B959"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Boriani et al</w:t>
            </w:r>
            <w:r w:rsidRPr="008D370F">
              <w:rPr>
                <w:rFonts w:ascii="Calibri" w:eastAsia="Calibri" w:hAnsi="Calibri" w:cs="Times New Roman"/>
                <w:noProof/>
                <w:vertAlign w:val="superscript"/>
                <w:lang w:val="en-AU"/>
              </w:rPr>
              <w:t>41</w:t>
            </w:r>
            <w:r w:rsidRPr="00D72149">
              <w:rPr>
                <w:rFonts w:ascii="Calibri" w:eastAsia="Calibri" w:hAnsi="Calibri" w:cs="Times New Roman"/>
                <w:lang w:val="en-AU"/>
              </w:rPr>
              <w:t xml:space="preserve"> </w:t>
            </w:r>
          </w:p>
        </w:tc>
        <w:tc>
          <w:tcPr>
            <w:tcW w:w="1515" w:type="dxa"/>
          </w:tcPr>
          <w:p w14:paraId="78E73C68"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33/3438</w:t>
            </w:r>
          </w:p>
        </w:tc>
        <w:tc>
          <w:tcPr>
            <w:tcW w:w="1523" w:type="dxa"/>
          </w:tcPr>
          <w:p w14:paraId="5A056102"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5 minutes</w:t>
            </w:r>
          </w:p>
        </w:tc>
        <w:tc>
          <w:tcPr>
            <w:tcW w:w="1906" w:type="dxa"/>
          </w:tcPr>
          <w:p w14:paraId="1B677F71"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21/33 (64%) </w:t>
            </w:r>
          </w:p>
        </w:tc>
        <w:tc>
          <w:tcPr>
            <w:tcW w:w="1621" w:type="dxa"/>
          </w:tcPr>
          <w:p w14:paraId="6C90D33C"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NA </w:t>
            </w:r>
          </w:p>
        </w:tc>
        <w:tc>
          <w:tcPr>
            <w:tcW w:w="1911" w:type="dxa"/>
          </w:tcPr>
          <w:p w14:paraId="0B04A60D"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12/33 (67%)</w:t>
            </w:r>
          </w:p>
        </w:tc>
        <w:tc>
          <w:tcPr>
            <w:tcW w:w="2113" w:type="dxa"/>
          </w:tcPr>
          <w:p w14:paraId="4C6300F0"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11/33 (33%)</w:t>
            </w:r>
          </w:p>
        </w:tc>
      </w:tr>
      <w:tr w:rsidR="00BC0926" w:rsidRPr="00D72149" w14:paraId="62CD3AB4" w14:textId="77777777" w:rsidTr="00375DCA">
        <w:trPr>
          <w:trHeight w:val="435"/>
        </w:trPr>
        <w:tc>
          <w:tcPr>
            <w:tcW w:w="1079" w:type="dxa"/>
            <w:hideMark/>
          </w:tcPr>
          <w:p w14:paraId="499F4154"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2011</w:t>
            </w:r>
          </w:p>
        </w:tc>
        <w:tc>
          <w:tcPr>
            <w:tcW w:w="1292" w:type="dxa"/>
            <w:hideMark/>
          </w:tcPr>
          <w:p w14:paraId="7D9A1B10"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TRENDS</w:t>
            </w:r>
            <w:r w:rsidRPr="00870A77">
              <w:rPr>
                <w:rFonts w:ascii="Calibri" w:eastAsia="Calibri" w:hAnsi="Calibri" w:cs="Times New Roman"/>
                <w:noProof/>
                <w:vertAlign w:val="superscript"/>
                <w:lang w:val="en-AU"/>
              </w:rPr>
              <w:t>9</w:t>
            </w:r>
          </w:p>
        </w:tc>
        <w:tc>
          <w:tcPr>
            <w:tcW w:w="1515" w:type="dxa"/>
            <w:hideMark/>
          </w:tcPr>
          <w:p w14:paraId="1C0D3611"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40/2486</w:t>
            </w:r>
          </w:p>
        </w:tc>
        <w:tc>
          <w:tcPr>
            <w:tcW w:w="1523" w:type="dxa"/>
            <w:hideMark/>
          </w:tcPr>
          <w:p w14:paraId="41DFEA64"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5 minutes </w:t>
            </w:r>
          </w:p>
        </w:tc>
        <w:tc>
          <w:tcPr>
            <w:tcW w:w="1906" w:type="dxa"/>
            <w:hideMark/>
          </w:tcPr>
          <w:p w14:paraId="462FCB5B"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20/40 (50%)</w:t>
            </w:r>
          </w:p>
        </w:tc>
        <w:tc>
          <w:tcPr>
            <w:tcW w:w="1621" w:type="dxa"/>
            <w:hideMark/>
          </w:tcPr>
          <w:p w14:paraId="32993169"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6/40 (15%)</w:t>
            </w:r>
          </w:p>
        </w:tc>
        <w:tc>
          <w:tcPr>
            <w:tcW w:w="1911" w:type="dxa"/>
            <w:hideMark/>
          </w:tcPr>
          <w:p w14:paraId="3A094A55"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29/40 (73%)</w:t>
            </w:r>
          </w:p>
        </w:tc>
        <w:tc>
          <w:tcPr>
            <w:tcW w:w="2113" w:type="dxa"/>
            <w:hideMark/>
          </w:tcPr>
          <w:p w14:paraId="117579C5"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11/40 (27%)</w:t>
            </w:r>
          </w:p>
        </w:tc>
      </w:tr>
      <w:tr w:rsidR="00BC0926" w:rsidRPr="00D72149" w14:paraId="57A3B492" w14:textId="77777777" w:rsidTr="00375DCA">
        <w:trPr>
          <w:trHeight w:val="435"/>
        </w:trPr>
        <w:tc>
          <w:tcPr>
            <w:tcW w:w="1079" w:type="dxa"/>
            <w:hideMark/>
          </w:tcPr>
          <w:p w14:paraId="7651F7CF"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2014</w:t>
            </w:r>
          </w:p>
        </w:tc>
        <w:tc>
          <w:tcPr>
            <w:tcW w:w="1292" w:type="dxa"/>
            <w:hideMark/>
          </w:tcPr>
          <w:p w14:paraId="419CBA08"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ASSERT</w:t>
            </w:r>
            <w:r w:rsidRPr="008D370F">
              <w:rPr>
                <w:rFonts w:ascii="Calibri" w:eastAsia="Calibri" w:hAnsi="Calibri" w:cs="Times New Roman"/>
                <w:noProof/>
                <w:vertAlign w:val="superscript"/>
                <w:lang w:val="en-AU"/>
              </w:rPr>
              <w:t>11, 36</w:t>
            </w:r>
          </w:p>
        </w:tc>
        <w:tc>
          <w:tcPr>
            <w:tcW w:w="1515" w:type="dxa"/>
            <w:hideMark/>
          </w:tcPr>
          <w:p w14:paraId="3499AC3C"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51/2580</w:t>
            </w:r>
          </w:p>
        </w:tc>
        <w:tc>
          <w:tcPr>
            <w:tcW w:w="1523" w:type="dxa"/>
            <w:hideMark/>
          </w:tcPr>
          <w:p w14:paraId="06713FC9"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6 minutes </w:t>
            </w:r>
          </w:p>
        </w:tc>
        <w:tc>
          <w:tcPr>
            <w:tcW w:w="1906" w:type="dxa"/>
            <w:hideMark/>
          </w:tcPr>
          <w:p w14:paraId="41A8A829"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18/51 (35%)</w:t>
            </w:r>
          </w:p>
        </w:tc>
        <w:tc>
          <w:tcPr>
            <w:tcW w:w="1621" w:type="dxa"/>
            <w:hideMark/>
          </w:tcPr>
          <w:p w14:paraId="7E47F1D3"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8/51 (16%)</w:t>
            </w:r>
          </w:p>
        </w:tc>
        <w:tc>
          <w:tcPr>
            <w:tcW w:w="1911" w:type="dxa"/>
            <w:hideMark/>
          </w:tcPr>
          <w:p w14:paraId="2915300D"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47/51 (92%)</w:t>
            </w:r>
          </w:p>
        </w:tc>
        <w:tc>
          <w:tcPr>
            <w:tcW w:w="2113" w:type="dxa"/>
            <w:hideMark/>
          </w:tcPr>
          <w:p w14:paraId="2CE13B11"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4/51 (8%)</w:t>
            </w:r>
          </w:p>
        </w:tc>
      </w:tr>
      <w:tr w:rsidR="00BC0926" w:rsidRPr="00D72149" w14:paraId="5A8EE9D1" w14:textId="77777777" w:rsidTr="00375DCA">
        <w:trPr>
          <w:trHeight w:val="1083"/>
        </w:trPr>
        <w:tc>
          <w:tcPr>
            <w:tcW w:w="1079" w:type="dxa"/>
            <w:hideMark/>
          </w:tcPr>
          <w:p w14:paraId="3E532420"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2014</w:t>
            </w:r>
          </w:p>
        </w:tc>
        <w:tc>
          <w:tcPr>
            <w:tcW w:w="1292" w:type="dxa"/>
            <w:hideMark/>
          </w:tcPr>
          <w:p w14:paraId="169DA65C"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IMPACT</w:t>
            </w:r>
            <w:r w:rsidRPr="008D370F">
              <w:rPr>
                <w:rFonts w:ascii="Calibri" w:eastAsia="Calibri" w:hAnsi="Calibri" w:cs="Times New Roman"/>
                <w:noProof/>
                <w:vertAlign w:val="superscript"/>
                <w:lang w:val="en-AU"/>
              </w:rPr>
              <w:t>18</w:t>
            </w:r>
          </w:p>
        </w:tc>
        <w:tc>
          <w:tcPr>
            <w:tcW w:w="1515" w:type="dxa"/>
            <w:hideMark/>
          </w:tcPr>
          <w:p w14:paraId="3903DCE2"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69/2718</w:t>
            </w:r>
          </w:p>
          <w:p w14:paraId="643D8C30"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w:t>
            </w:r>
          </w:p>
        </w:tc>
        <w:tc>
          <w:tcPr>
            <w:tcW w:w="1523" w:type="dxa"/>
            <w:hideMark/>
          </w:tcPr>
          <w:p w14:paraId="2837EF38"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36/48 atrial beats ≥200bpm </w:t>
            </w:r>
          </w:p>
        </w:tc>
        <w:tc>
          <w:tcPr>
            <w:tcW w:w="1906" w:type="dxa"/>
            <w:hideMark/>
          </w:tcPr>
          <w:p w14:paraId="04E112C3"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20/69 (29%)</w:t>
            </w:r>
          </w:p>
        </w:tc>
        <w:tc>
          <w:tcPr>
            <w:tcW w:w="1621" w:type="dxa"/>
            <w:hideMark/>
          </w:tcPr>
          <w:p w14:paraId="49996708"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9/69 (13%)</w:t>
            </w:r>
          </w:p>
        </w:tc>
        <w:tc>
          <w:tcPr>
            <w:tcW w:w="1911" w:type="dxa"/>
            <w:hideMark/>
          </w:tcPr>
          <w:p w14:paraId="1D126D7C"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65/69 (94%)</w:t>
            </w:r>
          </w:p>
        </w:tc>
        <w:tc>
          <w:tcPr>
            <w:tcW w:w="2113" w:type="dxa"/>
            <w:hideMark/>
          </w:tcPr>
          <w:p w14:paraId="66FEDDC6"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4/69 (6%)</w:t>
            </w:r>
          </w:p>
        </w:tc>
      </w:tr>
      <w:tr w:rsidR="00BC0926" w:rsidRPr="00D72149" w14:paraId="209D08D0" w14:textId="77777777" w:rsidTr="00375DCA">
        <w:trPr>
          <w:trHeight w:val="1307"/>
        </w:trPr>
        <w:tc>
          <w:tcPr>
            <w:tcW w:w="1079" w:type="dxa"/>
          </w:tcPr>
          <w:p w14:paraId="37ACDE8D"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2015</w:t>
            </w:r>
          </w:p>
        </w:tc>
        <w:tc>
          <w:tcPr>
            <w:tcW w:w="1292" w:type="dxa"/>
          </w:tcPr>
          <w:p w14:paraId="7DE2A913"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Turakhia et al</w:t>
            </w:r>
            <w:r w:rsidRPr="008D370F">
              <w:rPr>
                <w:rFonts w:ascii="Calibri" w:eastAsia="Calibri" w:hAnsi="Calibri" w:cs="Times New Roman"/>
                <w:noProof/>
                <w:vertAlign w:val="superscript"/>
                <w:lang w:val="en-AU"/>
              </w:rPr>
              <w:t>40</w:t>
            </w:r>
          </w:p>
        </w:tc>
        <w:tc>
          <w:tcPr>
            <w:tcW w:w="1515" w:type="dxa"/>
          </w:tcPr>
          <w:p w14:paraId="7B7D46A5"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187/9850</w:t>
            </w:r>
          </w:p>
        </w:tc>
        <w:tc>
          <w:tcPr>
            <w:tcW w:w="1523" w:type="dxa"/>
          </w:tcPr>
          <w:p w14:paraId="100C14D1"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5.5 hours or ≥ 6min on any day 120 days prior</w:t>
            </w:r>
          </w:p>
        </w:tc>
        <w:tc>
          <w:tcPr>
            <w:tcW w:w="1906" w:type="dxa"/>
          </w:tcPr>
          <w:p w14:paraId="3A87468E"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 xml:space="preserve"> 36/187 (19%) ≥ 5.5 hours  </w:t>
            </w:r>
          </w:p>
          <w:p w14:paraId="72AA8B00"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50/187 (26%) ≥ 6 min</w:t>
            </w:r>
          </w:p>
        </w:tc>
        <w:tc>
          <w:tcPr>
            <w:tcW w:w="1621" w:type="dxa"/>
          </w:tcPr>
          <w:p w14:paraId="13A381E7"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N/A</w:t>
            </w:r>
          </w:p>
        </w:tc>
        <w:tc>
          <w:tcPr>
            <w:tcW w:w="1911" w:type="dxa"/>
          </w:tcPr>
          <w:p w14:paraId="02BB3AFC"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r w:rsidRPr="00D72149">
              <w:rPr>
                <w:rFonts w:ascii="Calibri" w:eastAsia="Calibri" w:hAnsi="Calibri" w:cs="Times New Roman"/>
                <w:lang w:val="en-AU"/>
              </w:rPr>
              <w:t>N/A</w:t>
            </w:r>
          </w:p>
        </w:tc>
        <w:tc>
          <w:tcPr>
            <w:tcW w:w="2113" w:type="dxa"/>
          </w:tcPr>
          <w:p w14:paraId="63D294A2" w14:textId="77777777" w:rsidR="00BC0926" w:rsidRPr="00D72149" w:rsidRDefault="00BC0926" w:rsidP="00375DCA">
            <w:pPr>
              <w:widowControl w:val="0"/>
              <w:autoSpaceDE w:val="0"/>
              <w:autoSpaceDN w:val="0"/>
              <w:adjustRightInd w:val="0"/>
              <w:spacing w:after="0" w:line="240" w:lineRule="auto"/>
              <w:rPr>
                <w:rFonts w:ascii="Calibri" w:eastAsia="Calibri" w:hAnsi="Calibri" w:cs="Times New Roman"/>
                <w:lang w:val="en-AU"/>
              </w:rPr>
            </w:pPr>
          </w:p>
        </w:tc>
      </w:tr>
    </w:tbl>
    <w:p w14:paraId="4367C4A4" w14:textId="77777777" w:rsidR="00597826" w:rsidRPr="00D72149" w:rsidRDefault="00597826" w:rsidP="00375DCA">
      <w:pPr>
        <w:spacing w:line="240" w:lineRule="auto"/>
        <w:rPr>
          <w:rFonts w:ascii="Calibri" w:eastAsia="Calibri" w:hAnsi="Calibri" w:cs="Times New Roman"/>
          <w:b/>
          <w:bCs/>
          <w:color w:val="4F81BD"/>
        </w:rPr>
      </w:pPr>
    </w:p>
    <w:p w14:paraId="7EEFA071" w14:textId="77777777" w:rsidR="00597826" w:rsidRPr="00D72149" w:rsidRDefault="00597826" w:rsidP="00375DCA"/>
    <w:p w14:paraId="49EAF939" w14:textId="77777777" w:rsidR="00597826" w:rsidRDefault="00597826" w:rsidP="00375DCA">
      <w:pPr>
        <w:pStyle w:val="Caption"/>
        <w:rPr>
          <w:sz w:val="22"/>
          <w:szCs w:val="22"/>
        </w:rPr>
      </w:pPr>
    </w:p>
    <w:p w14:paraId="5667E861" w14:textId="77777777" w:rsidR="00597826" w:rsidRDefault="00597826" w:rsidP="00375DCA">
      <w:pPr>
        <w:pStyle w:val="Caption"/>
        <w:rPr>
          <w:sz w:val="22"/>
          <w:szCs w:val="22"/>
        </w:rPr>
      </w:pPr>
    </w:p>
    <w:p w14:paraId="6B4AC7EC" w14:textId="77777777" w:rsidR="00597826" w:rsidRDefault="00597826">
      <w:pPr>
        <w:rPr>
          <w:b/>
          <w:bCs/>
        </w:rPr>
      </w:pPr>
      <w:r>
        <w:br w:type="page"/>
      </w:r>
    </w:p>
    <w:p w14:paraId="2EE49E26" w14:textId="77777777" w:rsidR="00C97E7D" w:rsidRPr="00A32DB9" w:rsidRDefault="00C97E7D" w:rsidP="00C97E7D">
      <w:pPr>
        <w:pStyle w:val="Caption"/>
        <w:rPr>
          <w:rFonts w:eastAsiaTheme="minorEastAsia" w:cs="Arial"/>
          <w:b w:val="0"/>
          <w:bCs w:val="0"/>
          <w:color w:val="auto"/>
          <w:sz w:val="22"/>
          <w:szCs w:val="22"/>
          <w:lang w:eastAsia="sv-SE"/>
        </w:rPr>
      </w:pPr>
      <w:r w:rsidRPr="00A32DB9">
        <w:rPr>
          <w:color w:val="auto"/>
          <w:sz w:val="22"/>
          <w:szCs w:val="22"/>
        </w:rPr>
        <w:t>Table 4: Sensitivity and specificity of different methods of screening for AF</w:t>
      </w:r>
    </w:p>
    <w:tbl>
      <w:tblPr>
        <w:tblStyle w:val="TableGrid"/>
        <w:tblW w:w="10314" w:type="dxa"/>
        <w:tblLayout w:type="fixed"/>
        <w:tblLook w:val="06A0" w:firstRow="1" w:lastRow="0" w:firstColumn="1" w:lastColumn="0" w:noHBand="1" w:noVBand="1"/>
      </w:tblPr>
      <w:tblGrid>
        <w:gridCol w:w="1809"/>
        <w:gridCol w:w="2552"/>
        <w:gridCol w:w="1701"/>
        <w:gridCol w:w="1871"/>
        <w:gridCol w:w="2381"/>
      </w:tblGrid>
      <w:tr w:rsidR="00C97E7D" w:rsidRPr="00A32DB9" w14:paraId="1AD4B45A" w14:textId="77777777" w:rsidTr="00375DCA">
        <w:tc>
          <w:tcPr>
            <w:tcW w:w="1809" w:type="dxa"/>
          </w:tcPr>
          <w:p w14:paraId="1393E38F" w14:textId="77777777" w:rsidR="00C97E7D" w:rsidRPr="00A32DB9" w:rsidRDefault="00C97E7D" w:rsidP="00375DCA">
            <w:pPr>
              <w:pStyle w:val="CommentText"/>
              <w:spacing w:before="120" w:after="120" w:line="276" w:lineRule="auto"/>
              <w:jc w:val="center"/>
              <w:rPr>
                <w:rFonts w:cs="Arial"/>
                <w:b/>
                <w:sz w:val="22"/>
                <w:szCs w:val="22"/>
                <w:lang w:val="en-US"/>
              </w:rPr>
            </w:pPr>
            <w:r w:rsidRPr="00A32DB9">
              <w:rPr>
                <w:rFonts w:cs="Arial"/>
                <w:b/>
                <w:sz w:val="22"/>
                <w:szCs w:val="22"/>
                <w:lang w:val="en-US"/>
              </w:rPr>
              <w:t>Device</w:t>
            </w:r>
          </w:p>
        </w:tc>
        <w:tc>
          <w:tcPr>
            <w:tcW w:w="2552" w:type="dxa"/>
          </w:tcPr>
          <w:p w14:paraId="2B8DB0EE" w14:textId="77777777" w:rsidR="00C97E7D" w:rsidRPr="00A32DB9" w:rsidRDefault="00C97E7D" w:rsidP="00375DCA">
            <w:pPr>
              <w:pStyle w:val="CommentText"/>
              <w:spacing w:before="120" w:after="120" w:line="276" w:lineRule="auto"/>
              <w:jc w:val="center"/>
              <w:rPr>
                <w:rFonts w:cs="Arial"/>
                <w:b/>
                <w:sz w:val="22"/>
                <w:szCs w:val="22"/>
                <w:lang w:val="en-US"/>
              </w:rPr>
            </w:pPr>
            <w:r w:rsidRPr="00A32DB9">
              <w:rPr>
                <w:rFonts w:cs="Arial"/>
                <w:b/>
                <w:sz w:val="22"/>
                <w:szCs w:val="22"/>
                <w:lang w:val="en-US"/>
              </w:rPr>
              <w:t>Method of interpretation</w:t>
            </w:r>
          </w:p>
        </w:tc>
        <w:tc>
          <w:tcPr>
            <w:tcW w:w="1701" w:type="dxa"/>
          </w:tcPr>
          <w:p w14:paraId="75C954FA" w14:textId="77777777" w:rsidR="00C97E7D" w:rsidRPr="00A32DB9" w:rsidRDefault="00C97E7D" w:rsidP="00375DCA">
            <w:pPr>
              <w:pStyle w:val="CommentText"/>
              <w:spacing w:before="120" w:after="120" w:line="276" w:lineRule="auto"/>
              <w:jc w:val="center"/>
              <w:rPr>
                <w:rFonts w:cs="Arial"/>
                <w:b/>
                <w:sz w:val="22"/>
                <w:szCs w:val="22"/>
                <w:lang w:val="en-US"/>
              </w:rPr>
            </w:pPr>
            <w:r w:rsidRPr="00A32DB9">
              <w:rPr>
                <w:rFonts w:cs="Arial"/>
                <w:b/>
                <w:sz w:val="22"/>
                <w:szCs w:val="22"/>
                <w:lang w:val="en-US"/>
              </w:rPr>
              <w:t>Sensitivity</w:t>
            </w:r>
            <w:r>
              <w:rPr>
                <w:rFonts w:cs="Arial"/>
                <w:b/>
                <w:sz w:val="22"/>
                <w:szCs w:val="22"/>
                <w:lang w:val="en-US"/>
              </w:rPr>
              <w:t xml:space="preserve"> </w:t>
            </w:r>
            <w:r w:rsidRPr="00A32DB9">
              <w:rPr>
                <w:rFonts w:cs="Arial"/>
                <w:b/>
                <w:sz w:val="22"/>
                <w:szCs w:val="22"/>
                <w:lang w:val="en-US"/>
              </w:rPr>
              <w:t>(%)</w:t>
            </w:r>
          </w:p>
        </w:tc>
        <w:tc>
          <w:tcPr>
            <w:tcW w:w="1871" w:type="dxa"/>
          </w:tcPr>
          <w:p w14:paraId="47CDF5B4" w14:textId="77777777" w:rsidR="00C97E7D" w:rsidRPr="00A32DB9" w:rsidRDefault="00C97E7D" w:rsidP="00375DCA">
            <w:pPr>
              <w:pStyle w:val="CommentText"/>
              <w:spacing w:before="120" w:after="120" w:line="276" w:lineRule="auto"/>
              <w:jc w:val="center"/>
              <w:rPr>
                <w:rFonts w:cs="Arial"/>
                <w:b/>
                <w:sz w:val="22"/>
                <w:szCs w:val="22"/>
                <w:lang w:val="en-US"/>
              </w:rPr>
            </w:pPr>
            <w:r w:rsidRPr="00A32DB9">
              <w:rPr>
                <w:rFonts w:cs="Arial"/>
                <w:b/>
                <w:sz w:val="22"/>
                <w:szCs w:val="22"/>
                <w:lang w:val="en-US"/>
              </w:rPr>
              <w:t>Specificity</w:t>
            </w:r>
            <w:r>
              <w:rPr>
                <w:rFonts w:cs="Arial"/>
                <w:b/>
                <w:sz w:val="22"/>
                <w:szCs w:val="22"/>
                <w:lang w:val="en-US"/>
              </w:rPr>
              <w:t xml:space="preserve"> </w:t>
            </w:r>
            <w:r w:rsidRPr="00A32DB9">
              <w:rPr>
                <w:rFonts w:cs="Arial"/>
                <w:b/>
                <w:sz w:val="22"/>
                <w:szCs w:val="22"/>
                <w:lang w:val="en-US"/>
              </w:rPr>
              <w:t>(%)</w:t>
            </w:r>
          </w:p>
        </w:tc>
        <w:tc>
          <w:tcPr>
            <w:tcW w:w="2381" w:type="dxa"/>
          </w:tcPr>
          <w:p w14:paraId="4357D009" w14:textId="77777777" w:rsidR="00C97E7D" w:rsidRPr="00A32DB9" w:rsidRDefault="00C97E7D" w:rsidP="00375DCA">
            <w:pPr>
              <w:pStyle w:val="CommentText"/>
              <w:spacing w:before="120" w:after="120" w:line="276" w:lineRule="auto"/>
              <w:jc w:val="center"/>
              <w:rPr>
                <w:rFonts w:cs="Arial"/>
                <w:b/>
                <w:sz w:val="22"/>
                <w:szCs w:val="22"/>
                <w:lang w:val="en-US"/>
              </w:rPr>
            </w:pPr>
            <w:r w:rsidRPr="00A32DB9">
              <w:rPr>
                <w:rFonts w:cs="Arial"/>
                <w:b/>
                <w:sz w:val="22"/>
                <w:szCs w:val="22"/>
                <w:lang w:val="en-US"/>
              </w:rPr>
              <w:t>Reference</w:t>
            </w:r>
          </w:p>
        </w:tc>
      </w:tr>
      <w:tr w:rsidR="00C97E7D" w:rsidRPr="004D04BF" w14:paraId="1FB4F78E" w14:textId="77777777" w:rsidTr="00375DCA">
        <w:tc>
          <w:tcPr>
            <w:tcW w:w="1809" w:type="dxa"/>
          </w:tcPr>
          <w:p w14:paraId="6D179452"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Pulse palpation</w:t>
            </w:r>
          </w:p>
        </w:tc>
        <w:tc>
          <w:tcPr>
            <w:tcW w:w="2552" w:type="dxa"/>
          </w:tcPr>
          <w:p w14:paraId="3CA1ED66" w14:textId="77777777" w:rsidR="00C97E7D" w:rsidRPr="004D04BF" w:rsidRDefault="00C97E7D" w:rsidP="00375DCA">
            <w:pPr>
              <w:pStyle w:val="CommentText"/>
              <w:spacing w:before="120" w:after="120" w:line="276" w:lineRule="auto"/>
              <w:rPr>
                <w:rFonts w:cs="Arial"/>
                <w:sz w:val="22"/>
                <w:szCs w:val="22"/>
                <w:lang w:val="en-US"/>
              </w:rPr>
            </w:pPr>
          </w:p>
        </w:tc>
        <w:tc>
          <w:tcPr>
            <w:tcW w:w="1701" w:type="dxa"/>
          </w:tcPr>
          <w:p w14:paraId="2B1D3334" w14:textId="77777777" w:rsidR="00C97E7D" w:rsidRPr="004D04BF" w:rsidRDefault="00C97E7D" w:rsidP="00375DCA">
            <w:pPr>
              <w:pStyle w:val="CommentText"/>
              <w:spacing w:before="120" w:after="120" w:line="276" w:lineRule="auto"/>
              <w:jc w:val="center"/>
              <w:rPr>
                <w:rFonts w:cs="Arial"/>
                <w:sz w:val="22"/>
                <w:szCs w:val="22"/>
                <w:lang w:val="en-US"/>
              </w:rPr>
            </w:pPr>
            <w:r>
              <w:rPr>
                <w:rFonts w:cs="Arial"/>
                <w:sz w:val="22"/>
                <w:szCs w:val="22"/>
                <w:lang w:val="en-US"/>
              </w:rPr>
              <w:t xml:space="preserve">94        </w:t>
            </w:r>
            <w:r w:rsidRPr="004D04BF">
              <w:rPr>
                <w:rFonts w:cs="Arial"/>
                <w:sz w:val="22"/>
                <w:szCs w:val="22"/>
                <w:lang w:val="en-US"/>
              </w:rPr>
              <w:t>(84-97)</w:t>
            </w:r>
          </w:p>
        </w:tc>
        <w:tc>
          <w:tcPr>
            <w:tcW w:w="1871" w:type="dxa"/>
          </w:tcPr>
          <w:p w14:paraId="1A4220DE"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72         (69-75)</w:t>
            </w:r>
          </w:p>
        </w:tc>
        <w:tc>
          <w:tcPr>
            <w:tcW w:w="2381" w:type="dxa"/>
          </w:tcPr>
          <w:p w14:paraId="75F3A95B"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noProof/>
                <w:sz w:val="22"/>
                <w:szCs w:val="22"/>
                <w:lang w:val="en-US"/>
              </w:rPr>
              <w:t>Cooke et al., 2006</w:t>
            </w:r>
            <w:r w:rsidRPr="008D370F">
              <w:rPr>
                <w:rFonts w:cs="Arial"/>
                <w:noProof/>
                <w:sz w:val="22"/>
                <w:szCs w:val="22"/>
                <w:vertAlign w:val="superscript"/>
                <w:lang w:val="en-US"/>
              </w:rPr>
              <w:t>54</w:t>
            </w:r>
          </w:p>
        </w:tc>
      </w:tr>
      <w:tr w:rsidR="00C97E7D" w:rsidRPr="004D04BF" w14:paraId="16085AD4" w14:textId="77777777" w:rsidTr="00375DCA">
        <w:tc>
          <w:tcPr>
            <w:tcW w:w="4361" w:type="dxa"/>
            <w:gridSpan w:val="2"/>
          </w:tcPr>
          <w:p w14:paraId="7C89C0D9"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i/>
                <w:sz w:val="22"/>
                <w:szCs w:val="22"/>
                <w:lang w:val="en-US"/>
              </w:rPr>
              <w:t>Handheld single-lead ECGs</w:t>
            </w:r>
          </w:p>
        </w:tc>
        <w:tc>
          <w:tcPr>
            <w:tcW w:w="1701" w:type="dxa"/>
          </w:tcPr>
          <w:p w14:paraId="4BB842DC" w14:textId="77777777" w:rsidR="00C97E7D" w:rsidRPr="004D04BF" w:rsidRDefault="00C97E7D" w:rsidP="00375DCA">
            <w:pPr>
              <w:pStyle w:val="CommentText"/>
              <w:spacing w:before="120" w:after="120" w:line="276" w:lineRule="auto"/>
              <w:jc w:val="center"/>
              <w:rPr>
                <w:rFonts w:cs="Arial"/>
                <w:sz w:val="22"/>
                <w:szCs w:val="22"/>
                <w:lang w:val="en-US"/>
              </w:rPr>
            </w:pPr>
          </w:p>
        </w:tc>
        <w:tc>
          <w:tcPr>
            <w:tcW w:w="1871" w:type="dxa"/>
          </w:tcPr>
          <w:p w14:paraId="76E9DFD7" w14:textId="77777777" w:rsidR="00C97E7D" w:rsidRPr="004D04BF" w:rsidRDefault="00C97E7D" w:rsidP="00375DCA">
            <w:pPr>
              <w:pStyle w:val="CommentText"/>
              <w:spacing w:before="120" w:after="120" w:line="276" w:lineRule="auto"/>
              <w:jc w:val="center"/>
              <w:rPr>
                <w:rFonts w:cs="Arial"/>
                <w:sz w:val="22"/>
                <w:szCs w:val="22"/>
                <w:lang w:val="en-US"/>
              </w:rPr>
            </w:pPr>
          </w:p>
        </w:tc>
        <w:tc>
          <w:tcPr>
            <w:tcW w:w="2381" w:type="dxa"/>
          </w:tcPr>
          <w:p w14:paraId="053D26DB" w14:textId="77777777" w:rsidR="00C97E7D" w:rsidRPr="004D04BF" w:rsidRDefault="00C97E7D" w:rsidP="00375DCA">
            <w:pPr>
              <w:pStyle w:val="CommentText"/>
              <w:spacing w:before="120" w:after="120" w:line="276" w:lineRule="auto"/>
              <w:rPr>
                <w:rFonts w:cs="Arial"/>
                <w:sz w:val="22"/>
                <w:szCs w:val="22"/>
                <w:lang w:val="en-US"/>
              </w:rPr>
            </w:pPr>
          </w:p>
        </w:tc>
      </w:tr>
      <w:tr w:rsidR="00C97E7D" w:rsidRPr="004D04BF" w14:paraId="6638640F" w14:textId="77777777" w:rsidTr="00375DCA">
        <w:tc>
          <w:tcPr>
            <w:tcW w:w="1809" w:type="dxa"/>
          </w:tcPr>
          <w:p w14:paraId="5991447E" w14:textId="77777777" w:rsidR="00C97E7D" w:rsidRPr="004D04BF" w:rsidRDefault="00C97E7D" w:rsidP="00375DCA">
            <w:pPr>
              <w:pStyle w:val="CommentText"/>
              <w:spacing w:before="120" w:after="120" w:line="276" w:lineRule="auto"/>
              <w:rPr>
                <w:rFonts w:cs="Arial"/>
                <w:b/>
                <w:sz w:val="22"/>
                <w:szCs w:val="22"/>
                <w:lang w:val="en-US"/>
              </w:rPr>
            </w:pPr>
            <w:r w:rsidRPr="004D04BF">
              <w:rPr>
                <w:rFonts w:cs="Arial"/>
                <w:sz w:val="22"/>
                <w:szCs w:val="22"/>
                <w:lang w:val="en-US"/>
              </w:rPr>
              <w:t>AliveCor</w:t>
            </w:r>
            <w:r>
              <w:rPr>
                <w:rFonts w:cs="Arial"/>
                <w:sz w:val="22"/>
                <w:szCs w:val="22"/>
                <w:lang w:val="en-US"/>
              </w:rPr>
              <w:t xml:space="preserve"> (Kardia)</w:t>
            </w:r>
            <w:r w:rsidRPr="004D04BF">
              <w:rPr>
                <w:rFonts w:cs="Arial"/>
                <w:sz w:val="22"/>
                <w:szCs w:val="22"/>
                <w:lang w:val="en-US"/>
              </w:rPr>
              <w:t xml:space="preserve"> heart monitor</w:t>
            </w:r>
          </w:p>
        </w:tc>
        <w:tc>
          <w:tcPr>
            <w:tcW w:w="2552" w:type="dxa"/>
          </w:tcPr>
          <w:p w14:paraId="34FD6892"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 xml:space="preserve">Algorithm only (based on presence of P wave and RR irregularity) </w:t>
            </w:r>
          </w:p>
        </w:tc>
        <w:tc>
          <w:tcPr>
            <w:tcW w:w="1701" w:type="dxa"/>
          </w:tcPr>
          <w:p w14:paraId="78A177DC"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98         (89-100)</w:t>
            </w:r>
          </w:p>
        </w:tc>
        <w:tc>
          <w:tcPr>
            <w:tcW w:w="1871" w:type="dxa"/>
          </w:tcPr>
          <w:p w14:paraId="6580366B"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97         (93-99)</w:t>
            </w:r>
          </w:p>
        </w:tc>
        <w:tc>
          <w:tcPr>
            <w:tcW w:w="2381" w:type="dxa"/>
          </w:tcPr>
          <w:p w14:paraId="02B49EAF"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noProof/>
                <w:sz w:val="22"/>
                <w:szCs w:val="22"/>
                <w:lang w:val="en-US"/>
              </w:rPr>
              <w:t>Lau et al., 2013</w:t>
            </w:r>
            <w:r w:rsidRPr="008D370F">
              <w:rPr>
                <w:rFonts w:cs="Arial"/>
                <w:noProof/>
                <w:sz w:val="22"/>
                <w:szCs w:val="22"/>
                <w:vertAlign w:val="superscript"/>
                <w:lang w:val="en-US"/>
              </w:rPr>
              <w:t>55</w:t>
            </w:r>
          </w:p>
        </w:tc>
      </w:tr>
      <w:tr w:rsidR="00C97E7D" w:rsidRPr="004D04BF" w14:paraId="02D75DDD" w14:textId="77777777" w:rsidTr="00375DCA">
        <w:tc>
          <w:tcPr>
            <w:tcW w:w="1809" w:type="dxa"/>
          </w:tcPr>
          <w:p w14:paraId="1C636E0B" w14:textId="77777777" w:rsidR="00C97E7D" w:rsidRPr="004D04BF" w:rsidRDefault="00C97E7D" w:rsidP="00375DCA">
            <w:pPr>
              <w:pStyle w:val="CommentText"/>
              <w:spacing w:before="120" w:after="120" w:line="276" w:lineRule="auto"/>
              <w:rPr>
                <w:rFonts w:cs="Arial"/>
                <w:b/>
                <w:sz w:val="22"/>
                <w:szCs w:val="22"/>
                <w:lang w:val="en-US"/>
              </w:rPr>
            </w:pPr>
            <w:r w:rsidRPr="004D04BF">
              <w:rPr>
                <w:rFonts w:cs="Arial"/>
                <w:sz w:val="22"/>
                <w:szCs w:val="22"/>
                <w:lang w:val="en-US"/>
              </w:rPr>
              <w:t>Merlin ECG event recorder</w:t>
            </w:r>
          </w:p>
        </w:tc>
        <w:tc>
          <w:tcPr>
            <w:tcW w:w="2552" w:type="dxa"/>
          </w:tcPr>
          <w:p w14:paraId="2D815744"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Cardiologist interpretation</w:t>
            </w:r>
          </w:p>
        </w:tc>
        <w:tc>
          <w:tcPr>
            <w:tcW w:w="1701" w:type="dxa"/>
          </w:tcPr>
          <w:p w14:paraId="55FD992E"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93.9</w:t>
            </w:r>
          </w:p>
        </w:tc>
        <w:tc>
          <w:tcPr>
            <w:tcW w:w="1871" w:type="dxa"/>
          </w:tcPr>
          <w:p w14:paraId="7CEA4C81" w14:textId="77777777" w:rsidR="00C97E7D" w:rsidRPr="004D04BF" w:rsidRDefault="00C97E7D" w:rsidP="00375DCA">
            <w:pPr>
              <w:pStyle w:val="CommentText"/>
              <w:spacing w:before="120" w:after="120" w:line="276" w:lineRule="auto"/>
              <w:jc w:val="center"/>
              <w:rPr>
                <w:rFonts w:cs="Arial"/>
                <w:sz w:val="22"/>
                <w:szCs w:val="22"/>
                <w:lang w:val="en-US"/>
              </w:rPr>
            </w:pPr>
            <w:r>
              <w:rPr>
                <w:rFonts w:cs="Arial"/>
                <w:sz w:val="22"/>
                <w:szCs w:val="22"/>
                <w:lang w:val="en-US"/>
              </w:rPr>
              <w:t xml:space="preserve">    </w:t>
            </w:r>
            <w:r w:rsidRPr="004D04BF">
              <w:rPr>
                <w:rFonts w:cs="Arial"/>
                <w:sz w:val="22"/>
                <w:szCs w:val="22"/>
                <w:lang w:val="en-US"/>
              </w:rPr>
              <w:t>90.1</w:t>
            </w:r>
          </w:p>
        </w:tc>
        <w:tc>
          <w:tcPr>
            <w:tcW w:w="2381" w:type="dxa"/>
          </w:tcPr>
          <w:p w14:paraId="4385E60D"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noProof/>
                <w:sz w:val="22"/>
                <w:szCs w:val="22"/>
                <w:lang w:val="en-US"/>
              </w:rPr>
              <w:t>Kearley et al., 2014</w:t>
            </w:r>
            <w:r w:rsidRPr="008D370F">
              <w:rPr>
                <w:rFonts w:cs="Arial"/>
                <w:noProof/>
                <w:sz w:val="22"/>
                <w:szCs w:val="22"/>
                <w:vertAlign w:val="superscript"/>
                <w:lang w:val="en-US"/>
              </w:rPr>
              <w:t>56</w:t>
            </w:r>
          </w:p>
        </w:tc>
      </w:tr>
      <w:tr w:rsidR="00C97E7D" w:rsidRPr="004D04BF" w14:paraId="3C210A1E" w14:textId="77777777" w:rsidTr="00375DCA">
        <w:tc>
          <w:tcPr>
            <w:tcW w:w="1809" w:type="dxa"/>
          </w:tcPr>
          <w:p w14:paraId="1B38924C" w14:textId="77777777" w:rsidR="00C97E7D" w:rsidRPr="004D04BF" w:rsidRDefault="00C97E7D" w:rsidP="00375DCA">
            <w:pPr>
              <w:pStyle w:val="CommentText"/>
              <w:spacing w:before="120" w:after="120" w:line="276" w:lineRule="auto"/>
              <w:rPr>
                <w:rFonts w:cs="Arial"/>
                <w:b/>
                <w:sz w:val="22"/>
                <w:szCs w:val="22"/>
                <w:lang w:val="en-US"/>
              </w:rPr>
            </w:pPr>
            <w:r w:rsidRPr="004D04BF">
              <w:rPr>
                <w:rFonts w:cs="Arial"/>
                <w:sz w:val="22"/>
                <w:szCs w:val="22"/>
                <w:lang w:val="en-US"/>
              </w:rPr>
              <w:t>Mydiagnostick</w:t>
            </w:r>
          </w:p>
        </w:tc>
        <w:tc>
          <w:tcPr>
            <w:tcW w:w="2552" w:type="dxa"/>
          </w:tcPr>
          <w:p w14:paraId="64512B20"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Algorithm only (based on RR irregularity)</w:t>
            </w:r>
          </w:p>
        </w:tc>
        <w:tc>
          <w:tcPr>
            <w:tcW w:w="1701" w:type="dxa"/>
          </w:tcPr>
          <w:p w14:paraId="18F06057" w14:textId="77777777" w:rsidR="00C97E7D" w:rsidRPr="004D04BF" w:rsidRDefault="00C97E7D" w:rsidP="00375DCA">
            <w:pPr>
              <w:pStyle w:val="CommentText"/>
              <w:spacing w:before="120" w:after="120" w:line="276" w:lineRule="auto"/>
              <w:jc w:val="center"/>
              <w:rPr>
                <w:rFonts w:cs="Arial"/>
                <w:sz w:val="22"/>
                <w:szCs w:val="22"/>
                <w:lang w:val="en-US"/>
              </w:rPr>
            </w:pPr>
            <w:r>
              <w:rPr>
                <w:rFonts w:cs="Arial"/>
                <w:sz w:val="22"/>
                <w:szCs w:val="22"/>
                <w:lang w:val="en-US"/>
              </w:rPr>
              <w:t xml:space="preserve">94      </w:t>
            </w:r>
            <w:r w:rsidRPr="004D04BF">
              <w:rPr>
                <w:rFonts w:cs="Arial"/>
                <w:sz w:val="22"/>
                <w:szCs w:val="22"/>
                <w:lang w:val="en-US"/>
              </w:rPr>
              <w:t>(87–98)</w:t>
            </w:r>
          </w:p>
        </w:tc>
        <w:tc>
          <w:tcPr>
            <w:tcW w:w="1871" w:type="dxa"/>
          </w:tcPr>
          <w:p w14:paraId="58ACAACB" w14:textId="77777777" w:rsidR="00C97E7D" w:rsidRPr="004D04BF" w:rsidRDefault="00C97E7D" w:rsidP="00375DCA">
            <w:pPr>
              <w:pStyle w:val="CommentText"/>
              <w:spacing w:before="120" w:after="120" w:line="276" w:lineRule="auto"/>
              <w:jc w:val="center"/>
              <w:rPr>
                <w:rFonts w:cs="Arial"/>
                <w:sz w:val="22"/>
                <w:szCs w:val="22"/>
                <w:lang w:val="en-US"/>
              </w:rPr>
            </w:pPr>
            <w:r>
              <w:rPr>
                <w:rFonts w:cs="Arial"/>
                <w:sz w:val="22"/>
                <w:szCs w:val="22"/>
                <w:lang w:val="en-US"/>
              </w:rPr>
              <w:t xml:space="preserve"> 93</w:t>
            </w:r>
            <w:r w:rsidRPr="004D04BF">
              <w:rPr>
                <w:rFonts w:cs="Arial"/>
                <w:sz w:val="22"/>
                <w:szCs w:val="22"/>
                <w:lang w:val="en-US"/>
              </w:rPr>
              <w:t xml:space="preserve">   (85–97)</w:t>
            </w:r>
          </w:p>
        </w:tc>
        <w:tc>
          <w:tcPr>
            <w:tcW w:w="2381" w:type="dxa"/>
          </w:tcPr>
          <w:p w14:paraId="732108A2" w14:textId="77777777" w:rsidR="00C97E7D" w:rsidRPr="004D04BF" w:rsidRDefault="00C97E7D" w:rsidP="00375DCA">
            <w:pPr>
              <w:pStyle w:val="CommentText"/>
              <w:spacing w:before="120" w:after="120" w:line="276" w:lineRule="auto"/>
              <w:rPr>
                <w:rFonts w:cs="Arial"/>
                <w:noProof/>
                <w:sz w:val="22"/>
                <w:szCs w:val="22"/>
                <w:lang w:val="en-US"/>
              </w:rPr>
            </w:pPr>
            <w:r w:rsidRPr="004D04BF">
              <w:rPr>
                <w:rFonts w:cs="Arial"/>
                <w:noProof/>
                <w:sz w:val="22"/>
                <w:szCs w:val="22"/>
                <w:lang w:val="en-US"/>
              </w:rPr>
              <w:t>Tieleman et al., 2014</w:t>
            </w:r>
            <w:r w:rsidRPr="008D370F">
              <w:rPr>
                <w:rFonts w:cs="Arial"/>
                <w:noProof/>
                <w:sz w:val="22"/>
                <w:szCs w:val="22"/>
                <w:vertAlign w:val="superscript"/>
                <w:lang w:val="en-US"/>
              </w:rPr>
              <w:t>57</w:t>
            </w:r>
          </w:p>
          <w:p w14:paraId="5555155A"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noProof/>
                <w:sz w:val="22"/>
                <w:szCs w:val="22"/>
                <w:lang w:val="en-US"/>
              </w:rPr>
              <w:t>Vaes et al., 2014</w:t>
            </w:r>
            <w:r w:rsidRPr="008D370F">
              <w:rPr>
                <w:rFonts w:cs="Arial"/>
                <w:noProof/>
                <w:sz w:val="22"/>
                <w:szCs w:val="22"/>
                <w:vertAlign w:val="superscript"/>
                <w:lang w:val="en-US"/>
              </w:rPr>
              <w:t>58</w:t>
            </w:r>
          </w:p>
        </w:tc>
      </w:tr>
      <w:tr w:rsidR="00C97E7D" w:rsidRPr="004D04BF" w14:paraId="5671AB14" w14:textId="77777777" w:rsidTr="00375DCA">
        <w:tc>
          <w:tcPr>
            <w:tcW w:w="1809" w:type="dxa"/>
          </w:tcPr>
          <w:p w14:paraId="5A8DF45E" w14:textId="77777777" w:rsidR="00C97E7D" w:rsidRPr="004D04BF" w:rsidRDefault="00C97E7D" w:rsidP="00375DCA">
            <w:pPr>
              <w:pStyle w:val="CommentText"/>
              <w:spacing w:before="120" w:after="120" w:line="276" w:lineRule="auto"/>
              <w:rPr>
                <w:rFonts w:cs="Arial"/>
                <w:b/>
                <w:sz w:val="22"/>
                <w:szCs w:val="22"/>
                <w:lang w:val="en-US"/>
              </w:rPr>
            </w:pPr>
            <w:r w:rsidRPr="004D04BF">
              <w:rPr>
                <w:rFonts w:cs="Arial"/>
                <w:sz w:val="22"/>
                <w:szCs w:val="22"/>
                <w:lang w:val="en-US"/>
              </w:rPr>
              <w:t>Omron HCG-801</w:t>
            </w:r>
          </w:p>
        </w:tc>
        <w:tc>
          <w:tcPr>
            <w:tcW w:w="2552" w:type="dxa"/>
          </w:tcPr>
          <w:p w14:paraId="12E4A154"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Algorithm only (based on RR irregularity)</w:t>
            </w:r>
          </w:p>
        </w:tc>
        <w:tc>
          <w:tcPr>
            <w:tcW w:w="1701" w:type="dxa"/>
          </w:tcPr>
          <w:p w14:paraId="680DCB8F" w14:textId="77777777" w:rsidR="00C97E7D" w:rsidRPr="004D04BF" w:rsidRDefault="00C97E7D" w:rsidP="00375DCA">
            <w:pPr>
              <w:pStyle w:val="CommentText"/>
              <w:spacing w:before="120" w:after="120" w:line="276" w:lineRule="auto"/>
              <w:jc w:val="center"/>
              <w:rPr>
                <w:rFonts w:cs="Arial"/>
                <w:sz w:val="22"/>
                <w:szCs w:val="22"/>
                <w:lang w:val="en-US"/>
              </w:rPr>
            </w:pPr>
            <w:r>
              <w:rPr>
                <w:rFonts w:cs="Arial"/>
                <w:sz w:val="22"/>
                <w:szCs w:val="22"/>
                <w:lang w:val="en-US"/>
              </w:rPr>
              <w:t xml:space="preserve">98.7  </w:t>
            </w:r>
            <w:r w:rsidRPr="004D04BF">
              <w:rPr>
                <w:rFonts w:cs="Arial"/>
                <w:sz w:val="22"/>
                <w:szCs w:val="22"/>
                <w:lang w:val="en-US"/>
              </w:rPr>
              <w:t xml:space="preserve"> (93.2-100)</w:t>
            </w:r>
          </w:p>
        </w:tc>
        <w:tc>
          <w:tcPr>
            <w:tcW w:w="1871" w:type="dxa"/>
          </w:tcPr>
          <w:p w14:paraId="7447280E" w14:textId="77777777" w:rsidR="00C97E7D" w:rsidRPr="004D04BF" w:rsidRDefault="00C97E7D" w:rsidP="00375DCA">
            <w:pPr>
              <w:pStyle w:val="CommentText"/>
              <w:spacing w:before="120" w:after="120" w:line="276" w:lineRule="auto"/>
              <w:jc w:val="center"/>
              <w:rPr>
                <w:rFonts w:cs="Arial"/>
                <w:sz w:val="22"/>
                <w:szCs w:val="22"/>
                <w:lang w:val="en-US"/>
              </w:rPr>
            </w:pPr>
            <w:r>
              <w:rPr>
                <w:rFonts w:cs="Arial"/>
                <w:sz w:val="22"/>
                <w:szCs w:val="22"/>
                <w:lang w:val="en-US"/>
              </w:rPr>
              <w:t>76.2</w:t>
            </w:r>
            <w:r w:rsidRPr="004D04BF">
              <w:rPr>
                <w:rFonts w:cs="Arial"/>
                <w:sz w:val="22"/>
                <w:szCs w:val="22"/>
                <w:lang w:val="en-US"/>
              </w:rPr>
              <w:t>(73.3-78.9)</w:t>
            </w:r>
          </w:p>
        </w:tc>
        <w:tc>
          <w:tcPr>
            <w:tcW w:w="2381" w:type="dxa"/>
          </w:tcPr>
          <w:p w14:paraId="68D88BA2"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Kearley et al., 2014</w:t>
            </w:r>
            <w:r w:rsidRPr="008D370F">
              <w:rPr>
                <w:rFonts w:cs="Arial"/>
                <w:noProof/>
                <w:sz w:val="22"/>
                <w:szCs w:val="22"/>
                <w:vertAlign w:val="superscript"/>
                <w:lang w:val="en-US"/>
              </w:rPr>
              <w:t>56</w:t>
            </w:r>
          </w:p>
        </w:tc>
      </w:tr>
      <w:tr w:rsidR="00C97E7D" w:rsidRPr="004D04BF" w14:paraId="05F28803" w14:textId="77777777" w:rsidTr="00375DCA">
        <w:tc>
          <w:tcPr>
            <w:tcW w:w="1809" w:type="dxa"/>
          </w:tcPr>
          <w:p w14:paraId="61BD0750" w14:textId="77777777" w:rsidR="00C97E7D" w:rsidRPr="004D04BF" w:rsidRDefault="00C97E7D" w:rsidP="00375DCA">
            <w:pPr>
              <w:pStyle w:val="CommentText"/>
              <w:spacing w:before="120" w:after="120" w:line="276" w:lineRule="auto"/>
              <w:rPr>
                <w:rFonts w:cs="Arial"/>
                <w:b/>
                <w:sz w:val="22"/>
                <w:szCs w:val="22"/>
                <w:lang w:val="en-US"/>
              </w:rPr>
            </w:pPr>
            <w:r w:rsidRPr="004D04BF">
              <w:rPr>
                <w:rFonts w:cs="Arial"/>
                <w:sz w:val="22"/>
                <w:szCs w:val="22"/>
                <w:lang w:val="en-US"/>
              </w:rPr>
              <w:t>Omron HCG-801</w:t>
            </w:r>
          </w:p>
        </w:tc>
        <w:tc>
          <w:tcPr>
            <w:tcW w:w="2552" w:type="dxa"/>
          </w:tcPr>
          <w:p w14:paraId="2BCE7B3B"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Cardiologist interpretation</w:t>
            </w:r>
          </w:p>
        </w:tc>
        <w:tc>
          <w:tcPr>
            <w:tcW w:w="1701" w:type="dxa"/>
          </w:tcPr>
          <w:p w14:paraId="2B5A40E1"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94.4</w:t>
            </w:r>
          </w:p>
        </w:tc>
        <w:tc>
          <w:tcPr>
            <w:tcW w:w="1871" w:type="dxa"/>
          </w:tcPr>
          <w:p w14:paraId="4077C54A"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94.6</w:t>
            </w:r>
          </w:p>
        </w:tc>
        <w:tc>
          <w:tcPr>
            <w:tcW w:w="2381" w:type="dxa"/>
          </w:tcPr>
          <w:p w14:paraId="4DD881A5"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noProof/>
                <w:sz w:val="22"/>
                <w:szCs w:val="22"/>
                <w:lang w:val="en-US"/>
              </w:rPr>
              <w:t>Kearley et al., 2014</w:t>
            </w:r>
            <w:r w:rsidRPr="008D370F">
              <w:rPr>
                <w:rFonts w:cs="Arial"/>
                <w:noProof/>
                <w:sz w:val="22"/>
                <w:szCs w:val="22"/>
                <w:vertAlign w:val="superscript"/>
                <w:lang w:val="en-US"/>
              </w:rPr>
              <w:t>56</w:t>
            </w:r>
          </w:p>
        </w:tc>
      </w:tr>
      <w:tr w:rsidR="00C97E7D" w:rsidRPr="004D04BF" w14:paraId="3F2B3BA9" w14:textId="77777777" w:rsidTr="00375DCA">
        <w:tc>
          <w:tcPr>
            <w:tcW w:w="1809" w:type="dxa"/>
          </w:tcPr>
          <w:p w14:paraId="4458923D" w14:textId="77777777" w:rsidR="00C97E7D" w:rsidRPr="004D04BF" w:rsidRDefault="00C97E7D" w:rsidP="00375DCA">
            <w:pPr>
              <w:pStyle w:val="CommentText"/>
              <w:spacing w:before="120" w:after="120" w:line="276" w:lineRule="auto"/>
              <w:rPr>
                <w:rFonts w:cs="Arial"/>
                <w:b/>
                <w:sz w:val="22"/>
                <w:szCs w:val="22"/>
                <w:lang w:val="en-US"/>
              </w:rPr>
            </w:pPr>
            <w:r w:rsidRPr="004D04BF">
              <w:rPr>
                <w:rFonts w:cs="Arial"/>
                <w:sz w:val="22"/>
                <w:szCs w:val="22"/>
                <w:lang w:val="en-US"/>
              </w:rPr>
              <w:t>Zenicor EKG</w:t>
            </w:r>
          </w:p>
        </w:tc>
        <w:tc>
          <w:tcPr>
            <w:tcW w:w="2552" w:type="dxa"/>
          </w:tcPr>
          <w:p w14:paraId="14EEFC03"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Cardiologist interpretation</w:t>
            </w:r>
          </w:p>
        </w:tc>
        <w:tc>
          <w:tcPr>
            <w:tcW w:w="1701" w:type="dxa"/>
          </w:tcPr>
          <w:p w14:paraId="2F46CE5E"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96</w:t>
            </w:r>
          </w:p>
        </w:tc>
        <w:tc>
          <w:tcPr>
            <w:tcW w:w="1871" w:type="dxa"/>
          </w:tcPr>
          <w:p w14:paraId="4A67A65E"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92</w:t>
            </w:r>
          </w:p>
        </w:tc>
        <w:tc>
          <w:tcPr>
            <w:tcW w:w="2381" w:type="dxa"/>
          </w:tcPr>
          <w:p w14:paraId="05664329"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noProof/>
                <w:sz w:val="22"/>
                <w:szCs w:val="22"/>
                <w:lang w:val="en-US"/>
              </w:rPr>
              <w:t>Doliwa et al., 2009</w:t>
            </w:r>
            <w:r w:rsidRPr="008D370F">
              <w:rPr>
                <w:rFonts w:cs="Arial"/>
                <w:noProof/>
                <w:sz w:val="22"/>
                <w:szCs w:val="22"/>
                <w:vertAlign w:val="superscript"/>
                <w:lang w:val="en-US"/>
              </w:rPr>
              <w:t>59</w:t>
            </w:r>
          </w:p>
        </w:tc>
      </w:tr>
      <w:tr w:rsidR="00C97E7D" w:rsidRPr="004D04BF" w14:paraId="307BDA81" w14:textId="77777777" w:rsidTr="00375DCA">
        <w:tc>
          <w:tcPr>
            <w:tcW w:w="4361" w:type="dxa"/>
            <w:gridSpan w:val="2"/>
          </w:tcPr>
          <w:p w14:paraId="789C8BF9" w14:textId="77777777" w:rsidR="00C97E7D" w:rsidRPr="004D04BF" w:rsidRDefault="00C97E7D" w:rsidP="00375DCA">
            <w:pPr>
              <w:pStyle w:val="CommentText"/>
              <w:spacing w:before="120" w:after="120" w:line="276" w:lineRule="auto"/>
              <w:rPr>
                <w:rFonts w:cs="Arial"/>
                <w:i/>
                <w:sz w:val="22"/>
                <w:szCs w:val="22"/>
                <w:lang w:val="en-US"/>
              </w:rPr>
            </w:pPr>
            <w:r w:rsidRPr="004D04BF">
              <w:rPr>
                <w:rFonts w:cs="Arial"/>
                <w:i/>
                <w:sz w:val="22"/>
                <w:szCs w:val="22"/>
                <w:lang w:val="en-US"/>
              </w:rPr>
              <w:t>Modified Blood pressure monitors</w:t>
            </w:r>
          </w:p>
        </w:tc>
        <w:tc>
          <w:tcPr>
            <w:tcW w:w="1701" w:type="dxa"/>
          </w:tcPr>
          <w:p w14:paraId="28B2B789" w14:textId="77777777" w:rsidR="00C97E7D" w:rsidRPr="004D04BF" w:rsidRDefault="00C97E7D" w:rsidP="00375DCA">
            <w:pPr>
              <w:pStyle w:val="CommentText"/>
              <w:spacing w:before="120" w:after="120" w:line="276" w:lineRule="auto"/>
              <w:jc w:val="center"/>
              <w:rPr>
                <w:rFonts w:cs="Arial"/>
                <w:sz w:val="22"/>
                <w:szCs w:val="22"/>
                <w:lang w:val="en-US"/>
              </w:rPr>
            </w:pPr>
          </w:p>
        </w:tc>
        <w:tc>
          <w:tcPr>
            <w:tcW w:w="1871" w:type="dxa"/>
          </w:tcPr>
          <w:p w14:paraId="6B37C1C8" w14:textId="77777777" w:rsidR="00C97E7D" w:rsidRPr="004D04BF" w:rsidRDefault="00C97E7D" w:rsidP="00375DCA">
            <w:pPr>
              <w:pStyle w:val="CommentText"/>
              <w:spacing w:before="120" w:after="120" w:line="276" w:lineRule="auto"/>
              <w:jc w:val="center"/>
              <w:rPr>
                <w:rFonts w:cs="Arial"/>
                <w:sz w:val="22"/>
                <w:szCs w:val="22"/>
                <w:lang w:val="en-US"/>
              </w:rPr>
            </w:pPr>
          </w:p>
        </w:tc>
        <w:tc>
          <w:tcPr>
            <w:tcW w:w="2381" w:type="dxa"/>
          </w:tcPr>
          <w:p w14:paraId="55120CA4" w14:textId="77777777" w:rsidR="00C97E7D" w:rsidRPr="004D04BF" w:rsidRDefault="00C97E7D" w:rsidP="00375DCA">
            <w:pPr>
              <w:pStyle w:val="CommentText"/>
              <w:spacing w:before="120" w:after="120" w:line="276" w:lineRule="auto"/>
              <w:rPr>
                <w:rFonts w:cs="Arial"/>
                <w:sz w:val="22"/>
                <w:szCs w:val="22"/>
                <w:lang w:val="en-US"/>
              </w:rPr>
            </w:pPr>
          </w:p>
        </w:tc>
      </w:tr>
      <w:tr w:rsidR="00C97E7D" w:rsidRPr="004D04BF" w14:paraId="02A5A6C9" w14:textId="77777777" w:rsidTr="00375DCA">
        <w:tc>
          <w:tcPr>
            <w:tcW w:w="1809" w:type="dxa"/>
          </w:tcPr>
          <w:p w14:paraId="1A7A420F" w14:textId="77777777" w:rsidR="00C97E7D" w:rsidRPr="004D04BF" w:rsidRDefault="00C97E7D" w:rsidP="00375DCA">
            <w:pPr>
              <w:pStyle w:val="CommentText"/>
              <w:spacing w:before="120" w:after="120" w:line="276" w:lineRule="auto"/>
              <w:rPr>
                <w:rFonts w:cs="Arial"/>
                <w:b/>
                <w:sz w:val="22"/>
                <w:szCs w:val="22"/>
                <w:lang w:val="en-US"/>
              </w:rPr>
            </w:pPr>
            <w:r w:rsidRPr="004D04BF">
              <w:rPr>
                <w:rFonts w:cs="Arial"/>
                <w:sz w:val="22"/>
                <w:szCs w:val="22"/>
                <w:lang w:val="en-US"/>
              </w:rPr>
              <w:t>Microlife BPA 200 Plus</w:t>
            </w:r>
          </w:p>
        </w:tc>
        <w:tc>
          <w:tcPr>
            <w:tcW w:w="2552" w:type="dxa"/>
          </w:tcPr>
          <w:p w14:paraId="5F44FFF5"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751C30EB"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92</w:t>
            </w:r>
          </w:p>
        </w:tc>
        <w:tc>
          <w:tcPr>
            <w:tcW w:w="1871" w:type="dxa"/>
          </w:tcPr>
          <w:p w14:paraId="558D9C2F"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97</w:t>
            </w:r>
          </w:p>
        </w:tc>
        <w:tc>
          <w:tcPr>
            <w:tcW w:w="2381" w:type="dxa"/>
          </w:tcPr>
          <w:p w14:paraId="34AD97CF"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noProof/>
                <w:sz w:val="22"/>
                <w:szCs w:val="22"/>
                <w:lang w:val="en-US"/>
              </w:rPr>
              <w:t>Marazzi et al., 2012</w:t>
            </w:r>
            <w:r w:rsidRPr="008D370F">
              <w:rPr>
                <w:rFonts w:cs="Arial"/>
                <w:noProof/>
                <w:sz w:val="22"/>
                <w:szCs w:val="22"/>
                <w:vertAlign w:val="superscript"/>
                <w:lang w:val="en-US"/>
              </w:rPr>
              <w:t>60</w:t>
            </w:r>
          </w:p>
        </w:tc>
      </w:tr>
      <w:tr w:rsidR="00C97E7D" w:rsidRPr="004D04BF" w14:paraId="190B99C7" w14:textId="77777777" w:rsidTr="00375DCA">
        <w:tc>
          <w:tcPr>
            <w:tcW w:w="1809" w:type="dxa"/>
          </w:tcPr>
          <w:p w14:paraId="27FC248B" w14:textId="77777777" w:rsidR="00C97E7D" w:rsidRPr="004D04BF" w:rsidRDefault="00C97E7D" w:rsidP="00375DCA">
            <w:pPr>
              <w:pStyle w:val="CommentText"/>
              <w:spacing w:before="120" w:after="120" w:line="276" w:lineRule="auto"/>
              <w:rPr>
                <w:rFonts w:cs="Arial"/>
                <w:b/>
                <w:sz w:val="22"/>
                <w:szCs w:val="22"/>
                <w:lang w:val="en-US"/>
              </w:rPr>
            </w:pPr>
            <w:r w:rsidRPr="004D04BF">
              <w:rPr>
                <w:rFonts w:cs="Arial"/>
                <w:sz w:val="22"/>
                <w:szCs w:val="22"/>
                <w:lang w:val="en-US"/>
              </w:rPr>
              <w:t>Microlife BPA 200</w:t>
            </w:r>
          </w:p>
        </w:tc>
        <w:tc>
          <w:tcPr>
            <w:tcW w:w="2552" w:type="dxa"/>
          </w:tcPr>
          <w:p w14:paraId="0F12B2D5"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5B6340B0" w14:textId="77777777" w:rsidR="00C97E7D" w:rsidRPr="004D04BF" w:rsidRDefault="00C97E7D" w:rsidP="00375DCA">
            <w:pPr>
              <w:pStyle w:val="CommentText"/>
              <w:spacing w:before="120" w:after="120" w:line="276" w:lineRule="auto"/>
              <w:jc w:val="center"/>
              <w:rPr>
                <w:rFonts w:cs="Arial"/>
                <w:sz w:val="22"/>
                <w:szCs w:val="22"/>
                <w:lang w:val="en-US"/>
              </w:rPr>
            </w:pPr>
            <w:r>
              <w:rPr>
                <w:rFonts w:cs="Arial"/>
                <w:sz w:val="22"/>
                <w:szCs w:val="22"/>
                <w:lang w:val="en-US"/>
              </w:rPr>
              <w:t xml:space="preserve">   97</w:t>
            </w:r>
            <w:r w:rsidRPr="004D04BF">
              <w:rPr>
                <w:rFonts w:cs="Arial"/>
                <w:sz w:val="22"/>
                <w:szCs w:val="22"/>
                <w:lang w:val="en-US"/>
              </w:rPr>
              <w:t xml:space="preserve"> (81.4-100)</w:t>
            </w:r>
          </w:p>
        </w:tc>
        <w:tc>
          <w:tcPr>
            <w:tcW w:w="1871" w:type="dxa"/>
          </w:tcPr>
          <w:p w14:paraId="09B57955" w14:textId="77777777" w:rsidR="00C97E7D" w:rsidRPr="004D04BF" w:rsidRDefault="00C97E7D" w:rsidP="00375DCA">
            <w:pPr>
              <w:pStyle w:val="CommentText"/>
              <w:spacing w:before="120" w:after="120" w:line="276" w:lineRule="auto"/>
              <w:jc w:val="center"/>
              <w:rPr>
                <w:rFonts w:cs="Arial"/>
                <w:sz w:val="22"/>
                <w:szCs w:val="22"/>
                <w:lang w:val="en-US"/>
              </w:rPr>
            </w:pPr>
            <w:r>
              <w:rPr>
                <w:rFonts w:cs="Arial"/>
                <w:sz w:val="22"/>
                <w:szCs w:val="22"/>
                <w:lang w:val="en-US"/>
              </w:rPr>
              <w:t xml:space="preserve">     90  </w:t>
            </w:r>
            <w:r w:rsidRPr="004D04BF">
              <w:rPr>
                <w:rFonts w:cs="Arial"/>
                <w:sz w:val="22"/>
                <w:szCs w:val="22"/>
                <w:lang w:val="en-US"/>
              </w:rPr>
              <w:t>(83.8-94.2)</w:t>
            </w:r>
          </w:p>
        </w:tc>
        <w:tc>
          <w:tcPr>
            <w:tcW w:w="2381" w:type="dxa"/>
          </w:tcPr>
          <w:p w14:paraId="11FC59BE"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noProof/>
                <w:sz w:val="22"/>
                <w:szCs w:val="22"/>
                <w:lang w:val="en-US"/>
              </w:rPr>
              <w:t>Wiesel et al., 2014</w:t>
            </w:r>
            <w:r w:rsidRPr="008D370F">
              <w:rPr>
                <w:rFonts w:cs="Arial"/>
                <w:noProof/>
                <w:sz w:val="22"/>
                <w:szCs w:val="22"/>
                <w:vertAlign w:val="superscript"/>
                <w:lang w:val="en-US"/>
              </w:rPr>
              <w:t>61</w:t>
            </w:r>
          </w:p>
        </w:tc>
      </w:tr>
      <w:tr w:rsidR="00C97E7D" w:rsidRPr="004D04BF" w14:paraId="083A2FFF" w14:textId="77777777" w:rsidTr="00375DCA">
        <w:tc>
          <w:tcPr>
            <w:tcW w:w="1809" w:type="dxa"/>
          </w:tcPr>
          <w:p w14:paraId="6D173345" w14:textId="77777777" w:rsidR="00C97E7D" w:rsidRPr="004D04BF" w:rsidRDefault="00C97E7D" w:rsidP="00375DCA">
            <w:pPr>
              <w:pStyle w:val="CommentText"/>
              <w:spacing w:before="120" w:after="120" w:line="276" w:lineRule="auto"/>
              <w:rPr>
                <w:rFonts w:cs="Arial"/>
                <w:b/>
                <w:sz w:val="22"/>
                <w:szCs w:val="22"/>
                <w:lang w:val="en-US"/>
              </w:rPr>
            </w:pPr>
            <w:r w:rsidRPr="004D04BF">
              <w:rPr>
                <w:rFonts w:cs="Arial"/>
                <w:sz w:val="22"/>
                <w:szCs w:val="22"/>
                <w:lang w:val="en-US"/>
              </w:rPr>
              <w:t>Omron M6</w:t>
            </w:r>
          </w:p>
        </w:tc>
        <w:tc>
          <w:tcPr>
            <w:tcW w:w="2552" w:type="dxa"/>
          </w:tcPr>
          <w:p w14:paraId="2E16BEF3"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39A844DF"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100</w:t>
            </w:r>
          </w:p>
        </w:tc>
        <w:tc>
          <w:tcPr>
            <w:tcW w:w="1871" w:type="dxa"/>
          </w:tcPr>
          <w:p w14:paraId="0766FBA0"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94</w:t>
            </w:r>
          </w:p>
        </w:tc>
        <w:tc>
          <w:tcPr>
            <w:tcW w:w="2381" w:type="dxa"/>
          </w:tcPr>
          <w:p w14:paraId="14CFF016"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noProof/>
                <w:sz w:val="22"/>
                <w:szCs w:val="22"/>
                <w:lang w:val="en-US"/>
              </w:rPr>
              <w:t>Marazzi et al., 2012</w:t>
            </w:r>
            <w:r w:rsidRPr="008D370F">
              <w:rPr>
                <w:rFonts w:cs="Arial"/>
                <w:noProof/>
                <w:sz w:val="22"/>
                <w:szCs w:val="22"/>
                <w:vertAlign w:val="superscript"/>
                <w:lang w:val="en-US"/>
              </w:rPr>
              <w:t>60</w:t>
            </w:r>
          </w:p>
        </w:tc>
      </w:tr>
      <w:tr w:rsidR="00C97E7D" w:rsidRPr="004D04BF" w14:paraId="65F2277A" w14:textId="77777777" w:rsidTr="00375DCA">
        <w:tc>
          <w:tcPr>
            <w:tcW w:w="1809" w:type="dxa"/>
          </w:tcPr>
          <w:p w14:paraId="3B4FFF5C" w14:textId="77777777" w:rsidR="00C97E7D" w:rsidRPr="004D04BF" w:rsidRDefault="00C97E7D" w:rsidP="00375DCA">
            <w:pPr>
              <w:pStyle w:val="CommentText"/>
              <w:spacing w:before="120" w:after="120" w:line="276" w:lineRule="auto"/>
              <w:rPr>
                <w:rFonts w:cs="Arial"/>
                <w:b/>
                <w:sz w:val="22"/>
                <w:szCs w:val="22"/>
                <w:lang w:val="en-US"/>
              </w:rPr>
            </w:pPr>
            <w:r w:rsidRPr="004D04BF">
              <w:rPr>
                <w:rFonts w:cs="Arial"/>
                <w:sz w:val="22"/>
                <w:szCs w:val="22"/>
                <w:lang w:val="en-US"/>
              </w:rPr>
              <w:t>Omron M6 comfort</w:t>
            </w:r>
          </w:p>
        </w:tc>
        <w:tc>
          <w:tcPr>
            <w:tcW w:w="2552" w:type="dxa"/>
          </w:tcPr>
          <w:p w14:paraId="07044F55"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4B641A5D"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30</w:t>
            </w:r>
          </w:p>
          <w:p w14:paraId="5A543B40"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(15.4-49.1)</w:t>
            </w:r>
          </w:p>
        </w:tc>
        <w:tc>
          <w:tcPr>
            <w:tcW w:w="1871" w:type="dxa"/>
          </w:tcPr>
          <w:p w14:paraId="6C71DB71"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97</w:t>
            </w:r>
          </w:p>
          <w:p w14:paraId="66FC6C0B"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(92.5-99.2)</w:t>
            </w:r>
          </w:p>
        </w:tc>
        <w:tc>
          <w:tcPr>
            <w:tcW w:w="2381" w:type="dxa"/>
          </w:tcPr>
          <w:p w14:paraId="7CC9D4B5"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noProof/>
                <w:sz w:val="22"/>
                <w:szCs w:val="22"/>
                <w:lang w:val="en-US"/>
              </w:rPr>
              <w:t>Wiesel et al., 2014</w:t>
            </w:r>
            <w:r w:rsidRPr="008D370F">
              <w:rPr>
                <w:rFonts w:cs="Arial"/>
                <w:noProof/>
                <w:sz w:val="22"/>
                <w:szCs w:val="22"/>
                <w:vertAlign w:val="superscript"/>
                <w:lang w:val="en-US"/>
              </w:rPr>
              <w:t>61</w:t>
            </w:r>
          </w:p>
        </w:tc>
      </w:tr>
      <w:tr w:rsidR="00C97E7D" w:rsidRPr="004D04BF" w14:paraId="734DA480" w14:textId="77777777" w:rsidTr="00375DCA">
        <w:tc>
          <w:tcPr>
            <w:tcW w:w="1809" w:type="dxa"/>
          </w:tcPr>
          <w:p w14:paraId="15E159C0" w14:textId="77777777" w:rsidR="00C97E7D" w:rsidRPr="004D04BF" w:rsidRDefault="00C97E7D" w:rsidP="00375DCA">
            <w:pPr>
              <w:pStyle w:val="CommentText"/>
              <w:spacing w:before="120" w:after="120" w:line="276" w:lineRule="auto"/>
              <w:rPr>
                <w:rFonts w:cs="Arial"/>
                <w:b/>
                <w:sz w:val="22"/>
                <w:szCs w:val="22"/>
                <w:lang w:val="en-US"/>
              </w:rPr>
            </w:pPr>
            <w:r w:rsidRPr="004D04BF">
              <w:rPr>
                <w:rFonts w:cs="Arial"/>
                <w:sz w:val="22"/>
                <w:szCs w:val="22"/>
                <w:lang w:val="en-US"/>
              </w:rPr>
              <w:t>Microlife WatchBP</w:t>
            </w:r>
          </w:p>
        </w:tc>
        <w:tc>
          <w:tcPr>
            <w:tcW w:w="2552" w:type="dxa"/>
          </w:tcPr>
          <w:p w14:paraId="013CD9D8"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167DE4B3"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94.9   (87.5-98.6)</w:t>
            </w:r>
          </w:p>
        </w:tc>
        <w:tc>
          <w:tcPr>
            <w:tcW w:w="1871" w:type="dxa"/>
          </w:tcPr>
          <w:p w14:paraId="76BB6777"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89.7   (87.5-91.6)</w:t>
            </w:r>
          </w:p>
        </w:tc>
        <w:tc>
          <w:tcPr>
            <w:tcW w:w="2381" w:type="dxa"/>
          </w:tcPr>
          <w:p w14:paraId="0E7D2DAB"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noProof/>
                <w:sz w:val="22"/>
                <w:szCs w:val="22"/>
                <w:lang w:val="en-US"/>
              </w:rPr>
              <w:t>Kearley et al., 2014</w:t>
            </w:r>
            <w:r w:rsidRPr="008D370F">
              <w:rPr>
                <w:rFonts w:cs="Arial"/>
                <w:noProof/>
                <w:sz w:val="22"/>
                <w:szCs w:val="22"/>
                <w:vertAlign w:val="superscript"/>
                <w:lang w:val="en-US"/>
              </w:rPr>
              <w:t>56</w:t>
            </w:r>
          </w:p>
        </w:tc>
      </w:tr>
      <w:tr w:rsidR="00C97E7D" w:rsidRPr="004D04BF" w14:paraId="4B7D40E6" w14:textId="77777777" w:rsidTr="00375DCA">
        <w:tc>
          <w:tcPr>
            <w:tcW w:w="4361" w:type="dxa"/>
            <w:gridSpan w:val="2"/>
          </w:tcPr>
          <w:p w14:paraId="04ACC93A"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i/>
                <w:sz w:val="22"/>
                <w:szCs w:val="22"/>
                <w:lang w:val="en-US"/>
              </w:rPr>
              <w:t>Plethysmographs</w:t>
            </w:r>
          </w:p>
        </w:tc>
        <w:tc>
          <w:tcPr>
            <w:tcW w:w="1701" w:type="dxa"/>
          </w:tcPr>
          <w:p w14:paraId="73B059F5" w14:textId="77777777" w:rsidR="00C97E7D" w:rsidRPr="004D04BF" w:rsidRDefault="00C97E7D" w:rsidP="00375DCA">
            <w:pPr>
              <w:pStyle w:val="CommentText"/>
              <w:spacing w:before="120" w:after="120" w:line="276" w:lineRule="auto"/>
              <w:jc w:val="center"/>
              <w:rPr>
                <w:rFonts w:cs="Arial"/>
                <w:sz w:val="22"/>
                <w:szCs w:val="22"/>
                <w:lang w:val="en-US"/>
              </w:rPr>
            </w:pPr>
          </w:p>
        </w:tc>
        <w:tc>
          <w:tcPr>
            <w:tcW w:w="1871" w:type="dxa"/>
          </w:tcPr>
          <w:p w14:paraId="4F780C6E" w14:textId="77777777" w:rsidR="00C97E7D" w:rsidRPr="004D04BF" w:rsidRDefault="00C97E7D" w:rsidP="00375DCA">
            <w:pPr>
              <w:pStyle w:val="CommentText"/>
              <w:spacing w:before="120" w:after="120" w:line="276" w:lineRule="auto"/>
              <w:jc w:val="center"/>
              <w:rPr>
                <w:rFonts w:cs="Arial"/>
                <w:sz w:val="22"/>
                <w:szCs w:val="22"/>
                <w:lang w:val="en-US"/>
              </w:rPr>
            </w:pPr>
          </w:p>
        </w:tc>
        <w:tc>
          <w:tcPr>
            <w:tcW w:w="2381" w:type="dxa"/>
          </w:tcPr>
          <w:p w14:paraId="4B81BEB0" w14:textId="77777777" w:rsidR="00C97E7D" w:rsidRPr="004D04BF" w:rsidRDefault="00C97E7D" w:rsidP="00375DCA">
            <w:pPr>
              <w:pStyle w:val="CommentText"/>
              <w:spacing w:before="120" w:after="120" w:line="276" w:lineRule="auto"/>
              <w:rPr>
                <w:rFonts w:cs="Arial"/>
                <w:sz w:val="22"/>
                <w:szCs w:val="22"/>
                <w:lang w:val="en-US"/>
              </w:rPr>
            </w:pPr>
          </w:p>
        </w:tc>
      </w:tr>
      <w:tr w:rsidR="00C97E7D" w:rsidRPr="004D04BF" w14:paraId="3EECAD4B" w14:textId="77777777" w:rsidTr="00375DCA">
        <w:tc>
          <w:tcPr>
            <w:tcW w:w="1809" w:type="dxa"/>
          </w:tcPr>
          <w:p w14:paraId="1F2FA507"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Finger probe</w:t>
            </w:r>
          </w:p>
        </w:tc>
        <w:tc>
          <w:tcPr>
            <w:tcW w:w="2552" w:type="dxa"/>
          </w:tcPr>
          <w:p w14:paraId="01DABF7C"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3FF0A587"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100</w:t>
            </w:r>
          </w:p>
        </w:tc>
        <w:tc>
          <w:tcPr>
            <w:tcW w:w="1871" w:type="dxa"/>
          </w:tcPr>
          <w:p w14:paraId="0E0B0FB4"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91.9</w:t>
            </w:r>
          </w:p>
        </w:tc>
        <w:tc>
          <w:tcPr>
            <w:tcW w:w="2381" w:type="dxa"/>
          </w:tcPr>
          <w:p w14:paraId="596626D5"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noProof/>
                <w:sz w:val="22"/>
                <w:szCs w:val="22"/>
                <w:lang w:val="en-US"/>
              </w:rPr>
              <w:t>Lewis et al., 2011</w:t>
            </w:r>
            <w:r w:rsidRPr="008D370F">
              <w:rPr>
                <w:rFonts w:cs="Arial"/>
                <w:noProof/>
                <w:sz w:val="22"/>
                <w:szCs w:val="22"/>
                <w:vertAlign w:val="superscript"/>
                <w:lang w:val="en-US"/>
              </w:rPr>
              <w:t>62</w:t>
            </w:r>
          </w:p>
        </w:tc>
      </w:tr>
      <w:tr w:rsidR="00C97E7D" w:rsidRPr="004D04BF" w14:paraId="74D81E9D" w14:textId="77777777" w:rsidTr="00375DCA">
        <w:tc>
          <w:tcPr>
            <w:tcW w:w="1809" w:type="dxa"/>
          </w:tcPr>
          <w:p w14:paraId="18C0F003" w14:textId="77777777" w:rsidR="00C97E7D" w:rsidRPr="004D04BF" w:rsidRDefault="00C97E7D" w:rsidP="00375DCA">
            <w:pPr>
              <w:pStyle w:val="CommentText"/>
              <w:spacing w:before="120" w:after="120" w:line="276" w:lineRule="auto"/>
              <w:rPr>
                <w:rFonts w:cs="Arial"/>
                <w:b/>
                <w:sz w:val="22"/>
                <w:szCs w:val="22"/>
                <w:lang w:val="en-US"/>
              </w:rPr>
            </w:pPr>
            <w:r w:rsidRPr="004D04BF">
              <w:rPr>
                <w:rFonts w:cs="Arial"/>
                <w:color w:val="262626"/>
                <w:sz w:val="22"/>
                <w:szCs w:val="22"/>
                <w:lang w:val="en-US"/>
              </w:rPr>
              <w:t>iPhone photo-</w:t>
            </w:r>
            <w:r w:rsidRPr="004D04BF">
              <w:rPr>
                <w:rFonts w:cs="Arial"/>
                <w:sz w:val="22"/>
                <w:szCs w:val="22"/>
                <w:lang w:val="en-US"/>
              </w:rPr>
              <w:t>plethysmograph</w:t>
            </w:r>
          </w:p>
        </w:tc>
        <w:tc>
          <w:tcPr>
            <w:tcW w:w="2552" w:type="dxa"/>
          </w:tcPr>
          <w:p w14:paraId="3CC46DCB" w14:textId="77777777" w:rsidR="00C97E7D" w:rsidRPr="004D04BF" w:rsidRDefault="00C97E7D" w:rsidP="00375DCA">
            <w:pPr>
              <w:pStyle w:val="CommentText"/>
              <w:spacing w:before="120" w:after="120" w:line="276" w:lineRule="auto"/>
              <w:rPr>
                <w:rFonts w:cs="Arial"/>
                <w:sz w:val="22"/>
                <w:szCs w:val="22"/>
                <w:lang w:val="en-US"/>
              </w:rPr>
            </w:pPr>
            <w:r w:rsidRPr="004D04BF">
              <w:rPr>
                <w:rFonts w:cs="Arial"/>
                <w:sz w:val="22"/>
                <w:szCs w:val="22"/>
                <w:lang w:val="en-US"/>
              </w:rPr>
              <w:t>Algorithm only (based on pulse irregularity)</w:t>
            </w:r>
          </w:p>
        </w:tc>
        <w:tc>
          <w:tcPr>
            <w:tcW w:w="1701" w:type="dxa"/>
          </w:tcPr>
          <w:p w14:paraId="56B4E241"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97.0</w:t>
            </w:r>
          </w:p>
        </w:tc>
        <w:tc>
          <w:tcPr>
            <w:tcW w:w="1871" w:type="dxa"/>
          </w:tcPr>
          <w:p w14:paraId="7458CBD3" w14:textId="77777777" w:rsidR="00C97E7D" w:rsidRPr="004D04BF" w:rsidRDefault="00C97E7D" w:rsidP="00375DCA">
            <w:pPr>
              <w:pStyle w:val="CommentText"/>
              <w:spacing w:before="120" w:after="120" w:line="276" w:lineRule="auto"/>
              <w:jc w:val="center"/>
              <w:rPr>
                <w:rFonts w:cs="Arial"/>
                <w:sz w:val="22"/>
                <w:szCs w:val="22"/>
                <w:lang w:val="en-US"/>
              </w:rPr>
            </w:pPr>
            <w:r w:rsidRPr="004D04BF">
              <w:rPr>
                <w:rFonts w:cs="Arial"/>
                <w:sz w:val="22"/>
                <w:szCs w:val="22"/>
                <w:lang w:val="en-US"/>
              </w:rPr>
              <w:t>93.5</w:t>
            </w:r>
          </w:p>
        </w:tc>
        <w:tc>
          <w:tcPr>
            <w:tcW w:w="2381" w:type="dxa"/>
          </w:tcPr>
          <w:p w14:paraId="0D90534B" w14:textId="77777777" w:rsidR="00C97E7D" w:rsidRPr="004D04BF" w:rsidRDefault="00C97E7D" w:rsidP="00375DCA">
            <w:pPr>
              <w:pStyle w:val="CommentText"/>
              <w:spacing w:before="120" w:after="120" w:line="276" w:lineRule="auto"/>
              <w:rPr>
                <w:rFonts w:cs="Arial"/>
                <w:sz w:val="22"/>
                <w:szCs w:val="22"/>
                <w:lang w:val="en-US"/>
              </w:rPr>
            </w:pPr>
            <w:r>
              <w:rPr>
                <w:rFonts w:ascii="Times New Roman" w:hAnsi="Times New Roman" w:cs="Times New Roman"/>
                <w:noProof/>
                <w:sz w:val="22"/>
                <w:szCs w:val="22"/>
                <w:lang w:val="en-US"/>
              </w:rPr>
              <w:t>¶</w:t>
            </w:r>
            <w:r w:rsidRPr="004D04BF">
              <w:rPr>
                <w:rFonts w:cs="Arial"/>
                <w:noProof/>
                <w:sz w:val="22"/>
                <w:szCs w:val="22"/>
                <w:lang w:val="en-US"/>
              </w:rPr>
              <w:t>McManus et al., 2016</w:t>
            </w:r>
            <w:r w:rsidRPr="008D370F">
              <w:rPr>
                <w:rFonts w:cs="Arial"/>
                <w:noProof/>
                <w:sz w:val="22"/>
                <w:szCs w:val="22"/>
                <w:vertAlign w:val="superscript"/>
                <w:lang w:val="en-US"/>
              </w:rPr>
              <w:t>63</w:t>
            </w:r>
          </w:p>
        </w:tc>
      </w:tr>
    </w:tbl>
    <w:p w14:paraId="221B59FC" w14:textId="77777777" w:rsidR="00C97E7D" w:rsidRDefault="00C97E7D" w:rsidP="00C97E7D">
      <w:pPr>
        <w:rPr>
          <w:rFonts w:cs="Arial"/>
        </w:rPr>
      </w:pPr>
    </w:p>
    <w:p w14:paraId="0E57D039" w14:textId="77777777" w:rsidR="00C97E7D" w:rsidRPr="00901335" w:rsidRDefault="00C97E7D" w:rsidP="00C97E7D">
      <w:r>
        <w:rPr>
          <w:rFonts w:cs="Arial"/>
        </w:rPr>
        <w:t xml:space="preserve">LEGEND: The comparator for all studies was 12-lead </w:t>
      </w:r>
      <w:r w:rsidRPr="00853C89">
        <w:rPr>
          <w:rFonts w:cs="Arial"/>
        </w:rPr>
        <w:t>ECG (</w:t>
      </w:r>
      <w:r w:rsidRPr="00853C89">
        <w:rPr>
          <w:rFonts w:cs="Times New Roman"/>
          <w:noProof/>
        </w:rPr>
        <w:t>¶also used 3-lead telemetry</w:t>
      </w:r>
      <w:r w:rsidRPr="00853C89">
        <w:rPr>
          <w:rFonts w:cs="Arial"/>
        </w:rPr>
        <w:t>).</w:t>
      </w:r>
    </w:p>
    <w:p w14:paraId="59DBCC9C" w14:textId="77777777" w:rsidR="00597826" w:rsidRPr="009D28BA" w:rsidRDefault="00597826" w:rsidP="00375DCA">
      <w:pPr>
        <w:rPr>
          <w:rFonts w:cs="Arial"/>
        </w:rPr>
      </w:pPr>
      <w:r w:rsidRPr="004D04BF">
        <w:rPr>
          <w:rFonts w:cs="Arial"/>
        </w:rPr>
        <w:br w:type="page"/>
      </w:r>
    </w:p>
    <w:p w14:paraId="60455576" w14:textId="77777777" w:rsidR="00597826" w:rsidRDefault="00597826" w:rsidP="00375DCA">
      <w:pPr>
        <w:pStyle w:val="Heading1"/>
        <w:sectPr w:rsidR="00597826" w:rsidSect="00375DCA">
          <w:footerReference w:type="default" r:id="rId11"/>
          <w:pgSz w:w="15840" w:h="12240" w:orient="landscape"/>
          <w:pgMar w:top="1440" w:right="1440" w:bottom="1440" w:left="1440" w:header="720" w:footer="720" w:gutter="0"/>
          <w:cols w:space="720"/>
          <w:docGrid w:linePitch="360"/>
        </w:sectPr>
      </w:pPr>
    </w:p>
    <w:p w14:paraId="5EEC7312" w14:textId="77777777" w:rsidR="00597826" w:rsidRPr="004D04BF" w:rsidRDefault="00597826" w:rsidP="00375DCA">
      <w:pPr>
        <w:pStyle w:val="Heading1"/>
      </w:pPr>
      <w:r w:rsidRPr="004D04BF">
        <w:t>References</w:t>
      </w:r>
    </w:p>
    <w:p w14:paraId="30076643" w14:textId="77777777" w:rsidR="00597826" w:rsidRPr="00F73CD4" w:rsidRDefault="00597826" w:rsidP="00375DCA">
      <w:pPr>
        <w:spacing w:after="0" w:line="240" w:lineRule="auto"/>
        <w:ind w:left="720" w:hanging="720"/>
        <w:rPr>
          <w:rFonts w:ascii="Calibri" w:hAnsi="Calibri" w:cs="Calibri"/>
          <w:noProof/>
        </w:rPr>
      </w:pPr>
      <w:bookmarkStart w:id="1" w:name="_ENREF_1"/>
      <w:r w:rsidRPr="00F73CD4">
        <w:rPr>
          <w:rFonts w:ascii="Calibri" w:hAnsi="Calibri" w:cs="Calibri"/>
          <w:noProof/>
        </w:rPr>
        <w:t>1.</w:t>
      </w:r>
      <w:r w:rsidRPr="00F73CD4">
        <w:rPr>
          <w:rFonts w:ascii="Calibri" w:hAnsi="Calibri" w:cs="Calibri"/>
          <w:noProof/>
        </w:rPr>
        <w:tab/>
        <w:t xml:space="preserve">January CT, Wann LS, Alpert JS, Calkins H, Cleveland JC, Jr., Cigarroa JE, Conti JB, Ellinor PT, Ezekowitz MD, Field ME, Murray KT, Sacco RL, Stevenson WG, Tchou PJ, Tracy CM, Yancy CW. 2014 AHA/ACC/HRS Guideline for the Management of Patients With Atrial Fibrillation: A Report of the American College of Cardiology/American Heart Association Task Force on Practice Guidelines and the Heart Rhythm Society. </w:t>
      </w:r>
      <w:r w:rsidR="00A009B5" w:rsidRPr="00A009B5">
        <w:rPr>
          <w:rFonts w:ascii="Calibri" w:hAnsi="Calibri" w:cs="Calibri"/>
          <w:i/>
          <w:noProof/>
        </w:rPr>
        <w:t>J Am Coll Cardiol</w:t>
      </w:r>
      <w:r w:rsidRPr="00F73CD4">
        <w:rPr>
          <w:rFonts w:ascii="Calibri" w:hAnsi="Calibri" w:cs="Calibri"/>
          <w:noProof/>
        </w:rPr>
        <w:t>. 2014;130:e270-271.</w:t>
      </w:r>
      <w:bookmarkEnd w:id="1"/>
    </w:p>
    <w:p w14:paraId="26EAE152" w14:textId="77777777" w:rsidR="00597826" w:rsidRPr="00F73CD4" w:rsidRDefault="00597826" w:rsidP="00375DCA">
      <w:pPr>
        <w:spacing w:after="0" w:line="240" w:lineRule="auto"/>
        <w:ind w:left="720" w:hanging="720"/>
        <w:rPr>
          <w:rFonts w:ascii="Calibri" w:hAnsi="Calibri" w:cs="Calibri"/>
          <w:noProof/>
        </w:rPr>
      </w:pPr>
      <w:bookmarkStart w:id="2" w:name="_ENREF_2"/>
      <w:r w:rsidRPr="00F73CD4">
        <w:rPr>
          <w:rFonts w:ascii="Calibri" w:hAnsi="Calibri" w:cs="Calibri"/>
          <w:noProof/>
        </w:rPr>
        <w:t>2.</w:t>
      </w:r>
      <w:r w:rsidRPr="00F73CD4">
        <w:rPr>
          <w:rFonts w:ascii="Calibri" w:hAnsi="Calibri" w:cs="Calibri"/>
          <w:noProof/>
        </w:rPr>
        <w:tab/>
        <w:t xml:space="preserve">Arya A, Piorkowski C, Sommer P, Kottkamp H, Hindricks G. Clinical implications of various follow up strategies after catheter ablation of atrial fibrillation. </w:t>
      </w:r>
      <w:r w:rsidRPr="00F73CD4">
        <w:rPr>
          <w:rFonts w:ascii="Calibri" w:hAnsi="Calibri" w:cs="Calibri"/>
          <w:i/>
          <w:noProof/>
        </w:rPr>
        <w:t>Pacing Clin Electrophysiol</w:t>
      </w:r>
      <w:r w:rsidRPr="00F73CD4">
        <w:rPr>
          <w:rFonts w:ascii="Calibri" w:hAnsi="Calibri" w:cs="Calibri"/>
          <w:noProof/>
        </w:rPr>
        <w:t>. 2007;30:458-462.</w:t>
      </w:r>
      <w:bookmarkEnd w:id="2"/>
    </w:p>
    <w:p w14:paraId="1BD2DD7C" w14:textId="77777777" w:rsidR="00597826" w:rsidRPr="00F73CD4" w:rsidRDefault="00597826" w:rsidP="00375DCA">
      <w:pPr>
        <w:spacing w:after="0" w:line="240" w:lineRule="auto"/>
        <w:ind w:left="720" w:hanging="720"/>
        <w:rPr>
          <w:rFonts w:ascii="Calibri" w:hAnsi="Calibri" w:cs="Calibri"/>
          <w:noProof/>
        </w:rPr>
      </w:pPr>
      <w:bookmarkStart w:id="3" w:name="_ENREF_3"/>
      <w:r w:rsidRPr="00F73CD4">
        <w:rPr>
          <w:rFonts w:ascii="Calibri" w:hAnsi="Calibri" w:cs="Calibri"/>
          <w:noProof/>
        </w:rPr>
        <w:t>3.</w:t>
      </w:r>
      <w:r w:rsidRPr="00F73CD4">
        <w:rPr>
          <w:rFonts w:ascii="Calibri" w:hAnsi="Calibri" w:cs="Calibri"/>
          <w:noProof/>
        </w:rPr>
        <w:tab/>
        <w:t xml:space="preserve">Lowres N, Neubeck L, Redfern J, Freedman SB. Screening to identify unknown atrial fibrillation. A systematic review. </w:t>
      </w:r>
      <w:r w:rsidRPr="00F73CD4">
        <w:rPr>
          <w:rFonts w:ascii="Calibri" w:hAnsi="Calibri" w:cs="Calibri"/>
          <w:i/>
          <w:noProof/>
        </w:rPr>
        <w:t>Thromb Haemost</w:t>
      </w:r>
      <w:r w:rsidRPr="00F73CD4">
        <w:rPr>
          <w:rFonts w:ascii="Calibri" w:hAnsi="Calibri" w:cs="Calibri"/>
          <w:noProof/>
        </w:rPr>
        <w:t>. 2013;110:213-222.</w:t>
      </w:r>
      <w:bookmarkEnd w:id="3"/>
    </w:p>
    <w:p w14:paraId="03879799" w14:textId="77777777" w:rsidR="00597826" w:rsidRPr="00F73CD4" w:rsidRDefault="00597826" w:rsidP="00375DCA">
      <w:pPr>
        <w:spacing w:after="0" w:line="240" w:lineRule="auto"/>
        <w:ind w:left="720" w:hanging="720"/>
        <w:rPr>
          <w:rFonts w:ascii="Calibri" w:hAnsi="Calibri" w:cs="Calibri"/>
          <w:noProof/>
        </w:rPr>
      </w:pPr>
      <w:bookmarkStart w:id="4" w:name="_ENREF_4"/>
      <w:r w:rsidRPr="00F73CD4">
        <w:rPr>
          <w:rFonts w:ascii="Calibri" w:hAnsi="Calibri" w:cs="Calibri"/>
          <w:noProof/>
        </w:rPr>
        <w:t>4.</w:t>
      </w:r>
      <w:r w:rsidRPr="00F73CD4">
        <w:rPr>
          <w:rFonts w:ascii="Calibri" w:hAnsi="Calibri" w:cs="Calibri"/>
          <w:noProof/>
        </w:rPr>
        <w:tab/>
        <w:t xml:space="preserve">Svennberg E, Engdahl J, Al-Khalili F, Friberg L, Frykman V, Rosenqvist M. Mass Screening for Untreated Atrial Fibrillation: The STROKESTOP Study. </w:t>
      </w:r>
      <w:r w:rsidRPr="00F73CD4">
        <w:rPr>
          <w:rFonts w:ascii="Calibri" w:hAnsi="Calibri" w:cs="Calibri"/>
          <w:i/>
          <w:noProof/>
        </w:rPr>
        <w:t>Circulation</w:t>
      </w:r>
      <w:r w:rsidRPr="00F73CD4">
        <w:rPr>
          <w:rFonts w:ascii="Calibri" w:hAnsi="Calibri" w:cs="Calibri"/>
          <w:noProof/>
        </w:rPr>
        <w:t>. 2015;131:2176-2184.</w:t>
      </w:r>
      <w:bookmarkEnd w:id="4"/>
    </w:p>
    <w:p w14:paraId="03CF68E1" w14:textId="77777777" w:rsidR="00597826" w:rsidRPr="00F73CD4" w:rsidRDefault="00597826" w:rsidP="00375DCA">
      <w:pPr>
        <w:spacing w:after="0" w:line="240" w:lineRule="auto"/>
        <w:ind w:left="720" w:hanging="720"/>
        <w:rPr>
          <w:rFonts w:ascii="Calibri" w:hAnsi="Calibri" w:cs="Calibri"/>
          <w:noProof/>
        </w:rPr>
      </w:pPr>
      <w:bookmarkStart w:id="5" w:name="_ENREF_5"/>
      <w:r w:rsidRPr="00F73CD4">
        <w:rPr>
          <w:rFonts w:ascii="Calibri" w:hAnsi="Calibri" w:cs="Calibri"/>
          <w:noProof/>
        </w:rPr>
        <w:t>5.</w:t>
      </w:r>
      <w:r w:rsidRPr="00F73CD4">
        <w:rPr>
          <w:rFonts w:ascii="Calibri" w:hAnsi="Calibri" w:cs="Calibri"/>
          <w:noProof/>
        </w:rPr>
        <w:tab/>
        <w:t xml:space="preserve">Engdahl J, Andersson L, Mirskaya M, Rosenqvist M. Stepwise screening of atrial fibrillation in a 75-year-old population: implications for stroke prevention. </w:t>
      </w:r>
      <w:r w:rsidRPr="00F73CD4">
        <w:rPr>
          <w:rFonts w:ascii="Calibri" w:hAnsi="Calibri" w:cs="Calibri"/>
          <w:i/>
          <w:noProof/>
        </w:rPr>
        <w:t>Circulation</w:t>
      </w:r>
      <w:r w:rsidRPr="00F73CD4">
        <w:rPr>
          <w:rFonts w:ascii="Calibri" w:hAnsi="Calibri" w:cs="Calibri"/>
          <w:noProof/>
        </w:rPr>
        <w:t>. 2013;127:930-937.</w:t>
      </w:r>
      <w:bookmarkEnd w:id="5"/>
    </w:p>
    <w:p w14:paraId="46F73E3A" w14:textId="77777777" w:rsidR="00597826" w:rsidRPr="00F73CD4" w:rsidRDefault="00597826" w:rsidP="00375DCA">
      <w:pPr>
        <w:spacing w:after="0" w:line="240" w:lineRule="auto"/>
        <w:ind w:left="720" w:hanging="720"/>
        <w:rPr>
          <w:rFonts w:ascii="Calibri" w:hAnsi="Calibri" w:cs="Calibri"/>
          <w:noProof/>
        </w:rPr>
      </w:pPr>
      <w:bookmarkStart w:id="6" w:name="_ENREF_6"/>
      <w:r w:rsidRPr="00F73CD4">
        <w:rPr>
          <w:rFonts w:ascii="Calibri" w:hAnsi="Calibri" w:cs="Calibri"/>
          <w:noProof/>
        </w:rPr>
        <w:t>6.</w:t>
      </w:r>
      <w:r w:rsidRPr="00F73CD4">
        <w:rPr>
          <w:rFonts w:ascii="Calibri" w:hAnsi="Calibri" w:cs="Calibri"/>
          <w:noProof/>
        </w:rPr>
        <w:tab/>
        <w:t xml:space="preserve">Botto GL, Padeletti L, Santini M, Capucci A, Gulizia M, Zolezzi F, Favale S, Molon G, Ricci R, Biffi M, Russo G, Vimercati M, Corbucci G, Boriani G. Presence and duration of atrial fibrillation detected by continuous monitoring: crucial implications for the risk of thromboembolic events. </w:t>
      </w:r>
      <w:r w:rsidRPr="00F73CD4">
        <w:rPr>
          <w:rFonts w:ascii="Calibri" w:hAnsi="Calibri" w:cs="Calibri"/>
          <w:i/>
          <w:noProof/>
        </w:rPr>
        <w:t>J Cardiovasc Electrophysiol</w:t>
      </w:r>
      <w:r w:rsidRPr="00F73CD4">
        <w:rPr>
          <w:rFonts w:ascii="Calibri" w:hAnsi="Calibri" w:cs="Calibri"/>
          <w:noProof/>
        </w:rPr>
        <w:t>. 2009;20:241-248.</w:t>
      </w:r>
      <w:bookmarkEnd w:id="6"/>
    </w:p>
    <w:p w14:paraId="161B23A5" w14:textId="77777777" w:rsidR="00597826" w:rsidRPr="00F73CD4" w:rsidRDefault="00597826" w:rsidP="00375DCA">
      <w:pPr>
        <w:spacing w:after="0" w:line="240" w:lineRule="auto"/>
        <w:ind w:left="720" w:hanging="720"/>
        <w:rPr>
          <w:rFonts w:ascii="Calibri" w:hAnsi="Calibri" w:cs="Calibri"/>
          <w:noProof/>
        </w:rPr>
      </w:pPr>
      <w:bookmarkStart w:id="7" w:name="_ENREF_7"/>
      <w:r w:rsidRPr="00F73CD4">
        <w:rPr>
          <w:rFonts w:ascii="Calibri" w:hAnsi="Calibri" w:cs="Calibri"/>
          <w:noProof/>
        </w:rPr>
        <w:t>7.</w:t>
      </w:r>
      <w:r w:rsidRPr="00F73CD4">
        <w:rPr>
          <w:rFonts w:ascii="Calibri" w:hAnsi="Calibri" w:cs="Calibri"/>
          <w:noProof/>
        </w:rPr>
        <w:tab/>
        <w:t xml:space="preserve">Capucci A, Santini M, Padeletti L, Gulizia M, Botto G, Boriani G, Ricci R, Favale S, Zolezzi F, Di Belardino N, Molon G, Drago F, Villani GQ, Mazzini E, Vimercati M, Grammatico A, Italian ATRI. Monitored atrial fibrillation duration predicts arterial embolic events in patients suffering from bradycardia and atrial fibrillation implanted with antitachycardia pacemakers. </w:t>
      </w:r>
      <w:r w:rsidR="00A009B5" w:rsidRPr="00A009B5">
        <w:rPr>
          <w:rFonts w:ascii="Calibri" w:hAnsi="Calibri" w:cs="Calibri"/>
          <w:i/>
          <w:noProof/>
        </w:rPr>
        <w:t>J Am Coll Cardiol</w:t>
      </w:r>
      <w:r w:rsidRPr="00F73CD4">
        <w:rPr>
          <w:rFonts w:ascii="Calibri" w:hAnsi="Calibri" w:cs="Calibri"/>
          <w:noProof/>
        </w:rPr>
        <w:t>. 2005;46:1913-1920.</w:t>
      </w:r>
      <w:bookmarkEnd w:id="7"/>
    </w:p>
    <w:p w14:paraId="2A332BFD" w14:textId="77777777" w:rsidR="00597826" w:rsidRPr="00F73CD4" w:rsidRDefault="00597826" w:rsidP="00375DCA">
      <w:pPr>
        <w:spacing w:after="0" w:line="240" w:lineRule="auto"/>
        <w:ind w:left="720" w:hanging="720"/>
        <w:rPr>
          <w:rFonts w:ascii="Calibri" w:hAnsi="Calibri" w:cs="Calibri"/>
          <w:noProof/>
        </w:rPr>
      </w:pPr>
      <w:bookmarkStart w:id="8" w:name="_ENREF_8"/>
      <w:r w:rsidRPr="00F73CD4">
        <w:rPr>
          <w:rFonts w:ascii="Calibri" w:hAnsi="Calibri" w:cs="Calibri"/>
          <w:noProof/>
        </w:rPr>
        <w:t>8.</w:t>
      </w:r>
      <w:r w:rsidRPr="00F73CD4">
        <w:rPr>
          <w:rFonts w:ascii="Calibri" w:hAnsi="Calibri" w:cs="Calibri"/>
          <w:noProof/>
        </w:rPr>
        <w:tab/>
        <w:t xml:space="preserve">Gillis AM, Morck M. Atrial fibrillation after DDDR pacemaker implantation. </w:t>
      </w:r>
      <w:r w:rsidRPr="00F73CD4">
        <w:rPr>
          <w:rFonts w:ascii="Calibri" w:hAnsi="Calibri" w:cs="Calibri"/>
          <w:i/>
          <w:noProof/>
        </w:rPr>
        <w:t>J Cardiovasc Electrophysiol</w:t>
      </w:r>
      <w:r w:rsidRPr="00F73CD4">
        <w:rPr>
          <w:rFonts w:ascii="Calibri" w:hAnsi="Calibri" w:cs="Calibri"/>
          <w:noProof/>
        </w:rPr>
        <w:t>. 2002;13:542-547.</w:t>
      </w:r>
      <w:bookmarkEnd w:id="8"/>
    </w:p>
    <w:p w14:paraId="082B417C" w14:textId="77777777" w:rsidR="00597826" w:rsidRPr="00F73CD4" w:rsidRDefault="00597826" w:rsidP="00375DCA">
      <w:pPr>
        <w:spacing w:after="0" w:line="240" w:lineRule="auto"/>
        <w:ind w:left="720" w:hanging="720"/>
        <w:rPr>
          <w:rFonts w:ascii="Calibri" w:hAnsi="Calibri" w:cs="Calibri"/>
          <w:noProof/>
        </w:rPr>
      </w:pPr>
      <w:bookmarkStart w:id="9" w:name="_ENREF_9"/>
      <w:r w:rsidRPr="00F73CD4">
        <w:rPr>
          <w:rFonts w:ascii="Calibri" w:hAnsi="Calibri" w:cs="Calibri"/>
          <w:noProof/>
        </w:rPr>
        <w:t>9.</w:t>
      </w:r>
      <w:r w:rsidRPr="00F73CD4">
        <w:rPr>
          <w:rFonts w:ascii="Calibri" w:hAnsi="Calibri" w:cs="Calibri"/>
          <w:noProof/>
        </w:rPr>
        <w:tab/>
        <w:t xml:space="preserve">Glotzer TV, Daoud EG, Wyse DG, Singer DE, Ezekowitz MD, Hilker C, Miller C, Qi D, Ziegler PD. The relationship between daily atrial tachyarrhythmia burden from implantable device diagnostics and stroke risk: the TRENDS study. </w:t>
      </w:r>
      <w:r w:rsidRPr="00F73CD4">
        <w:rPr>
          <w:rFonts w:ascii="Calibri" w:hAnsi="Calibri" w:cs="Calibri"/>
          <w:i/>
          <w:noProof/>
        </w:rPr>
        <w:t>Circ Arrhythm Electrophysiol</w:t>
      </w:r>
      <w:r w:rsidRPr="00F73CD4">
        <w:rPr>
          <w:rFonts w:ascii="Calibri" w:hAnsi="Calibri" w:cs="Calibri"/>
          <w:noProof/>
        </w:rPr>
        <w:t>. 2009;2:474-480.</w:t>
      </w:r>
      <w:bookmarkEnd w:id="9"/>
    </w:p>
    <w:p w14:paraId="7E7BEAD7" w14:textId="77777777" w:rsidR="00597826" w:rsidRPr="00F73CD4" w:rsidRDefault="00597826" w:rsidP="00375DCA">
      <w:pPr>
        <w:spacing w:after="0" w:line="240" w:lineRule="auto"/>
        <w:ind w:left="720" w:hanging="720"/>
        <w:rPr>
          <w:rFonts w:ascii="Calibri" w:hAnsi="Calibri" w:cs="Calibri"/>
          <w:noProof/>
        </w:rPr>
      </w:pPr>
      <w:bookmarkStart w:id="10" w:name="_ENREF_10"/>
      <w:r w:rsidRPr="00F73CD4">
        <w:rPr>
          <w:rFonts w:ascii="Calibri" w:hAnsi="Calibri" w:cs="Calibri"/>
          <w:noProof/>
        </w:rPr>
        <w:t>10.</w:t>
      </w:r>
      <w:r w:rsidRPr="00F73CD4">
        <w:rPr>
          <w:rFonts w:ascii="Calibri" w:hAnsi="Calibri" w:cs="Calibri"/>
          <w:noProof/>
        </w:rPr>
        <w:tab/>
        <w:t xml:space="preserve">Glotzer TV, Hellkamp AS, Zimmerman J, Sweeney MO, Yee R, Marinchak R, Cook J, Paraschos A, Love J, Radoslovich G, Lee KL, Lamas GA, Investigators M. Atrial high rate episodes detected by pacemaker diagnostics predict death and stroke: report of the Atrial Diagnostics Ancillary Study of the MOde Selection Trial (MOST). </w:t>
      </w:r>
      <w:r w:rsidRPr="00F73CD4">
        <w:rPr>
          <w:rFonts w:ascii="Calibri" w:hAnsi="Calibri" w:cs="Calibri"/>
          <w:i/>
          <w:noProof/>
        </w:rPr>
        <w:t>Circulation</w:t>
      </w:r>
      <w:r w:rsidRPr="00F73CD4">
        <w:rPr>
          <w:rFonts w:ascii="Calibri" w:hAnsi="Calibri" w:cs="Calibri"/>
          <w:noProof/>
        </w:rPr>
        <w:t>. 2003;107:1614-1619.</w:t>
      </w:r>
      <w:bookmarkEnd w:id="10"/>
    </w:p>
    <w:p w14:paraId="72ED2E2B" w14:textId="77777777" w:rsidR="00597826" w:rsidRPr="00F73CD4" w:rsidRDefault="00597826" w:rsidP="00375DCA">
      <w:pPr>
        <w:spacing w:after="0" w:line="240" w:lineRule="auto"/>
        <w:ind w:left="720" w:hanging="720"/>
        <w:rPr>
          <w:rFonts w:ascii="Calibri" w:hAnsi="Calibri" w:cs="Calibri"/>
          <w:noProof/>
        </w:rPr>
      </w:pPr>
      <w:bookmarkStart w:id="11" w:name="_ENREF_11"/>
      <w:r w:rsidRPr="00F73CD4">
        <w:rPr>
          <w:rFonts w:ascii="Calibri" w:hAnsi="Calibri" w:cs="Calibri"/>
          <w:noProof/>
        </w:rPr>
        <w:t>11.</w:t>
      </w:r>
      <w:r w:rsidRPr="00F73CD4">
        <w:rPr>
          <w:rFonts w:ascii="Calibri" w:hAnsi="Calibri" w:cs="Calibri"/>
          <w:noProof/>
        </w:rPr>
        <w:tab/>
        <w:t xml:space="preserve">Healey JS, Connolly SJ, Gold MR, Israel CW, Van Gelder IC, Capucci A, Lau CP, Fain E, Yang S, Bailleul C, Morillo CA, Carlson M, Themeles E, Kaufman ES, Hohnloser SH, Investigators A. Subclinical atrial fibrillation and the risk of stroke. </w:t>
      </w:r>
      <w:r w:rsidR="00A009B5" w:rsidRPr="00A009B5">
        <w:rPr>
          <w:rFonts w:ascii="Calibri" w:hAnsi="Calibri" w:cs="Calibri"/>
          <w:i/>
          <w:noProof/>
        </w:rPr>
        <w:t>N Engl J Med</w:t>
      </w:r>
      <w:r w:rsidRPr="00F73CD4">
        <w:rPr>
          <w:rFonts w:ascii="Calibri" w:hAnsi="Calibri" w:cs="Calibri"/>
          <w:noProof/>
        </w:rPr>
        <w:t>. 2012;366:120-129.</w:t>
      </w:r>
      <w:bookmarkEnd w:id="11"/>
    </w:p>
    <w:p w14:paraId="10110F66" w14:textId="77777777" w:rsidR="00597826" w:rsidRPr="00F73CD4" w:rsidRDefault="00597826" w:rsidP="00375DCA">
      <w:pPr>
        <w:spacing w:after="0" w:line="240" w:lineRule="auto"/>
        <w:ind w:left="720" w:hanging="720"/>
        <w:rPr>
          <w:rFonts w:ascii="Calibri" w:hAnsi="Calibri" w:cs="Calibri"/>
          <w:noProof/>
        </w:rPr>
      </w:pPr>
      <w:bookmarkStart w:id="12" w:name="_ENREF_12"/>
      <w:r w:rsidRPr="00F73CD4">
        <w:rPr>
          <w:rFonts w:ascii="Calibri" w:hAnsi="Calibri" w:cs="Calibri"/>
          <w:noProof/>
        </w:rPr>
        <w:t>12.</w:t>
      </w:r>
      <w:r w:rsidRPr="00F73CD4">
        <w:rPr>
          <w:rFonts w:ascii="Calibri" w:hAnsi="Calibri" w:cs="Calibri"/>
          <w:noProof/>
        </w:rPr>
        <w:tab/>
        <w:t xml:space="preserve">Healey JS, Martin JL, Duncan A, Connolly SJ, Ha AH, Morillo CA, Nair GM, Eikelboom J, Divakaramenon S, Dokainish H. Pacemaker-detected atrial fibrillation in patients with pacemakers: prevalence, predictors, and current use of oral anticoagulation. </w:t>
      </w:r>
      <w:r w:rsidRPr="00F73CD4">
        <w:rPr>
          <w:rFonts w:ascii="Calibri" w:hAnsi="Calibri" w:cs="Calibri"/>
          <w:i/>
          <w:noProof/>
        </w:rPr>
        <w:t>Can J Cardiol</w:t>
      </w:r>
      <w:r w:rsidRPr="00F73CD4">
        <w:rPr>
          <w:rFonts w:ascii="Calibri" w:hAnsi="Calibri" w:cs="Calibri"/>
          <w:noProof/>
        </w:rPr>
        <w:t>. 2013;29:224-228.</w:t>
      </w:r>
      <w:bookmarkEnd w:id="12"/>
    </w:p>
    <w:p w14:paraId="7988858E" w14:textId="77777777" w:rsidR="00597826" w:rsidRPr="00F73CD4" w:rsidRDefault="00597826" w:rsidP="00375DCA">
      <w:pPr>
        <w:spacing w:after="0" w:line="240" w:lineRule="auto"/>
        <w:ind w:left="720" w:hanging="720"/>
        <w:rPr>
          <w:rFonts w:ascii="Calibri" w:hAnsi="Calibri" w:cs="Calibri"/>
          <w:noProof/>
        </w:rPr>
      </w:pPr>
      <w:bookmarkStart w:id="13" w:name="_ENREF_13"/>
      <w:r w:rsidRPr="00F73CD4">
        <w:rPr>
          <w:rFonts w:ascii="Calibri" w:hAnsi="Calibri" w:cs="Calibri"/>
          <w:noProof/>
        </w:rPr>
        <w:t>13.</w:t>
      </w:r>
      <w:r w:rsidRPr="00F73CD4">
        <w:rPr>
          <w:rFonts w:ascii="Calibri" w:hAnsi="Calibri" w:cs="Calibri"/>
          <w:noProof/>
        </w:rPr>
        <w:tab/>
        <w:t xml:space="preserve">Swiryn S, Orlov MV, Benditt DG, DiMarco JP, Lloyd-Jones DM, Karst E, Qu F, Slawsky MT, Turkel M, Waldo AL. Clinical Implications of Brief Device-Detected Atrial Tachyarrhythmias in a Cardiac Rhythm Management Device Population: Results from the Registry of Atrial Tachycardia and Atrial Fibrillation Episodes. </w:t>
      </w:r>
      <w:r w:rsidRPr="00F73CD4">
        <w:rPr>
          <w:rFonts w:ascii="Calibri" w:hAnsi="Calibri" w:cs="Calibri"/>
          <w:i/>
          <w:noProof/>
        </w:rPr>
        <w:t>Circulation</w:t>
      </w:r>
      <w:r w:rsidRPr="00F73CD4">
        <w:rPr>
          <w:rFonts w:ascii="Calibri" w:hAnsi="Calibri" w:cs="Calibri"/>
          <w:noProof/>
        </w:rPr>
        <w:t>. 2016;134:1130-1140.</w:t>
      </w:r>
      <w:bookmarkEnd w:id="13"/>
    </w:p>
    <w:p w14:paraId="0578A00F" w14:textId="77777777" w:rsidR="00597826" w:rsidRPr="00F73CD4" w:rsidRDefault="00597826" w:rsidP="00375DCA">
      <w:pPr>
        <w:spacing w:after="0" w:line="240" w:lineRule="auto"/>
        <w:ind w:left="720" w:hanging="720"/>
        <w:rPr>
          <w:rFonts w:ascii="Calibri" w:hAnsi="Calibri" w:cs="Calibri"/>
          <w:noProof/>
        </w:rPr>
      </w:pPr>
      <w:bookmarkStart w:id="14" w:name="_ENREF_14"/>
      <w:r w:rsidRPr="00F73CD4">
        <w:rPr>
          <w:rFonts w:ascii="Calibri" w:hAnsi="Calibri" w:cs="Calibri"/>
          <w:noProof/>
        </w:rPr>
        <w:t>14.</w:t>
      </w:r>
      <w:r w:rsidRPr="00F73CD4">
        <w:rPr>
          <w:rFonts w:ascii="Calibri" w:hAnsi="Calibri" w:cs="Calibri"/>
          <w:noProof/>
        </w:rPr>
        <w:tab/>
        <w:t xml:space="preserve">Ziegler PD, Glotzer TV, Daoud EG, Singer DE, Ezekowitz MD, Hoyt RH, Koehler JL, Coles J, Jr., Wyse DG. Detection of previously undiagnosed atrial fibrillation in patients with stroke risk factors and usefulness of continuous monitoring in primary stroke prevention. </w:t>
      </w:r>
      <w:r w:rsidRPr="00F73CD4">
        <w:rPr>
          <w:rFonts w:ascii="Calibri" w:hAnsi="Calibri" w:cs="Calibri"/>
          <w:i/>
          <w:noProof/>
        </w:rPr>
        <w:t>Am J Cardiol</w:t>
      </w:r>
      <w:r w:rsidRPr="00F73CD4">
        <w:rPr>
          <w:rFonts w:ascii="Calibri" w:hAnsi="Calibri" w:cs="Calibri"/>
          <w:noProof/>
        </w:rPr>
        <w:t>. 2012;110:1309-1314.</w:t>
      </w:r>
      <w:bookmarkEnd w:id="14"/>
    </w:p>
    <w:p w14:paraId="7FA12282" w14:textId="77777777" w:rsidR="00597826" w:rsidRPr="00F73CD4" w:rsidRDefault="00597826" w:rsidP="00375DCA">
      <w:pPr>
        <w:spacing w:after="0" w:line="240" w:lineRule="auto"/>
        <w:ind w:left="720" w:hanging="720"/>
        <w:rPr>
          <w:rFonts w:ascii="Calibri" w:hAnsi="Calibri" w:cs="Calibri"/>
          <w:noProof/>
        </w:rPr>
      </w:pPr>
      <w:bookmarkStart w:id="15" w:name="_ENREF_15"/>
      <w:r w:rsidRPr="00F73CD4">
        <w:rPr>
          <w:rFonts w:ascii="Calibri" w:hAnsi="Calibri" w:cs="Calibri"/>
          <w:noProof/>
        </w:rPr>
        <w:t>15.</w:t>
      </w:r>
      <w:r w:rsidRPr="00F73CD4">
        <w:rPr>
          <w:rFonts w:ascii="Calibri" w:hAnsi="Calibri" w:cs="Calibri"/>
          <w:noProof/>
        </w:rPr>
        <w:tab/>
        <w:t xml:space="preserve">Ziegler PD, Glotzer TV, Daoud EG, Wyse DG, Singer DE, Ezekowitz MD, Koehler JL, Hilker CE. Incidence of newly detected atrial arrhythmias via implantable devices in patients with a history of thromboembolic events. </w:t>
      </w:r>
      <w:r w:rsidRPr="00F73CD4">
        <w:rPr>
          <w:rFonts w:ascii="Calibri" w:hAnsi="Calibri" w:cs="Calibri"/>
          <w:i/>
          <w:noProof/>
        </w:rPr>
        <w:t>Stroke</w:t>
      </w:r>
      <w:r w:rsidRPr="00F73CD4">
        <w:rPr>
          <w:rFonts w:ascii="Calibri" w:hAnsi="Calibri" w:cs="Calibri"/>
          <w:noProof/>
        </w:rPr>
        <w:t>. 2010;41:256-260.</w:t>
      </w:r>
      <w:bookmarkEnd w:id="15"/>
    </w:p>
    <w:p w14:paraId="63B5C4DE" w14:textId="77777777" w:rsidR="00597826" w:rsidRPr="00F73CD4" w:rsidRDefault="00597826" w:rsidP="00375DCA">
      <w:pPr>
        <w:spacing w:after="0" w:line="240" w:lineRule="auto"/>
        <w:ind w:left="720" w:hanging="720"/>
        <w:rPr>
          <w:rFonts w:ascii="Calibri" w:hAnsi="Calibri" w:cs="Calibri"/>
          <w:noProof/>
        </w:rPr>
      </w:pPr>
      <w:bookmarkStart w:id="16" w:name="_ENREF_16"/>
      <w:r w:rsidRPr="00F73CD4">
        <w:rPr>
          <w:rFonts w:ascii="Calibri" w:hAnsi="Calibri" w:cs="Calibri"/>
          <w:noProof/>
        </w:rPr>
        <w:t>16.</w:t>
      </w:r>
      <w:r w:rsidRPr="00F73CD4">
        <w:rPr>
          <w:rFonts w:ascii="Calibri" w:hAnsi="Calibri" w:cs="Calibri"/>
          <w:noProof/>
        </w:rPr>
        <w:tab/>
        <w:t xml:space="preserve">Page RL, Wilkinson WE, Clair WK, McCarthy EA, Pritchett EL. Asymptomatic arrhythmias in patients with symptomatic paroxysmal atrial fibrillation and paroxysmal supraventricular tachycardia. </w:t>
      </w:r>
      <w:r w:rsidRPr="00F73CD4">
        <w:rPr>
          <w:rFonts w:ascii="Calibri" w:hAnsi="Calibri" w:cs="Calibri"/>
          <w:i/>
          <w:noProof/>
        </w:rPr>
        <w:t>Circulation</w:t>
      </w:r>
      <w:r w:rsidRPr="00F73CD4">
        <w:rPr>
          <w:rFonts w:ascii="Calibri" w:hAnsi="Calibri" w:cs="Calibri"/>
          <w:noProof/>
        </w:rPr>
        <w:t>. 1994;89:224-227.</w:t>
      </w:r>
      <w:bookmarkEnd w:id="16"/>
    </w:p>
    <w:p w14:paraId="4F4E6B5D" w14:textId="77777777" w:rsidR="00597826" w:rsidRPr="00F73CD4" w:rsidRDefault="00597826" w:rsidP="00375DCA">
      <w:pPr>
        <w:spacing w:after="0" w:line="240" w:lineRule="auto"/>
        <w:ind w:left="720" w:hanging="720"/>
        <w:rPr>
          <w:rFonts w:ascii="Calibri" w:hAnsi="Calibri" w:cs="Calibri"/>
          <w:noProof/>
        </w:rPr>
      </w:pPr>
      <w:bookmarkStart w:id="17" w:name="_ENREF_17"/>
      <w:r w:rsidRPr="00F73CD4">
        <w:rPr>
          <w:rFonts w:ascii="Calibri" w:hAnsi="Calibri" w:cs="Calibri"/>
          <w:noProof/>
        </w:rPr>
        <w:t>17.</w:t>
      </w:r>
      <w:r w:rsidRPr="00F73CD4">
        <w:rPr>
          <w:rFonts w:ascii="Calibri" w:hAnsi="Calibri" w:cs="Calibri"/>
          <w:noProof/>
        </w:rPr>
        <w:tab/>
        <w:t xml:space="preserve">Shanmugam N, Boerdlein A, Proff J, Ong P, Valencia O, Maier SK, Bauer WR, Paul V, Sack S. Detection of atrial high-rate events by continuous home monitoring: clinical significance in the heart failure-cardiac resynchronization therapy population. </w:t>
      </w:r>
      <w:r w:rsidRPr="00F73CD4">
        <w:rPr>
          <w:rFonts w:ascii="Calibri" w:hAnsi="Calibri" w:cs="Calibri"/>
          <w:i/>
          <w:noProof/>
        </w:rPr>
        <w:t>Europace</w:t>
      </w:r>
      <w:r w:rsidRPr="00F73CD4">
        <w:rPr>
          <w:rFonts w:ascii="Calibri" w:hAnsi="Calibri" w:cs="Calibri"/>
          <w:noProof/>
        </w:rPr>
        <w:t>.14:230-237.</w:t>
      </w:r>
      <w:bookmarkEnd w:id="17"/>
    </w:p>
    <w:p w14:paraId="0E79AC26" w14:textId="77777777" w:rsidR="00597826" w:rsidRPr="00F73CD4" w:rsidRDefault="00597826" w:rsidP="00375DCA">
      <w:pPr>
        <w:spacing w:after="0" w:line="240" w:lineRule="auto"/>
        <w:ind w:left="720" w:hanging="720"/>
        <w:rPr>
          <w:rFonts w:ascii="Calibri" w:hAnsi="Calibri" w:cs="Calibri"/>
          <w:noProof/>
        </w:rPr>
      </w:pPr>
      <w:bookmarkStart w:id="18" w:name="_ENREF_18"/>
      <w:r w:rsidRPr="00F73CD4">
        <w:rPr>
          <w:rFonts w:ascii="Calibri" w:hAnsi="Calibri" w:cs="Calibri"/>
          <w:noProof/>
        </w:rPr>
        <w:t>18.</w:t>
      </w:r>
      <w:r w:rsidRPr="00F73CD4">
        <w:rPr>
          <w:rFonts w:ascii="Calibri" w:hAnsi="Calibri" w:cs="Calibri"/>
          <w:noProof/>
        </w:rPr>
        <w:tab/>
        <w:t xml:space="preserve">Martin DT, Bersohn MM, Waldo AL, Wathen MS, Choucair WK, Lip GY, Ip J, Holcomb R, Akar JG, Halperin JL, Investigators I. Randomized trial of atrial arrhythmia monitoring to guide anticoagulation in patients with implanted defibrillator and cardiac resynchronization devices. </w:t>
      </w:r>
      <w:r w:rsidRPr="00F73CD4">
        <w:rPr>
          <w:rFonts w:ascii="Calibri" w:hAnsi="Calibri" w:cs="Calibri"/>
          <w:i/>
          <w:noProof/>
        </w:rPr>
        <w:t>Eur Heart J</w:t>
      </w:r>
      <w:r w:rsidRPr="00F73CD4">
        <w:rPr>
          <w:rFonts w:ascii="Calibri" w:hAnsi="Calibri" w:cs="Calibri"/>
          <w:noProof/>
        </w:rPr>
        <w:t>. 2015;36:1660-1668.</w:t>
      </w:r>
      <w:bookmarkEnd w:id="18"/>
    </w:p>
    <w:p w14:paraId="6CCDEDB7" w14:textId="77777777" w:rsidR="00597826" w:rsidRPr="00F73CD4" w:rsidRDefault="00597826" w:rsidP="00375DCA">
      <w:pPr>
        <w:spacing w:after="0" w:line="240" w:lineRule="auto"/>
        <w:ind w:left="720" w:hanging="720"/>
        <w:rPr>
          <w:rFonts w:ascii="Calibri" w:hAnsi="Calibri" w:cs="Calibri"/>
          <w:noProof/>
        </w:rPr>
      </w:pPr>
      <w:bookmarkStart w:id="19" w:name="_ENREF_19"/>
      <w:r w:rsidRPr="00F73CD4">
        <w:rPr>
          <w:rFonts w:ascii="Calibri" w:hAnsi="Calibri" w:cs="Calibri"/>
          <w:noProof/>
        </w:rPr>
        <w:t>19.</w:t>
      </w:r>
      <w:r w:rsidRPr="00F73CD4">
        <w:rPr>
          <w:rFonts w:ascii="Calibri" w:hAnsi="Calibri" w:cs="Calibri"/>
          <w:noProof/>
        </w:rPr>
        <w:tab/>
        <w:t xml:space="preserve">Tsang TS, Barnes ME, Pellikka PA, Gin K, Miyasaka Y, Seward JB, Gersh BJ. Silent atrial fibrillation in olmsted county: A community-based study. </w:t>
      </w:r>
      <w:r w:rsidR="00A009B5" w:rsidRPr="00F73CD4">
        <w:rPr>
          <w:rFonts w:ascii="Calibri" w:hAnsi="Calibri" w:cs="Calibri"/>
          <w:i/>
          <w:noProof/>
        </w:rPr>
        <w:t>Can J Cardiol</w:t>
      </w:r>
      <w:r w:rsidRPr="00F73CD4">
        <w:rPr>
          <w:rFonts w:ascii="Calibri" w:hAnsi="Calibri" w:cs="Calibri"/>
          <w:noProof/>
        </w:rPr>
        <w:t>. 2011;27:S122.</w:t>
      </w:r>
      <w:bookmarkEnd w:id="19"/>
    </w:p>
    <w:p w14:paraId="3325835C" w14:textId="77777777" w:rsidR="00597826" w:rsidRPr="00F73CD4" w:rsidRDefault="00597826" w:rsidP="00375DCA">
      <w:pPr>
        <w:spacing w:after="0" w:line="240" w:lineRule="auto"/>
        <w:ind w:left="720" w:hanging="720"/>
        <w:rPr>
          <w:rFonts w:ascii="Calibri" w:hAnsi="Calibri" w:cs="Calibri"/>
          <w:noProof/>
        </w:rPr>
      </w:pPr>
      <w:bookmarkStart w:id="20" w:name="_ENREF_20"/>
      <w:r w:rsidRPr="00F73CD4">
        <w:rPr>
          <w:rFonts w:ascii="Calibri" w:hAnsi="Calibri" w:cs="Calibri"/>
          <w:noProof/>
        </w:rPr>
        <w:t>20.</w:t>
      </w:r>
      <w:r w:rsidRPr="00F73CD4">
        <w:rPr>
          <w:rFonts w:ascii="Calibri" w:hAnsi="Calibri" w:cs="Calibri"/>
          <w:noProof/>
        </w:rPr>
        <w:tab/>
        <w:t xml:space="preserve">Siontis K, Gersh B, Killian Jea. Typical, atypical and asymptomatic presentations of new-onset atrial fibrillation in the community: Characteristics and prognostic implications. </w:t>
      </w:r>
      <w:r w:rsidRPr="00F73CD4">
        <w:rPr>
          <w:rFonts w:ascii="Calibri" w:hAnsi="Calibri" w:cs="Calibri"/>
          <w:i/>
          <w:noProof/>
        </w:rPr>
        <w:t>Heart Rhythm</w:t>
      </w:r>
      <w:r w:rsidRPr="00F73CD4">
        <w:rPr>
          <w:rFonts w:ascii="Calibri" w:hAnsi="Calibri" w:cs="Calibri"/>
          <w:noProof/>
        </w:rPr>
        <w:t>. 2016;0:1-7.</w:t>
      </w:r>
      <w:bookmarkEnd w:id="20"/>
    </w:p>
    <w:p w14:paraId="412D4041" w14:textId="77777777" w:rsidR="00597826" w:rsidRPr="00F73CD4" w:rsidRDefault="00597826" w:rsidP="00375DCA">
      <w:pPr>
        <w:spacing w:after="0" w:line="240" w:lineRule="auto"/>
        <w:ind w:left="720" w:hanging="720"/>
        <w:rPr>
          <w:rFonts w:ascii="Calibri" w:hAnsi="Calibri" w:cs="Calibri"/>
          <w:noProof/>
        </w:rPr>
      </w:pPr>
      <w:bookmarkStart w:id="21" w:name="_ENREF_21"/>
      <w:r w:rsidRPr="00F73CD4">
        <w:rPr>
          <w:rFonts w:ascii="Calibri" w:hAnsi="Calibri" w:cs="Calibri"/>
          <w:noProof/>
        </w:rPr>
        <w:t>21.</w:t>
      </w:r>
      <w:r w:rsidRPr="00F73CD4">
        <w:rPr>
          <w:rFonts w:ascii="Calibri" w:hAnsi="Calibri" w:cs="Calibri"/>
          <w:noProof/>
        </w:rPr>
        <w:tab/>
        <w:t xml:space="preserve">Martinez C, Katholing A, Freedman SB. Adverse prognosis of incidentally detected ambulatory atrial fibrillation. A cohort study. </w:t>
      </w:r>
      <w:r w:rsidR="00A009B5" w:rsidRPr="00F73CD4">
        <w:rPr>
          <w:rFonts w:ascii="Calibri" w:hAnsi="Calibri" w:cs="Calibri"/>
          <w:i/>
          <w:noProof/>
        </w:rPr>
        <w:t>Thromb Haemost</w:t>
      </w:r>
      <w:r w:rsidRPr="00F73CD4">
        <w:rPr>
          <w:rFonts w:ascii="Calibri" w:hAnsi="Calibri" w:cs="Calibri"/>
          <w:noProof/>
        </w:rPr>
        <w:t>. 2014;112:276-286.</w:t>
      </w:r>
      <w:bookmarkEnd w:id="21"/>
    </w:p>
    <w:p w14:paraId="0006E3AB" w14:textId="77777777" w:rsidR="00597826" w:rsidRPr="00F73CD4" w:rsidRDefault="00597826" w:rsidP="00375DCA">
      <w:pPr>
        <w:spacing w:after="0" w:line="240" w:lineRule="auto"/>
        <w:ind w:left="720" w:hanging="720"/>
        <w:rPr>
          <w:rFonts w:ascii="Calibri" w:hAnsi="Calibri" w:cs="Calibri"/>
          <w:noProof/>
        </w:rPr>
      </w:pPr>
      <w:bookmarkStart w:id="22" w:name="_ENREF_22"/>
      <w:r w:rsidRPr="00F73CD4">
        <w:rPr>
          <w:rFonts w:ascii="Calibri" w:hAnsi="Calibri" w:cs="Calibri"/>
          <w:noProof/>
        </w:rPr>
        <w:t>22.</w:t>
      </w:r>
      <w:r w:rsidRPr="00F73CD4">
        <w:rPr>
          <w:rFonts w:ascii="Calibri" w:hAnsi="Calibri" w:cs="Calibri"/>
          <w:noProof/>
        </w:rPr>
        <w:tab/>
        <w:t xml:space="preserve">Freedman B, Martinez C, Katholing A, Rietbrock S. Residual risk of stroke and death in anticoagulant-treated patients with atrial fibrillation. </w:t>
      </w:r>
      <w:r w:rsidR="00236F00">
        <w:rPr>
          <w:rFonts w:ascii="Calibri" w:hAnsi="Calibri" w:cs="Calibri"/>
          <w:i/>
          <w:noProof/>
        </w:rPr>
        <w:t>JAMA Cardiol</w:t>
      </w:r>
      <w:r w:rsidRPr="00F73CD4">
        <w:rPr>
          <w:rFonts w:ascii="Calibri" w:hAnsi="Calibri" w:cs="Calibri"/>
          <w:noProof/>
        </w:rPr>
        <w:t>. 2016;1:366-368.</w:t>
      </w:r>
      <w:bookmarkEnd w:id="22"/>
    </w:p>
    <w:p w14:paraId="2358D9BC" w14:textId="77777777" w:rsidR="00597826" w:rsidRPr="00F73CD4" w:rsidRDefault="00597826" w:rsidP="00375DCA">
      <w:pPr>
        <w:spacing w:after="0" w:line="240" w:lineRule="auto"/>
        <w:ind w:left="720" w:hanging="720"/>
        <w:rPr>
          <w:rFonts w:ascii="Calibri" w:hAnsi="Calibri" w:cs="Calibri"/>
          <w:noProof/>
        </w:rPr>
      </w:pPr>
      <w:bookmarkStart w:id="23" w:name="_ENREF_23"/>
      <w:r w:rsidRPr="00F73CD4">
        <w:rPr>
          <w:rFonts w:ascii="Calibri" w:hAnsi="Calibri" w:cs="Calibri"/>
          <w:noProof/>
        </w:rPr>
        <w:t>23.</w:t>
      </w:r>
      <w:r w:rsidRPr="00F73CD4">
        <w:rPr>
          <w:rFonts w:ascii="Calibri" w:hAnsi="Calibri" w:cs="Calibri"/>
          <w:noProof/>
        </w:rPr>
        <w:tab/>
        <w:t xml:space="preserve">Boriani G, Laroche C, Diemberger I, Fantecchi E, Popescu MI, Rasmussen LH, Sinagra G, Petrescu L, Tavazzi L, Maggioni AP, Lip GY. Asymptomatic atrial fibrillation: clinical correlates, management, and outcomes in the EORP-AF Pilot General Registry. </w:t>
      </w:r>
      <w:r w:rsidRPr="00F73CD4">
        <w:rPr>
          <w:rFonts w:ascii="Calibri" w:hAnsi="Calibri" w:cs="Calibri"/>
          <w:i/>
          <w:noProof/>
        </w:rPr>
        <w:t>Am J Med</w:t>
      </w:r>
      <w:r w:rsidRPr="00F73CD4">
        <w:rPr>
          <w:rFonts w:ascii="Calibri" w:hAnsi="Calibri" w:cs="Calibri"/>
          <w:noProof/>
        </w:rPr>
        <w:t>. 2015;128:509-518.e502.</w:t>
      </w:r>
      <w:bookmarkEnd w:id="23"/>
    </w:p>
    <w:p w14:paraId="22A5C722" w14:textId="77777777" w:rsidR="00597826" w:rsidRPr="00F73CD4" w:rsidRDefault="00597826" w:rsidP="00375DCA">
      <w:pPr>
        <w:spacing w:after="0" w:line="240" w:lineRule="auto"/>
        <w:ind w:left="720" w:hanging="720"/>
        <w:rPr>
          <w:rFonts w:ascii="Calibri" w:hAnsi="Calibri" w:cs="Calibri"/>
          <w:noProof/>
        </w:rPr>
      </w:pPr>
      <w:bookmarkStart w:id="24" w:name="_ENREF_24"/>
      <w:r w:rsidRPr="00F73CD4">
        <w:rPr>
          <w:rFonts w:ascii="Calibri" w:hAnsi="Calibri" w:cs="Calibri"/>
          <w:noProof/>
        </w:rPr>
        <w:t>24.</w:t>
      </w:r>
      <w:r w:rsidRPr="00F73CD4">
        <w:rPr>
          <w:rFonts w:ascii="Calibri" w:hAnsi="Calibri" w:cs="Calibri"/>
          <w:noProof/>
        </w:rPr>
        <w:tab/>
        <w:t xml:space="preserve">Potpara TS, Polovina MM, Marinkovic JM, Lip GY. A comparison of clinical characteristics and long-term prognosis in asymptomatic and symptomatic patients with first-diagnosed atrial fibrillation: the Belgrade Atrial Fibrillation Study. </w:t>
      </w:r>
      <w:r w:rsidR="00236F00">
        <w:rPr>
          <w:rFonts w:ascii="Calibri" w:hAnsi="Calibri" w:cs="Calibri"/>
          <w:i/>
          <w:noProof/>
        </w:rPr>
        <w:t>Int J Cardiol</w:t>
      </w:r>
      <w:r w:rsidRPr="00F73CD4">
        <w:rPr>
          <w:rFonts w:ascii="Calibri" w:hAnsi="Calibri" w:cs="Calibri"/>
          <w:noProof/>
        </w:rPr>
        <w:t>. 2013;168:4744-4749.</w:t>
      </w:r>
      <w:bookmarkEnd w:id="24"/>
    </w:p>
    <w:p w14:paraId="4CD52F8E" w14:textId="77777777" w:rsidR="00597826" w:rsidRPr="00F73CD4" w:rsidRDefault="00597826" w:rsidP="00375DCA">
      <w:pPr>
        <w:spacing w:after="0" w:line="240" w:lineRule="auto"/>
        <w:ind w:left="720" w:hanging="720"/>
        <w:rPr>
          <w:rFonts w:ascii="Calibri" w:hAnsi="Calibri" w:cs="Calibri"/>
          <w:noProof/>
        </w:rPr>
      </w:pPr>
      <w:bookmarkStart w:id="25" w:name="_ENREF_25"/>
      <w:r w:rsidRPr="00F73CD4">
        <w:rPr>
          <w:rFonts w:ascii="Calibri" w:hAnsi="Calibri" w:cs="Calibri"/>
          <w:noProof/>
        </w:rPr>
        <w:t>25.</w:t>
      </w:r>
      <w:r w:rsidRPr="00F73CD4">
        <w:rPr>
          <w:rFonts w:ascii="Calibri" w:hAnsi="Calibri" w:cs="Calibri"/>
          <w:noProof/>
        </w:rPr>
        <w:tab/>
        <w:t>Van Gelder IC, Healey JS, Crijns H, Wang J, Hohnloser SH, Gold MR, Capucci A, Lau CP, Morillo CA, Hobbelt A, Rienstra M, Connolly S. Duration of Device-detected Subclinical Atrial Fibrillation and Occurrence of Stroke in ASSERT</w:t>
      </w:r>
      <w:r w:rsidR="00375DCA">
        <w:rPr>
          <w:rFonts w:ascii="Calibri" w:hAnsi="Calibri" w:cs="Calibri"/>
          <w:noProof/>
        </w:rPr>
        <w:t>.</w:t>
      </w:r>
      <w:r w:rsidRPr="00F73CD4">
        <w:rPr>
          <w:rFonts w:ascii="Calibri" w:hAnsi="Calibri" w:cs="Calibri"/>
          <w:noProof/>
        </w:rPr>
        <w:t xml:space="preserve"> </w:t>
      </w:r>
      <w:r w:rsidRPr="00F73CD4">
        <w:rPr>
          <w:rFonts w:ascii="Calibri" w:hAnsi="Calibri" w:cs="Calibri"/>
          <w:i/>
          <w:noProof/>
        </w:rPr>
        <w:t>Eur Heart J</w:t>
      </w:r>
      <w:r w:rsidRPr="00F73CD4">
        <w:rPr>
          <w:rFonts w:ascii="Calibri" w:hAnsi="Calibri" w:cs="Calibri"/>
          <w:noProof/>
        </w:rPr>
        <w:t>. 2016;in press</w:t>
      </w:r>
      <w:bookmarkEnd w:id="25"/>
      <w:r>
        <w:rPr>
          <w:rFonts w:ascii="Calibri" w:hAnsi="Calibri" w:cs="Calibri"/>
          <w:noProof/>
        </w:rPr>
        <w:t>.</w:t>
      </w:r>
    </w:p>
    <w:p w14:paraId="298E2A03" w14:textId="77777777" w:rsidR="00597826" w:rsidRPr="00F73CD4" w:rsidRDefault="00597826" w:rsidP="00375DCA">
      <w:pPr>
        <w:spacing w:after="0" w:line="240" w:lineRule="auto"/>
        <w:ind w:left="720" w:hanging="720"/>
        <w:rPr>
          <w:rFonts w:ascii="Calibri" w:hAnsi="Calibri" w:cs="Calibri"/>
          <w:noProof/>
        </w:rPr>
      </w:pPr>
      <w:bookmarkStart w:id="26" w:name="_ENREF_26"/>
      <w:r w:rsidRPr="00F73CD4">
        <w:rPr>
          <w:rFonts w:ascii="Calibri" w:hAnsi="Calibri" w:cs="Calibri"/>
          <w:noProof/>
        </w:rPr>
        <w:t>26.</w:t>
      </w:r>
      <w:r w:rsidRPr="00F73CD4">
        <w:rPr>
          <w:rFonts w:ascii="Calibri" w:hAnsi="Calibri" w:cs="Calibri"/>
          <w:noProof/>
        </w:rPr>
        <w:tab/>
        <w:t xml:space="preserve">Boriani G, Glotzer TV, Santini M, West TM, De Melis M, Sepsi M, Gasparini M, Lewalter T, Camm JA, Singer DE. Device-detected atrial fibrillation and risk for stroke: an analysis of &gt;10,000 patients from the SOS AF project (Stroke preventiOn Strategies based on Atrial Fibrillation information from implanted devices). </w:t>
      </w:r>
      <w:r w:rsidRPr="00F73CD4">
        <w:rPr>
          <w:rFonts w:ascii="Calibri" w:hAnsi="Calibri" w:cs="Calibri"/>
          <w:i/>
          <w:noProof/>
        </w:rPr>
        <w:t>Eur Heart J</w:t>
      </w:r>
      <w:r w:rsidRPr="00F73CD4">
        <w:rPr>
          <w:rFonts w:ascii="Calibri" w:hAnsi="Calibri" w:cs="Calibri"/>
          <w:noProof/>
        </w:rPr>
        <w:t>. 2014;35:508-516.</w:t>
      </w:r>
      <w:bookmarkEnd w:id="26"/>
    </w:p>
    <w:p w14:paraId="4DEE7D3F" w14:textId="77777777" w:rsidR="00597826" w:rsidRPr="00F73CD4" w:rsidRDefault="00597826" w:rsidP="00375DCA">
      <w:pPr>
        <w:spacing w:after="0" w:line="240" w:lineRule="auto"/>
        <w:ind w:left="720" w:hanging="720"/>
        <w:rPr>
          <w:rFonts w:ascii="Calibri" w:hAnsi="Calibri" w:cs="Calibri"/>
          <w:noProof/>
        </w:rPr>
      </w:pPr>
      <w:bookmarkStart w:id="27" w:name="_ENREF_27"/>
      <w:r w:rsidRPr="00F73CD4">
        <w:rPr>
          <w:rFonts w:ascii="Calibri" w:hAnsi="Calibri" w:cs="Calibri"/>
          <w:noProof/>
        </w:rPr>
        <w:t>27.</w:t>
      </w:r>
      <w:r w:rsidRPr="00F73CD4">
        <w:rPr>
          <w:rFonts w:ascii="Calibri" w:hAnsi="Calibri" w:cs="Calibri"/>
          <w:noProof/>
        </w:rPr>
        <w:tab/>
        <w:t xml:space="preserve">Hart RG, Pearce LA, Aguilar MI. Meta-analysis: antithrombotic therapy to prevent stroke in patients who have nonvalvular atrial fibrillation. </w:t>
      </w:r>
      <w:r w:rsidR="00375DCA" w:rsidRPr="00375DCA">
        <w:rPr>
          <w:rFonts w:ascii="Calibri" w:hAnsi="Calibri" w:cs="Calibri"/>
          <w:i/>
          <w:noProof/>
        </w:rPr>
        <w:t>Ann Intern Med</w:t>
      </w:r>
      <w:r w:rsidRPr="00F73CD4">
        <w:rPr>
          <w:rFonts w:ascii="Calibri" w:hAnsi="Calibri" w:cs="Calibri"/>
          <w:noProof/>
        </w:rPr>
        <w:t>. 2007;146:857-867.</w:t>
      </w:r>
      <w:bookmarkEnd w:id="27"/>
    </w:p>
    <w:p w14:paraId="5147B0A7" w14:textId="77777777" w:rsidR="00597826" w:rsidRPr="00F73CD4" w:rsidRDefault="00597826" w:rsidP="00375DCA">
      <w:pPr>
        <w:spacing w:after="0" w:line="240" w:lineRule="auto"/>
        <w:ind w:left="720" w:hanging="720"/>
        <w:rPr>
          <w:rFonts w:ascii="Calibri" w:hAnsi="Calibri" w:cs="Calibri"/>
          <w:noProof/>
        </w:rPr>
      </w:pPr>
      <w:bookmarkStart w:id="28" w:name="_ENREF_28"/>
      <w:r w:rsidRPr="00F73CD4">
        <w:rPr>
          <w:rFonts w:ascii="Calibri" w:hAnsi="Calibri" w:cs="Calibri"/>
          <w:noProof/>
        </w:rPr>
        <w:t>28.</w:t>
      </w:r>
      <w:r w:rsidRPr="00F73CD4">
        <w:rPr>
          <w:rFonts w:ascii="Calibri" w:hAnsi="Calibri" w:cs="Calibri"/>
          <w:noProof/>
        </w:rPr>
        <w:tab/>
        <w:t xml:space="preserve">Ruff CT, Giugliano RP, Braunwald E, Hoffman EB, Deenadayalu N, Ezekowitz MD, Camm AJ, Weitz JI, Lewis BS, Parkhomenko A, Yamashita T, Antman EM. Comparison of the efficacy and safety of new oral anticoagulants with warfarin in patients with atrial fibrillation: a meta-analysis of randomised trials. </w:t>
      </w:r>
      <w:r w:rsidRPr="00F73CD4">
        <w:rPr>
          <w:rFonts w:ascii="Calibri" w:hAnsi="Calibri" w:cs="Calibri"/>
          <w:i/>
          <w:noProof/>
        </w:rPr>
        <w:t>Lancet</w:t>
      </w:r>
      <w:r w:rsidRPr="00F73CD4">
        <w:rPr>
          <w:rFonts w:ascii="Calibri" w:hAnsi="Calibri" w:cs="Calibri"/>
          <w:noProof/>
        </w:rPr>
        <w:t>. 2014;383:955-962.</w:t>
      </w:r>
      <w:bookmarkEnd w:id="28"/>
    </w:p>
    <w:p w14:paraId="4650DD8B" w14:textId="77777777" w:rsidR="00597826" w:rsidRPr="00F73CD4" w:rsidRDefault="00597826" w:rsidP="00375DCA">
      <w:pPr>
        <w:spacing w:after="0" w:line="240" w:lineRule="auto"/>
        <w:ind w:left="720" w:hanging="720"/>
        <w:rPr>
          <w:rFonts w:ascii="Calibri" w:hAnsi="Calibri" w:cs="Calibri"/>
          <w:noProof/>
        </w:rPr>
      </w:pPr>
      <w:bookmarkStart w:id="29" w:name="_ENREF_29"/>
      <w:r w:rsidRPr="00F73CD4">
        <w:rPr>
          <w:rFonts w:ascii="Calibri" w:hAnsi="Calibri" w:cs="Calibri"/>
          <w:noProof/>
        </w:rPr>
        <w:t>29.</w:t>
      </w:r>
      <w:r w:rsidRPr="00F73CD4">
        <w:rPr>
          <w:rFonts w:ascii="Calibri" w:hAnsi="Calibri" w:cs="Calibri"/>
          <w:noProof/>
        </w:rPr>
        <w:tab/>
        <w:t xml:space="preserve">Kirchhof P, Benussi S, Kotecha D, Ahlsson A, Atar D, Casadei B, Castella M, Diener HC, Heidbuchel H, Hendriks J, Hindricks G, Manolis AS, Oldgren J, Popescu BA, Schotten U, Van Putte B, Vardas P. 2016 ESC Guidelines for the management of atrial fibrillation developed in collaboration with EACTS: The Task Force for the management of atrial fibrillation of the European Society of Cardiology (ESC)Developed with the special contribution of the European Heart Rhythm Association (EHRA) of the ESC, Endorsed by the European Stroke Organisation (ESO). </w:t>
      </w:r>
      <w:r w:rsidRPr="00F73CD4">
        <w:rPr>
          <w:rFonts w:ascii="Calibri" w:hAnsi="Calibri" w:cs="Calibri"/>
          <w:i/>
          <w:noProof/>
        </w:rPr>
        <w:t>Eur Heart J</w:t>
      </w:r>
      <w:r w:rsidRPr="00F73CD4">
        <w:rPr>
          <w:rFonts w:ascii="Calibri" w:hAnsi="Calibri" w:cs="Calibri"/>
          <w:noProof/>
        </w:rPr>
        <w:t>. 2016;37:2893-2962.</w:t>
      </w:r>
      <w:bookmarkEnd w:id="29"/>
    </w:p>
    <w:p w14:paraId="27500666" w14:textId="77777777" w:rsidR="00597826" w:rsidRPr="00F73CD4" w:rsidRDefault="00597826" w:rsidP="00375DCA">
      <w:pPr>
        <w:spacing w:after="0" w:line="240" w:lineRule="auto"/>
        <w:ind w:left="720" w:hanging="720"/>
        <w:rPr>
          <w:rFonts w:ascii="Calibri" w:hAnsi="Calibri" w:cs="Calibri"/>
          <w:noProof/>
        </w:rPr>
      </w:pPr>
      <w:bookmarkStart w:id="30" w:name="_ENREF_30"/>
      <w:r w:rsidRPr="00F73CD4">
        <w:rPr>
          <w:rFonts w:ascii="Calibri" w:hAnsi="Calibri" w:cs="Calibri"/>
          <w:noProof/>
        </w:rPr>
        <w:t>30.</w:t>
      </w:r>
      <w:r w:rsidRPr="00F73CD4">
        <w:rPr>
          <w:rFonts w:ascii="Calibri" w:hAnsi="Calibri" w:cs="Calibri"/>
          <w:noProof/>
        </w:rPr>
        <w:tab/>
        <w:t xml:space="preserve">Freedman B, Potpara TS, Lip GY. Stroke prevention in atrial fibrillation. </w:t>
      </w:r>
      <w:r w:rsidRPr="00F73CD4">
        <w:rPr>
          <w:rFonts w:ascii="Calibri" w:hAnsi="Calibri" w:cs="Calibri"/>
          <w:i/>
          <w:noProof/>
        </w:rPr>
        <w:t>Lancet</w:t>
      </w:r>
      <w:r w:rsidRPr="00F73CD4">
        <w:rPr>
          <w:rFonts w:ascii="Calibri" w:hAnsi="Calibri" w:cs="Calibri"/>
          <w:noProof/>
        </w:rPr>
        <w:t>. 2016;388:806-817.</w:t>
      </w:r>
      <w:bookmarkEnd w:id="30"/>
    </w:p>
    <w:p w14:paraId="441235EB" w14:textId="77777777" w:rsidR="00597826" w:rsidRPr="00F73CD4" w:rsidRDefault="00597826" w:rsidP="00375DCA">
      <w:pPr>
        <w:spacing w:after="0" w:line="240" w:lineRule="auto"/>
        <w:ind w:left="720" w:hanging="720"/>
        <w:rPr>
          <w:rFonts w:ascii="Calibri" w:hAnsi="Calibri" w:cs="Calibri"/>
          <w:noProof/>
        </w:rPr>
      </w:pPr>
      <w:bookmarkStart w:id="31" w:name="_ENREF_31"/>
      <w:r w:rsidRPr="00F73CD4">
        <w:rPr>
          <w:rFonts w:ascii="Calibri" w:hAnsi="Calibri" w:cs="Calibri"/>
          <w:noProof/>
        </w:rPr>
        <w:t>31.</w:t>
      </w:r>
      <w:r w:rsidRPr="00F73CD4">
        <w:rPr>
          <w:rFonts w:ascii="Calibri" w:hAnsi="Calibri" w:cs="Calibri"/>
          <w:noProof/>
        </w:rPr>
        <w:tab/>
        <w:t xml:space="preserve">Friberg L, Rosenqvist M, Lindgren A, Terent A, Norrving B, Asplund K. High prevalence of atrial fibrillation among patients with ischemic stroke. </w:t>
      </w:r>
      <w:r w:rsidRPr="00F73CD4">
        <w:rPr>
          <w:rFonts w:ascii="Calibri" w:hAnsi="Calibri" w:cs="Calibri"/>
          <w:i/>
          <w:noProof/>
        </w:rPr>
        <w:t>Stroke</w:t>
      </w:r>
      <w:r w:rsidRPr="00F73CD4">
        <w:rPr>
          <w:rFonts w:ascii="Calibri" w:hAnsi="Calibri" w:cs="Calibri"/>
          <w:noProof/>
        </w:rPr>
        <w:t>. 2014;45:2599-2605.</w:t>
      </w:r>
      <w:bookmarkEnd w:id="31"/>
    </w:p>
    <w:p w14:paraId="09AB616D" w14:textId="77777777" w:rsidR="00597826" w:rsidRPr="00F73CD4" w:rsidRDefault="00597826" w:rsidP="00375DCA">
      <w:pPr>
        <w:spacing w:after="0" w:line="240" w:lineRule="auto"/>
        <w:ind w:left="720" w:hanging="720"/>
        <w:rPr>
          <w:rFonts w:ascii="Calibri" w:hAnsi="Calibri" w:cs="Calibri"/>
          <w:noProof/>
        </w:rPr>
      </w:pPr>
      <w:bookmarkStart w:id="32" w:name="_ENREF_32"/>
      <w:r w:rsidRPr="00F73CD4">
        <w:rPr>
          <w:rFonts w:ascii="Calibri" w:hAnsi="Calibri" w:cs="Calibri"/>
          <w:noProof/>
        </w:rPr>
        <w:t>32.</w:t>
      </w:r>
      <w:r w:rsidRPr="00F73CD4">
        <w:rPr>
          <w:rFonts w:ascii="Calibri" w:hAnsi="Calibri" w:cs="Calibri"/>
          <w:noProof/>
        </w:rPr>
        <w:tab/>
        <w:t xml:space="preserve">Kishore A, Vail A, Majid A, Dawson J, Lees KR, Tyrrell PJ, Smith CJ. Detection of atrial fibrillation after ischemic stroke or transient ischemic attack: a systematic review and meta-analysis. </w:t>
      </w:r>
      <w:r w:rsidRPr="00F73CD4">
        <w:rPr>
          <w:rFonts w:ascii="Calibri" w:hAnsi="Calibri" w:cs="Calibri"/>
          <w:i/>
          <w:noProof/>
        </w:rPr>
        <w:t>Stroke</w:t>
      </w:r>
      <w:r w:rsidRPr="00F73CD4">
        <w:rPr>
          <w:rFonts w:ascii="Calibri" w:hAnsi="Calibri" w:cs="Calibri"/>
          <w:noProof/>
        </w:rPr>
        <w:t>. 2014;45:520-526.</w:t>
      </w:r>
      <w:bookmarkEnd w:id="32"/>
    </w:p>
    <w:p w14:paraId="0EC5390A" w14:textId="77777777" w:rsidR="00597826" w:rsidRPr="00F73CD4" w:rsidRDefault="00597826" w:rsidP="00375DCA">
      <w:pPr>
        <w:spacing w:after="0" w:line="240" w:lineRule="auto"/>
        <w:ind w:left="720" w:hanging="720"/>
        <w:rPr>
          <w:rFonts w:ascii="Calibri" w:hAnsi="Calibri" w:cs="Calibri"/>
          <w:noProof/>
        </w:rPr>
      </w:pPr>
      <w:bookmarkStart w:id="33" w:name="_ENREF_33"/>
      <w:r w:rsidRPr="00F73CD4">
        <w:rPr>
          <w:rFonts w:ascii="Calibri" w:hAnsi="Calibri" w:cs="Calibri"/>
          <w:noProof/>
        </w:rPr>
        <w:t>33.</w:t>
      </w:r>
      <w:r w:rsidRPr="00F73CD4">
        <w:rPr>
          <w:rFonts w:ascii="Calibri" w:hAnsi="Calibri" w:cs="Calibri"/>
          <w:noProof/>
        </w:rPr>
        <w:tab/>
        <w:t xml:space="preserve">Gladstone DJ, Bui E, Fang J, Laupacis A, Lindsay MP, Tu JV, Silver FL, Kapral MK. Potentially preventable strokes in high-risk patients with atrial fibrillation who are not adequately anticoagulated. </w:t>
      </w:r>
      <w:r w:rsidRPr="00F73CD4">
        <w:rPr>
          <w:rFonts w:ascii="Calibri" w:hAnsi="Calibri" w:cs="Calibri"/>
          <w:i/>
          <w:noProof/>
        </w:rPr>
        <w:t>Stroke</w:t>
      </w:r>
      <w:r w:rsidRPr="00F73CD4">
        <w:rPr>
          <w:rFonts w:ascii="Calibri" w:hAnsi="Calibri" w:cs="Calibri"/>
          <w:noProof/>
        </w:rPr>
        <w:t>. 2009;40:235-240.</w:t>
      </w:r>
      <w:bookmarkEnd w:id="33"/>
    </w:p>
    <w:p w14:paraId="3F29EF14" w14:textId="77777777" w:rsidR="00597826" w:rsidRPr="00F73CD4" w:rsidRDefault="00597826" w:rsidP="00375DCA">
      <w:pPr>
        <w:spacing w:after="0" w:line="240" w:lineRule="auto"/>
        <w:ind w:left="720" w:hanging="720"/>
        <w:rPr>
          <w:rFonts w:ascii="Calibri" w:hAnsi="Calibri" w:cs="Calibri"/>
          <w:noProof/>
        </w:rPr>
      </w:pPr>
      <w:bookmarkStart w:id="34" w:name="_ENREF_34"/>
      <w:r w:rsidRPr="00F73CD4">
        <w:rPr>
          <w:rFonts w:ascii="Calibri" w:hAnsi="Calibri" w:cs="Calibri"/>
          <w:noProof/>
        </w:rPr>
        <w:t>34.</w:t>
      </w:r>
      <w:r w:rsidRPr="00F73CD4">
        <w:rPr>
          <w:rFonts w:ascii="Calibri" w:hAnsi="Calibri" w:cs="Calibri"/>
          <w:noProof/>
        </w:rPr>
        <w:tab/>
        <w:t xml:space="preserve">Sanna T, Diener HC, Passman RS, Di Lazzaro V, Bernstein RA, Morillo CA, Rymer MM, Thijs V, Rogers T, Beckers F, Lindborg K, Brachmann J, Investigators CA. Cryptogenic stroke and underlying atrial fibrillation. </w:t>
      </w:r>
      <w:r w:rsidR="008C2F13" w:rsidRPr="00A009B5">
        <w:rPr>
          <w:rFonts w:ascii="Calibri" w:hAnsi="Calibri" w:cs="Calibri"/>
          <w:i/>
          <w:noProof/>
        </w:rPr>
        <w:t>N Engl J Med</w:t>
      </w:r>
      <w:r w:rsidRPr="00F73CD4">
        <w:rPr>
          <w:rFonts w:ascii="Calibri" w:hAnsi="Calibri" w:cs="Calibri"/>
          <w:noProof/>
        </w:rPr>
        <w:t>. 2014;370:2478-2486.</w:t>
      </w:r>
      <w:bookmarkEnd w:id="34"/>
    </w:p>
    <w:p w14:paraId="46C59FD1" w14:textId="77777777" w:rsidR="00597826" w:rsidRPr="00F73CD4" w:rsidRDefault="00597826" w:rsidP="00375DCA">
      <w:pPr>
        <w:spacing w:after="0" w:line="240" w:lineRule="auto"/>
        <w:ind w:left="720" w:hanging="720"/>
        <w:rPr>
          <w:rFonts w:ascii="Calibri" w:hAnsi="Calibri" w:cs="Calibri"/>
          <w:noProof/>
        </w:rPr>
      </w:pPr>
      <w:bookmarkStart w:id="35" w:name="_ENREF_35"/>
      <w:r w:rsidRPr="00F73CD4">
        <w:rPr>
          <w:rFonts w:ascii="Calibri" w:hAnsi="Calibri" w:cs="Calibri"/>
          <w:noProof/>
        </w:rPr>
        <w:t>35.</w:t>
      </w:r>
      <w:r w:rsidRPr="00F73CD4">
        <w:rPr>
          <w:rFonts w:ascii="Calibri" w:hAnsi="Calibri" w:cs="Calibri"/>
          <w:noProof/>
        </w:rPr>
        <w:tab/>
        <w:t xml:space="preserve">Perera KS, Vanassche T, Bosch J, Swaminathan B, Mundl H, Giruparajah M, Barboza MA, O'Donnell MJ, Gomez-Schneider M, Hankey GJ, Yoon BW, Roxas A, Jr., Lavallee P, Sargento-Freitas J, Shamalov N, Brouns R, Gagliardi RJ, Kasner SE, Pieroni A, Vermehren P, Kitagawa K, Wang Y, Muir K, Coutinho JM, Connolly SJ, Hart RG. Global Survey of the Frequency of Atrial Fibrillation-Associated Stroke: Embolic Stroke of Undetermined Source Global Registry. </w:t>
      </w:r>
      <w:r w:rsidRPr="00F73CD4">
        <w:rPr>
          <w:rFonts w:ascii="Calibri" w:hAnsi="Calibri" w:cs="Calibri"/>
          <w:i/>
          <w:noProof/>
        </w:rPr>
        <w:t>Stroke</w:t>
      </w:r>
      <w:r w:rsidRPr="00F73CD4">
        <w:rPr>
          <w:rFonts w:ascii="Calibri" w:hAnsi="Calibri" w:cs="Calibri"/>
          <w:noProof/>
        </w:rPr>
        <w:t>. 2016;47:2197-2202.</w:t>
      </w:r>
      <w:bookmarkEnd w:id="35"/>
    </w:p>
    <w:p w14:paraId="2690EEB1" w14:textId="77777777" w:rsidR="00597826" w:rsidRPr="00F73CD4" w:rsidRDefault="00597826" w:rsidP="00375DCA">
      <w:pPr>
        <w:spacing w:after="0" w:line="240" w:lineRule="auto"/>
        <w:ind w:left="720" w:hanging="720"/>
        <w:rPr>
          <w:rFonts w:ascii="Calibri" w:hAnsi="Calibri" w:cs="Calibri"/>
          <w:noProof/>
        </w:rPr>
      </w:pPr>
      <w:bookmarkStart w:id="36" w:name="_ENREF_36"/>
      <w:r w:rsidRPr="00F73CD4">
        <w:rPr>
          <w:rFonts w:ascii="Calibri" w:hAnsi="Calibri" w:cs="Calibri"/>
          <w:noProof/>
        </w:rPr>
        <w:t>36.</w:t>
      </w:r>
      <w:r w:rsidRPr="00F73CD4">
        <w:rPr>
          <w:rFonts w:ascii="Calibri" w:hAnsi="Calibri" w:cs="Calibri"/>
          <w:noProof/>
        </w:rPr>
        <w:tab/>
        <w:t xml:space="preserve">Brambatti M, Connolly SJ, Gold MR, Morillo CA, Capucci A, Muto C, Lau CP, Van Gelder IC, Hohnloser SH, Carlson M, Fain E, Nakamya J, Mairesse GH, Halytska M, Deng WQ, Israel CW, Healey JS, Investigators A. Temporal relationship between subclinical atrial fibrillation and embolic events. </w:t>
      </w:r>
      <w:r w:rsidRPr="00F73CD4">
        <w:rPr>
          <w:rFonts w:ascii="Calibri" w:hAnsi="Calibri" w:cs="Calibri"/>
          <w:i/>
          <w:noProof/>
        </w:rPr>
        <w:t>Circulation</w:t>
      </w:r>
      <w:r w:rsidRPr="00F73CD4">
        <w:rPr>
          <w:rFonts w:ascii="Calibri" w:hAnsi="Calibri" w:cs="Calibri"/>
          <w:noProof/>
        </w:rPr>
        <w:t>. 2014;129:2094-2099.</w:t>
      </w:r>
      <w:bookmarkEnd w:id="36"/>
    </w:p>
    <w:p w14:paraId="2121C702" w14:textId="77777777" w:rsidR="00597826" w:rsidRPr="00F73CD4" w:rsidRDefault="00597826" w:rsidP="00375DCA">
      <w:pPr>
        <w:spacing w:after="0" w:line="240" w:lineRule="auto"/>
        <w:ind w:left="720" w:hanging="720"/>
        <w:rPr>
          <w:rFonts w:ascii="Calibri" w:hAnsi="Calibri" w:cs="Calibri"/>
          <w:noProof/>
        </w:rPr>
      </w:pPr>
      <w:bookmarkStart w:id="37" w:name="_ENREF_37"/>
      <w:r w:rsidRPr="00F73CD4">
        <w:rPr>
          <w:rFonts w:ascii="Calibri" w:hAnsi="Calibri" w:cs="Calibri"/>
          <w:noProof/>
        </w:rPr>
        <w:t>37.</w:t>
      </w:r>
      <w:r w:rsidRPr="00F73CD4">
        <w:rPr>
          <w:rFonts w:ascii="Calibri" w:hAnsi="Calibri" w:cs="Calibri"/>
          <w:noProof/>
        </w:rPr>
        <w:tab/>
        <w:t xml:space="preserve">Daoud EG, Glotzer TV, Wyse DG, Ezekowitz MD, Hilker C, Koehler J, Ziegler PD, Investigators T. Temporal relationship of atrial tachyarrhythmias, cerebrovascular events, and systemic emboli based on stored device data: a subgroup analysis of TRENDS. </w:t>
      </w:r>
      <w:r w:rsidR="00E07F2D">
        <w:rPr>
          <w:rFonts w:ascii="Calibri" w:hAnsi="Calibri" w:cs="Calibri"/>
          <w:i/>
          <w:noProof/>
        </w:rPr>
        <w:t>Heart Rhythm</w:t>
      </w:r>
      <w:r w:rsidRPr="00F73CD4">
        <w:rPr>
          <w:rFonts w:ascii="Calibri" w:hAnsi="Calibri" w:cs="Calibri"/>
          <w:noProof/>
        </w:rPr>
        <w:t>. 2011;8:1416-1423.</w:t>
      </w:r>
      <w:bookmarkEnd w:id="37"/>
    </w:p>
    <w:p w14:paraId="27DC4EE0" w14:textId="77777777" w:rsidR="00597826" w:rsidRPr="00F73CD4" w:rsidRDefault="00597826" w:rsidP="00375DCA">
      <w:pPr>
        <w:spacing w:after="0" w:line="240" w:lineRule="auto"/>
        <w:ind w:left="720" w:hanging="720"/>
        <w:rPr>
          <w:rFonts w:ascii="Calibri" w:hAnsi="Calibri" w:cs="Calibri"/>
          <w:noProof/>
        </w:rPr>
      </w:pPr>
      <w:bookmarkStart w:id="38" w:name="_ENREF_38"/>
      <w:r w:rsidRPr="00F73CD4">
        <w:rPr>
          <w:rFonts w:ascii="Calibri" w:hAnsi="Calibri" w:cs="Calibri"/>
          <w:noProof/>
        </w:rPr>
        <w:t>38.</w:t>
      </w:r>
      <w:r w:rsidRPr="00F73CD4">
        <w:rPr>
          <w:rFonts w:ascii="Calibri" w:hAnsi="Calibri" w:cs="Calibri"/>
          <w:noProof/>
        </w:rPr>
        <w:tab/>
        <w:t xml:space="preserve">Kamel H, Okin PM, Elkind MS, Iadecola C. Atrial fibrillation and mechanisms of stroke: time for a new model. </w:t>
      </w:r>
      <w:r w:rsidRPr="00F73CD4">
        <w:rPr>
          <w:rFonts w:ascii="Calibri" w:hAnsi="Calibri" w:cs="Calibri"/>
          <w:i/>
          <w:noProof/>
        </w:rPr>
        <w:t>Stroke</w:t>
      </w:r>
      <w:r w:rsidRPr="00F73CD4">
        <w:rPr>
          <w:rFonts w:ascii="Calibri" w:hAnsi="Calibri" w:cs="Calibri"/>
          <w:noProof/>
        </w:rPr>
        <w:t>. 2016;47:895-900.</w:t>
      </w:r>
      <w:bookmarkEnd w:id="38"/>
    </w:p>
    <w:p w14:paraId="49CAB53A" w14:textId="77777777" w:rsidR="00597826" w:rsidRPr="00F73CD4" w:rsidRDefault="00597826" w:rsidP="00375DCA">
      <w:pPr>
        <w:spacing w:after="0" w:line="240" w:lineRule="auto"/>
        <w:ind w:left="720" w:hanging="720"/>
        <w:rPr>
          <w:rFonts w:ascii="Calibri" w:hAnsi="Calibri" w:cs="Calibri"/>
          <w:noProof/>
        </w:rPr>
      </w:pPr>
      <w:bookmarkStart w:id="39" w:name="_ENREF_39"/>
      <w:r w:rsidRPr="00F73CD4">
        <w:rPr>
          <w:rFonts w:ascii="Calibri" w:hAnsi="Calibri" w:cs="Calibri"/>
          <w:noProof/>
        </w:rPr>
        <w:t>39.</w:t>
      </w:r>
      <w:r w:rsidRPr="00F73CD4">
        <w:rPr>
          <w:rFonts w:ascii="Calibri" w:hAnsi="Calibri" w:cs="Calibri"/>
          <w:noProof/>
        </w:rPr>
        <w:tab/>
        <w:t xml:space="preserve">Kamel H, O'Neal WT, Okin PM, Loehr LR, Alonso A, Soliman EZ. Electrocardiographic left atrial abnormality and stroke subtype in the Atherosclerosis Risk In Communities study. </w:t>
      </w:r>
      <w:r w:rsidRPr="00F73CD4">
        <w:rPr>
          <w:rFonts w:ascii="Calibri" w:hAnsi="Calibri" w:cs="Calibri"/>
          <w:i/>
          <w:noProof/>
        </w:rPr>
        <w:t>Ann Neurol</w:t>
      </w:r>
      <w:r w:rsidRPr="00F73CD4">
        <w:rPr>
          <w:rFonts w:ascii="Calibri" w:hAnsi="Calibri" w:cs="Calibri"/>
          <w:noProof/>
        </w:rPr>
        <w:t>. 2015;78:670-678.</w:t>
      </w:r>
      <w:bookmarkEnd w:id="39"/>
    </w:p>
    <w:p w14:paraId="00974159" w14:textId="77777777" w:rsidR="00597826" w:rsidRPr="00F73CD4" w:rsidRDefault="00597826" w:rsidP="00375DCA">
      <w:pPr>
        <w:spacing w:after="0" w:line="240" w:lineRule="auto"/>
        <w:ind w:left="720" w:hanging="720"/>
        <w:rPr>
          <w:rFonts w:ascii="Calibri" w:hAnsi="Calibri" w:cs="Calibri"/>
          <w:noProof/>
        </w:rPr>
      </w:pPr>
      <w:bookmarkStart w:id="40" w:name="_ENREF_40"/>
      <w:r w:rsidRPr="00F73CD4">
        <w:rPr>
          <w:rFonts w:ascii="Calibri" w:hAnsi="Calibri" w:cs="Calibri"/>
          <w:noProof/>
        </w:rPr>
        <w:t>40.</w:t>
      </w:r>
      <w:r w:rsidRPr="00F73CD4">
        <w:rPr>
          <w:rFonts w:ascii="Calibri" w:hAnsi="Calibri" w:cs="Calibri"/>
          <w:noProof/>
        </w:rPr>
        <w:tab/>
        <w:t xml:space="preserve">Turakhia MP, Ziegler PD, Schmitt SK, Chang Y, Fan J, Than CT, Keung EK, Singer DE. Atrial fibrillation burden and short-term risk of stroke: case-crossover analysis of continuously recorded heart rhythm from cardiac electronic implanted devices. </w:t>
      </w:r>
      <w:r w:rsidRPr="00F73CD4">
        <w:rPr>
          <w:rFonts w:ascii="Calibri" w:hAnsi="Calibri" w:cs="Calibri"/>
          <w:i/>
          <w:noProof/>
        </w:rPr>
        <w:t>Circ Arrhythm Electrophysiol</w:t>
      </w:r>
      <w:r w:rsidRPr="00F73CD4">
        <w:rPr>
          <w:rFonts w:ascii="Calibri" w:hAnsi="Calibri" w:cs="Calibri"/>
          <w:noProof/>
        </w:rPr>
        <w:t>. 2015;8:1040-1047.</w:t>
      </w:r>
      <w:bookmarkEnd w:id="40"/>
    </w:p>
    <w:p w14:paraId="45B2AD8D" w14:textId="77777777" w:rsidR="00597826" w:rsidRPr="00F73CD4" w:rsidRDefault="00597826" w:rsidP="00375DCA">
      <w:pPr>
        <w:spacing w:after="0" w:line="240" w:lineRule="auto"/>
        <w:ind w:left="720" w:hanging="720"/>
        <w:rPr>
          <w:rFonts w:ascii="Calibri" w:hAnsi="Calibri" w:cs="Calibri"/>
          <w:noProof/>
        </w:rPr>
      </w:pPr>
      <w:bookmarkStart w:id="41" w:name="_ENREF_41"/>
      <w:r w:rsidRPr="00F73CD4">
        <w:rPr>
          <w:rFonts w:ascii="Calibri" w:hAnsi="Calibri" w:cs="Calibri"/>
          <w:noProof/>
        </w:rPr>
        <w:t>41.</w:t>
      </w:r>
      <w:r w:rsidRPr="00F73CD4">
        <w:rPr>
          <w:rFonts w:ascii="Calibri" w:hAnsi="Calibri" w:cs="Calibri"/>
          <w:noProof/>
        </w:rPr>
        <w:tab/>
        <w:t xml:space="preserve">Boriani G, Santini M, Lunati M, Gasparini M, Proclemer A, Landolina M, Padeletti L, Botto GL, Capucci A, Bianchi S, Biffi M, Ricci RP, Vimercati M, Grammatico A, Lip GY. Improving thromboprophylaxis using atrial fibrillation diagnostic capabilities in implantable cardioverter-defibrillators: the multicentre Italian ANGELS of AF Project. </w:t>
      </w:r>
      <w:r w:rsidR="0034701A" w:rsidRPr="0034701A">
        <w:rPr>
          <w:rFonts w:ascii="Calibri" w:hAnsi="Calibri" w:cs="Calibri"/>
          <w:i/>
          <w:noProof/>
        </w:rPr>
        <w:t>Circ Cardiovasc Qual Outcomes</w:t>
      </w:r>
      <w:r w:rsidRPr="00F73CD4">
        <w:rPr>
          <w:rFonts w:ascii="Calibri" w:hAnsi="Calibri" w:cs="Calibri"/>
          <w:noProof/>
        </w:rPr>
        <w:t>. 2012;5:182-188.</w:t>
      </w:r>
      <w:bookmarkEnd w:id="41"/>
    </w:p>
    <w:p w14:paraId="72B8D93B" w14:textId="77777777" w:rsidR="00597826" w:rsidRPr="00F73CD4" w:rsidRDefault="00597826" w:rsidP="00375DCA">
      <w:pPr>
        <w:spacing w:after="0" w:line="240" w:lineRule="auto"/>
        <w:ind w:left="720" w:hanging="720"/>
        <w:rPr>
          <w:rFonts w:ascii="Calibri" w:hAnsi="Calibri" w:cs="Calibri"/>
          <w:noProof/>
        </w:rPr>
      </w:pPr>
      <w:bookmarkStart w:id="42" w:name="_ENREF_42"/>
      <w:r w:rsidRPr="00F73CD4">
        <w:rPr>
          <w:rFonts w:ascii="Calibri" w:hAnsi="Calibri" w:cs="Calibri"/>
          <w:noProof/>
        </w:rPr>
        <w:t>42.</w:t>
      </w:r>
      <w:r w:rsidRPr="00F73CD4">
        <w:rPr>
          <w:rFonts w:ascii="Calibri" w:hAnsi="Calibri" w:cs="Calibri"/>
          <w:noProof/>
        </w:rPr>
        <w:tab/>
        <w:t xml:space="preserve">Goette A, Kalman JM, Aguinaga L, Akar J, Cabrera JA, Chen SA, Chugh SS, Corradi D, D'Avila A, Dobrev D, Fenelon G, Gonzalez M, Hatem SN, Helm R, Hindricks G, Ho SY, Hoit B, Jalife J, Kim YH, Lip GY, Ma CS, Marcus GM, Murray K, Nogami A, Sanders P, Uribe W, Van Wagoner D, Nattel S, Centurion OA, Kuck KH, Patton KK, Sapp JL, Stiles M, Svendsen JH, Upadhyay GA, Shantsila A. EHRA/HRS/APHRS/SOLAECE expert consensus on Atrial cardiomyopathies: definition, characterization, and clinical implication. </w:t>
      </w:r>
      <w:r w:rsidRPr="00F73CD4">
        <w:rPr>
          <w:rFonts w:ascii="Calibri" w:hAnsi="Calibri" w:cs="Calibri"/>
          <w:i/>
          <w:noProof/>
        </w:rPr>
        <w:t>Europace</w:t>
      </w:r>
      <w:r w:rsidRPr="00F73CD4">
        <w:rPr>
          <w:rFonts w:ascii="Calibri" w:hAnsi="Calibri" w:cs="Calibri"/>
          <w:noProof/>
        </w:rPr>
        <w:t>. 2016;32:247-278.</w:t>
      </w:r>
      <w:bookmarkEnd w:id="42"/>
    </w:p>
    <w:p w14:paraId="38729E07" w14:textId="68D12E8E" w:rsidR="00597826" w:rsidRPr="00F73CD4" w:rsidRDefault="00597826" w:rsidP="00375DCA">
      <w:pPr>
        <w:spacing w:after="0" w:line="240" w:lineRule="auto"/>
        <w:ind w:left="720" w:hanging="720"/>
        <w:rPr>
          <w:rFonts w:ascii="Calibri" w:hAnsi="Calibri" w:cs="Calibri"/>
          <w:noProof/>
        </w:rPr>
      </w:pPr>
      <w:bookmarkStart w:id="43" w:name="_ENREF_43"/>
      <w:r w:rsidRPr="00F73CD4">
        <w:rPr>
          <w:rFonts w:ascii="Calibri" w:hAnsi="Calibri" w:cs="Calibri"/>
          <w:noProof/>
        </w:rPr>
        <w:t>43.</w:t>
      </w:r>
      <w:r w:rsidRPr="00F73CD4">
        <w:rPr>
          <w:rFonts w:ascii="Calibri" w:hAnsi="Calibri" w:cs="Calibri"/>
          <w:noProof/>
        </w:rPr>
        <w:tab/>
        <w:t xml:space="preserve">Hsu JC, Maddox TM, Kennedy KF, Katz DF, Marzec LN, Lubitz SA, Gehi AK, Turakhia MP, Marcus GM. Oral anticoagulant therapy prescription in patients with atrial fibrillation across the spectrum of stroke risk: Insights from the </w:t>
      </w:r>
      <w:r w:rsidR="000527AD">
        <w:rPr>
          <w:rFonts w:ascii="Calibri" w:hAnsi="Calibri" w:cs="Calibri"/>
          <w:noProof/>
        </w:rPr>
        <w:t>NCDR</w:t>
      </w:r>
      <w:r w:rsidRPr="00F73CD4">
        <w:rPr>
          <w:rFonts w:ascii="Calibri" w:hAnsi="Calibri" w:cs="Calibri"/>
          <w:noProof/>
        </w:rPr>
        <w:t xml:space="preserve"> pinnacle registry. </w:t>
      </w:r>
      <w:r w:rsidR="0057356B">
        <w:rPr>
          <w:rFonts w:ascii="Calibri" w:hAnsi="Calibri" w:cs="Calibri"/>
          <w:i/>
          <w:noProof/>
        </w:rPr>
        <w:t>JAMA Cardiol</w:t>
      </w:r>
      <w:r w:rsidRPr="00F73CD4">
        <w:rPr>
          <w:rFonts w:ascii="Calibri" w:hAnsi="Calibri" w:cs="Calibri"/>
          <w:noProof/>
        </w:rPr>
        <w:t>. 2016;1:55-62.</w:t>
      </w:r>
      <w:bookmarkEnd w:id="43"/>
    </w:p>
    <w:p w14:paraId="2025341C" w14:textId="77777777" w:rsidR="00597826" w:rsidRPr="00F73CD4" w:rsidRDefault="00597826" w:rsidP="00375DCA">
      <w:pPr>
        <w:spacing w:after="0" w:line="240" w:lineRule="auto"/>
        <w:ind w:left="720" w:hanging="720"/>
        <w:rPr>
          <w:rFonts w:ascii="Calibri" w:hAnsi="Calibri" w:cs="Calibri"/>
          <w:noProof/>
        </w:rPr>
      </w:pPr>
      <w:bookmarkStart w:id="44" w:name="_ENREF_44"/>
      <w:r w:rsidRPr="00F73CD4">
        <w:rPr>
          <w:rFonts w:ascii="Calibri" w:hAnsi="Calibri" w:cs="Calibri"/>
          <w:noProof/>
        </w:rPr>
        <w:t>44.</w:t>
      </w:r>
      <w:r w:rsidRPr="00F73CD4">
        <w:rPr>
          <w:rFonts w:ascii="Calibri" w:hAnsi="Calibri" w:cs="Calibri"/>
          <w:noProof/>
        </w:rPr>
        <w:tab/>
        <w:t xml:space="preserve">Chugh SS, Havmoeller R, Narayanan K, Singh D, Rienstra M, Benjamin EJ, Gillum RF, Kim Y-H, McAnulty JH, Jr., Zheng Z-J, Forouzanfar MH, Naghavi M, Mensah GA, Ezzati M, Murray CJL. Worldwide epidemiology of atrial fibrillation: a Global Burden of Disease 2010 Study. </w:t>
      </w:r>
      <w:r w:rsidRPr="00F73CD4">
        <w:rPr>
          <w:rFonts w:ascii="Calibri" w:hAnsi="Calibri" w:cs="Calibri"/>
          <w:i/>
          <w:noProof/>
        </w:rPr>
        <w:t>Circulation</w:t>
      </w:r>
      <w:r w:rsidRPr="00F73CD4">
        <w:rPr>
          <w:rFonts w:ascii="Calibri" w:hAnsi="Calibri" w:cs="Calibri"/>
          <w:noProof/>
        </w:rPr>
        <w:t>. 2014;129:837-847.</w:t>
      </w:r>
      <w:bookmarkEnd w:id="44"/>
    </w:p>
    <w:p w14:paraId="4E4CC72D" w14:textId="77777777" w:rsidR="00597826" w:rsidRPr="00F73CD4" w:rsidRDefault="00597826" w:rsidP="00375DCA">
      <w:pPr>
        <w:spacing w:after="0" w:line="240" w:lineRule="auto"/>
        <w:ind w:left="720" w:hanging="720"/>
        <w:rPr>
          <w:rFonts w:ascii="Calibri" w:hAnsi="Calibri" w:cs="Calibri"/>
          <w:noProof/>
        </w:rPr>
      </w:pPr>
      <w:bookmarkStart w:id="45" w:name="_ENREF_45"/>
      <w:r w:rsidRPr="00F73CD4">
        <w:rPr>
          <w:rFonts w:ascii="Calibri" w:hAnsi="Calibri" w:cs="Calibri"/>
          <w:noProof/>
        </w:rPr>
        <w:t>45.</w:t>
      </w:r>
      <w:r w:rsidRPr="00F73CD4">
        <w:rPr>
          <w:rFonts w:ascii="Calibri" w:hAnsi="Calibri" w:cs="Calibri"/>
          <w:noProof/>
        </w:rPr>
        <w:tab/>
        <w:t xml:space="preserve">Katzenellenbogen JM, Woods JA, Teng TH, Thompson SC. Atrial fibrillation in the Indigenous populations of Australia, Canada, New Zealand, and the United States: a systematic scoping review. </w:t>
      </w:r>
      <w:r w:rsidRPr="00F73CD4">
        <w:rPr>
          <w:rFonts w:ascii="Calibri" w:hAnsi="Calibri" w:cs="Calibri"/>
          <w:i/>
          <w:noProof/>
        </w:rPr>
        <w:t>BMC Cardiovasc Disord</w:t>
      </w:r>
      <w:r w:rsidRPr="00F73CD4">
        <w:rPr>
          <w:rFonts w:ascii="Calibri" w:hAnsi="Calibri" w:cs="Calibri"/>
          <w:noProof/>
        </w:rPr>
        <w:t>. 2015;15:87.</w:t>
      </w:r>
      <w:bookmarkEnd w:id="45"/>
    </w:p>
    <w:p w14:paraId="7281DB3E" w14:textId="77777777" w:rsidR="00597826" w:rsidRPr="00F73CD4" w:rsidRDefault="00597826" w:rsidP="00375DCA">
      <w:pPr>
        <w:spacing w:after="0" w:line="240" w:lineRule="auto"/>
        <w:ind w:left="720" w:hanging="720"/>
        <w:rPr>
          <w:rFonts w:ascii="Calibri" w:hAnsi="Calibri" w:cs="Calibri"/>
          <w:noProof/>
        </w:rPr>
      </w:pPr>
      <w:bookmarkStart w:id="46" w:name="_ENREF_46"/>
      <w:r w:rsidRPr="00F73CD4">
        <w:rPr>
          <w:rFonts w:ascii="Calibri" w:hAnsi="Calibri" w:cs="Calibri"/>
          <w:noProof/>
        </w:rPr>
        <w:t>46.</w:t>
      </w:r>
      <w:r w:rsidRPr="00F73CD4">
        <w:rPr>
          <w:rFonts w:ascii="Calibri" w:hAnsi="Calibri" w:cs="Calibri"/>
          <w:noProof/>
        </w:rPr>
        <w:tab/>
        <w:t xml:space="preserve">Kaasenbrood F, Hollander M, Rutten F, Gerhards L, Hoes A, Tieleman R. Yield of screening for atrial fibrillation in primary care with a hand-held, single-lead electrocardiogram device during influenza vaccination. </w:t>
      </w:r>
      <w:r w:rsidRPr="00F73CD4">
        <w:rPr>
          <w:rFonts w:ascii="Calibri" w:hAnsi="Calibri" w:cs="Calibri"/>
          <w:i/>
          <w:noProof/>
        </w:rPr>
        <w:t>Europace</w:t>
      </w:r>
      <w:r w:rsidRPr="00F73CD4">
        <w:rPr>
          <w:rFonts w:ascii="Calibri" w:hAnsi="Calibri" w:cs="Calibri"/>
          <w:noProof/>
        </w:rPr>
        <w:t>. 2016;18:1514-1520.</w:t>
      </w:r>
      <w:bookmarkEnd w:id="46"/>
    </w:p>
    <w:p w14:paraId="7AC4C7D1" w14:textId="77777777" w:rsidR="00597826" w:rsidRPr="00F73CD4" w:rsidRDefault="00597826" w:rsidP="00375DCA">
      <w:pPr>
        <w:spacing w:after="0" w:line="240" w:lineRule="auto"/>
        <w:ind w:left="720" w:hanging="720"/>
        <w:rPr>
          <w:rFonts w:ascii="Calibri" w:hAnsi="Calibri" w:cs="Calibri"/>
          <w:noProof/>
        </w:rPr>
      </w:pPr>
      <w:bookmarkStart w:id="47" w:name="_ENREF_47"/>
      <w:r w:rsidRPr="00F73CD4">
        <w:rPr>
          <w:rFonts w:ascii="Calibri" w:hAnsi="Calibri" w:cs="Calibri"/>
          <w:noProof/>
        </w:rPr>
        <w:t>47.</w:t>
      </w:r>
      <w:r w:rsidRPr="00F73CD4">
        <w:rPr>
          <w:rFonts w:ascii="Calibri" w:hAnsi="Calibri" w:cs="Calibri"/>
          <w:noProof/>
        </w:rPr>
        <w:tab/>
        <w:t xml:space="preserve">Lowres N, Neubeck L, Salkeld G, Krass I, McLachlan AJ, Redfern J, Bennett AA, Briffa T, Bauman A, Martinez C, Wallenhorst C, Lau JK, Brieger DB, Sy RW, Freedman SB. Feasibility and cost-effectiveness of stroke prevention through community screening for atrial fibrillation using iPhone ECG in pharmacies. The SEARCH-AF study. </w:t>
      </w:r>
      <w:r w:rsidRPr="00F73CD4">
        <w:rPr>
          <w:rFonts w:ascii="Calibri" w:hAnsi="Calibri" w:cs="Calibri"/>
          <w:i/>
          <w:noProof/>
        </w:rPr>
        <w:t>Thromb Haemost</w:t>
      </w:r>
      <w:r w:rsidRPr="00F73CD4">
        <w:rPr>
          <w:rFonts w:ascii="Calibri" w:hAnsi="Calibri" w:cs="Calibri"/>
          <w:noProof/>
        </w:rPr>
        <w:t>. 2014;111:1167-1176.</w:t>
      </w:r>
      <w:bookmarkEnd w:id="47"/>
    </w:p>
    <w:p w14:paraId="6A328526" w14:textId="77777777" w:rsidR="00597826" w:rsidRPr="00F73CD4" w:rsidRDefault="00597826" w:rsidP="00375DCA">
      <w:pPr>
        <w:spacing w:after="0" w:line="240" w:lineRule="auto"/>
        <w:ind w:left="720" w:hanging="720"/>
        <w:rPr>
          <w:rFonts w:ascii="Calibri" w:hAnsi="Calibri" w:cs="Calibri"/>
          <w:noProof/>
        </w:rPr>
      </w:pPr>
      <w:bookmarkStart w:id="48" w:name="_ENREF_48"/>
      <w:r w:rsidRPr="00F73CD4">
        <w:rPr>
          <w:rFonts w:ascii="Calibri" w:hAnsi="Calibri" w:cs="Calibri"/>
          <w:noProof/>
        </w:rPr>
        <w:t>48.</w:t>
      </w:r>
      <w:r w:rsidRPr="00F73CD4">
        <w:rPr>
          <w:rFonts w:ascii="Calibri" w:hAnsi="Calibri" w:cs="Calibri"/>
          <w:noProof/>
        </w:rPr>
        <w:tab/>
        <w:t xml:space="preserve">Benito L, Coll-Vinent B, Gómez E, Martí D, Mitjavila J, Torres F, Miró Ò, Sisó A, Mont L. EARLY: a pilot study on early diagnosis of atrial fibrillation in a primary healthcare centre. </w:t>
      </w:r>
      <w:r w:rsidRPr="00F73CD4">
        <w:rPr>
          <w:rFonts w:ascii="Calibri" w:hAnsi="Calibri" w:cs="Calibri"/>
          <w:i/>
          <w:noProof/>
        </w:rPr>
        <w:t>Europace</w:t>
      </w:r>
      <w:r w:rsidRPr="00F73CD4">
        <w:rPr>
          <w:rFonts w:ascii="Calibri" w:hAnsi="Calibri" w:cs="Calibri"/>
          <w:noProof/>
        </w:rPr>
        <w:t>. 2015;17:1688-1693.</w:t>
      </w:r>
      <w:bookmarkEnd w:id="48"/>
    </w:p>
    <w:p w14:paraId="2F2AF61F" w14:textId="77777777" w:rsidR="00597826" w:rsidRPr="00F73CD4" w:rsidRDefault="00597826" w:rsidP="00375DCA">
      <w:pPr>
        <w:spacing w:after="0" w:line="240" w:lineRule="auto"/>
        <w:ind w:left="720" w:hanging="720"/>
        <w:rPr>
          <w:rFonts w:ascii="Calibri" w:hAnsi="Calibri" w:cs="Calibri"/>
          <w:noProof/>
        </w:rPr>
      </w:pPr>
      <w:bookmarkStart w:id="49" w:name="_ENREF_49"/>
      <w:r w:rsidRPr="00F73CD4">
        <w:rPr>
          <w:rFonts w:ascii="Calibri" w:hAnsi="Calibri" w:cs="Calibri"/>
          <w:noProof/>
        </w:rPr>
        <w:t>49.</w:t>
      </w:r>
      <w:r w:rsidRPr="00F73CD4">
        <w:rPr>
          <w:rFonts w:ascii="Calibri" w:hAnsi="Calibri" w:cs="Calibri"/>
          <w:noProof/>
        </w:rPr>
        <w:tab/>
        <w:t xml:space="preserve">Schnabel RB, Wild PS, Wilde S, Ojeda FM, Schulz A, Zeller T, Sinning CR, Kunde J, Lackner KJ, Munzel T, Blankenberg S. Multiple biomarkers and atrial fibrillation in the general population. </w:t>
      </w:r>
      <w:r w:rsidR="00663B79">
        <w:rPr>
          <w:rFonts w:ascii="Calibri" w:hAnsi="Calibri" w:cs="Calibri"/>
          <w:i/>
          <w:noProof/>
        </w:rPr>
        <w:t>PLoS One</w:t>
      </w:r>
      <w:r w:rsidRPr="00F73CD4">
        <w:rPr>
          <w:rFonts w:ascii="Calibri" w:hAnsi="Calibri" w:cs="Calibri"/>
          <w:noProof/>
        </w:rPr>
        <w:t>. 2014;9:e112486.</w:t>
      </w:r>
      <w:bookmarkEnd w:id="49"/>
    </w:p>
    <w:p w14:paraId="1E30CBA5" w14:textId="77777777" w:rsidR="00597826" w:rsidRPr="00F73CD4" w:rsidRDefault="00597826" w:rsidP="00375DCA">
      <w:pPr>
        <w:spacing w:after="0" w:line="240" w:lineRule="auto"/>
        <w:ind w:left="720" w:hanging="720"/>
        <w:rPr>
          <w:rFonts w:ascii="Calibri" w:hAnsi="Calibri" w:cs="Calibri"/>
          <w:noProof/>
        </w:rPr>
      </w:pPr>
      <w:bookmarkStart w:id="50" w:name="_ENREF_50"/>
      <w:r w:rsidRPr="00F73CD4">
        <w:rPr>
          <w:rFonts w:ascii="Calibri" w:hAnsi="Calibri" w:cs="Calibri"/>
          <w:noProof/>
        </w:rPr>
        <w:t>50.</w:t>
      </w:r>
      <w:r w:rsidRPr="00F73CD4">
        <w:rPr>
          <w:rFonts w:ascii="Calibri" w:hAnsi="Calibri" w:cs="Calibri"/>
          <w:noProof/>
        </w:rPr>
        <w:tab/>
        <w:t xml:space="preserve">Sinner MF, Stepas KA, Moser CB, Krijthe BP, Aspelund T, Sotoodehnia N, Fontes JD, Janssens AC, Kronmal RA, Magnani JW, Witteman JC, Chamberlain AM, Lubitz SA, Schnabel RB, Vasan RS, Wang TJ, Agarwal SK, McManus DD, Franco OH, Yin X, Larson MG, Burke GL, Launer LJ, Hofman A, Levy D, Gottdiener JS, Kaab S, Couper D, Harris TB, Astor BC, Ballantyne CM, Hoogeveen RC, Arai AE, Soliman EZ, Ellinor PT, Stricker BH, Gudnason V, Heckbert SR, Pencina MJ, Benjamin EJ, Alonso A. B-type natriuretic peptide and C-reactive protein in the prediction of atrial fibrillation risk: the CHARGE-AF Consortium of community-based cohort studies. </w:t>
      </w:r>
      <w:r w:rsidRPr="00F73CD4">
        <w:rPr>
          <w:rFonts w:ascii="Calibri" w:hAnsi="Calibri" w:cs="Calibri"/>
          <w:i/>
          <w:noProof/>
        </w:rPr>
        <w:t>Europace</w:t>
      </w:r>
      <w:r w:rsidRPr="00F73CD4">
        <w:rPr>
          <w:rFonts w:ascii="Calibri" w:hAnsi="Calibri" w:cs="Calibri"/>
          <w:noProof/>
        </w:rPr>
        <w:t>. 2014;16:1426-1433.</w:t>
      </w:r>
      <w:bookmarkEnd w:id="50"/>
    </w:p>
    <w:p w14:paraId="51013E40" w14:textId="77777777" w:rsidR="00597826" w:rsidRPr="00F73CD4" w:rsidRDefault="00597826" w:rsidP="00375DCA">
      <w:pPr>
        <w:spacing w:after="0" w:line="240" w:lineRule="auto"/>
        <w:ind w:left="720" w:hanging="720"/>
        <w:rPr>
          <w:rFonts w:ascii="Calibri" w:hAnsi="Calibri" w:cs="Calibri"/>
          <w:noProof/>
        </w:rPr>
      </w:pPr>
      <w:bookmarkStart w:id="51" w:name="_ENREF_51"/>
      <w:r w:rsidRPr="00F73CD4">
        <w:rPr>
          <w:rFonts w:ascii="Calibri" w:hAnsi="Calibri" w:cs="Calibri"/>
          <w:noProof/>
        </w:rPr>
        <w:t>51.</w:t>
      </w:r>
      <w:r w:rsidRPr="00F73CD4">
        <w:rPr>
          <w:rFonts w:ascii="Calibri" w:hAnsi="Calibri" w:cs="Calibri"/>
          <w:noProof/>
        </w:rPr>
        <w:tab/>
        <w:t xml:space="preserve">Sposato LA, Cipriano LE, Saposnik G, Vargas ER, Riccio PM, Hachinski V. Diagnosis of atrial fibrillation after stroke and transient ischaemic attack: a systematic review and meta-analysis. </w:t>
      </w:r>
      <w:r w:rsidR="0047502A">
        <w:rPr>
          <w:rFonts w:ascii="Calibri" w:hAnsi="Calibri" w:cs="Calibri"/>
          <w:i/>
          <w:noProof/>
        </w:rPr>
        <w:t>Lancet Neurol</w:t>
      </w:r>
      <w:r w:rsidRPr="00F73CD4">
        <w:rPr>
          <w:rFonts w:ascii="Calibri" w:hAnsi="Calibri" w:cs="Calibri"/>
          <w:noProof/>
        </w:rPr>
        <w:t>. 2015;14:377-387.</w:t>
      </w:r>
      <w:bookmarkEnd w:id="51"/>
    </w:p>
    <w:p w14:paraId="37BDF7C4" w14:textId="77777777" w:rsidR="00597826" w:rsidRPr="00F73CD4" w:rsidRDefault="00597826" w:rsidP="00375DCA">
      <w:pPr>
        <w:spacing w:after="0" w:line="240" w:lineRule="auto"/>
        <w:ind w:left="720" w:hanging="720"/>
        <w:rPr>
          <w:rFonts w:ascii="Calibri" w:hAnsi="Calibri" w:cs="Calibri"/>
          <w:noProof/>
        </w:rPr>
      </w:pPr>
      <w:bookmarkStart w:id="52" w:name="_ENREF_52"/>
      <w:r w:rsidRPr="00F73CD4">
        <w:rPr>
          <w:rFonts w:ascii="Calibri" w:hAnsi="Calibri" w:cs="Calibri"/>
          <w:noProof/>
        </w:rPr>
        <w:t>52.</w:t>
      </w:r>
      <w:r w:rsidRPr="00F73CD4">
        <w:rPr>
          <w:rFonts w:ascii="Calibri" w:hAnsi="Calibri" w:cs="Calibri"/>
          <w:noProof/>
        </w:rPr>
        <w:tab/>
        <w:t xml:space="preserve">Higgins P, MacFarlane PW, Dawson J, McInnes GT, Langhorne P, Lees KR. Noninvasive cardiac event monitoring to detect atrial fibrillation after ischemic stroke: a randomized, controlled trial. </w:t>
      </w:r>
      <w:r w:rsidRPr="00F73CD4">
        <w:rPr>
          <w:rFonts w:ascii="Calibri" w:hAnsi="Calibri" w:cs="Calibri"/>
          <w:i/>
          <w:noProof/>
        </w:rPr>
        <w:t>Stroke</w:t>
      </w:r>
      <w:r w:rsidRPr="00F73CD4">
        <w:rPr>
          <w:rFonts w:ascii="Calibri" w:hAnsi="Calibri" w:cs="Calibri"/>
          <w:noProof/>
        </w:rPr>
        <w:t>.44:2525-2531.</w:t>
      </w:r>
      <w:bookmarkEnd w:id="52"/>
    </w:p>
    <w:p w14:paraId="0DD6DDDE" w14:textId="77777777" w:rsidR="00597826" w:rsidRPr="00F73CD4" w:rsidRDefault="00597826" w:rsidP="00375DCA">
      <w:pPr>
        <w:spacing w:after="0" w:line="240" w:lineRule="auto"/>
        <w:ind w:left="720" w:hanging="720"/>
        <w:rPr>
          <w:rFonts w:ascii="Calibri" w:hAnsi="Calibri" w:cs="Calibri"/>
          <w:noProof/>
        </w:rPr>
      </w:pPr>
      <w:bookmarkStart w:id="53" w:name="_ENREF_53"/>
      <w:r w:rsidRPr="00F73CD4">
        <w:rPr>
          <w:rFonts w:ascii="Calibri" w:hAnsi="Calibri" w:cs="Calibri"/>
          <w:noProof/>
        </w:rPr>
        <w:t>53.</w:t>
      </w:r>
      <w:r w:rsidRPr="00F73CD4">
        <w:rPr>
          <w:rFonts w:ascii="Calibri" w:hAnsi="Calibri" w:cs="Calibri"/>
          <w:noProof/>
        </w:rPr>
        <w:tab/>
        <w:t xml:space="preserve">Yong JH, Thavorn K, Hoch JS, Mamdani M, Thorpe KE, Dorian P, Sharma M, Laupacis A, Gladstone DJ. Potential Cost-Effectiveness of Ambulatory Cardiac Rhythm Monitoring After Cryptogenic Stroke. </w:t>
      </w:r>
      <w:r w:rsidRPr="00F73CD4">
        <w:rPr>
          <w:rFonts w:ascii="Calibri" w:hAnsi="Calibri" w:cs="Calibri"/>
          <w:i/>
          <w:noProof/>
        </w:rPr>
        <w:t>Stroke</w:t>
      </w:r>
      <w:r w:rsidRPr="00F73CD4">
        <w:rPr>
          <w:rFonts w:ascii="Calibri" w:hAnsi="Calibri" w:cs="Calibri"/>
          <w:noProof/>
        </w:rPr>
        <w:t>. 2016;47:2380-2385.</w:t>
      </w:r>
      <w:bookmarkEnd w:id="53"/>
    </w:p>
    <w:p w14:paraId="070A41F4" w14:textId="77777777" w:rsidR="00597826" w:rsidRPr="00F73CD4" w:rsidRDefault="00597826" w:rsidP="00375DCA">
      <w:pPr>
        <w:spacing w:after="0" w:line="240" w:lineRule="auto"/>
        <w:ind w:left="720" w:hanging="720"/>
        <w:rPr>
          <w:rFonts w:ascii="Calibri" w:hAnsi="Calibri" w:cs="Calibri"/>
          <w:noProof/>
        </w:rPr>
      </w:pPr>
      <w:bookmarkStart w:id="54" w:name="_ENREF_54"/>
      <w:r w:rsidRPr="00F73CD4">
        <w:rPr>
          <w:rFonts w:ascii="Calibri" w:hAnsi="Calibri" w:cs="Calibri"/>
          <w:noProof/>
        </w:rPr>
        <w:t>54.</w:t>
      </w:r>
      <w:r w:rsidRPr="00F73CD4">
        <w:rPr>
          <w:rFonts w:ascii="Calibri" w:hAnsi="Calibri" w:cs="Calibri"/>
          <w:noProof/>
        </w:rPr>
        <w:tab/>
        <w:t xml:space="preserve">Cooke G, Doust J, Sanders S. Is pulse palpation helpful in detecting atrial fibrillation? A systematic review. </w:t>
      </w:r>
      <w:r w:rsidR="001E39BA" w:rsidRPr="001E39BA">
        <w:rPr>
          <w:rFonts w:ascii="Calibri" w:hAnsi="Calibri" w:cs="Calibri"/>
          <w:i/>
          <w:noProof/>
        </w:rPr>
        <w:t>J Fam Pract</w:t>
      </w:r>
      <w:r w:rsidRPr="00F73CD4">
        <w:rPr>
          <w:rFonts w:ascii="Calibri" w:hAnsi="Calibri" w:cs="Calibri"/>
          <w:noProof/>
        </w:rPr>
        <w:t>. 2006;55:130-134.</w:t>
      </w:r>
      <w:bookmarkEnd w:id="54"/>
    </w:p>
    <w:p w14:paraId="2F90D8E0" w14:textId="77777777" w:rsidR="00597826" w:rsidRPr="00F73CD4" w:rsidRDefault="00597826" w:rsidP="00375DCA">
      <w:pPr>
        <w:spacing w:after="0" w:line="240" w:lineRule="auto"/>
        <w:ind w:left="720" w:hanging="720"/>
        <w:rPr>
          <w:rFonts w:ascii="Calibri" w:hAnsi="Calibri" w:cs="Calibri"/>
          <w:noProof/>
        </w:rPr>
      </w:pPr>
      <w:bookmarkStart w:id="55" w:name="_ENREF_55"/>
      <w:r w:rsidRPr="00F73CD4">
        <w:rPr>
          <w:rFonts w:ascii="Calibri" w:hAnsi="Calibri" w:cs="Calibri"/>
          <w:noProof/>
        </w:rPr>
        <w:t>55.</w:t>
      </w:r>
      <w:r w:rsidRPr="00F73CD4">
        <w:rPr>
          <w:rFonts w:ascii="Calibri" w:hAnsi="Calibri" w:cs="Calibri"/>
          <w:noProof/>
        </w:rPr>
        <w:tab/>
        <w:t xml:space="preserve">Lau J, Lowres N, Neubeck L, Brieger D, Sy R, Galloway C, Albert D, Freedman S. Performance of an Automated iPhone ECG Algorithm to Diagnose Atrial Fibrillation in a Community AF Screening Program (SEARCH-AF). </w:t>
      </w:r>
      <w:r w:rsidR="001E39BA" w:rsidRPr="001E39BA">
        <w:rPr>
          <w:rFonts w:ascii="Calibri" w:hAnsi="Calibri" w:cs="Calibri"/>
          <w:i/>
          <w:noProof/>
        </w:rPr>
        <w:t>Heart Lung Circ</w:t>
      </w:r>
      <w:r w:rsidRPr="00F73CD4">
        <w:rPr>
          <w:rFonts w:ascii="Calibri" w:hAnsi="Calibri" w:cs="Calibri"/>
          <w:noProof/>
        </w:rPr>
        <w:t>. 2013;22, Supplement 1:S205.</w:t>
      </w:r>
      <w:bookmarkEnd w:id="55"/>
    </w:p>
    <w:p w14:paraId="62DCDBCB" w14:textId="77777777" w:rsidR="00597826" w:rsidRPr="00F73CD4" w:rsidRDefault="00597826" w:rsidP="00375DCA">
      <w:pPr>
        <w:spacing w:after="0" w:line="240" w:lineRule="auto"/>
        <w:ind w:left="720" w:hanging="720"/>
        <w:rPr>
          <w:rFonts w:ascii="Calibri" w:hAnsi="Calibri" w:cs="Calibri"/>
          <w:noProof/>
        </w:rPr>
      </w:pPr>
      <w:bookmarkStart w:id="56" w:name="_ENREF_56"/>
      <w:r w:rsidRPr="00F73CD4">
        <w:rPr>
          <w:rFonts w:ascii="Calibri" w:hAnsi="Calibri" w:cs="Calibri"/>
          <w:noProof/>
        </w:rPr>
        <w:t>56.</w:t>
      </w:r>
      <w:r w:rsidRPr="00F73CD4">
        <w:rPr>
          <w:rFonts w:ascii="Calibri" w:hAnsi="Calibri" w:cs="Calibri"/>
          <w:noProof/>
        </w:rPr>
        <w:tab/>
        <w:t xml:space="preserve">Kearley K, Selwood M, Van den Bruel A, Thompson M, Mant D, Hobbs FR, Fitzmaurice D, Heneghan C. Triage tests for identifying atrial fibrillation in primary care: a diagnostic accuracy study comparing single-lead ECG and modified BP monitors. </w:t>
      </w:r>
      <w:r w:rsidR="001E39BA">
        <w:rPr>
          <w:rFonts w:ascii="Calibri" w:hAnsi="Calibri" w:cs="Calibri"/>
          <w:i/>
          <w:noProof/>
        </w:rPr>
        <w:t>BMJ O</w:t>
      </w:r>
      <w:r w:rsidRPr="00F73CD4">
        <w:rPr>
          <w:rFonts w:ascii="Calibri" w:hAnsi="Calibri" w:cs="Calibri"/>
          <w:i/>
          <w:noProof/>
        </w:rPr>
        <w:t>pen</w:t>
      </w:r>
      <w:r w:rsidRPr="00F73CD4">
        <w:rPr>
          <w:rFonts w:ascii="Calibri" w:hAnsi="Calibri" w:cs="Calibri"/>
          <w:noProof/>
        </w:rPr>
        <w:t>. 2014;4:e004565.</w:t>
      </w:r>
      <w:bookmarkEnd w:id="56"/>
    </w:p>
    <w:p w14:paraId="4DE8F374" w14:textId="77777777" w:rsidR="00597826" w:rsidRPr="00F73CD4" w:rsidRDefault="00597826" w:rsidP="00375DCA">
      <w:pPr>
        <w:spacing w:after="0" w:line="240" w:lineRule="auto"/>
        <w:ind w:left="720" w:hanging="720"/>
        <w:rPr>
          <w:rFonts w:ascii="Calibri" w:hAnsi="Calibri" w:cs="Calibri"/>
          <w:noProof/>
        </w:rPr>
      </w:pPr>
      <w:bookmarkStart w:id="57" w:name="_ENREF_57"/>
      <w:r w:rsidRPr="00F73CD4">
        <w:rPr>
          <w:rFonts w:ascii="Calibri" w:hAnsi="Calibri" w:cs="Calibri"/>
          <w:noProof/>
        </w:rPr>
        <w:t>57.</w:t>
      </w:r>
      <w:r w:rsidRPr="00F73CD4">
        <w:rPr>
          <w:rFonts w:ascii="Calibri" w:hAnsi="Calibri" w:cs="Calibri"/>
          <w:noProof/>
        </w:rPr>
        <w:tab/>
        <w:t xml:space="preserve">Tieleman RG, Plantinga Y, Rinkes D, Bartels GL, Posma JL, Cator R, Hofman C, Houben RP. Validation and clinical use of a novel diagnostic device for screening of atrial fibrillation. </w:t>
      </w:r>
      <w:r w:rsidRPr="00F73CD4">
        <w:rPr>
          <w:rFonts w:ascii="Calibri" w:hAnsi="Calibri" w:cs="Calibri"/>
          <w:i/>
          <w:noProof/>
        </w:rPr>
        <w:t>Europace</w:t>
      </w:r>
      <w:r w:rsidRPr="00F73CD4">
        <w:rPr>
          <w:rFonts w:ascii="Calibri" w:hAnsi="Calibri" w:cs="Calibri"/>
          <w:noProof/>
        </w:rPr>
        <w:t>. 2014;16:1291-1295.</w:t>
      </w:r>
      <w:bookmarkEnd w:id="57"/>
    </w:p>
    <w:p w14:paraId="7CD09AE1" w14:textId="77777777" w:rsidR="00597826" w:rsidRPr="00F73CD4" w:rsidRDefault="00597826" w:rsidP="00375DCA">
      <w:pPr>
        <w:spacing w:after="0" w:line="240" w:lineRule="auto"/>
        <w:ind w:left="720" w:hanging="720"/>
        <w:rPr>
          <w:rFonts w:ascii="Calibri" w:hAnsi="Calibri" w:cs="Calibri"/>
          <w:noProof/>
        </w:rPr>
      </w:pPr>
      <w:bookmarkStart w:id="58" w:name="_ENREF_58"/>
      <w:r w:rsidRPr="00F73CD4">
        <w:rPr>
          <w:rFonts w:ascii="Calibri" w:hAnsi="Calibri" w:cs="Calibri"/>
          <w:noProof/>
        </w:rPr>
        <w:t>58.</w:t>
      </w:r>
      <w:r w:rsidRPr="00F73CD4">
        <w:rPr>
          <w:rFonts w:ascii="Calibri" w:hAnsi="Calibri" w:cs="Calibri"/>
          <w:noProof/>
        </w:rPr>
        <w:tab/>
        <w:t xml:space="preserve">Vaes B, Stalpaert S, Tavernier K, Thaels B, Lapeire D, Mullens W, Degryse J. The diagnostic accuracy of the MyDiagnostick to detect atrial fibrillation in primary care. </w:t>
      </w:r>
      <w:r w:rsidRPr="00F73CD4">
        <w:rPr>
          <w:rFonts w:ascii="Calibri" w:hAnsi="Calibri" w:cs="Calibri"/>
          <w:i/>
          <w:noProof/>
        </w:rPr>
        <w:t>BMC Fam Pract</w:t>
      </w:r>
      <w:r w:rsidRPr="00F73CD4">
        <w:rPr>
          <w:rFonts w:ascii="Calibri" w:hAnsi="Calibri" w:cs="Calibri"/>
          <w:noProof/>
        </w:rPr>
        <w:t>. 2014;15:113.</w:t>
      </w:r>
      <w:bookmarkEnd w:id="58"/>
    </w:p>
    <w:p w14:paraId="69D29F99" w14:textId="77777777" w:rsidR="00597826" w:rsidRPr="00F73CD4" w:rsidRDefault="00597826" w:rsidP="00375DCA">
      <w:pPr>
        <w:spacing w:after="0" w:line="240" w:lineRule="auto"/>
        <w:ind w:left="720" w:hanging="720"/>
        <w:rPr>
          <w:rFonts w:ascii="Calibri" w:hAnsi="Calibri" w:cs="Calibri"/>
          <w:noProof/>
        </w:rPr>
      </w:pPr>
      <w:bookmarkStart w:id="59" w:name="_ENREF_59"/>
      <w:r w:rsidRPr="00F73CD4">
        <w:rPr>
          <w:rFonts w:ascii="Calibri" w:hAnsi="Calibri" w:cs="Calibri"/>
          <w:noProof/>
        </w:rPr>
        <w:t>59.</w:t>
      </w:r>
      <w:r w:rsidRPr="00F73CD4">
        <w:rPr>
          <w:rFonts w:ascii="Calibri" w:hAnsi="Calibri" w:cs="Calibri"/>
          <w:noProof/>
        </w:rPr>
        <w:tab/>
        <w:t xml:space="preserve">Doliwa PS, Frykman V, Rosenqvist M. Short-term ECG for out of hospital detection of silent atrial fibrillation episodes. </w:t>
      </w:r>
      <w:r w:rsidR="00F15466" w:rsidRPr="00F15466">
        <w:rPr>
          <w:rFonts w:ascii="Calibri" w:hAnsi="Calibri" w:cs="Calibri"/>
          <w:i/>
          <w:noProof/>
        </w:rPr>
        <w:t>Scand Cardiovasc J</w:t>
      </w:r>
      <w:r w:rsidRPr="00F73CD4">
        <w:rPr>
          <w:rFonts w:ascii="Calibri" w:hAnsi="Calibri" w:cs="Calibri"/>
          <w:noProof/>
        </w:rPr>
        <w:t>. 2009;43:163-168.</w:t>
      </w:r>
      <w:bookmarkEnd w:id="59"/>
    </w:p>
    <w:p w14:paraId="5041A625" w14:textId="77777777" w:rsidR="00597826" w:rsidRPr="00F73CD4" w:rsidRDefault="00597826" w:rsidP="00A3301F">
      <w:pPr>
        <w:spacing w:line="240" w:lineRule="auto"/>
        <w:ind w:left="720" w:hanging="720"/>
        <w:rPr>
          <w:rFonts w:ascii="Calibri" w:hAnsi="Calibri" w:cs="Calibri"/>
          <w:noProof/>
        </w:rPr>
      </w:pPr>
      <w:bookmarkStart w:id="60" w:name="_ENREF_60"/>
      <w:r w:rsidRPr="00F73CD4">
        <w:rPr>
          <w:rFonts w:ascii="Calibri" w:hAnsi="Calibri" w:cs="Calibri"/>
          <w:noProof/>
        </w:rPr>
        <w:t>60.</w:t>
      </w:r>
      <w:r w:rsidRPr="00F73CD4">
        <w:rPr>
          <w:rFonts w:ascii="Calibri" w:hAnsi="Calibri" w:cs="Calibri"/>
          <w:noProof/>
        </w:rPr>
        <w:tab/>
        <w:t>Marazzi G, Iellamo F, Volterrani M, Lombardo M, Pelliccia F, Righi D, Grieco F, Cacciotti L, Iaia L, Caminiti G, Rosano G. Comparison of Microlife BP A200 Plus and Omron M6 blood pressure monitors to detect atrial fibrillation in hypertensive patients.[Errat</w:t>
      </w:r>
      <w:r w:rsidR="00A3301F">
        <w:rPr>
          <w:rFonts w:ascii="Calibri" w:hAnsi="Calibri" w:cs="Calibri"/>
          <w:noProof/>
        </w:rPr>
        <w:t>um appears in Adv Ther. 2014;31</w:t>
      </w:r>
      <w:r w:rsidRPr="00F73CD4">
        <w:rPr>
          <w:rFonts w:ascii="Calibri" w:hAnsi="Calibri" w:cs="Calibri"/>
          <w:noProof/>
        </w:rPr>
        <w:t xml:space="preserve">:1317]. </w:t>
      </w:r>
      <w:r w:rsidRPr="00F73CD4">
        <w:rPr>
          <w:rFonts w:ascii="Calibri" w:hAnsi="Calibri" w:cs="Calibri"/>
          <w:i/>
          <w:noProof/>
        </w:rPr>
        <w:t>Adv Ther</w:t>
      </w:r>
      <w:r w:rsidRPr="00F73CD4">
        <w:rPr>
          <w:rFonts w:ascii="Calibri" w:hAnsi="Calibri" w:cs="Calibri"/>
          <w:noProof/>
        </w:rPr>
        <w:t>. 2012;29:64-70.</w:t>
      </w:r>
      <w:bookmarkEnd w:id="60"/>
    </w:p>
    <w:p w14:paraId="018FB30F" w14:textId="77777777" w:rsidR="00597826" w:rsidRPr="00F73CD4" w:rsidRDefault="00597826" w:rsidP="00375DCA">
      <w:pPr>
        <w:spacing w:after="0" w:line="240" w:lineRule="auto"/>
        <w:ind w:left="720" w:hanging="720"/>
        <w:rPr>
          <w:rFonts w:ascii="Calibri" w:hAnsi="Calibri" w:cs="Calibri"/>
          <w:noProof/>
        </w:rPr>
      </w:pPr>
      <w:bookmarkStart w:id="61" w:name="_ENREF_61"/>
      <w:r w:rsidRPr="00F73CD4">
        <w:rPr>
          <w:rFonts w:ascii="Calibri" w:hAnsi="Calibri" w:cs="Calibri"/>
          <w:noProof/>
        </w:rPr>
        <w:t>61.</w:t>
      </w:r>
      <w:r w:rsidRPr="00F73CD4">
        <w:rPr>
          <w:rFonts w:ascii="Calibri" w:hAnsi="Calibri" w:cs="Calibri"/>
          <w:noProof/>
        </w:rPr>
        <w:tab/>
        <w:t xml:space="preserve">Wiesel J, Arbesfeld B, Schechter D. Comparison of the Microlife blood pressure monitor with the Omron blood pressure monitor for detecting atrial fibrillation. </w:t>
      </w:r>
      <w:r w:rsidRPr="00F73CD4">
        <w:rPr>
          <w:rFonts w:ascii="Calibri" w:hAnsi="Calibri" w:cs="Calibri"/>
          <w:i/>
          <w:noProof/>
        </w:rPr>
        <w:t>Am J Cardiol</w:t>
      </w:r>
      <w:r w:rsidRPr="00F73CD4">
        <w:rPr>
          <w:rFonts w:ascii="Calibri" w:hAnsi="Calibri" w:cs="Calibri"/>
          <w:noProof/>
        </w:rPr>
        <w:t>. 2014;114:1046-1048.</w:t>
      </w:r>
      <w:bookmarkEnd w:id="61"/>
    </w:p>
    <w:p w14:paraId="00D50338" w14:textId="77777777" w:rsidR="00597826" w:rsidRPr="00F73CD4" w:rsidRDefault="00597826" w:rsidP="00375DCA">
      <w:pPr>
        <w:spacing w:after="0" w:line="240" w:lineRule="auto"/>
        <w:ind w:left="720" w:hanging="720"/>
        <w:rPr>
          <w:rFonts w:ascii="Calibri" w:hAnsi="Calibri" w:cs="Calibri"/>
          <w:noProof/>
        </w:rPr>
      </w:pPr>
      <w:bookmarkStart w:id="62" w:name="_ENREF_62"/>
      <w:r w:rsidRPr="00F73CD4">
        <w:rPr>
          <w:rFonts w:ascii="Calibri" w:hAnsi="Calibri" w:cs="Calibri"/>
          <w:noProof/>
        </w:rPr>
        <w:t>62.</w:t>
      </w:r>
      <w:r w:rsidRPr="00F73CD4">
        <w:rPr>
          <w:rFonts w:ascii="Calibri" w:hAnsi="Calibri" w:cs="Calibri"/>
          <w:noProof/>
        </w:rPr>
        <w:tab/>
        <w:t xml:space="preserve">Lewis M, Parker D, Weston C, Bowes M. Screening for atrial fibrillation: sensitivity and specificity of a new methodology. </w:t>
      </w:r>
      <w:r w:rsidR="00BF060A" w:rsidRPr="00BF060A">
        <w:rPr>
          <w:rFonts w:ascii="Calibri" w:hAnsi="Calibri" w:cs="Calibri"/>
          <w:i/>
          <w:noProof/>
        </w:rPr>
        <w:t>Br J Gen Pract</w:t>
      </w:r>
      <w:r w:rsidRPr="00F73CD4">
        <w:rPr>
          <w:rFonts w:ascii="Calibri" w:hAnsi="Calibri" w:cs="Calibri"/>
          <w:noProof/>
        </w:rPr>
        <w:t>. 2011;61:38-39.</w:t>
      </w:r>
      <w:bookmarkEnd w:id="62"/>
    </w:p>
    <w:p w14:paraId="06E93ABD" w14:textId="77777777" w:rsidR="00597826" w:rsidRPr="00F73CD4" w:rsidRDefault="00597826" w:rsidP="00375DCA">
      <w:pPr>
        <w:spacing w:after="0" w:line="240" w:lineRule="auto"/>
        <w:ind w:left="720" w:hanging="720"/>
        <w:rPr>
          <w:rFonts w:ascii="Calibri" w:hAnsi="Calibri" w:cs="Calibri"/>
          <w:noProof/>
        </w:rPr>
      </w:pPr>
      <w:bookmarkStart w:id="63" w:name="_ENREF_63"/>
      <w:r w:rsidRPr="00F73CD4">
        <w:rPr>
          <w:rFonts w:ascii="Calibri" w:hAnsi="Calibri" w:cs="Calibri"/>
          <w:noProof/>
        </w:rPr>
        <w:t>63.</w:t>
      </w:r>
      <w:r w:rsidRPr="00F73CD4">
        <w:rPr>
          <w:rFonts w:ascii="Calibri" w:hAnsi="Calibri" w:cs="Calibri"/>
          <w:noProof/>
        </w:rPr>
        <w:tab/>
        <w:t xml:space="preserve">McManus DD, Chong JW, Soni A, Saczynski JS, Esa N, Napolitano C, Darling CE, Boyer E, Rosen RK, Floyd KC, Chon KH. PULSESMART: Pulse-Based Arrhythmia Discrimination Using a Novel Smartphone Application. </w:t>
      </w:r>
      <w:r w:rsidRPr="00F73CD4">
        <w:rPr>
          <w:rFonts w:ascii="Calibri" w:hAnsi="Calibri" w:cs="Calibri"/>
          <w:i/>
          <w:noProof/>
        </w:rPr>
        <w:t>J Cardiovasc Electrophysiol</w:t>
      </w:r>
      <w:r w:rsidRPr="00F73CD4">
        <w:rPr>
          <w:rFonts w:ascii="Calibri" w:hAnsi="Calibri" w:cs="Calibri"/>
          <w:noProof/>
        </w:rPr>
        <w:t>. 2016;27:51-57.</w:t>
      </w:r>
      <w:bookmarkEnd w:id="63"/>
    </w:p>
    <w:p w14:paraId="3C7F16E6" w14:textId="77777777" w:rsidR="00597826" w:rsidRPr="00F73CD4" w:rsidRDefault="00597826" w:rsidP="00375DCA">
      <w:pPr>
        <w:spacing w:after="0" w:line="240" w:lineRule="auto"/>
        <w:ind w:left="720" w:hanging="720"/>
        <w:rPr>
          <w:rFonts w:ascii="Calibri" w:hAnsi="Calibri" w:cs="Calibri"/>
          <w:noProof/>
        </w:rPr>
      </w:pPr>
      <w:bookmarkStart w:id="64" w:name="_ENREF_64"/>
      <w:r w:rsidRPr="00F73CD4">
        <w:rPr>
          <w:rFonts w:ascii="Calibri" w:hAnsi="Calibri" w:cs="Calibri"/>
          <w:noProof/>
        </w:rPr>
        <w:t>64.</w:t>
      </w:r>
      <w:r w:rsidRPr="00F73CD4">
        <w:rPr>
          <w:rFonts w:ascii="Calibri" w:hAnsi="Calibri" w:cs="Calibri"/>
          <w:noProof/>
        </w:rPr>
        <w:tab/>
        <w:t xml:space="preserve">Fitzmaurice DA, Hobbs FDR, Jowett S, Mant J, Murray ET, Holder R, Raftery JP, Bryan S, Davies M, Lip GYH, Allan TF. Screening versus routine practice in detection of atrial fibrillation in patients aged 65 or over: cluster randomised controlled trial. </w:t>
      </w:r>
      <w:r w:rsidR="000D0442" w:rsidRPr="000D0442">
        <w:rPr>
          <w:rFonts w:ascii="Calibri" w:hAnsi="Calibri" w:cs="Calibri"/>
          <w:i/>
          <w:noProof/>
        </w:rPr>
        <w:t>Br Med J (Clin Res Ed)</w:t>
      </w:r>
      <w:r w:rsidRPr="00F73CD4">
        <w:rPr>
          <w:rFonts w:ascii="Calibri" w:hAnsi="Calibri" w:cs="Calibri"/>
          <w:noProof/>
        </w:rPr>
        <w:t>. 2007;335:383.</w:t>
      </w:r>
      <w:bookmarkEnd w:id="64"/>
    </w:p>
    <w:p w14:paraId="729E4386" w14:textId="77777777" w:rsidR="00597826" w:rsidRPr="00F73CD4" w:rsidRDefault="00597826" w:rsidP="00375DCA">
      <w:pPr>
        <w:spacing w:after="0" w:line="240" w:lineRule="auto"/>
        <w:ind w:left="720" w:hanging="720"/>
        <w:rPr>
          <w:rFonts w:ascii="Calibri" w:hAnsi="Calibri" w:cs="Calibri"/>
          <w:noProof/>
        </w:rPr>
      </w:pPr>
      <w:bookmarkStart w:id="65" w:name="_ENREF_65"/>
      <w:r w:rsidRPr="00F73CD4">
        <w:rPr>
          <w:rFonts w:ascii="Calibri" w:hAnsi="Calibri" w:cs="Calibri"/>
          <w:noProof/>
        </w:rPr>
        <w:t>65.</w:t>
      </w:r>
      <w:r w:rsidRPr="00F73CD4">
        <w:rPr>
          <w:rFonts w:ascii="Calibri" w:hAnsi="Calibri" w:cs="Calibri"/>
          <w:noProof/>
        </w:rPr>
        <w:tab/>
        <w:t xml:space="preserve">Hobbs FR, Taylor CJ, Jan Geersing G, Rutten FH, Brouwer JR. European Primary Care Cardiovascular Society (EPCCS) consensus guidance on stroke prevention in atrial fibrillation (SPAF) in primary care. </w:t>
      </w:r>
      <w:r w:rsidR="00180EE2" w:rsidRPr="00180EE2">
        <w:rPr>
          <w:rFonts w:ascii="Calibri" w:hAnsi="Calibri" w:cs="Calibri"/>
          <w:i/>
          <w:noProof/>
        </w:rPr>
        <w:t>Eur J Prev Cardiol</w:t>
      </w:r>
      <w:r w:rsidRPr="00F73CD4">
        <w:rPr>
          <w:rFonts w:ascii="Calibri" w:hAnsi="Calibri" w:cs="Calibri"/>
          <w:noProof/>
        </w:rPr>
        <w:t>. 2016;23:460-473.</w:t>
      </w:r>
      <w:bookmarkEnd w:id="65"/>
    </w:p>
    <w:p w14:paraId="3C9167D6" w14:textId="77777777" w:rsidR="00597826" w:rsidRPr="00F73CD4" w:rsidRDefault="00597826" w:rsidP="00375DCA">
      <w:pPr>
        <w:spacing w:after="0" w:line="240" w:lineRule="auto"/>
        <w:ind w:left="720" w:hanging="720"/>
        <w:rPr>
          <w:rFonts w:ascii="Calibri" w:hAnsi="Calibri" w:cs="Calibri"/>
          <w:noProof/>
        </w:rPr>
      </w:pPr>
      <w:bookmarkStart w:id="66" w:name="_ENREF_66"/>
      <w:r w:rsidRPr="00F73CD4">
        <w:rPr>
          <w:rFonts w:ascii="Calibri" w:hAnsi="Calibri" w:cs="Calibri"/>
          <w:noProof/>
        </w:rPr>
        <w:t>66.</w:t>
      </w:r>
      <w:r w:rsidRPr="00F73CD4">
        <w:rPr>
          <w:rFonts w:ascii="Calibri" w:hAnsi="Calibri" w:cs="Calibri"/>
          <w:noProof/>
        </w:rPr>
        <w:tab/>
        <w:t>National-Institute-for-Health-and-Care-Excellence. Medical technology guidance: Watch BP Home A for diagnosing and monitoring hypertension and detecting atrial fibrillation. Available from: https://</w:t>
      </w:r>
      <w:r w:rsidRPr="00597826">
        <w:rPr>
          <w:rFonts w:ascii="Calibri" w:hAnsi="Calibri" w:cs="Calibri"/>
          <w:noProof/>
        </w:rPr>
        <w:t>www.nice.org.uk/guidance/mtg13/documents/watchbp-home-a-for-diagnosing-and-monitoring-hypertension-and-detecting-atrial-fibrillation-assessment-report-overview2</w:t>
      </w:r>
      <w:r w:rsidRPr="00F73CD4">
        <w:rPr>
          <w:rFonts w:ascii="Calibri" w:hAnsi="Calibri" w:cs="Calibri"/>
          <w:noProof/>
        </w:rPr>
        <w:t>, accessed 2 September 2016.</w:t>
      </w:r>
      <w:bookmarkEnd w:id="66"/>
    </w:p>
    <w:p w14:paraId="314955D5" w14:textId="77777777" w:rsidR="00597826" w:rsidRPr="00F73CD4" w:rsidRDefault="00597826" w:rsidP="00375DCA">
      <w:pPr>
        <w:spacing w:after="0" w:line="240" w:lineRule="auto"/>
        <w:ind w:left="720" w:hanging="720"/>
        <w:rPr>
          <w:rFonts w:ascii="Calibri" w:hAnsi="Calibri" w:cs="Calibri"/>
          <w:noProof/>
        </w:rPr>
      </w:pPr>
      <w:bookmarkStart w:id="67" w:name="_ENREF_67"/>
      <w:r w:rsidRPr="00F73CD4">
        <w:rPr>
          <w:rFonts w:ascii="Calibri" w:hAnsi="Calibri" w:cs="Calibri"/>
          <w:noProof/>
        </w:rPr>
        <w:t>67.</w:t>
      </w:r>
      <w:r w:rsidRPr="00F73CD4">
        <w:rPr>
          <w:rFonts w:ascii="Calibri" w:hAnsi="Calibri" w:cs="Calibri"/>
          <w:noProof/>
        </w:rPr>
        <w:tab/>
        <w:t xml:space="preserve">McManus DD, Lee J, Maitas O, Esa N, Pidikiti R, Carlucci A, Harrington J, Mick E, Chon KH. A novel application for the detection of an irregular pulse using an iPhone 4S in patients with atrial fibrillation. </w:t>
      </w:r>
      <w:r w:rsidRPr="00F73CD4">
        <w:rPr>
          <w:rFonts w:ascii="Calibri" w:hAnsi="Calibri" w:cs="Calibri"/>
          <w:i/>
          <w:noProof/>
        </w:rPr>
        <w:t>Heart Rhythm</w:t>
      </w:r>
      <w:r w:rsidRPr="00F73CD4">
        <w:rPr>
          <w:rFonts w:ascii="Calibri" w:hAnsi="Calibri" w:cs="Calibri"/>
          <w:noProof/>
        </w:rPr>
        <w:t>. 2013;10:315-319.</w:t>
      </w:r>
      <w:bookmarkEnd w:id="67"/>
    </w:p>
    <w:p w14:paraId="656EA518" w14:textId="77777777" w:rsidR="00597826" w:rsidRPr="00F73CD4" w:rsidRDefault="00597826" w:rsidP="00375DCA">
      <w:pPr>
        <w:spacing w:after="0" w:line="240" w:lineRule="auto"/>
        <w:ind w:left="720" w:hanging="720"/>
        <w:rPr>
          <w:rFonts w:ascii="Calibri" w:hAnsi="Calibri" w:cs="Calibri"/>
          <w:noProof/>
        </w:rPr>
      </w:pPr>
      <w:bookmarkStart w:id="68" w:name="_ENREF_68"/>
      <w:r w:rsidRPr="00F73CD4">
        <w:rPr>
          <w:rFonts w:ascii="Calibri" w:hAnsi="Calibri" w:cs="Calibri"/>
          <w:noProof/>
        </w:rPr>
        <w:t>68.</w:t>
      </w:r>
      <w:r w:rsidRPr="00F73CD4">
        <w:rPr>
          <w:rFonts w:ascii="Calibri" w:hAnsi="Calibri" w:cs="Calibri"/>
          <w:noProof/>
        </w:rPr>
        <w:tab/>
        <w:t xml:space="preserve">Chan PH, Wong CK, Poh YC, Pun L, Leung WWC, Wong YF, Wong MMY, Poh MZ, Chu DWS, Siu CW. Diagnostic performance of a smartphone‐based photoplethysmographic application for atrial fibrillation screening in a primary care setting. </w:t>
      </w:r>
      <w:r w:rsidR="008122C5" w:rsidRPr="008122C5">
        <w:rPr>
          <w:rFonts w:ascii="Calibri" w:hAnsi="Calibri" w:cs="Calibri"/>
          <w:i/>
          <w:noProof/>
        </w:rPr>
        <w:t>J Am Heart Assoc</w:t>
      </w:r>
      <w:r w:rsidRPr="00F73CD4">
        <w:rPr>
          <w:rFonts w:ascii="Calibri" w:hAnsi="Calibri" w:cs="Calibri"/>
          <w:noProof/>
        </w:rPr>
        <w:t>. 2016;5:e003428.</w:t>
      </w:r>
      <w:bookmarkEnd w:id="68"/>
    </w:p>
    <w:p w14:paraId="60C065F4" w14:textId="77777777" w:rsidR="00597826" w:rsidRPr="00F73CD4" w:rsidRDefault="00597826" w:rsidP="00375DCA">
      <w:pPr>
        <w:spacing w:after="0" w:line="240" w:lineRule="auto"/>
        <w:ind w:left="720" w:hanging="720"/>
        <w:rPr>
          <w:rFonts w:ascii="Calibri" w:hAnsi="Calibri" w:cs="Calibri"/>
          <w:noProof/>
        </w:rPr>
      </w:pPr>
      <w:bookmarkStart w:id="69" w:name="_ENREF_69"/>
      <w:r w:rsidRPr="00F73CD4">
        <w:rPr>
          <w:rFonts w:ascii="Calibri" w:hAnsi="Calibri" w:cs="Calibri"/>
          <w:noProof/>
        </w:rPr>
        <w:t>69.</w:t>
      </w:r>
      <w:r w:rsidRPr="00F73CD4">
        <w:rPr>
          <w:rFonts w:ascii="Calibri" w:hAnsi="Calibri" w:cs="Calibri"/>
          <w:noProof/>
        </w:rPr>
        <w:tab/>
        <w:t xml:space="preserve">Freedman B. Screening for Atrial Fibrillation Using a Smartphone: Is There an App for That? </w:t>
      </w:r>
      <w:r w:rsidRPr="00F73CD4">
        <w:rPr>
          <w:rFonts w:ascii="Calibri" w:hAnsi="Calibri" w:cs="Calibri"/>
          <w:i/>
          <w:noProof/>
        </w:rPr>
        <w:t>J Am Heart Assoc</w:t>
      </w:r>
      <w:r w:rsidRPr="00F73CD4">
        <w:rPr>
          <w:rFonts w:ascii="Calibri" w:hAnsi="Calibri" w:cs="Calibri"/>
          <w:noProof/>
        </w:rPr>
        <w:t>. 2016;5:e00400.</w:t>
      </w:r>
      <w:bookmarkEnd w:id="69"/>
    </w:p>
    <w:p w14:paraId="5014327B" w14:textId="77777777" w:rsidR="00597826" w:rsidRPr="00F73CD4" w:rsidRDefault="00597826" w:rsidP="00375DCA">
      <w:pPr>
        <w:spacing w:after="0" w:line="240" w:lineRule="auto"/>
        <w:ind w:left="720" w:hanging="720"/>
        <w:rPr>
          <w:rFonts w:ascii="Calibri" w:hAnsi="Calibri" w:cs="Calibri"/>
          <w:noProof/>
        </w:rPr>
      </w:pPr>
      <w:bookmarkStart w:id="70" w:name="_ENREF_70"/>
      <w:r w:rsidRPr="00F73CD4">
        <w:rPr>
          <w:rFonts w:ascii="Calibri" w:hAnsi="Calibri" w:cs="Calibri"/>
          <w:noProof/>
        </w:rPr>
        <w:t>70.</w:t>
      </w:r>
      <w:r w:rsidRPr="00F73CD4">
        <w:rPr>
          <w:rFonts w:ascii="Calibri" w:hAnsi="Calibri" w:cs="Calibri"/>
          <w:noProof/>
        </w:rPr>
        <w:tab/>
        <w:t xml:space="preserve">Lau JK, Lowres N, Neubeck L, Brieger DB, Sy RW, Galloway CD, Albert DE, Freedman SB. iPhone ECG application for community screening to detect silent atrial fibrillation: a novel technology to prevent stroke. </w:t>
      </w:r>
      <w:r w:rsidR="008122C5" w:rsidRPr="008122C5">
        <w:rPr>
          <w:rFonts w:ascii="Calibri" w:hAnsi="Calibri" w:cs="Calibri"/>
          <w:i/>
          <w:noProof/>
        </w:rPr>
        <w:t>Int J Cardiol</w:t>
      </w:r>
      <w:r w:rsidRPr="00F73CD4">
        <w:rPr>
          <w:rFonts w:ascii="Calibri" w:hAnsi="Calibri" w:cs="Calibri"/>
          <w:noProof/>
        </w:rPr>
        <w:t>. 2013;165:193-194.</w:t>
      </w:r>
      <w:bookmarkEnd w:id="70"/>
    </w:p>
    <w:p w14:paraId="31E187A7" w14:textId="77777777" w:rsidR="00597826" w:rsidRPr="00F73CD4" w:rsidRDefault="00597826" w:rsidP="00375DCA">
      <w:pPr>
        <w:spacing w:after="0" w:line="240" w:lineRule="auto"/>
        <w:ind w:left="720" w:hanging="720"/>
        <w:rPr>
          <w:rFonts w:ascii="Calibri" w:hAnsi="Calibri" w:cs="Calibri"/>
          <w:noProof/>
        </w:rPr>
      </w:pPr>
      <w:bookmarkStart w:id="71" w:name="_ENREF_71"/>
      <w:r w:rsidRPr="00F73CD4">
        <w:rPr>
          <w:rFonts w:ascii="Calibri" w:hAnsi="Calibri" w:cs="Calibri"/>
          <w:noProof/>
        </w:rPr>
        <w:t>71.</w:t>
      </w:r>
      <w:r w:rsidRPr="00F73CD4">
        <w:rPr>
          <w:rFonts w:ascii="Calibri" w:hAnsi="Calibri" w:cs="Calibri"/>
          <w:noProof/>
        </w:rPr>
        <w:tab/>
        <w:t xml:space="preserve">Hendrikx T, Rosenqvist M, Wester P, Sandstrom H, Hornsten R. Intermittent short ECG recording is more effective than 24-hour Holter ECG in detection of arrhythmias. </w:t>
      </w:r>
      <w:r w:rsidRPr="00F73CD4">
        <w:rPr>
          <w:rFonts w:ascii="Calibri" w:hAnsi="Calibri" w:cs="Calibri"/>
          <w:i/>
          <w:noProof/>
        </w:rPr>
        <w:t>BMC Cardiovasc Disord</w:t>
      </w:r>
      <w:r w:rsidRPr="00F73CD4">
        <w:rPr>
          <w:rFonts w:ascii="Calibri" w:hAnsi="Calibri" w:cs="Calibri"/>
          <w:noProof/>
        </w:rPr>
        <w:t>. 2014;14:41.</w:t>
      </w:r>
      <w:bookmarkEnd w:id="71"/>
    </w:p>
    <w:p w14:paraId="341DEBE2" w14:textId="77777777" w:rsidR="00597826" w:rsidRPr="00F73CD4" w:rsidRDefault="00597826" w:rsidP="00375DCA">
      <w:pPr>
        <w:spacing w:after="0" w:line="240" w:lineRule="auto"/>
        <w:ind w:left="720" w:hanging="720"/>
        <w:rPr>
          <w:rFonts w:ascii="Calibri" w:hAnsi="Calibri" w:cs="Calibri"/>
          <w:noProof/>
        </w:rPr>
      </w:pPr>
      <w:bookmarkStart w:id="72" w:name="_ENREF_72"/>
      <w:r w:rsidRPr="00F73CD4">
        <w:rPr>
          <w:rFonts w:ascii="Calibri" w:hAnsi="Calibri" w:cs="Calibri"/>
          <w:noProof/>
        </w:rPr>
        <w:t>72.</w:t>
      </w:r>
      <w:r w:rsidRPr="00F73CD4">
        <w:rPr>
          <w:rFonts w:ascii="Calibri" w:hAnsi="Calibri" w:cs="Calibri"/>
          <w:noProof/>
        </w:rPr>
        <w:tab/>
        <w:t xml:space="preserve">Gladstone DJ, Spring M, Dorian P, Panzov V, Thorpe KE, Hall J, Vaid H, O'Donnell M, Laupacis A, Cote R, Sharma M, Blakely JA, Shuaib A, Hachinski V, Coutts SB, Sahlas DJ, Teal P, Yip S, Spence JD, Buck B, Verreault S, Casaubon LK, Penn A, Selchen D, Jin A, Howse D, Mehdiratta M, Boyle K, Aviv R, Kapral MK, Mamdani M, Investigators E, Coordinators. Atrial fibrillation in patients with cryptogenic stroke. </w:t>
      </w:r>
      <w:r w:rsidR="008122C5" w:rsidRPr="008122C5">
        <w:rPr>
          <w:rFonts w:ascii="Calibri" w:hAnsi="Calibri" w:cs="Calibri"/>
          <w:i/>
          <w:noProof/>
        </w:rPr>
        <w:t>N Engl J Med</w:t>
      </w:r>
      <w:r w:rsidRPr="00F73CD4">
        <w:rPr>
          <w:rFonts w:ascii="Calibri" w:hAnsi="Calibri" w:cs="Calibri"/>
          <w:noProof/>
        </w:rPr>
        <w:t>. 2014;370:2467-2477.</w:t>
      </w:r>
      <w:bookmarkEnd w:id="72"/>
    </w:p>
    <w:p w14:paraId="7AEF0B40" w14:textId="77777777" w:rsidR="00597826" w:rsidRPr="00F73CD4" w:rsidRDefault="00597826" w:rsidP="00375DCA">
      <w:pPr>
        <w:spacing w:after="0" w:line="240" w:lineRule="auto"/>
        <w:ind w:left="720" w:hanging="720"/>
        <w:rPr>
          <w:rFonts w:ascii="Calibri" w:hAnsi="Calibri" w:cs="Calibri"/>
          <w:noProof/>
        </w:rPr>
      </w:pPr>
      <w:bookmarkStart w:id="73" w:name="_ENREF_73"/>
      <w:r w:rsidRPr="00F73CD4">
        <w:rPr>
          <w:rFonts w:ascii="Calibri" w:hAnsi="Calibri" w:cs="Calibri"/>
          <w:noProof/>
        </w:rPr>
        <w:t>73.</w:t>
      </w:r>
      <w:r w:rsidRPr="00F73CD4">
        <w:rPr>
          <w:rFonts w:ascii="Calibri" w:hAnsi="Calibri" w:cs="Calibri"/>
          <w:noProof/>
        </w:rPr>
        <w:tab/>
        <w:t xml:space="preserve">Turakhia MP, Ullal AJ, Hoang DD, Than CT, Miller JD, Friday KJ, Perez MV, Freeman JV, Wang PJ, Heidenreich PA. Feasibility of extended ambulatory electrocardiogram monitoring to identify silent atrial fibrillation in high-risk patients: the Screening Study for Undiagnosed Atrial Fibrillation (STUDY-AF). </w:t>
      </w:r>
      <w:r w:rsidR="008122C5" w:rsidRPr="008122C5">
        <w:rPr>
          <w:rFonts w:ascii="Calibri" w:hAnsi="Calibri" w:cs="Calibri"/>
          <w:i/>
          <w:noProof/>
        </w:rPr>
        <w:t>Clin Cardiol</w:t>
      </w:r>
      <w:r w:rsidRPr="00F73CD4">
        <w:rPr>
          <w:rFonts w:ascii="Calibri" w:hAnsi="Calibri" w:cs="Calibri"/>
          <w:noProof/>
        </w:rPr>
        <w:t>. 2015;38:285-292.</w:t>
      </w:r>
      <w:bookmarkEnd w:id="73"/>
    </w:p>
    <w:p w14:paraId="3F8F8166" w14:textId="77777777" w:rsidR="00597826" w:rsidRPr="00F73CD4" w:rsidRDefault="00597826" w:rsidP="00375DCA">
      <w:pPr>
        <w:spacing w:after="0" w:line="240" w:lineRule="auto"/>
        <w:ind w:left="720" w:hanging="720"/>
        <w:rPr>
          <w:rFonts w:ascii="Calibri" w:hAnsi="Calibri" w:cs="Calibri"/>
          <w:noProof/>
        </w:rPr>
      </w:pPr>
      <w:bookmarkStart w:id="74" w:name="_ENREF_74"/>
      <w:r w:rsidRPr="00F73CD4">
        <w:rPr>
          <w:rFonts w:ascii="Calibri" w:hAnsi="Calibri" w:cs="Calibri"/>
          <w:noProof/>
        </w:rPr>
        <w:t>74.</w:t>
      </w:r>
      <w:r w:rsidRPr="00F73CD4">
        <w:rPr>
          <w:rFonts w:ascii="Calibri" w:hAnsi="Calibri" w:cs="Calibri"/>
          <w:noProof/>
        </w:rPr>
        <w:tab/>
        <w:t xml:space="preserve">Heeringa J, van der Kuip DAM, Hofman A, Kors JA, van Herpen G, Stricker BHC, Stijnen T, Lip GYH, Witteman JCM. Prevalence, incidence and lifetime risk of atrial fibrillation: the Rotterdam study. </w:t>
      </w:r>
      <w:r w:rsidRPr="00F73CD4">
        <w:rPr>
          <w:rFonts w:ascii="Calibri" w:hAnsi="Calibri" w:cs="Calibri"/>
          <w:i/>
          <w:noProof/>
        </w:rPr>
        <w:t>Eur Heart J</w:t>
      </w:r>
      <w:r w:rsidRPr="00F73CD4">
        <w:rPr>
          <w:rFonts w:ascii="Calibri" w:hAnsi="Calibri" w:cs="Calibri"/>
          <w:noProof/>
        </w:rPr>
        <w:t>. 2006;27:949-953.</w:t>
      </w:r>
      <w:bookmarkEnd w:id="74"/>
    </w:p>
    <w:p w14:paraId="7F63F64D" w14:textId="77777777" w:rsidR="00597826" w:rsidRPr="00F73CD4" w:rsidRDefault="00597826" w:rsidP="00375DCA">
      <w:pPr>
        <w:spacing w:after="0" w:line="240" w:lineRule="auto"/>
        <w:ind w:left="720" w:hanging="720"/>
        <w:rPr>
          <w:rFonts w:ascii="Calibri" w:hAnsi="Calibri" w:cs="Calibri"/>
          <w:noProof/>
        </w:rPr>
      </w:pPr>
      <w:bookmarkStart w:id="75" w:name="_ENREF_75"/>
      <w:r w:rsidRPr="00F73CD4">
        <w:rPr>
          <w:rFonts w:ascii="Calibri" w:hAnsi="Calibri" w:cs="Calibri"/>
          <w:noProof/>
        </w:rPr>
        <w:t>75.</w:t>
      </w:r>
      <w:r w:rsidRPr="00F73CD4">
        <w:rPr>
          <w:rFonts w:ascii="Calibri" w:hAnsi="Calibri" w:cs="Calibri"/>
          <w:noProof/>
        </w:rPr>
        <w:tab/>
        <w:t xml:space="preserve">Proietti M, Mairesse GH, Goethals P, Scavee C, Vijgen J, Blankoff I, Vandekerckhove Y, Lip GY. A population screening programme for atrial fibrillation: a report from the Belgian Heart Rhythm Week screening programme. </w:t>
      </w:r>
      <w:r w:rsidRPr="00F73CD4">
        <w:rPr>
          <w:rFonts w:ascii="Calibri" w:hAnsi="Calibri" w:cs="Calibri"/>
          <w:i/>
          <w:noProof/>
        </w:rPr>
        <w:t>Europace</w:t>
      </w:r>
      <w:r w:rsidRPr="00F73CD4">
        <w:rPr>
          <w:rFonts w:ascii="Calibri" w:hAnsi="Calibri" w:cs="Calibri"/>
          <w:noProof/>
        </w:rPr>
        <w:t>. 2016:euw069.</w:t>
      </w:r>
      <w:bookmarkEnd w:id="75"/>
    </w:p>
    <w:p w14:paraId="38ECD66B" w14:textId="77777777" w:rsidR="00597826" w:rsidRPr="00F73CD4" w:rsidRDefault="00597826" w:rsidP="00375DCA">
      <w:pPr>
        <w:spacing w:after="0" w:line="240" w:lineRule="auto"/>
        <w:ind w:left="720" w:hanging="720"/>
        <w:rPr>
          <w:rFonts w:ascii="Calibri" w:hAnsi="Calibri" w:cs="Calibri"/>
          <w:noProof/>
        </w:rPr>
      </w:pPr>
      <w:bookmarkStart w:id="76" w:name="_ENREF_76"/>
      <w:r w:rsidRPr="00F73CD4">
        <w:rPr>
          <w:rFonts w:ascii="Calibri" w:hAnsi="Calibri" w:cs="Calibri"/>
          <w:noProof/>
        </w:rPr>
        <w:t>76.</w:t>
      </w:r>
      <w:r w:rsidRPr="00F73CD4">
        <w:rPr>
          <w:rFonts w:ascii="Calibri" w:hAnsi="Calibri" w:cs="Calibri"/>
          <w:noProof/>
        </w:rPr>
        <w:tab/>
        <w:t xml:space="preserve">Tveit A, Abdelnoor M, Enger S, Smith P. Atrial fibrillation and antithrombotic therapy in a 75-year-old population. </w:t>
      </w:r>
      <w:r w:rsidRPr="00F73CD4">
        <w:rPr>
          <w:rFonts w:ascii="Calibri" w:hAnsi="Calibri" w:cs="Calibri"/>
          <w:i/>
          <w:noProof/>
        </w:rPr>
        <w:t>Cardiology</w:t>
      </w:r>
      <w:r w:rsidRPr="00F73CD4">
        <w:rPr>
          <w:rFonts w:ascii="Calibri" w:hAnsi="Calibri" w:cs="Calibri"/>
          <w:noProof/>
        </w:rPr>
        <w:t>. 2008;109:258-262.</w:t>
      </w:r>
      <w:bookmarkEnd w:id="76"/>
    </w:p>
    <w:p w14:paraId="70EA96D1" w14:textId="77777777" w:rsidR="00597826" w:rsidRPr="00F73CD4" w:rsidRDefault="00597826" w:rsidP="00375DCA">
      <w:pPr>
        <w:spacing w:after="0" w:line="240" w:lineRule="auto"/>
        <w:ind w:left="720" w:hanging="720"/>
        <w:rPr>
          <w:rFonts w:ascii="Calibri" w:hAnsi="Calibri" w:cs="Calibri"/>
          <w:noProof/>
        </w:rPr>
      </w:pPr>
      <w:bookmarkStart w:id="77" w:name="_ENREF_77"/>
      <w:r w:rsidRPr="00F73CD4">
        <w:rPr>
          <w:rFonts w:ascii="Calibri" w:hAnsi="Calibri" w:cs="Calibri"/>
          <w:noProof/>
        </w:rPr>
        <w:t>77.</w:t>
      </w:r>
      <w:r w:rsidRPr="00F73CD4">
        <w:rPr>
          <w:rFonts w:ascii="Calibri" w:hAnsi="Calibri" w:cs="Calibri"/>
          <w:noProof/>
        </w:rPr>
        <w:tab/>
        <w:t xml:space="preserve">Uittenbogaart SB, Verbiest-van Gurp N, Erkens PM, Lucassen WA, Knottnerus JA, Winkens B, van Weert HC, Stoffers HE. Detecting and Diagnosing Atrial Fibrillation (D2AF): study protocol for a cluster randomised controlled trial. </w:t>
      </w:r>
      <w:r w:rsidRPr="00F73CD4">
        <w:rPr>
          <w:rFonts w:ascii="Calibri" w:hAnsi="Calibri" w:cs="Calibri"/>
          <w:i/>
          <w:noProof/>
        </w:rPr>
        <w:t>Trials</w:t>
      </w:r>
      <w:r w:rsidRPr="00F73CD4">
        <w:rPr>
          <w:rFonts w:ascii="Calibri" w:hAnsi="Calibri" w:cs="Calibri"/>
          <w:noProof/>
        </w:rPr>
        <w:t>. 2015;16:478.</w:t>
      </w:r>
      <w:bookmarkEnd w:id="77"/>
    </w:p>
    <w:p w14:paraId="72A8C8DB" w14:textId="77777777" w:rsidR="00597826" w:rsidRPr="00F73CD4" w:rsidRDefault="00597826" w:rsidP="00375DCA">
      <w:pPr>
        <w:spacing w:after="0" w:line="240" w:lineRule="auto"/>
        <w:ind w:left="720" w:hanging="720"/>
        <w:rPr>
          <w:rFonts w:ascii="Calibri" w:hAnsi="Calibri" w:cs="Calibri"/>
          <w:noProof/>
        </w:rPr>
      </w:pPr>
      <w:bookmarkStart w:id="78" w:name="_ENREF_78"/>
      <w:r w:rsidRPr="00F73CD4">
        <w:rPr>
          <w:rFonts w:ascii="Calibri" w:hAnsi="Calibri" w:cs="Calibri"/>
          <w:noProof/>
        </w:rPr>
        <w:t>78.</w:t>
      </w:r>
      <w:r w:rsidRPr="00F73CD4">
        <w:rPr>
          <w:rFonts w:ascii="Calibri" w:hAnsi="Calibri" w:cs="Calibri"/>
          <w:noProof/>
        </w:rPr>
        <w:tab/>
        <w:t xml:space="preserve">Sandhu RK, Dolovich L, Deif B, Barake W, Agarwal G, Grinvalds A, Lim T, Quinn FR, Gladstone D, Conen D, Connolly SJ, Healey JS. High prevalence of modifiable stroke risk factors identified in a pharmacy-based screening programme. </w:t>
      </w:r>
      <w:r w:rsidR="008122C5">
        <w:rPr>
          <w:rFonts w:ascii="Calibri" w:hAnsi="Calibri" w:cs="Calibri"/>
          <w:i/>
          <w:noProof/>
        </w:rPr>
        <w:t>Open H</w:t>
      </w:r>
      <w:r w:rsidRPr="00F73CD4">
        <w:rPr>
          <w:rFonts w:ascii="Calibri" w:hAnsi="Calibri" w:cs="Calibri"/>
          <w:i/>
          <w:noProof/>
        </w:rPr>
        <w:t>eart</w:t>
      </w:r>
      <w:r w:rsidRPr="00F73CD4">
        <w:rPr>
          <w:rFonts w:ascii="Calibri" w:hAnsi="Calibri" w:cs="Calibri"/>
          <w:noProof/>
        </w:rPr>
        <w:t>. 2016;3:e000515.</w:t>
      </w:r>
      <w:bookmarkEnd w:id="78"/>
    </w:p>
    <w:p w14:paraId="502E805B" w14:textId="77777777" w:rsidR="00597826" w:rsidRPr="00F73CD4" w:rsidRDefault="00597826" w:rsidP="00375DCA">
      <w:pPr>
        <w:spacing w:after="0" w:line="240" w:lineRule="auto"/>
        <w:ind w:left="720" w:hanging="720"/>
        <w:rPr>
          <w:rFonts w:ascii="Calibri" w:hAnsi="Calibri" w:cs="Calibri"/>
          <w:noProof/>
        </w:rPr>
      </w:pPr>
      <w:bookmarkStart w:id="79" w:name="_ENREF_79"/>
      <w:r w:rsidRPr="00F73CD4">
        <w:rPr>
          <w:rFonts w:ascii="Calibri" w:hAnsi="Calibri" w:cs="Calibri"/>
          <w:noProof/>
        </w:rPr>
        <w:t>79.</w:t>
      </w:r>
      <w:r w:rsidRPr="00F73CD4">
        <w:rPr>
          <w:rFonts w:ascii="Calibri" w:hAnsi="Calibri" w:cs="Calibri"/>
          <w:noProof/>
        </w:rPr>
        <w:tab/>
        <w:t xml:space="preserve">Lowres N, Krass I, Neubeck L, Redfern J, McLachlan A, Bennett A, Freedman SB. Atrial fibrillation screening in pharmacies using an iPhone ECG: a qualitative review of implementation. </w:t>
      </w:r>
      <w:r w:rsidRPr="00F73CD4">
        <w:rPr>
          <w:rFonts w:ascii="Calibri" w:hAnsi="Calibri" w:cs="Calibri"/>
          <w:i/>
          <w:noProof/>
        </w:rPr>
        <w:t>Int J Clin Pharm</w:t>
      </w:r>
      <w:r w:rsidRPr="00F73CD4">
        <w:rPr>
          <w:rFonts w:ascii="Calibri" w:hAnsi="Calibri" w:cs="Calibri"/>
          <w:noProof/>
        </w:rPr>
        <w:t>. 2015;12:350-360.</w:t>
      </w:r>
      <w:bookmarkEnd w:id="79"/>
    </w:p>
    <w:p w14:paraId="22FEF435" w14:textId="77777777" w:rsidR="00597826" w:rsidRPr="00F73CD4" w:rsidRDefault="00597826" w:rsidP="00375DCA">
      <w:pPr>
        <w:spacing w:after="0" w:line="240" w:lineRule="auto"/>
        <w:ind w:left="720" w:hanging="720"/>
        <w:rPr>
          <w:rFonts w:ascii="Calibri" w:hAnsi="Calibri" w:cs="Calibri"/>
          <w:noProof/>
        </w:rPr>
      </w:pPr>
      <w:bookmarkStart w:id="80" w:name="_ENREF_80"/>
      <w:r w:rsidRPr="00F73CD4">
        <w:rPr>
          <w:rFonts w:ascii="Calibri" w:hAnsi="Calibri" w:cs="Calibri"/>
          <w:noProof/>
        </w:rPr>
        <w:t>80.</w:t>
      </w:r>
      <w:r w:rsidRPr="00F73CD4">
        <w:rPr>
          <w:rFonts w:ascii="Calibri" w:hAnsi="Calibri" w:cs="Calibri"/>
          <w:noProof/>
        </w:rPr>
        <w:tab/>
        <w:t xml:space="preserve">Proietti M, Nobili A, Raparelli V, Napoleone L, Mannucci PM, Lip GY, investigators R. Adherence to antithrombotic therapy guidelines improves mortality among elderly patients with atrial fibrillation: insights from the REPOSI study. </w:t>
      </w:r>
      <w:r w:rsidRPr="00F73CD4">
        <w:rPr>
          <w:rFonts w:ascii="Calibri" w:hAnsi="Calibri" w:cs="Calibri"/>
          <w:i/>
          <w:noProof/>
        </w:rPr>
        <w:t>Clin Res Cardiol</w:t>
      </w:r>
      <w:r w:rsidRPr="00F73CD4">
        <w:rPr>
          <w:rFonts w:ascii="Calibri" w:hAnsi="Calibri" w:cs="Calibri"/>
          <w:noProof/>
        </w:rPr>
        <w:t>. 2016;105:912-920.</w:t>
      </w:r>
      <w:bookmarkEnd w:id="80"/>
    </w:p>
    <w:p w14:paraId="29EB643B" w14:textId="77777777" w:rsidR="00597826" w:rsidRPr="00F73CD4" w:rsidRDefault="00597826" w:rsidP="00375DCA">
      <w:pPr>
        <w:spacing w:after="0" w:line="240" w:lineRule="auto"/>
        <w:ind w:left="720" w:hanging="720"/>
        <w:rPr>
          <w:rFonts w:ascii="Calibri" w:hAnsi="Calibri" w:cs="Calibri"/>
          <w:noProof/>
        </w:rPr>
      </w:pPr>
      <w:bookmarkStart w:id="81" w:name="_ENREF_81"/>
      <w:r w:rsidRPr="00F73CD4">
        <w:rPr>
          <w:rFonts w:ascii="Calibri" w:hAnsi="Calibri" w:cs="Calibri"/>
          <w:noProof/>
        </w:rPr>
        <w:t>81.</w:t>
      </w:r>
      <w:r w:rsidRPr="00F73CD4">
        <w:rPr>
          <w:rFonts w:ascii="Calibri" w:hAnsi="Calibri" w:cs="Calibri"/>
          <w:noProof/>
        </w:rPr>
        <w:tab/>
        <w:t xml:space="preserve">Willits I, Keltie K, Craig J, Sims A. WatchBP Home A for opportunistically detecting atrial fibrillation during diagnosis and monitoring of hypertension: a NICE Medical Technology Guidance. </w:t>
      </w:r>
      <w:r w:rsidR="006865CC" w:rsidRPr="006865CC">
        <w:rPr>
          <w:rFonts w:ascii="Calibri" w:hAnsi="Calibri" w:cs="Calibri"/>
          <w:i/>
          <w:noProof/>
        </w:rPr>
        <w:t>Appl Health Econ Health Policy</w:t>
      </w:r>
      <w:r w:rsidRPr="00F73CD4">
        <w:rPr>
          <w:rFonts w:ascii="Calibri" w:hAnsi="Calibri" w:cs="Calibri"/>
          <w:noProof/>
        </w:rPr>
        <w:t>. 2014;12:255-265.</w:t>
      </w:r>
      <w:bookmarkEnd w:id="81"/>
    </w:p>
    <w:p w14:paraId="4670F025" w14:textId="77777777" w:rsidR="00597826" w:rsidRPr="00F73CD4" w:rsidRDefault="00597826" w:rsidP="00375DCA">
      <w:pPr>
        <w:spacing w:after="0" w:line="240" w:lineRule="auto"/>
        <w:ind w:left="720" w:hanging="720"/>
        <w:rPr>
          <w:rFonts w:ascii="Calibri" w:hAnsi="Calibri" w:cs="Calibri"/>
          <w:noProof/>
        </w:rPr>
      </w:pPr>
      <w:bookmarkStart w:id="82" w:name="_ENREF_82"/>
      <w:r w:rsidRPr="00F73CD4">
        <w:rPr>
          <w:rFonts w:ascii="Calibri" w:hAnsi="Calibri" w:cs="Calibri"/>
          <w:noProof/>
        </w:rPr>
        <w:t>82.</w:t>
      </w:r>
      <w:r w:rsidRPr="00F73CD4">
        <w:rPr>
          <w:rFonts w:ascii="Calibri" w:hAnsi="Calibri" w:cs="Calibri"/>
          <w:noProof/>
        </w:rPr>
        <w:tab/>
        <w:t xml:space="preserve">Jacobs M, Kaasenbrood F, Postma M, van Hulst M, Tieleman RG. Cost-effectiveness of screening for atrial fibrillation in primary care with a hand-held, single-lead ECG device in the Netherlands. </w:t>
      </w:r>
      <w:r w:rsidRPr="00F73CD4">
        <w:rPr>
          <w:rFonts w:ascii="Calibri" w:hAnsi="Calibri" w:cs="Calibri"/>
          <w:i/>
          <w:noProof/>
        </w:rPr>
        <w:t>Europace</w:t>
      </w:r>
      <w:r w:rsidRPr="00F73CD4">
        <w:rPr>
          <w:rFonts w:ascii="Calibri" w:hAnsi="Calibri" w:cs="Calibri"/>
          <w:noProof/>
        </w:rPr>
        <w:t>. 2016:pii: euw285. [Epub ahead of print].</w:t>
      </w:r>
      <w:bookmarkEnd w:id="82"/>
    </w:p>
    <w:p w14:paraId="75B98492" w14:textId="77777777" w:rsidR="00597826" w:rsidRPr="00F73CD4" w:rsidRDefault="00597826" w:rsidP="00375DCA">
      <w:pPr>
        <w:spacing w:after="0" w:line="240" w:lineRule="auto"/>
        <w:ind w:left="720" w:hanging="720"/>
        <w:rPr>
          <w:rFonts w:ascii="Calibri" w:hAnsi="Calibri" w:cs="Calibri"/>
          <w:noProof/>
        </w:rPr>
      </w:pPr>
      <w:bookmarkStart w:id="83" w:name="_ENREF_83"/>
      <w:r w:rsidRPr="00F73CD4">
        <w:rPr>
          <w:rFonts w:ascii="Calibri" w:hAnsi="Calibri" w:cs="Calibri"/>
          <w:noProof/>
        </w:rPr>
        <w:t>83.</w:t>
      </w:r>
      <w:r w:rsidRPr="00F73CD4">
        <w:rPr>
          <w:rFonts w:ascii="Calibri" w:hAnsi="Calibri" w:cs="Calibri"/>
          <w:noProof/>
        </w:rPr>
        <w:tab/>
        <w:t xml:space="preserve">Lowres N, Neubeck L, Freedman SB. Can screening for atrial fibrillation be implemented at scale? </w:t>
      </w:r>
      <w:r w:rsidRPr="00F73CD4">
        <w:rPr>
          <w:rFonts w:ascii="Calibri" w:hAnsi="Calibri" w:cs="Calibri"/>
          <w:i/>
          <w:noProof/>
        </w:rPr>
        <w:t>Europace</w:t>
      </w:r>
      <w:r w:rsidRPr="00F73CD4">
        <w:rPr>
          <w:rFonts w:ascii="Calibri" w:hAnsi="Calibri" w:cs="Calibri"/>
          <w:noProof/>
        </w:rPr>
        <w:t>. 2016;18:1449-1451.</w:t>
      </w:r>
      <w:bookmarkEnd w:id="83"/>
    </w:p>
    <w:p w14:paraId="691FB9AA" w14:textId="77777777" w:rsidR="00597826" w:rsidRPr="00F73CD4" w:rsidRDefault="00597826" w:rsidP="00375DCA">
      <w:pPr>
        <w:spacing w:after="0" w:line="240" w:lineRule="auto"/>
        <w:ind w:left="720" w:hanging="720"/>
        <w:rPr>
          <w:rFonts w:ascii="Calibri" w:hAnsi="Calibri" w:cs="Calibri"/>
          <w:noProof/>
        </w:rPr>
      </w:pPr>
      <w:bookmarkStart w:id="84" w:name="_ENREF_84"/>
      <w:r w:rsidRPr="00F73CD4">
        <w:rPr>
          <w:rFonts w:ascii="Calibri" w:hAnsi="Calibri" w:cs="Calibri"/>
          <w:noProof/>
        </w:rPr>
        <w:t>84.</w:t>
      </w:r>
      <w:r w:rsidRPr="00F73CD4">
        <w:rPr>
          <w:rFonts w:ascii="Calibri" w:hAnsi="Calibri" w:cs="Calibri"/>
          <w:noProof/>
        </w:rPr>
        <w:tab/>
        <w:t xml:space="preserve">Orchard J, Lowres N, Freedman B, Ladak L, Lee W, Zwar N, Peiris D, Kamaladasa Y, Li J, Neubeck L. Screening for atrial fibrillation during influenza vaccinations by primary care nurses using a smartphone electrocardiograph (iECG): A feasibility study. </w:t>
      </w:r>
      <w:r w:rsidR="000F6254" w:rsidRPr="000F6254">
        <w:rPr>
          <w:rFonts w:ascii="Calibri" w:hAnsi="Calibri" w:cs="Calibri"/>
          <w:i/>
          <w:noProof/>
        </w:rPr>
        <w:t>Eur J Prev Cardiol</w:t>
      </w:r>
      <w:r w:rsidR="000F6254">
        <w:rPr>
          <w:rFonts w:ascii="Calibri" w:hAnsi="Calibri" w:cs="Calibri"/>
          <w:i/>
          <w:noProof/>
        </w:rPr>
        <w:t>.</w:t>
      </w:r>
      <w:r w:rsidRPr="00F73CD4">
        <w:rPr>
          <w:rFonts w:ascii="Calibri" w:hAnsi="Calibri" w:cs="Calibri"/>
          <w:noProof/>
        </w:rPr>
        <w:t xml:space="preserve"> 2016;23:suppl 13-20.</w:t>
      </w:r>
      <w:bookmarkEnd w:id="84"/>
    </w:p>
    <w:p w14:paraId="0122ACDE" w14:textId="77777777" w:rsidR="00597826" w:rsidRPr="00F73CD4" w:rsidRDefault="00597826" w:rsidP="00375DCA">
      <w:pPr>
        <w:spacing w:after="0" w:line="240" w:lineRule="auto"/>
        <w:ind w:left="720" w:hanging="720"/>
        <w:rPr>
          <w:rFonts w:ascii="Calibri" w:hAnsi="Calibri" w:cs="Calibri"/>
          <w:noProof/>
        </w:rPr>
      </w:pPr>
      <w:bookmarkStart w:id="85" w:name="_ENREF_85"/>
      <w:r w:rsidRPr="00F73CD4">
        <w:rPr>
          <w:rFonts w:ascii="Calibri" w:hAnsi="Calibri" w:cs="Calibri"/>
          <w:noProof/>
        </w:rPr>
        <w:t>85.</w:t>
      </w:r>
      <w:r w:rsidRPr="00F73CD4">
        <w:rPr>
          <w:rFonts w:ascii="Calibri" w:hAnsi="Calibri" w:cs="Calibri"/>
          <w:noProof/>
        </w:rPr>
        <w:tab/>
        <w:t xml:space="preserve">Eckman MH, Lip GY, Wise RE, Speer B, Sullivan M, Walker N, Kissela B, Flaherty ML, Kleindorfer D, Baker P. Impact of an Atrial Fibrillation Decision Support Tool on thromboprophylaxis for atrial fibrillation. </w:t>
      </w:r>
      <w:r w:rsidR="007F227F" w:rsidRPr="007F227F">
        <w:rPr>
          <w:rFonts w:ascii="Calibri" w:hAnsi="Calibri" w:cs="Calibri"/>
          <w:i/>
          <w:noProof/>
        </w:rPr>
        <w:t>Am Heart J</w:t>
      </w:r>
      <w:r w:rsidRPr="00F73CD4">
        <w:rPr>
          <w:rFonts w:ascii="Calibri" w:hAnsi="Calibri" w:cs="Calibri"/>
          <w:noProof/>
        </w:rPr>
        <w:t>. 2016;176:17-27.</w:t>
      </w:r>
      <w:bookmarkEnd w:id="85"/>
    </w:p>
    <w:p w14:paraId="2A4E68A9" w14:textId="77777777" w:rsidR="00597826" w:rsidRPr="00F73CD4" w:rsidRDefault="00597826" w:rsidP="00375DCA">
      <w:pPr>
        <w:spacing w:after="0" w:line="240" w:lineRule="auto"/>
        <w:ind w:left="720" w:hanging="720"/>
        <w:rPr>
          <w:rFonts w:ascii="Calibri" w:hAnsi="Calibri" w:cs="Calibri"/>
          <w:noProof/>
        </w:rPr>
      </w:pPr>
      <w:bookmarkStart w:id="86" w:name="_ENREF_86"/>
      <w:r w:rsidRPr="00F73CD4">
        <w:rPr>
          <w:rFonts w:ascii="Calibri" w:hAnsi="Calibri" w:cs="Calibri"/>
          <w:noProof/>
        </w:rPr>
        <w:t>86.</w:t>
      </w:r>
      <w:r w:rsidRPr="00F73CD4">
        <w:rPr>
          <w:rFonts w:ascii="Calibri" w:hAnsi="Calibri" w:cs="Calibri"/>
          <w:noProof/>
        </w:rPr>
        <w:tab/>
        <w:t xml:space="preserve">Yan B, Chan L, Lee V, Freedman B. Medical outpatient clinics an ideal setting for atrial fibrillation screening using a handheld single-lead ECG with automated diagnosis. </w:t>
      </w:r>
      <w:r w:rsidRPr="00F73CD4">
        <w:rPr>
          <w:rFonts w:ascii="Calibri" w:hAnsi="Calibri" w:cs="Calibri"/>
          <w:i/>
          <w:noProof/>
        </w:rPr>
        <w:t>Eur Heart J</w:t>
      </w:r>
      <w:r w:rsidRPr="00F73CD4">
        <w:rPr>
          <w:rFonts w:ascii="Calibri" w:hAnsi="Calibri" w:cs="Calibri"/>
          <w:noProof/>
        </w:rPr>
        <w:t>. 2016;37:888.</w:t>
      </w:r>
      <w:bookmarkEnd w:id="86"/>
    </w:p>
    <w:p w14:paraId="1D11F516" w14:textId="77777777" w:rsidR="00597826" w:rsidRPr="00F73CD4" w:rsidRDefault="00597826" w:rsidP="00375DCA">
      <w:pPr>
        <w:spacing w:after="0" w:line="240" w:lineRule="auto"/>
        <w:ind w:left="720" w:hanging="720"/>
        <w:rPr>
          <w:rFonts w:ascii="Calibri" w:hAnsi="Calibri" w:cs="Calibri"/>
          <w:noProof/>
        </w:rPr>
      </w:pPr>
      <w:bookmarkStart w:id="87" w:name="_ENREF_87"/>
      <w:r w:rsidRPr="00F73CD4">
        <w:rPr>
          <w:rFonts w:ascii="Calibri" w:hAnsi="Calibri" w:cs="Calibri"/>
          <w:noProof/>
        </w:rPr>
        <w:t>87.</w:t>
      </w:r>
      <w:r w:rsidRPr="00F73CD4">
        <w:rPr>
          <w:rFonts w:ascii="Calibri" w:hAnsi="Calibri" w:cs="Calibri"/>
          <w:noProof/>
        </w:rPr>
        <w:tab/>
        <w:t xml:space="preserve">Maeda K, Shimbo T, Fukui T. Cost-effectiveness of a community-based screening programme for chronic atrial fibrillation in Japan. </w:t>
      </w:r>
      <w:r w:rsidR="007F227F" w:rsidRPr="007F227F">
        <w:rPr>
          <w:rFonts w:ascii="Calibri" w:hAnsi="Calibri" w:cs="Calibri"/>
          <w:i/>
          <w:noProof/>
        </w:rPr>
        <w:t>J Med Screen</w:t>
      </w:r>
      <w:r w:rsidRPr="00F73CD4">
        <w:rPr>
          <w:rFonts w:ascii="Calibri" w:hAnsi="Calibri" w:cs="Calibri"/>
          <w:noProof/>
        </w:rPr>
        <w:t>. 2004;11:97-102.</w:t>
      </w:r>
      <w:bookmarkEnd w:id="87"/>
    </w:p>
    <w:p w14:paraId="54F41C3A" w14:textId="77777777" w:rsidR="00597826" w:rsidRPr="00F73CD4" w:rsidRDefault="00597826" w:rsidP="00375DCA">
      <w:pPr>
        <w:spacing w:after="0" w:line="240" w:lineRule="auto"/>
        <w:ind w:left="720" w:hanging="720"/>
        <w:rPr>
          <w:rFonts w:ascii="Calibri" w:hAnsi="Calibri" w:cs="Calibri"/>
          <w:noProof/>
        </w:rPr>
      </w:pPr>
      <w:bookmarkStart w:id="88" w:name="_ENREF_88"/>
      <w:r w:rsidRPr="00F73CD4">
        <w:rPr>
          <w:rFonts w:ascii="Calibri" w:hAnsi="Calibri" w:cs="Calibri"/>
          <w:noProof/>
        </w:rPr>
        <w:t>88.</w:t>
      </w:r>
      <w:r w:rsidRPr="00F73CD4">
        <w:rPr>
          <w:rFonts w:ascii="Calibri" w:hAnsi="Calibri" w:cs="Calibri"/>
          <w:noProof/>
        </w:rPr>
        <w:tab/>
        <w:t xml:space="preserve">Hobbs FD, Fitzmaurice DA, Mant J, Murray E, Jowett S, Bryan S, Raftery J, Davies M, Lip G. A randomised controlled trial and cost-effectiveness study of systematic screening (targeted and total population screening) versus routine practice for the detection of atrial fibrillation in people aged 65 and over. The SAFE study. </w:t>
      </w:r>
      <w:r w:rsidRPr="00F73CD4">
        <w:rPr>
          <w:rFonts w:ascii="Calibri" w:hAnsi="Calibri" w:cs="Calibri"/>
          <w:i/>
          <w:noProof/>
        </w:rPr>
        <w:t>Health Technol Assess</w:t>
      </w:r>
      <w:r w:rsidRPr="00F73CD4">
        <w:rPr>
          <w:rFonts w:ascii="Calibri" w:hAnsi="Calibri" w:cs="Calibri"/>
          <w:noProof/>
        </w:rPr>
        <w:t>. 2005;9:iii-iv, ix-x, 1-74.</w:t>
      </w:r>
      <w:bookmarkEnd w:id="88"/>
    </w:p>
    <w:p w14:paraId="33EBCD5A" w14:textId="77777777" w:rsidR="00597826" w:rsidRPr="00F73CD4" w:rsidRDefault="00597826" w:rsidP="00375DCA">
      <w:pPr>
        <w:spacing w:after="0" w:line="240" w:lineRule="auto"/>
        <w:ind w:left="720" w:hanging="720"/>
        <w:rPr>
          <w:rFonts w:ascii="Calibri" w:hAnsi="Calibri" w:cs="Calibri"/>
          <w:noProof/>
        </w:rPr>
      </w:pPr>
      <w:bookmarkStart w:id="89" w:name="_ENREF_89"/>
      <w:r w:rsidRPr="00F73CD4">
        <w:rPr>
          <w:rFonts w:ascii="Calibri" w:hAnsi="Calibri" w:cs="Calibri"/>
          <w:noProof/>
        </w:rPr>
        <w:t>89.</w:t>
      </w:r>
      <w:r w:rsidRPr="00F73CD4">
        <w:rPr>
          <w:rFonts w:ascii="Calibri" w:hAnsi="Calibri" w:cs="Calibri"/>
          <w:noProof/>
        </w:rPr>
        <w:tab/>
        <w:t xml:space="preserve">Aronsson M, Svennberg E, Rosenqvist M, Engdahl J, Al-Khalili F, Friberg L, Frykman-Kull V, Levin LA. Cost-effectiveness of mass screening for untreated atrial fibrillation using intermittent ECG recording. </w:t>
      </w:r>
      <w:r w:rsidRPr="00F73CD4">
        <w:rPr>
          <w:rFonts w:ascii="Calibri" w:hAnsi="Calibri" w:cs="Calibri"/>
          <w:i/>
          <w:noProof/>
        </w:rPr>
        <w:t>Europace</w:t>
      </w:r>
      <w:r w:rsidRPr="00F73CD4">
        <w:rPr>
          <w:rFonts w:ascii="Calibri" w:hAnsi="Calibri" w:cs="Calibri"/>
          <w:noProof/>
        </w:rPr>
        <w:t>. 2015;17:1023-1029.</w:t>
      </w:r>
      <w:bookmarkEnd w:id="89"/>
    </w:p>
    <w:p w14:paraId="7831C39E" w14:textId="77777777" w:rsidR="00597826" w:rsidRPr="00F73CD4" w:rsidRDefault="00597826" w:rsidP="00375DCA">
      <w:pPr>
        <w:spacing w:after="0" w:line="240" w:lineRule="auto"/>
        <w:ind w:left="720" w:hanging="720"/>
        <w:rPr>
          <w:rFonts w:ascii="Calibri" w:hAnsi="Calibri" w:cs="Calibri"/>
          <w:noProof/>
        </w:rPr>
      </w:pPr>
      <w:bookmarkStart w:id="90" w:name="_ENREF_90"/>
      <w:r w:rsidRPr="00F73CD4">
        <w:rPr>
          <w:rFonts w:ascii="Calibri" w:hAnsi="Calibri" w:cs="Calibri"/>
          <w:noProof/>
        </w:rPr>
        <w:t>90.</w:t>
      </w:r>
      <w:r w:rsidRPr="00F73CD4">
        <w:rPr>
          <w:rFonts w:ascii="Calibri" w:hAnsi="Calibri" w:cs="Calibri"/>
          <w:noProof/>
        </w:rPr>
        <w:tab/>
        <w:t xml:space="preserve">Rhys GC, Azhar MF, Foster A. Screening for atrial fibrillation in patients aged 65 years or over attending annual flu vaccination clinics at a single general practice. </w:t>
      </w:r>
      <w:r w:rsidR="007F227F" w:rsidRPr="007F227F">
        <w:rPr>
          <w:rFonts w:ascii="Calibri" w:hAnsi="Calibri" w:cs="Calibri"/>
          <w:i/>
          <w:noProof/>
        </w:rPr>
        <w:t>Qual Prim Care</w:t>
      </w:r>
      <w:r w:rsidRPr="00F73CD4">
        <w:rPr>
          <w:rFonts w:ascii="Calibri" w:hAnsi="Calibri" w:cs="Calibri"/>
          <w:noProof/>
        </w:rPr>
        <w:t>. 2013;21:131-140.</w:t>
      </w:r>
      <w:bookmarkEnd w:id="90"/>
    </w:p>
    <w:p w14:paraId="282A8102" w14:textId="77777777" w:rsidR="00597826" w:rsidRPr="00F73CD4" w:rsidRDefault="00597826" w:rsidP="00375DCA">
      <w:pPr>
        <w:spacing w:after="0" w:line="240" w:lineRule="auto"/>
        <w:ind w:left="720" w:hanging="720"/>
        <w:rPr>
          <w:rFonts w:ascii="Calibri" w:hAnsi="Calibri" w:cs="Calibri"/>
          <w:noProof/>
        </w:rPr>
      </w:pPr>
      <w:bookmarkStart w:id="91" w:name="_ENREF_91"/>
      <w:r w:rsidRPr="00F73CD4">
        <w:rPr>
          <w:rFonts w:ascii="Calibri" w:hAnsi="Calibri" w:cs="Calibri"/>
          <w:noProof/>
        </w:rPr>
        <w:t>91.</w:t>
      </w:r>
      <w:r w:rsidRPr="00F73CD4">
        <w:rPr>
          <w:rFonts w:ascii="Calibri" w:hAnsi="Calibri" w:cs="Calibri"/>
          <w:noProof/>
        </w:rPr>
        <w:tab/>
        <w:t xml:space="preserve">Turakhia MP, Shafrin J, Bognar K, Goldman DP, Mendys PM, Abdulsattar Y, Wiederkehr D, Trocio J. Economic Burden of Undiagnosed Nonvalvular Atrial Fibrillation in the United States. </w:t>
      </w:r>
      <w:r w:rsidRPr="00F73CD4">
        <w:rPr>
          <w:rFonts w:ascii="Calibri" w:hAnsi="Calibri" w:cs="Calibri"/>
          <w:i/>
          <w:noProof/>
        </w:rPr>
        <w:t>Am J Cardiol</w:t>
      </w:r>
      <w:r w:rsidRPr="00F73CD4">
        <w:rPr>
          <w:rFonts w:ascii="Calibri" w:hAnsi="Calibri" w:cs="Calibri"/>
          <w:noProof/>
        </w:rPr>
        <w:t>. 2015;116:733-739.</w:t>
      </w:r>
      <w:bookmarkEnd w:id="91"/>
    </w:p>
    <w:p w14:paraId="01A3DFE7" w14:textId="77777777" w:rsidR="00597826" w:rsidRPr="00F73CD4" w:rsidRDefault="00597826" w:rsidP="00375DCA">
      <w:pPr>
        <w:spacing w:after="0" w:line="240" w:lineRule="auto"/>
        <w:ind w:left="720" w:hanging="720"/>
        <w:rPr>
          <w:rFonts w:ascii="Calibri" w:hAnsi="Calibri" w:cs="Calibri"/>
          <w:noProof/>
        </w:rPr>
      </w:pPr>
      <w:bookmarkStart w:id="92" w:name="_ENREF_92"/>
      <w:r w:rsidRPr="00F73CD4">
        <w:rPr>
          <w:rFonts w:ascii="Calibri" w:hAnsi="Calibri" w:cs="Calibri"/>
          <w:noProof/>
        </w:rPr>
        <w:t>92.</w:t>
      </w:r>
      <w:r w:rsidRPr="00F73CD4">
        <w:rPr>
          <w:rFonts w:ascii="Calibri" w:hAnsi="Calibri" w:cs="Calibri"/>
          <w:noProof/>
        </w:rPr>
        <w:tab/>
        <w:t xml:space="preserve">Moran PS, Teljeur C, Ryan M, Smith SM. Systematic screening for the detection of atrial fibrillation. </w:t>
      </w:r>
      <w:r w:rsidR="007F227F" w:rsidRPr="007F227F">
        <w:rPr>
          <w:rFonts w:ascii="Calibri" w:hAnsi="Calibri" w:cs="Calibri"/>
          <w:i/>
          <w:noProof/>
        </w:rPr>
        <w:t>Cochrane Database Syst Rev</w:t>
      </w:r>
      <w:r w:rsidRPr="00F73CD4">
        <w:rPr>
          <w:rFonts w:ascii="Calibri" w:hAnsi="Calibri" w:cs="Calibri"/>
          <w:noProof/>
        </w:rPr>
        <w:t>. 2016;6:Cd009586.</w:t>
      </w:r>
      <w:bookmarkEnd w:id="92"/>
    </w:p>
    <w:p w14:paraId="06D160E9" w14:textId="77777777" w:rsidR="00597826" w:rsidRPr="00F73CD4" w:rsidRDefault="00597826" w:rsidP="00375DCA">
      <w:pPr>
        <w:spacing w:after="0" w:line="240" w:lineRule="auto"/>
        <w:ind w:left="720" w:hanging="720"/>
        <w:rPr>
          <w:rFonts w:ascii="Calibri" w:hAnsi="Calibri" w:cs="Calibri"/>
          <w:noProof/>
        </w:rPr>
      </w:pPr>
      <w:bookmarkStart w:id="93" w:name="_ENREF_93"/>
      <w:r w:rsidRPr="00F73CD4">
        <w:rPr>
          <w:rFonts w:ascii="Calibri" w:hAnsi="Calibri" w:cs="Calibri"/>
          <w:noProof/>
        </w:rPr>
        <w:t>93.</w:t>
      </w:r>
      <w:r w:rsidRPr="00F73CD4">
        <w:rPr>
          <w:rFonts w:ascii="Calibri" w:hAnsi="Calibri" w:cs="Calibri"/>
          <w:noProof/>
        </w:rPr>
        <w:tab/>
        <w:t>Health Information and Quality Authority. Health technology assessment (HTA) of a national screening programme for atrial fibrillation in primary care. 2015;2016</w:t>
      </w:r>
      <w:bookmarkEnd w:id="93"/>
    </w:p>
    <w:p w14:paraId="297F82C5" w14:textId="77777777" w:rsidR="00597826" w:rsidRPr="00F73CD4" w:rsidRDefault="00597826" w:rsidP="00375DCA">
      <w:pPr>
        <w:spacing w:after="0" w:line="240" w:lineRule="auto"/>
        <w:ind w:left="720" w:hanging="720"/>
        <w:rPr>
          <w:rFonts w:ascii="Calibri" w:hAnsi="Calibri" w:cs="Calibri"/>
          <w:noProof/>
        </w:rPr>
      </w:pPr>
      <w:bookmarkStart w:id="94" w:name="_ENREF_94"/>
      <w:r w:rsidRPr="00F73CD4">
        <w:rPr>
          <w:rFonts w:ascii="Calibri" w:hAnsi="Calibri" w:cs="Calibri"/>
          <w:noProof/>
        </w:rPr>
        <w:t>94.</w:t>
      </w:r>
      <w:r w:rsidRPr="00F73CD4">
        <w:rPr>
          <w:rFonts w:ascii="Calibri" w:hAnsi="Calibri" w:cs="Calibri"/>
          <w:noProof/>
        </w:rPr>
        <w:tab/>
        <w:t xml:space="preserve">Smyth B, Marsden P, Corcoran R, Walsh R, Brennan C, McSharry K, Clarke J, Kelly PJ, Harbison J. Opportunistic screening for atrial fibrillation in a rural area. </w:t>
      </w:r>
      <w:r w:rsidRPr="00F73CD4">
        <w:rPr>
          <w:rFonts w:ascii="Calibri" w:hAnsi="Calibri" w:cs="Calibri"/>
          <w:i/>
          <w:noProof/>
        </w:rPr>
        <w:t>QJM</w:t>
      </w:r>
      <w:r w:rsidRPr="00F73CD4">
        <w:rPr>
          <w:rFonts w:ascii="Calibri" w:hAnsi="Calibri" w:cs="Calibri"/>
          <w:noProof/>
        </w:rPr>
        <w:t>. 2016;109:539-543.</w:t>
      </w:r>
      <w:bookmarkEnd w:id="94"/>
    </w:p>
    <w:p w14:paraId="1BC8806B" w14:textId="77777777" w:rsidR="00597826" w:rsidRPr="00F73CD4" w:rsidRDefault="00597826" w:rsidP="00375DCA">
      <w:pPr>
        <w:spacing w:after="0" w:line="240" w:lineRule="auto"/>
        <w:ind w:left="720" w:hanging="720"/>
        <w:rPr>
          <w:rFonts w:ascii="Calibri" w:hAnsi="Calibri" w:cs="Calibri"/>
          <w:noProof/>
        </w:rPr>
      </w:pPr>
      <w:bookmarkStart w:id="95" w:name="_ENREF_95"/>
      <w:r w:rsidRPr="00F73CD4">
        <w:rPr>
          <w:rFonts w:ascii="Calibri" w:hAnsi="Calibri" w:cs="Calibri"/>
          <w:noProof/>
        </w:rPr>
        <w:t>95.</w:t>
      </w:r>
      <w:r w:rsidRPr="00F73CD4">
        <w:rPr>
          <w:rFonts w:ascii="Calibri" w:hAnsi="Calibri" w:cs="Calibri"/>
          <w:noProof/>
        </w:rPr>
        <w:tab/>
        <w:t xml:space="preserve">Friberg L, Bergfeldt L. Atrial fibrillation prevalence revisited. </w:t>
      </w:r>
      <w:r w:rsidR="007F227F" w:rsidRPr="007F227F">
        <w:rPr>
          <w:rFonts w:ascii="Calibri" w:hAnsi="Calibri" w:cs="Calibri"/>
          <w:i/>
          <w:noProof/>
        </w:rPr>
        <w:t>J Intern Med</w:t>
      </w:r>
      <w:r w:rsidRPr="00F73CD4">
        <w:rPr>
          <w:rFonts w:ascii="Calibri" w:hAnsi="Calibri" w:cs="Calibri"/>
          <w:noProof/>
        </w:rPr>
        <w:t>. 2013;274:461-468.</w:t>
      </w:r>
      <w:bookmarkEnd w:id="95"/>
    </w:p>
    <w:p w14:paraId="75F35795" w14:textId="77777777" w:rsidR="00597826" w:rsidRPr="00F73CD4" w:rsidRDefault="00597826" w:rsidP="00375DCA">
      <w:pPr>
        <w:spacing w:after="0" w:line="240" w:lineRule="auto"/>
        <w:ind w:left="720" w:hanging="720"/>
        <w:rPr>
          <w:rFonts w:ascii="Calibri" w:hAnsi="Calibri" w:cs="Calibri"/>
          <w:noProof/>
        </w:rPr>
      </w:pPr>
      <w:bookmarkStart w:id="96" w:name="_ENREF_96"/>
      <w:r w:rsidRPr="00F73CD4">
        <w:rPr>
          <w:rFonts w:ascii="Calibri" w:hAnsi="Calibri" w:cs="Calibri"/>
          <w:noProof/>
        </w:rPr>
        <w:t>96.</w:t>
      </w:r>
      <w:r w:rsidRPr="00F73CD4">
        <w:rPr>
          <w:rFonts w:ascii="Calibri" w:hAnsi="Calibri" w:cs="Calibri"/>
          <w:noProof/>
        </w:rPr>
        <w:tab/>
        <w:t xml:space="preserve">Schnabel RB, Wilde S, Wild PS, Munzel T, Blankenberg S. Atrial fibrillation: its prevalence and risk factor profile in the German general population. </w:t>
      </w:r>
      <w:r w:rsidR="007F227F" w:rsidRPr="007F227F">
        <w:rPr>
          <w:rFonts w:ascii="Calibri" w:hAnsi="Calibri" w:cs="Calibri"/>
          <w:i/>
          <w:noProof/>
        </w:rPr>
        <w:t>Dtsch Arztebl Int</w:t>
      </w:r>
      <w:r w:rsidRPr="00F73CD4">
        <w:rPr>
          <w:rFonts w:ascii="Calibri" w:hAnsi="Calibri" w:cs="Calibri"/>
          <w:noProof/>
        </w:rPr>
        <w:t>. 2012;109:293-299.</w:t>
      </w:r>
      <w:bookmarkEnd w:id="96"/>
    </w:p>
    <w:p w14:paraId="1373D4FF" w14:textId="77777777" w:rsidR="00597826" w:rsidRPr="00F73CD4" w:rsidRDefault="00597826" w:rsidP="00375DCA">
      <w:pPr>
        <w:spacing w:after="0" w:line="240" w:lineRule="auto"/>
        <w:ind w:left="720" w:hanging="720"/>
        <w:rPr>
          <w:rFonts w:ascii="Calibri" w:hAnsi="Calibri" w:cs="Calibri"/>
          <w:noProof/>
        </w:rPr>
      </w:pPr>
      <w:bookmarkStart w:id="97" w:name="_ENREF_97"/>
      <w:r w:rsidRPr="00F73CD4">
        <w:rPr>
          <w:rFonts w:ascii="Calibri" w:hAnsi="Calibri" w:cs="Calibri"/>
          <w:noProof/>
        </w:rPr>
        <w:t>97.</w:t>
      </w:r>
      <w:r w:rsidRPr="00F73CD4">
        <w:rPr>
          <w:rFonts w:ascii="Calibri" w:hAnsi="Calibri" w:cs="Calibri"/>
          <w:noProof/>
        </w:rPr>
        <w:tab/>
        <w:t xml:space="preserve">Lobban TC, Camm AJ. Patient associations as stakeholders: a valuable partner for facilitating access to therapy. </w:t>
      </w:r>
      <w:r w:rsidRPr="00F73CD4">
        <w:rPr>
          <w:rFonts w:ascii="Calibri" w:hAnsi="Calibri" w:cs="Calibri"/>
          <w:i/>
          <w:noProof/>
        </w:rPr>
        <w:t>Europace</w:t>
      </w:r>
      <w:r w:rsidRPr="00F73CD4">
        <w:rPr>
          <w:rFonts w:ascii="Calibri" w:hAnsi="Calibri" w:cs="Calibri"/>
          <w:noProof/>
        </w:rPr>
        <w:t>. 2011;13 Suppl 2:ii21-24.</w:t>
      </w:r>
      <w:bookmarkEnd w:id="97"/>
    </w:p>
    <w:p w14:paraId="5DBEFF0B" w14:textId="77777777" w:rsidR="00597826" w:rsidRPr="00F73CD4" w:rsidRDefault="00597826" w:rsidP="00375DCA">
      <w:pPr>
        <w:spacing w:after="0" w:line="240" w:lineRule="auto"/>
        <w:ind w:left="720" w:hanging="720"/>
        <w:rPr>
          <w:rFonts w:ascii="Calibri" w:hAnsi="Calibri" w:cs="Calibri"/>
          <w:noProof/>
        </w:rPr>
      </w:pPr>
      <w:bookmarkStart w:id="98" w:name="_ENREF_98"/>
      <w:r w:rsidRPr="00F73CD4">
        <w:rPr>
          <w:rFonts w:ascii="Calibri" w:hAnsi="Calibri" w:cs="Calibri"/>
          <w:noProof/>
        </w:rPr>
        <w:t>98.</w:t>
      </w:r>
      <w:r w:rsidRPr="00F73CD4">
        <w:rPr>
          <w:rFonts w:ascii="Calibri" w:hAnsi="Calibri" w:cs="Calibri"/>
          <w:noProof/>
        </w:rPr>
        <w:tab/>
        <w:t xml:space="preserve">Lane DA, Aguinaga L, Blomstrom-Lundqvist C, Boriani G, Dan GA, Hills MT, Hylek EM, LaHaye SA, Lip GY, Lobban T, Mandrola J, McCabe PJ, Pedersen SS, Pisters R, Stewart S, Wood K, Potpara TS, Gorenek B, Conti JB, Keegan R, Power S, Hendriks J, Ritter P, Calkins H, Violi F, Hurwitz J. Cardiac tachyarrhythmias and patient values and preferences for their management: the European Heart Rhythm Association (EHRA) consensus document endorsed by the Heart Rhythm Society (HRS), Asia Pacific Heart Rhythm Society (APHRS), and Sociedad Latinoamericana de Estimulacion Cardiaca y Electrofisiologia (SOLEACE). </w:t>
      </w:r>
      <w:r w:rsidRPr="00F73CD4">
        <w:rPr>
          <w:rFonts w:ascii="Calibri" w:hAnsi="Calibri" w:cs="Calibri"/>
          <w:i/>
          <w:noProof/>
        </w:rPr>
        <w:t>Europace</w:t>
      </w:r>
      <w:r w:rsidRPr="00F73CD4">
        <w:rPr>
          <w:rFonts w:ascii="Calibri" w:hAnsi="Calibri" w:cs="Calibri"/>
          <w:noProof/>
        </w:rPr>
        <w:t>. 2015;17:1747-1769.</w:t>
      </w:r>
      <w:bookmarkEnd w:id="98"/>
    </w:p>
    <w:p w14:paraId="034B42FC" w14:textId="77777777" w:rsidR="00597826" w:rsidRPr="00F73CD4" w:rsidRDefault="00597826" w:rsidP="00375DCA">
      <w:pPr>
        <w:spacing w:line="240" w:lineRule="auto"/>
        <w:ind w:left="720" w:hanging="720"/>
        <w:rPr>
          <w:rFonts w:ascii="Calibri" w:hAnsi="Calibri" w:cs="Calibri"/>
          <w:noProof/>
        </w:rPr>
      </w:pPr>
      <w:bookmarkStart w:id="99" w:name="_ENREF_99"/>
      <w:r w:rsidRPr="00F73CD4">
        <w:rPr>
          <w:rFonts w:ascii="Calibri" w:hAnsi="Calibri" w:cs="Calibri"/>
          <w:noProof/>
        </w:rPr>
        <w:t>99.</w:t>
      </w:r>
      <w:r w:rsidRPr="00F73CD4">
        <w:rPr>
          <w:rFonts w:ascii="Calibri" w:hAnsi="Calibri" w:cs="Calibri"/>
          <w:noProof/>
        </w:rPr>
        <w:tab/>
        <w:t xml:space="preserve">Freedman BS, Lowres N. Asymptomatic Atrial Fibrillation: The Case for Screening to Prevent Stroke. </w:t>
      </w:r>
      <w:r w:rsidR="002E5F48">
        <w:rPr>
          <w:rFonts w:ascii="Calibri" w:hAnsi="Calibri" w:cs="Calibri"/>
          <w:i/>
          <w:noProof/>
        </w:rPr>
        <w:t>JAMA</w:t>
      </w:r>
      <w:r w:rsidRPr="00F73CD4">
        <w:rPr>
          <w:rFonts w:ascii="Calibri" w:hAnsi="Calibri" w:cs="Calibri"/>
          <w:noProof/>
        </w:rPr>
        <w:t>. 2015;314:1911-1912.</w:t>
      </w:r>
      <w:bookmarkEnd w:id="99"/>
    </w:p>
    <w:p w14:paraId="795565EE" w14:textId="77777777" w:rsidR="00597826" w:rsidRDefault="00597826" w:rsidP="00375DCA">
      <w:pPr>
        <w:spacing w:line="240" w:lineRule="auto"/>
        <w:rPr>
          <w:rFonts w:ascii="Calibri" w:hAnsi="Calibri" w:cs="Calibri"/>
          <w:noProof/>
        </w:rPr>
      </w:pPr>
    </w:p>
    <w:p w14:paraId="5C3457FE" w14:textId="77777777" w:rsidR="00597826" w:rsidRDefault="00597826">
      <w:pPr>
        <w:rPr>
          <w:rFonts w:asciiTheme="majorHAnsi" w:eastAsiaTheme="majorEastAsia" w:hAnsiTheme="majorHAnsi" w:cstheme="majorBidi"/>
          <w:b/>
          <w:bCs/>
          <w:color w:val="2F5496" w:themeColor="accent1" w:themeShade="BF"/>
          <w:sz w:val="28"/>
          <w:szCs w:val="28"/>
        </w:rPr>
      </w:pPr>
      <w:r>
        <w:br w:type="page"/>
      </w:r>
    </w:p>
    <w:p w14:paraId="5F2097D8" w14:textId="77777777" w:rsidR="00597826" w:rsidRDefault="00597826" w:rsidP="00375DCA">
      <w:pPr>
        <w:pStyle w:val="Heading1"/>
      </w:pPr>
      <w:r>
        <w:t>Figures</w:t>
      </w:r>
    </w:p>
    <w:p w14:paraId="006E1AE1" w14:textId="77777777" w:rsidR="00597826" w:rsidRPr="00FD6726" w:rsidRDefault="00597826" w:rsidP="00375DCA"/>
    <w:p w14:paraId="1B09E250" w14:textId="77777777" w:rsidR="00597826" w:rsidRPr="00FE3275" w:rsidRDefault="00597826" w:rsidP="00375DCA">
      <w:pPr>
        <w:pStyle w:val="Caption"/>
        <w:rPr>
          <w:sz w:val="22"/>
          <w:szCs w:val="22"/>
        </w:rPr>
      </w:pPr>
      <w:r w:rsidRPr="00FE3275">
        <w:rPr>
          <w:sz w:val="22"/>
          <w:szCs w:val="22"/>
        </w:rPr>
        <w:t>Figure</w:t>
      </w:r>
      <w:r>
        <w:rPr>
          <w:sz w:val="22"/>
          <w:szCs w:val="22"/>
        </w:rPr>
        <w:t xml:space="preserve"> 1</w:t>
      </w:r>
      <w:r w:rsidRPr="00FE3275">
        <w:rPr>
          <w:sz w:val="22"/>
          <w:szCs w:val="22"/>
        </w:rPr>
        <w:t>: Survival stratified  by type of AF presentation (</w:t>
      </w:r>
      <w:r>
        <w:rPr>
          <w:sz w:val="22"/>
          <w:szCs w:val="22"/>
        </w:rPr>
        <w:t xml:space="preserve">with permission </w:t>
      </w:r>
      <w:r w:rsidRPr="00FE3275">
        <w:rPr>
          <w:sz w:val="22"/>
          <w:szCs w:val="22"/>
        </w:rPr>
        <w:t>from Siontis et al, Heart Rhythm 2016</w:t>
      </w:r>
      <w:r w:rsidRPr="008D370F">
        <w:rPr>
          <w:noProof/>
          <w:sz w:val="22"/>
          <w:szCs w:val="22"/>
          <w:vertAlign w:val="superscript"/>
        </w:rPr>
        <w:t>20</w:t>
      </w:r>
      <w:r w:rsidRPr="00FE3275">
        <w:rPr>
          <w:sz w:val="22"/>
          <w:szCs w:val="22"/>
        </w:rPr>
        <w:t xml:space="preserve">) </w:t>
      </w:r>
    </w:p>
    <w:p w14:paraId="653BCFDB" w14:textId="77777777" w:rsidR="00597826" w:rsidRDefault="00597826" w:rsidP="00375DCA">
      <w:r w:rsidRPr="004D04BF">
        <w:rPr>
          <w:noProof/>
        </w:rPr>
        <w:drawing>
          <wp:inline distT="0" distB="0" distL="0" distR="0" wp14:anchorId="7691D444" wp14:editId="53892DA3">
            <wp:extent cx="3419731" cy="234638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27003" cy="2351374"/>
                    </a:xfrm>
                    <a:prstGeom prst="rect">
                      <a:avLst/>
                    </a:prstGeom>
                    <a:noFill/>
                    <a:ln>
                      <a:noFill/>
                    </a:ln>
                  </pic:spPr>
                </pic:pic>
              </a:graphicData>
            </a:graphic>
          </wp:inline>
        </w:drawing>
      </w:r>
    </w:p>
    <w:p w14:paraId="42A20420" w14:textId="77777777" w:rsidR="00597826" w:rsidRDefault="00597826" w:rsidP="00375DCA">
      <w:r>
        <w:t xml:space="preserve">Legend: Kaplan-Meier curve for all-cause mortality according to presentation with either typical AF symptoms (palpitations with or without other symptoms), atypical symptoms  (fatigue, chest pain, shortness of breath, lightheadedness, syncope, decreased exercise tolerance, but without palpitations) or asymptomatic (AF detected incidentally during a routine visit for an unrelated problem). </w:t>
      </w:r>
    </w:p>
    <w:p w14:paraId="5C850FA6" w14:textId="77777777" w:rsidR="00597826" w:rsidRDefault="00597826" w:rsidP="00375DCA"/>
    <w:p w14:paraId="77B62CD7" w14:textId="77777777" w:rsidR="00597826" w:rsidRDefault="00597826" w:rsidP="00375DCA"/>
    <w:p w14:paraId="22E336A2" w14:textId="77777777" w:rsidR="00597826" w:rsidRDefault="00597826">
      <w:pPr>
        <w:rPr>
          <w:b/>
          <w:bCs/>
          <w:color w:val="4472C4" w:themeColor="accent1"/>
        </w:rPr>
      </w:pPr>
      <w:bookmarkStart w:id="100" w:name="_Ref460589014"/>
      <w:r>
        <w:br w:type="page"/>
      </w:r>
    </w:p>
    <w:p w14:paraId="01B3A884" w14:textId="77777777" w:rsidR="00597826" w:rsidRPr="000717FA" w:rsidRDefault="00597826" w:rsidP="00375DCA">
      <w:pPr>
        <w:pStyle w:val="Caption"/>
        <w:rPr>
          <w:b w:val="0"/>
          <w:sz w:val="22"/>
          <w:szCs w:val="22"/>
        </w:rPr>
      </w:pPr>
      <w:r w:rsidRPr="000717FA">
        <w:rPr>
          <w:sz w:val="22"/>
          <w:szCs w:val="22"/>
        </w:rPr>
        <w:t>Figure</w:t>
      </w:r>
      <w:bookmarkEnd w:id="100"/>
      <w:r>
        <w:rPr>
          <w:sz w:val="22"/>
          <w:szCs w:val="22"/>
        </w:rPr>
        <w:t xml:space="preserve"> 2</w:t>
      </w:r>
      <w:r w:rsidRPr="000717FA">
        <w:rPr>
          <w:sz w:val="22"/>
          <w:szCs w:val="22"/>
        </w:rPr>
        <w:t>: Time trend of risk of stroke for AF in 60 days prior to stroke</w:t>
      </w:r>
      <w:r w:rsidRPr="000717FA">
        <w:rPr>
          <w:b w:val="0"/>
          <w:sz w:val="22"/>
          <w:szCs w:val="22"/>
        </w:rPr>
        <w:t xml:space="preserve"> (with permission From Turakhia et al, Circ Arrhythm Electrophysiol 2015</w:t>
      </w:r>
      <w:r w:rsidRPr="008D370F">
        <w:rPr>
          <w:b w:val="0"/>
          <w:noProof/>
          <w:sz w:val="22"/>
          <w:szCs w:val="22"/>
          <w:vertAlign w:val="superscript"/>
        </w:rPr>
        <w:t>40</w:t>
      </w:r>
      <w:r w:rsidRPr="000717FA">
        <w:rPr>
          <w:b w:val="0"/>
          <w:sz w:val="22"/>
          <w:szCs w:val="22"/>
        </w:rPr>
        <w:t>)</w:t>
      </w:r>
    </w:p>
    <w:p w14:paraId="64548440" w14:textId="77777777" w:rsidR="00597826" w:rsidRDefault="00597826" w:rsidP="00375DCA">
      <w:pPr>
        <w:rPr>
          <w:b/>
          <w:color w:val="000000" w:themeColor="text1"/>
        </w:rPr>
      </w:pPr>
      <w:r w:rsidRPr="004D04BF">
        <w:rPr>
          <w:noProof/>
        </w:rPr>
        <w:drawing>
          <wp:inline distT="0" distB="0" distL="0" distR="0" wp14:anchorId="50A8A6A6" wp14:editId="710DFF60">
            <wp:extent cx="2576339" cy="1842248"/>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6-08-07 at 7.01.11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80883" cy="1845497"/>
                    </a:xfrm>
                    <a:prstGeom prst="rect">
                      <a:avLst/>
                    </a:prstGeom>
                  </pic:spPr>
                </pic:pic>
              </a:graphicData>
            </a:graphic>
          </wp:inline>
        </w:drawing>
      </w:r>
    </w:p>
    <w:p w14:paraId="19628337" w14:textId="77777777" w:rsidR="00597826" w:rsidRPr="000717FA" w:rsidRDefault="00597826" w:rsidP="00375DCA">
      <w:r w:rsidRPr="000717FA">
        <w:rPr>
          <w:b/>
          <w:color w:val="000000" w:themeColor="text1"/>
        </w:rPr>
        <w:t xml:space="preserve">Legend: </w:t>
      </w:r>
      <w:r w:rsidRPr="000717FA">
        <w:rPr>
          <w:color w:val="000000" w:themeColor="text1"/>
        </w:rPr>
        <w:t>Odds ratio for non-overlapping 5-day epochs of AF burden in implanted devices ≥5.5h  in one day during the 5-day epoch, from 1-5 days before stroke (left-hand point) through 56-60 days before stroke (right-hand point). Each stroke case epoch is matched to six 5-day control epochs between 91- 120 days prior to stroke.  There is a progressive fall in odds ratio of stroke from 17.4 for AF occurring 1-5 days before stroke, to non-significant increases for AF more than 21 days prior to stroke.</w:t>
      </w:r>
    </w:p>
    <w:p w14:paraId="7350980A" w14:textId="77777777" w:rsidR="00597826" w:rsidRDefault="00597826" w:rsidP="00375DCA"/>
    <w:p w14:paraId="75E5A746" w14:textId="77777777" w:rsidR="00597826" w:rsidRDefault="00597826" w:rsidP="00375DCA"/>
    <w:p w14:paraId="064F1B26" w14:textId="77777777" w:rsidR="00597826" w:rsidRDefault="00597826" w:rsidP="00375DCA">
      <w:pPr>
        <w:pStyle w:val="Caption"/>
        <w:rPr>
          <w:sz w:val="22"/>
          <w:szCs w:val="22"/>
        </w:rPr>
      </w:pPr>
    </w:p>
    <w:p w14:paraId="23D137E1" w14:textId="77777777" w:rsidR="00597826" w:rsidRDefault="00597826" w:rsidP="00375DCA">
      <w:pPr>
        <w:pStyle w:val="Caption"/>
        <w:rPr>
          <w:sz w:val="22"/>
          <w:szCs w:val="22"/>
        </w:rPr>
      </w:pPr>
      <w:r w:rsidRPr="00342EE3">
        <w:rPr>
          <w:sz w:val="22"/>
          <w:szCs w:val="22"/>
        </w:rPr>
        <w:t xml:space="preserve"> </w:t>
      </w:r>
    </w:p>
    <w:p w14:paraId="2C59799F" w14:textId="77777777" w:rsidR="00597826" w:rsidRDefault="00597826" w:rsidP="00375DCA">
      <w:pPr>
        <w:pStyle w:val="Caption"/>
        <w:rPr>
          <w:sz w:val="22"/>
          <w:szCs w:val="22"/>
        </w:rPr>
      </w:pPr>
    </w:p>
    <w:p w14:paraId="7F9B9C27" w14:textId="77777777" w:rsidR="00597826" w:rsidRDefault="00597826">
      <w:pPr>
        <w:rPr>
          <w:b/>
          <w:bCs/>
          <w:color w:val="4472C4" w:themeColor="accent1"/>
        </w:rPr>
      </w:pPr>
      <w:r>
        <w:br w:type="page"/>
      </w:r>
    </w:p>
    <w:p w14:paraId="0FC28ABE" w14:textId="77777777" w:rsidR="00597826" w:rsidRPr="00F57694" w:rsidRDefault="00597826" w:rsidP="00375DCA">
      <w:pPr>
        <w:pStyle w:val="Caption"/>
        <w:rPr>
          <w:rFonts w:asciiTheme="majorHAnsi" w:hAnsiTheme="majorHAnsi" w:cs="Verdana"/>
          <w:b w:val="0"/>
          <w:i/>
          <w:color w:val="000000" w:themeColor="text1"/>
          <w:sz w:val="22"/>
          <w:szCs w:val="22"/>
        </w:rPr>
      </w:pPr>
      <w:r w:rsidRPr="00F57694">
        <w:rPr>
          <w:sz w:val="22"/>
          <w:szCs w:val="22"/>
        </w:rPr>
        <w:t>Figure</w:t>
      </w:r>
      <w:r>
        <w:rPr>
          <w:sz w:val="22"/>
          <w:szCs w:val="22"/>
        </w:rPr>
        <w:t xml:space="preserve"> 3</w:t>
      </w:r>
      <w:r w:rsidRPr="00F57694">
        <w:rPr>
          <w:sz w:val="22"/>
          <w:szCs w:val="22"/>
        </w:rPr>
        <w:t xml:space="preserve">: Diagrammatic representation of </w:t>
      </w:r>
      <w:r>
        <w:rPr>
          <w:sz w:val="22"/>
          <w:szCs w:val="22"/>
        </w:rPr>
        <w:t>key points</w:t>
      </w:r>
      <w:r w:rsidRPr="00F57694">
        <w:rPr>
          <w:sz w:val="22"/>
          <w:szCs w:val="22"/>
        </w:rPr>
        <w:t xml:space="preserve"> on screening</w:t>
      </w:r>
    </w:p>
    <w:p w14:paraId="35515731" w14:textId="77777777" w:rsidR="00597826" w:rsidRDefault="00597826" w:rsidP="00375DCA">
      <w:pPr>
        <w:widowControl w:val="0"/>
        <w:autoSpaceDE w:val="0"/>
        <w:autoSpaceDN w:val="0"/>
        <w:adjustRightInd w:val="0"/>
        <w:rPr>
          <w:rFonts w:asciiTheme="majorHAnsi" w:hAnsiTheme="majorHAnsi" w:cs="Verdana"/>
          <w:b/>
          <w:color w:val="000000" w:themeColor="text1"/>
          <w:sz w:val="24"/>
          <w:szCs w:val="24"/>
        </w:rPr>
      </w:pPr>
      <w:r>
        <w:rPr>
          <w:noProof/>
        </w:rPr>
        <w:drawing>
          <wp:inline distT="0" distB="0" distL="0" distR="0" wp14:anchorId="410AF43F" wp14:editId="5C48DDCA">
            <wp:extent cx="5943600" cy="6540737"/>
            <wp:effectExtent l="0" t="0" r="0" b="0"/>
            <wp:docPr id="1" name="Picture 1" descr="C:\Users\Jessica\AppData\Local\Microsoft\Windows\INetCacheContent.Word\Screening recommendation diagram 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ssica\AppData\Local\Microsoft\Windows\INetCacheContent.Word\Screening recommendation diagram LoRes.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6540737"/>
                    </a:xfrm>
                    <a:prstGeom prst="rect">
                      <a:avLst/>
                    </a:prstGeom>
                    <a:noFill/>
                    <a:ln>
                      <a:noFill/>
                    </a:ln>
                  </pic:spPr>
                </pic:pic>
              </a:graphicData>
            </a:graphic>
          </wp:inline>
        </w:drawing>
      </w:r>
    </w:p>
    <w:p w14:paraId="0C8AC72C" w14:textId="77777777" w:rsidR="00597826" w:rsidRDefault="00597826" w:rsidP="00375DCA">
      <w:pPr>
        <w:widowControl w:val="0"/>
        <w:autoSpaceDE w:val="0"/>
        <w:autoSpaceDN w:val="0"/>
        <w:adjustRightInd w:val="0"/>
        <w:rPr>
          <w:rFonts w:asciiTheme="majorHAnsi" w:hAnsiTheme="majorHAnsi" w:cs="Verdana"/>
          <w:b/>
          <w:color w:val="000000" w:themeColor="text1"/>
          <w:sz w:val="24"/>
          <w:szCs w:val="24"/>
        </w:rPr>
      </w:pPr>
    </w:p>
    <w:p w14:paraId="4307AAB1" w14:textId="77777777" w:rsidR="00597826" w:rsidRDefault="00597826" w:rsidP="00375DCA">
      <w:pPr>
        <w:widowControl w:val="0"/>
        <w:autoSpaceDE w:val="0"/>
        <w:autoSpaceDN w:val="0"/>
        <w:adjustRightInd w:val="0"/>
        <w:rPr>
          <w:rFonts w:asciiTheme="majorHAnsi" w:hAnsiTheme="majorHAnsi" w:cs="Verdana"/>
          <w:b/>
          <w:color w:val="000000" w:themeColor="text1"/>
          <w:sz w:val="24"/>
          <w:szCs w:val="24"/>
        </w:rPr>
      </w:pPr>
    </w:p>
    <w:p w14:paraId="182C1BA0" w14:textId="77777777" w:rsidR="00597826" w:rsidRDefault="00597826" w:rsidP="00375DCA">
      <w:pPr>
        <w:widowControl w:val="0"/>
        <w:autoSpaceDE w:val="0"/>
        <w:autoSpaceDN w:val="0"/>
        <w:adjustRightInd w:val="0"/>
        <w:rPr>
          <w:rFonts w:asciiTheme="majorHAnsi" w:hAnsiTheme="majorHAnsi" w:cs="Verdana"/>
          <w:b/>
          <w:color w:val="000000" w:themeColor="text1"/>
          <w:sz w:val="24"/>
          <w:szCs w:val="24"/>
        </w:rPr>
      </w:pPr>
    </w:p>
    <w:p w14:paraId="6F2C7C00" w14:textId="77777777" w:rsidR="00597826" w:rsidRDefault="00597826" w:rsidP="00375DCA">
      <w:pPr>
        <w:widowControl w:val="0"/>
        <w:autoSpaceDE w:val="0"/>
        <w:autoSpaceDN w:val="0"/>
        <w:adjustRightInd w:val="0"/>
        <w:rPr>
          <w:rFonts w:asciiTheme="majorHAnsi" w:hAnsiTheme="majorHAnsi" w:cs="Verdana"/>
          <w:color w:val="000000" w:themeColor="text1"/>
          <w:sz w:val="24"/>
          <w:szCs w:val="24"/>
        </w:rPr>
      </w:pPr>
      <w:r>
        <w:rPr>
          <w:rFonts w:asciiTheme="majorHAnsi" w:hAnsiTheme="majorHAnsi" w:cs="Verdana"/>
          <w:b/>
          <w:color w:val="000000" w:themeColor="text1"/>
          <w:sz w:val="24"/>
          <w:szCs w:val="24"/>
        </w:rPr>
        <w:t xml:space="preserve">Legend: </w:t>
      </w:r>
      <w:r w:rsidRPr="007F0DC9">
        <w:rPr>
          <w:rFonts w:asciiTheme="majorHAnsi" w:hAnsiTheme="majorHAnsi" w:cs="Verdana"/>
          <w:color w:val="000000" w:themeColor="text1"/>
          <w:sz w:val="24"/>
          <w:szCs w:val="24"/>
        </w:rPr>
        <w:t>BP = blood press</w:t>
      </w:r>
      <w:r w:rsidRPr="001A1F5C">
        <w:rPr>
          <w:rFonts w:asciiTheme="majorHAnsi" w:hAnsiTheme="majorHAnsi" w:cs="Verdana"/>
          <w:color w:val="000000" w:themeColor="text1"/>
          <w:sz w:val="24"/>
          <w:szCs w:val="24"/>
        </w:rPr>
        <w:t>ure; PPG = photoplethysmography;</w:t>
      </w:r>
      <w:r w:rsidRPr="007F0DC9">
        <w:rPr>
          <w:rFonts w:asciiTheme="majorHAnsi" w:hAnsiTheme="majorHAnsi" w:cs="Verdana"/>
          <w:color w:val="000000" w:themeColor="text1"/>
          <w:sz w:val="24"/>
          <w:szCs w:val="24"/>
        </w:rPr>
        <w:t xml:space="preserve"> enrichment = use of additional risk factors or biomarkers to either increase</w:t>
      </w:r>
      <w:r>
        <w:rPr>
          <w:rFonts w:asciiTheme="majorHAnsi" w:hAnsiTheme="majorHAnsi" w:cs="Verdana"/>
          <w:color w:val="000000" w:themeColor="text1"/>
          <w:sz w:val="24"/>
          <w:szCs w:val="24"/>
        </w:rPr>
        <w:t xml:space="preserve"> the proportion with unknown AF in the screened population, or increase the risk of stroke in those with AF detected by screening in that population;</w:t>
      </w:r>
      <w:r w:rsidRPr="003A00B5">
        <w:rPr>
          <w:rFonts w:asciiTheme="majorHAnsi" w:hAnsiTheme="majorHAnsi" w:cs="Verdana"/>
          <w:color w:val="000000" w:themeColor="text1"/>
          <w:sz w:val="24"/>
          <w:szCs w:val="24"/>
        </w:rPr>
        <w:t xml:space="preserve"> </w:t>
      </w:r>
      <w:r>
        <w:rPr>
          <w:rFonts w:asciiTheme="majorHAnsi" w:hAnsiTheme="majorHAnsi" w:cs="Verdana"/>
          <w:color w:val="000000" w:themeColor="text1"/>
          <w:sz w:val="24"/>
          <w:szCs w:val="24"/>
        </w:rPr>
        <w:t>patients who are undertreated = patients with known AF who are not receiving oral anticoagulant according to guidelines, (see Page XXX section on “</w:t>
      </w:r>
      <w:r w:rsidRPr="00FD29E1">
        <w:rPr>
          <w:rFonts w:asciiTheme="majorHAnsi" w:hAnsiTheme="majorHAnsi" w:cs="Verdana"/>
          <w:color w:val="000000" w:themeColor="text1"/>
          <w:sz w:val="24"/>
          <w:szCs w:val="24"/>
        </w:rPr>
        <w:t>Should screening include undertreated known AF</w:t>
      </w:r>
      <w:r>
        <w:rPr>
          <w:rFonts w:asciiTheme="majorHAnsi" w:hAnsiTheme="majorHAnsi" w:cs="Verdana"/>
          <w:color w:val="000000" w:themeColor="text1"/>
          <w:sz w:val="24"/>
          <w:szCs w:val="24"/>
        </w:rPr>
        <w:t>”). While this is not strictly speaking screening, such patients will be detected by population screening for AF, so this has been placed in a different shape with a dotted line connector; ESUS = embolic stroke of uncertain source.</w:t>
      </w:r>
    </w:p>
    <w:p w14:paraId="189DF2A8" w14:textId="77777777" w:rsidR="00597826" w:rsidRDefault="00597826">
      <w:pPr>
        <w:rPr>
          <w:rFonts w:asciiTheme="majorHAnsi" w:hAnsiTheme="majorHAnsi" w:cs="Verdana"/>
          <w:color w:val="000000" w:themeColor="text1"/>
          <w:sz w:val="24"/>
          <w:szCs w:val="24"/>
        </w:rPr>
      </w:pPr>
      <w:r>
        <w:rPr>
          <w:rFonts w:asciiTheme="majorHAnsi" w:hAnsiTheme="majorHAnsi" w:cs="Verdana"/>
          <w:color w:val="000000" w:themeColor="text1"/>
          <w:sz w:val="24"/>
          <w:szCs w:val="24"/>
        </w:rPr>
        <w:br w:type="page"/>
      </w:r>
    </w:p>
    <w:p w14:paraId="7E72C4CF" w14:textId="77777777" w:rsidR="00597826" w:rsidRPr="00330972" w:rsidRDefault="00597826" w:rsidP="00375DCA">
      <w:pPr>
        <w:rPr>
          <w:b/>
          <w:sz w:val="24"/>
          <w:szCs w:val="24"/>
        </w:rPr>
      </w:pPr>
      <w:r w:rsidRPr="00330972">
        <w:rPr>
          <w:b/>
          <w:sz w:val="24"/>
          <w:szCs w:val="24"/>
        </w:rPr>
        <w:t>COI Disclosure statements</w:t>
      </w:r>
    </w:p>
    <w:p w14:paraId="13F538BB" w14:textId="77777777" w:rsidR="00597826" w:rsidRPr="00620056" w:rsidRDefault="00597826" w:rsidP="00375DCA">
      <w:pPr>
        <w:rPr>
          <w:sz w:val="24"/>
          <w:szCs w:val="24"/>
        </w:rPr>
      </w:pPr>
      <w:r w:rsidRPr="00620056">
        <w:rPr>
          <w:sz w:val="24"/>
          <w:szCs w:val="24"/>
        </w:rPr>
        <w:t>B Freedman reports speakers fees and advisory board honoraria  from Bayer Pharma AG (significant), Boehringer Ingelheim (modest), BMS/Pfizer (significant).</w:t>
      </w:r>
    </w:p>
    <w:p w14:paraId="418E1767" w14:textId="77777777" w:rsidR="00597826" w:rsidRPr="00F34B6E" w:rsidRDefault="00597826" w:rsidP="00375DCA">
      <w:pPr>
        <w:rPr>
          <w:sz w:val="24"/>
          <w:szCs w:val="24"/>
        </w:rPr>
      </w:pPr>
      <w:r w:rsidRPr="00F34B6E">
        <w:rPr>
          <w:sz w:val="24"/>
          <w:szCs w:val="24"/>
        </w:rPr>
        <w:t>J Camm reports grants and personal fees from Bayer, Beorhinger Ingelheim and Daichi Sankyo, and personal fees from Pfizer/BMS</w:t>
      </w:r>
      <w:r w:rsidRPr="00C771B6">
        <w:rPr>
          <w:sz w:val="24"/>
          <w:szCs w:val="24"/>
        </w:rPr>
        <w:t>.</w:t>
      </w:r>
    </w:p>
    <w:p w14:paraId="0324B079" w14:textId="77777777" w:rsidR="00597826" w:rsidRPr="00F34B6E" w:rsidRDefault="00597826" w:rsidP="00375DCA">
      <w:pPr>
        <w:rPr>
          <w:sz w:val="24"/>
          <w:szCs w:val="24"/>
        </w:rPr>
      </w:pPr>
      <w:r w:rsidRPr="00C771B6">
        <w:rPr>
          <w:sz w:val="24"/>
          <w:szCs w:val="24"/>
        </w:rPr>
        <w:t>H Calkins reports a consultancy with BMS/Pfizer (modest), speaker fees (significant) from Boehringer Ingelheim, and speaker fees and a consultancy with Medtronic (significant). He has also participated in a multicenter trial supported by Boerhringer Ingelheim (significant)</w:t>
      </w:r>
      <w:r w:rsidRPr="00F34B6E" w:rsidDel="00974AF3">
        <w:rPr>
          <w:sz w:val="24"/>
          <w:szCs w:val="24"/>
        </w:rPr>
        <w:t xml:space="preserve"> </w:t>
      </w:r>
      <w:r w:rsidRPr="00F34B6E">
        <w:rPr>
          <w:sz w:val="24"/>
          <w:szCs w:val="24"/>
        </w:rPr>
        <w:t>J Healey reports grants from Medtronic, grants from Bristol-Meyers-Squibb, grants from Bayer, grants from Boehringer-Ingelheim, outside the submitted work.</w:t>
      </w:r>
    </w:p>
    <w:p w14:paraId="3192D492" w14:textId="77777777" w:rsidR="00597826" w:rsidRDefault="00597826" w:rsidP="00375DCA">
      <w:pPr>
        <w:rPr>
          <w:sz w:val="24"/>
          <w:szCs w:val="24"/>
        </w:rPr>
      </w:pPr>
      <w:r w:rsidRPr="007C5552">
        <w:rPr>
          <w:sz w:val="24"/>
          <w:szCs w:val="24"/>
        </w:rPr>
        <w:t>M Rosenqvist reports grants (significant) and personal fees ( modetst) from Bayer, grants (significant) and personal ( modest) fees from Boehringer-Ingelheim, grants (significant) and personal fees ( modest) from BMS, grants and personal fees ( modest) from Pfizer, grants (modest) and personal fees ( modest)from Medtronic, grants (significant) and personal fees Significant) from St Jude Medical, grants and personal fees( modest) from Zenicor, personal fees (modest) from Sanofi, grants (significant) from Roche, outside the submitted work.</w:t>
      </w:r>
    </w:p>
    <w:p w14:paraId="68F1AADF" w14:textId="77777777" w:rsidR="00597826" w:rsidRPr="00F34B6E" w:rsidRDefault="00597826" w:rsidP="00375DCA">
      <w:pPr>
        <w:rPr>
          <w:sz w:val="24"/>
          <w:szCs w:val="24"/>
        </w:rPr>
      </w:pPr>
      <w:r w:rsidRPr="00F34B6E" w:rsidDel="001F2453">
        <w:rPr>
          <w:sz w:val="24"/>
          <w:szCs w:val="24"/>
        </w:rPr>
        <w:t xml:space="preserve"> </w:t>
      </w:r>
      <w:r w:rsidRPr="00F34B6E">
        <w:rPr>
          <w:sz w:val="24"/>
          <w:szCs w:val="24"/>
        </w:rPr>
        <w:t>J Wang has no disclosures.</w:t>
      </w:r>
    </w:p>
    <w:p w14:paraId="1A3528F2" w14:textId="77777777" w:rsidR="00597826" w:rsidRPr="00F34B6E" w:rsidRDefault="00597826" w:rsidP="00375DCA">
      <w:pPr>
        <w:rPr>
          <w:sz w:val="24"/>
          <w:szCs w:val="24"/>
        </w:rPr>
      </w:pPr>
      <w:r w:rsidRPr="00F34B6E">
        <w:rPr>
          <w:sz w:val="24"/>
          <w:szCs w:val="24"/>
        </w:rPr>
        <w:t>C Albert has no disclosures.</w:t>
      </w:r>
    </w:p>
    <w:p w14:paraId="04709007" w14:textId="77777777" w:rsidR="00597826" w:rsidRPr="00F34B6E" w:rsidRDefault="00597826" w:rsidP="00375DCA">
      <w:pPr>
        <w:rPr>
          <w:sz w:val="24"/>
          <w:szCs w:val="24"/>
        </w:rPr>
      </w:pPr>
      <w:r w:rsidRPr="00F34B6E">
        <w:rPr>
          <w:sz w:val="24"/>
          <w:szCs w:val="24"/>
        </w:rPr>
        <w:t>C Anderson reports personal fees from Boehringer Ingleheim, personal fees from Takeda China, personal fees from Astra Zeneca, personal fees from Medtronic,  outside the submitted work; .</w:t>
      </w:r>
    </w:p>
    <w:p w14:paraId="6D52144A" w14:textId="77777777" w:rsidR="00597826" w:rsidRPr="00F34B6E" w:rsidRDefault="00597826" w:rsidP="00375DCA">
      <w:pPr>
        <w:rPr>
          <w:sz w:val="24"/>
          <w:szCs w:val="24"/>
        </w:rPr>
      </w:pPr>
      <w:r w:rsidRPr="00F34B6E">
        <w:rPr>
          <w:sz w:val="24"/>
          <w:szCs w:val="24"/>
        </w:rPr>
        <w:t>S Antoniou reports modest honoraria from Bayer, Boehringer Ingelheim, Pfizer/BMS and Daiichi Sankyo.</w:t>
      </w:r>
    </w:p>
    <w:p w14:paraId="00E13A1F" w14:textId="77777777" w:rsidR="00597826" w:rsidRPr="00F34B6E" w:rsidRDefault="00597826" w:rsidP="00375DCA">
      <w:pPr>
        <w:rPr>
          <w:sz w:val="24"/>
          <w:szCs w:val="24"/>
        </w:rPr>
      </w:pPr>
      <w:r w:rsidRPr="00F34B6E">
        <w:rPr>
          <w:sz w:val="24"/>
          <w:szCs w:val="24"/>
        </w:rPr>
        <w:t>EJ Benjamin</w:t>
      </w:r>
      <w:r w:rsidRPr="00C771B6">
        <w:rPr>
          <w:sz w:val="24"/>
          <w:szCs w:val="24"/>
        </w:rPr>
        <w:t xml:space="preserve"> </w:t>
      </w:r>
      <w:r w:rsidRPr="00F34B6E">
        <w:rPr>
          <w:sz w:val="24"/>
          <w:szCs w:val="24"/>
        </w:rPr>
        <w:t>reports grants from NIH, grants from NIH/AHA,  during the conduct of the study; other from American Heart Association, other from NIH/NCBI,  outside the submitted work</w:t>
      </w:r>
    </w:p>
    <w:p w14:paraId="5B7F65A4" w14:textId="77777777" w:rsidR="00597826" w:rsidRPr="00F34B6E" w:rsidRDefault="00597826" w:rsidP="00375DCA">
      <w:pPr>
        <w:rPr>
          <w:sz w:val="24"/>
          <w:szCs w:val="24"/>
        </w:rPr>
      </w:pPr>
      <w:r w:rsidRPr="00F34B6E">
        <w:rPr>
          <w:sz w:val="24"/>
          <w:szCs w:val="24"/>
        </w:rPr>
        <w:t>G Boriani reports modest honoraria (as speaking fees) from Medtronic and Boston Scientific.</w:t>
      </w:r>
    </w:p>
    <w:p w14:paraId="416B2F21" w14:textId="77777777" w:rsidR="00597826" w:rsidRPr="00F34B6E" w:rsidRDefault="00597826" w:rsidP="00375DCA">
      <w:pPr>
        <w:rPr>
          <w:sz w:val="24"/>
          <w:szCs w:val="24"/>
        </w:rPr>
      </w:pPr>
      <w:r w:rsidRPr="00F34B6E">
        <w:rPr>
          <w:sz w:val="24"/>
          <w:szCs w:val="24"/>
        </w:rPr>
        <w:t>J Brachmann reports modest research grants and modest honoraria from: Medtronic, Bayer and Biotronik.</w:t>
      </w:r>
    </w:p>
    <w:p w14:paraId="47FBCF2B" w14:textId="77777777" w:rsidR="00597826" w:rsidRPr="00F34B6E" w:rsidRDefault="00597826" w:rsidP="00375DCA">
      <w:pPr>
        <w:rPr>
          <w:sz w:val="24"/>
          <w:szCs w:val="24"/>
        </w:rPr>
      </w:pPr>
      <w:r w:rsidRPr="00F34B6E">
        <w:rPr>
          <w:sz w:val="24"/>
          <w:szCs w:val="24"/>
        </w:rPr>
        <w:t xml:space="preserve">A Brandes </w:t>
      </w:r>
      <w:r>
        <w:rPr>
          <w:sz w:val="24"/>
          <w:szCs w:val="24"/>
        </w:rPr>
        <w:t>has no disclosures.</w:t>
      </w:r>
      <w:r w:rsidRPr="00F34B6E">
        <w:rPr>
          <w:sz w:val="24"/>
          <w:szCs w:val="24"/>
        </w:rPr>
        <w:t> </w:t>
      </w:r>
    </w:p>
    <w:p w14:paraId="224777B8" w14:textId="77777777" w:rsidR="00597826" w:rsidRPr="00F34B6E" w:rsidRDefault="00597826" w:rsidP="00375DCA">
      <w:pPr>
        <w:rPr>
          <w:sz w:val="24"/>
          <w:szCs w:val="24"/>
        </w:rPr>
      </w:pPr>
      <w:r w:rsidRPr="00F34B6E">
        <w:rPr>
          <w:sz w:val="24"/>
          <w:szCs w:val="24"/>
        </w:rPr>
        <w:t>TF Chao has no disclosures.</w:t>
      </w:r>
    </w:p>
    <w:p w14:paraId="2AC8922E" w14:textId="77777777" w:rsidR="00597826" w:rsidRPr="00F34B6E" w:rsidRDefault="00597826" w:rsidP="00375DCA">
      <w:pPr>
        <w:rPr>
          <w:sz w:val="24"/>
          <w:szCs w:val="24"/>
        </w:rPr>
      </w:pPr>
      <w:r w:rsidRPr="00F34B6E">
        <w:rPr>
          <w:sz w:val="24"/>
          <w:szCs w:val="24"/>
        </w:rPr>
        <w:t>D Conen reports grants and personal fees from Bayer , grants and personal fees from Daiichi-Sankyo, grants from BMS/Pfizer, personal fees from Boehringer-Ingelheim,  outside the submitted work</w:t>
      </w:r>
    </w:p>
    <w:p w14:paraId="6B9CBB5C" w14:textId="77777777" w:rsidR="00597826" w:rsidRPr="00F34B6E" w:rsidRDefault="00597826" w:rsidP="00375DCA">
      <w:pPr>
        <w:rPr>
          <w:sz w:val="24"/>
          <w:szCs w:val="24"/>
        </w:rPr>
      </w:pPr>
      <w:r w:rsidRPr="00F34B6E">
        <w:rPr>
          <w:sz w:val="24"/>
          <w:szCs w:val="24"/>
        </w:rPr>
        <w:t>J Engdahl reports a significant research grant from Boehringer Ingelheim and modest honoraria from: Pfizer, Bristol Myers Squibb, Roche, Boehringer Ingelheim, Bayer and Sanofi.</w:t>
      </w:r>
    </w:p>
    <w:p w14:paraId="76CCB1A7" w14:textId="77777777" w:rsidR="00597826" w:rsidRPr="00F34B6E" w:rsidRDefault="00597826" w:rsidP="00375DCA">
      <w:pPr>
        <w:rPr>
          <w:sz w:val="24"/>
          <w:szCs w:val="24"/>
        </w:rPr>
      </w:pPr>
      <w:r w:rsidRPr="00F34B6E">
        <w:rPr>
          <w:sz w:val="24"/>
          <w:szCs w:val="24"/>
        </w:rPr>
        <w:t>L Fauchier reports a research grant from Bayer (significant); expert witness fees from: Bayer (significant), BMS/Pfizer (modest), Boehringer Ingelheim (significant), Medtronic (modest) and Novartis (modest); and honoraria from: Bayer (modest), BMS/Pfizer (modest), Boehringher Ingelheim (modest) and Daiichi Sankyo (modest).</w:t>
      </w:r>
    </w:p>
    <w:p w14:paraId="25C84FFA" w14:textId="77777777" w:rsidR="00597826" w:rsidRPr="00F34B6E" w:rsidRDefault="00597826" w:rsidP="00375DCA">
      <w:pPr>
        <w:rPr>
          <w:sz w:val="24"/>
          <w:szCs w:val="24"/>
        </w:rPr>
      </w:pPr>
      <w:r w:rsidRPr="00F34B6E">
        <w:rPr>
          <w:sz w:val="24"/>
          <w:szCs w:val="24"/>
        </w:rPr>
        <w:t>D Fitzmaurice has no disclosures.</w:t>
      </w:r>
    </w:p>
    <w:p w14:paraId="10B0EA7D" w14:textId="77777777" w:rsidR="00597826" w:rsidRPr="00F34B6E" w:rsidRDefault="00597826" w:rsidP="00375DCA">
      <w:pPr>
        <w:rPr>
          <w:sz w:val="24"/>
          <w:szCs w:val="24"/>
        </w:rPr>
      </w:pPr>
      <w:r w:rsidRPr="00F34B6E">
        <w:rPr>
          <w:sz w:val="24"/>
          <w:szCs w:val="24"/>
        </w:rPr>
        <w:t>L Friberg reports substantial consultancy fees from Bayer, Boehringer-Ingelheim and Pfizer/BMS and substantial consultancy fees for participation in a European post authorization safety program (PASS) for rivaroxaban in response to a demand from the European Medicines Agency (EMA).</w:t>
      </w:r>
    </w:p>
    <w:p w14:paraId="6E206784" w14:textId="77777777" w:rsidR="00597826" w:rsidRPr="00F34B6E" w:rsidRDefault="00597826" w:rsidP="00375DCA">
      <w:pPr>
        <w:rPr>
          <w:sz w:val="24"/>
          <w:szCs w:val="24"/>
        </w:rPr>
      </w:pPr>
      <w:r w:rsidRPr="00F34B6E">
        <w:rPr>
          <w:sz w:val="24"/>
          <w:szCs w:val="24"/>
        </w:rPr>
        <w:t>B Gersh reports consultancies (modest) for Janssen Pharmaceuticals, Boston Scientific, Medtronic and CIPLA pharmaceuticals.</w:t>
      </w:r>
      <w:r>
        <w:rPr>
          <w:sz w:val="24"/>
          <w:szCs w:val="24"/>
        </w:rPr>
        <w:t xml:space="preserve"> </w:t>
      </w:r>
    </w:p>
    <w:p w14:paraId="6C30364D" w14:textId="77777777" w:rsidR="00597826" w:rsidRPr="00F34B6E" w:rsidRDefault="00597826" w:rsidP="00375DCA">
      <w:pPr>
        <w:rPr>
          <w:sz w:val="24"/>
          <w:szCs w:val="24"/>
        </w:rPr>
      </w:pPr>
      <w:r w:rsidRPr="00F34B6E">
        <w:rPr>
          <w:sz w:val="24"/>
          <w:szCs w:val="24"/>
        </w:rPr>
        <w:t>D Gladstone reports personal fees from Bayer, personal fees from Boehringer Ingelheim, personal fees from Bristol-Myers Squibb, personal fees from Pfizer,  outside the submitted work;  and PI, EMBRACE trial; PI, SCREEN-AF trial; co-PI, PIAAF-FP study.</w:t>
      </w:r>
    </w:p>
    <w:p w14:paraId="10A011D9" w14:textId="77777777" w:rsidR="00597826" w:rsidRPr="00F34B6E" w:rsidRDefault="00597826" w:rsidP="00375DCA">
      <w:pPr>
        <w:rPr>
          <w:sz w:val="24"/>
          <w:szCs w:val="24"/>
        </w:rPr>
      </w:pPr>
      <w:r w:rsidRPr="00F34B6E">
        <w:rPr>
          <w:sz w:val="24"/>
          <w:szCs w:val="24"/>
        </w:rPr>
        <w:t>T Glotzer reports modest speaking honorarium from Medtronic.</w:t>
      </w:r>
    </w:p>
    <w:p w14:paraId="67D97EA2" w14:textId="77777777" w:rsidR="00597826" w:rsidRPr="00F34B6E" w:rsidRDefault="00597826" w:rsidP="00375DCA">
      <w:pPr>
        <w:rPr>
          <w:sz w:val="24"/>
          <w:szCs w:val="24"/>
        </w:rPr>
      </w:pPr>
      <w:r w:rsidRPr="00F34B6E">
        <w:rPr>
          <w:sz w:val="24"/>
          <w:szCs w:val="24"/>
        </w:rPr>
        <w:t>K Gwynne has no disclosures.</w:t>
      </w:r>
    </w:p>
    <w:p w14:paraId="1DDBEDA9" w14:textId="77777777" w:rsidR="00597826" w:rsidRPr="00F34B6E" w:rsidRDefault="00597826" w:rsidP="00375DCA">
      <w:pPr>
        <w:rPr>
          <w:sz w:val="24"/>
          <w:szCs w:val="24"/>
        </w:rPr>
      </w:pPr>
      <w:r w:rsidRPr="00F34B6E">
        <w:rPr>
          <w:sz w:val="24"/>
          <w:szCs w:val="24"/>
        </w:rPr>
        <w:t>G Hankey has received modest honoraria from Bayer for speaking at sponsored scientific symposia about stroke prevention in atrial fibrillation.</w:t>
      </w:r>
    </w:p>
    <w:p w14:paraId="193939F3" w14:textId="77777777" w:rsidR="00597826" w:rsidRPr="00F34B6E" w:rsidRDefault="00597826" w:rsidP="00375DCA">
      <w:pPr>
        <w:rPr>
          <w:sz w:val="24"/>
          <w:szCs w:val="24"/>
        </w:rPr>
      </w:pPr>
      <w:r w:rsidRPr="00F34B6E">
        <w:rPr>
          <w:sz w:val="24"/>
          <w:szCs w:val="24"/>
        </w:rPr>
        <w:t>J Harbison has no disclosures.</w:t>
      </w:r>
    </w:p>
    <w:p w14:paraId="4370D2AE" w14:textId="77777777" w:rsidR="00597826" w:rsidRPr="00F34B6E" w:rsidRDefault="00597826" w:rsidP="00375DCA">
      <w:pPr>
        <w:rPr>
          <w:sz w:val="24"/>
          <w:szCs w:val="24"/>
        </w:rPr>
      </w:pPr>
      <w:r w:rsidRPr="00F34B6E">
        <w:rPr>
          <w:sz w:val="24"/>
          <w:szCs w:val="24"/>
        </w:rPr>
        <w:t xml:space="preserve">G Hillis </w:t>
      </w:r>
      <w:r>
        <w:rPr>
          <w:sz w:val="24"/>
          <w:szCs w:val="24"/>
        </w:rPr>
        <w:t>reports a significant grant from the Heart Foundation of Australia.</w:t>
      </w:r>
    </w:p>
    <w:p w14:paraId="5A4F27EA" w14:textId="77777777" w:rsidR="00597826" w:rsidRPr="00F34B6E" w:rsidRDefault="00597826" w:rsidP="00375DCA">
      <w:pPr>
        <w:rPr>
          <w:sz w:val="24"/>
          <w:szCs w:val="24"/>
        </w:rPr>
      </w:pPr>
      <w:r w:rsidRPr="00F34B6E">
        <w:rPr>
          <w:sz w:val="24"/>
          <w:szCs w:val="24"/>
        </w:rPr>
        <w:t>MT Hills has no disclosures.</w:t>
      </w:r>
    </w:p>
    <w:p w14:paraId="29BB1985" w14:textId="77777777" w:rsidR="00597826" w:rsidRPr="00F34B6E" w:rsidRDefault="00597826" w:rsidP="00375DCA">
      <w:pPr>
        <w:rPr>
          <w:sz w:val="24"/>
          <w:szCs w:val="24"/>
        </w:rPr>
      </w:pPr>
      <w:r w:rsidRPr="00F34B6E">
        <w:rPr>
          <w:sz w:val="24"/>
          <w:szCs w:val="24"/>
        </w:rPr>
        <w:t>H Kamel reports receiving lecture fees from Genentech on the topic of alteplase for acute ischemic stroke, and serving as an unpaid consultant to Medtronic and iRhythm on the subject of post-stroke heart-rhythm monitoring.</w:t>
      </w:r>
    </w:p>
    <w:p w14:paraId="09CED12C" w14:textId="77777777" w:rsidR="00597826" w:rsidRPr="00F34B6E" w:rsidRDefault="00597826" w:rsidP="00375DCA">
      <w:pPr>
        <w:rPr>
          <w:sz w:val="24"/>
          <w:szCs w:val="24"/>
        </w:rPr>
      </w:pPr>
      <w:r w:rsidRPr="00F34B6E">
        <w:rPr>
          <w:sz w:val="24"/>
          <w:szCs w:val="24"/>
        </w:rPr>
        <w:t xml:space="preserve">P Kirchhof reports grants from </w:t>
      </w:r>
      <w:r>
        <w:rPr>
          <w:sz w:val="24"/>
          <w:szCs w:val="24"/>
        </w:rPr>
        <w:t>s</w:t>
      </w:r>
      <w:r w:rsidRPr="00F34B6E">
        <w:rPr>
          <w:sz w:val="24"/>
          <w:szCs w:val="24"/>
        </w:rPr>
        <w:t>everal public funding bodies, including EU grant agreement No 633196 [CATCH ME], British Heart Foundation (FS/13/43/30324), and Leducq Foundation, grants and personal fees from several industry companies involved producing AF therapies, grants and personal fees from ESC, AFNET, and other professional societies,  outside the submitted work;  In addition, P Kirchhof has a patent AF therapy pending to University of Birmingham, and a patent Markers for AF pending to University of Birmingham.</w:t>
      </w:r>
    </w:p>
    <w:p w14:paraId="5E3B2DE5" w14:textId="77777777" w:rsidR="00597826" w:rsidRPr="00F34B6E" w:rsidRDefault="00597826" w:rsidP="00375DCA">
      <w:pPr>
        <w:rPr>
          <w:sz w:val="24"/>
          <w:szCs w:val="24"/>
        </w:rPr>
      </w:pPr>
      <w:r w:rsidRPr="00F34B6E">
        <w:rPr>
          <w:sz w:val="24"/>
          <w:szCs w:val="24"/>
        </w:rPr>
        <w:t>P Kowey reports moderate consultant fees from Medtronic and has significant equity in Cardionet.</w:t>
      </w:r>
    </w:p>
    <w:p w14:paraId="1F5C8AC7" w14:textId="77777777" w:rsidR="00597826" w:rsidRPr="00F34B6E" w:rsidRDefault="00597826" w:rsidP="00375DCA">
      <w:pPr>
        <w:rPr>
          <w:sz w:val="24"/>
          <w:szCs w:val="24"/>
        </w:rPr>
      </w:pPr>
      <w:r w:rsidRPr="00F34B6E">
        <w:rPr>
          <w:sz w:val="24"/>
          <w:szCs w:val="24"/>
        </w:rPr>
        <w:t>D Krieger has no disclosures.</w:t>
      </w:r>
    </w:p>
    <w:p w14:paraId="3C44ACF0" w14:textId="77777777" w:rsidR="00597826" w:rsidRPr="00F34B6E" w:rsidRDefault="00597826" w:rsidP="00375DCA">
      <w:pPr>
        <w:rPr>
          <w:sz w:val="24"/>
          <w:szCs w:val="24"/>
        </w:rPr>
      </w:pPr>
      <w:r w:rsidRPr="00F34B6E">
        <w:rPr>
          <w:sz w:val="24"/>
          <w:szCs w:val="24"/>
        </w:rPr>
        <w:t>V Lee has no disclosures.</w:t>
      </w:r>
    </w:p>
    <w:p w14:paraId="31AB5951" w14:textId="77777777" w:rsidR="00597826" w:rsidRPr="00F34B6E" w:rsidRDefault="00597826" w:rsidP="00375DCA">
      <w:pPr>
        <w:rPr>
          <w:sz w:val="24"/>
          <w:szCs w:val="24"/>
        </w:rPr>
      </w:pPr>
      <w:r w:rsidRPr="00F34B6E">
        <w:rPr>
          <w:sz w:val="24"/>
          <w:szCs w:val="24"/>
        </w:rPr>
        <w:t>L Levin reports grants and personal fees from Boeringer Ingelheim, personal fees from Pfizer, personal fees from Bayer, outside the submitted work</w:t>
      </w:r>
    </w:p>
    <w:p w14:paraId="158E4202" w14:textId="77777777" w:rsidR="00597826" w:rsidRPr="00F34B6E" w:rsidRDefault="00597826" w:rsidP="00375DCA">
      <w:pPr>
        <w:rPr>
          <w:sz w:val="24"/>
          <w:szCs w:val="24"/>
        </w:rPr>
      </w:pPr>
      <w:r w:rsidRPr="00F34B6E">
        <w:rPr>
          <w:sz w:val="24"/>
          <w:szCs w:val="24"/>
        </w:rPr>
        <w:t>GYH Lip reports significant consultancies for Bayer/Janssen, BMS/Pfizer, Biotronik, Medtronic, Boehringer Ingelheim, Microlife and Daiichi-Sankyo; significant speaker fees for Bayer, BMS/Pfizer, Medtronic, Boehringer Ingelheim, Microlife, Roche and Daiichi-Sankyo.</w:t>
      </w:r>
    </w:p>
    <w:p w14:paraId="0D870871" w14:textId="77777777" w:rsidR="00597826" w:rsidRPr="00F34B6E" w:rsidRDefault="00597826" w:rsidP="00375DCA">
      <w:pPr>
        <w:rPr>
          <w:sz w:val="24"/>
          <w:szCs w:val="24"/>
        </w:rPr>
      </w:pPr>
      <w:r w:rsidRPr="00F34B6E">
        <w:rPr>
          <w:sz w:val="24"/>
          <w:szCs w:val="24"/>
        </w:rPr>
        <w:t>T Lobban has no disclosures.</w:t>
      </w:r>
    </w:p>
    <w:p w14:paraId="105B95FE" w14:textId="77777777" w:rsidR="00597826" w:rsidRPr="00F34B6E" w:rsidRDefault="00597826" w:rsidP="00375DCA">
      <w:pPr>
        <w:rPr>
          <w:sz w:val="24"/>
          <w:szCs w:val="24"/>
        </w:rPr>
      </w:pPr>
      <w:r w:rsidRPr="00F34B6E">
        <w:rPr>
          <w:sz w:val="24"/>
          <w:szCs w:val="24"/>
        </w:rPr>
        <w:t>N Lowres has no disclosures.</w:t>
      </w:r>
    </w:p>
    <w:p w14:paraId="2495FAEE" w14:textId="77777777" w:rsidR="00597826" w:rsidRPr="00F34B6E" w:rsidRDefault="00597826" w:rsidP="00375DCA">
      <w:pPr>
        <w:rPr>
          <w:sz w:val="24"/>
          <w:szCs w:val="24"/>
        </w:rPr>
      </w:pPr>
      <w:r w:rsidRPr="00F34B6E">
        <w:rPr>
          <w:sz w:val="24"/>
          <w:szCs w:val="24"/>
        </w:rPr>
        <w:t>G Mairesse reports grants and personal fees from Boehringer Ingelheim, grants from St Jude Médical, grants from Sanofi, outside the submitted work</w:t>
      </w:r>
      <w:r w:rsidRPr="00C771B6">
        <w:rPr>
          <w:sz w:val="24"/>
          <w:szCs w:val="24"/>
        </w:rPr>
        <w:t>.</w:t>
      </w:r>
    </w:p>
    <w:p w14:paraId="28C84525" w14:textId="77777777" w:rsidR="00597826" w:rsidRPr="00F34B6E" w:rsidRDefault="00597826" w:rsidP="00375DCA">
      <w:pPr>
        <w:rPr>
          <w:sz w:val="24"/>
          <w:szCs w:val="24"/>
        </w:rPr>
      </w:pPr>
      <w:r w:rsidRPr="00F34B6E">
        <w:rPr>
          <w:sz w:val="24"/>
          <w:szCs w:val="24"/>
        </w:rPr>
        <w:t xml:space="preserve">C Martinez </w:t>
      </w:r>
      <w:r>
        <w:rPr>
          <w:sz w:val="24"/>
          <w:szCs w:val="24"/>
        </w:rPr>
        <w:t>has no disclosures</w:t>
      </w:r>
      <w:r w:rsidRPr="00F34B6E">
        <w:rPr>
          <w:sz w:val="24"/>
          <w:szCs w:val="24"/>
        </w:rPr>
        <w:t xml:space="preserve"> .</w:t>
      </w:r>
    </w:p>
    <w:p w14:paraId="26115743" w14:textId="77777777" w:rsidR="00597826" w:rsidRPr="00F34B6E" w:rsidRDefault="00597826" w:rsidP="00375DCA">
      <w:pPr>
        <w:rPr>
          <w:sz w:val="24"/>
          <w:szCs w:val="24"/>
        </w:rPr>
      </w:pPr>
      <w:r w:rsidRPr="00F34B6E">
        <w:rPr>
          <w:sz w:val="24"/>
          <w:szCs w:val="24"/>
        </w:rPr>
        <w:t>L Neubeck reports grants (significant) from Pfizer/BMS and Bayer and honoraria (modest) from Pfizer/BMS, Bayer and Boehringer Ingelheim.</w:t>
      </w:r>
    </w:p>
    <w:p w14:paraId="024D6F60" w14:textId="77777777" w:rsidR="00597826" w:rsidRPr="00F34B6E" w:rsidRDefault="00597826" w:rsidP="00375DCA">
      <w:pPr>
        <w:rPr>
          <w:sz w:val="24"/>
          <w:szCs w:val="24"/>
        </w:rPr>
      </w:pPr>
      <w:r w:rsidRPr="00F34B6E">
        <w:rPr>
          <w:sz w:val="24"/>
          <w:szCs w:val="24"/>
        </w:rPr>
        <w:t>J Orchard has no disclosures.</w:t>
      </w:r>
    </w:p>
    <w:p w14:paraId="6FB654AB" w14:textId="727F4047" w:rsidR="00597826" w:rsidRPr="00F34B6E" w:rsidRDefault="00597826" w:rsidP="00375DCA">
      <w:pPr>
        <w:rPr>
          <w:sz w:val="24"/>
          <w:szCs w:val="24"/>
        </w:rPr>
      </w:pPr>
      <w:r w:rsidRPr="00F34B6E">
        <w:rPr>
          <w:sz w:val="24"/>
          <w:szCs w:val="24"/>
        </w:rPr>
        <w:t xml:space="preserve">J Piccini </w:t>
      </w:r>
      <w:r w:rsidR="00C23DFF" w:rsidRPr="00C23DFF">
        <w:rPr>
          <w:sz w:val="24"/>
          <w:szCs w:val="24"/>
        </w:rPr>
        <w:t>receives grants for clinical research from Abbott, Boston</w:t>
      </w:r>
      <w:r w:rsidR="0052434C">
        <w:rPr>
          <w:sz w:val="24"/>
          <w:szCs w:val="24"/>
        </w:rPr>
        <w:t xml:space="preserve"> Scientific, Gilead, JNJ, the N</w:t>
      </w:r>
      <w:r w:rsidR="00C23DFF" w:rsidRPr="00C23DFF">
        <w:rPr>
          <w:sz w:val="24"/>
          <w:szCs w:val="24"/>
        </w:rPr>
        <w:t>HLBI, and Spectranetics and serves as a consultant to Allergan, Amgen, GSK, JNJ, Medtronic, Quest Labs, and Spectranetics</w:t>
      </w:r>
    </w:p>
    <w:p w14:paraId="40DB1710" w14:textId="77777777" w:rsidR="00597826" w:rsidRPr="00F34B6E" w:rsidRDefault="00597826" w:rsidP="00375DCA">
      <w:pPr>
        <w:rPr>
          <w:sz w:val="24"/>
          <w:szCs w:val="24"/>
        </w:rPr>
      </w:pPr>
      <w:r w:rsidRPr="00F34B6E">
        <w:rPr>
          <w:sz w:val="24"/>
          <w:szCs w:val="24"/>
        </w:rPr>
        <w:t>K Poppe has no disclosures.</w:t>
      </w:r>
    </w:p>
    <w:p w14:paraId="3010A3CB" w14:textId="77777777" w:rsidR="00597826" w:rsidRPr="00F34B6E" w:rsidRDefault="00597826" w:rsidP="00375DCA">
      <w:pPr>
        <w:rPr>
          <w:sz w:val="24"/>
          <w:szCs w:val="24"/>
        </w:rPr>
      </w:pPr>
      <w:r w:rsidRPr="00F34B6E">
        <w:rPr>
          <w:sz w:val="24"/>
          <w:szCs w:val="24"/>
        </w:rPr>
        <w:t xml:space="preserve">T Potpara </w:t>
      </w:r>
      <w:r>
        <w:rPr>
          <w:sz w:val="24"/>
          <w:szCs w:val="24"/>
        </w:rPr>
        <w:t>has no disclosures</w:t>
      </w:r>
      <w:r w:rsidRPr="00F34B6E">
        <w:rPr>
          <w:sz w:val="24"/>
          <w:szCs w:val="24"/>
        </w:rPr>
        <w:t>.</w:t>
      </w:r>
    </w:p>
    <w:p w14:paraId="09687A91" w14:textId="77777777" w:rsidR="00597826" w:rsidRPr="00F34B6E" w:rsidRDefault="00597826" w:rsidP="00375DCA">
      <w:pPr>
        <w:rPr>
          <w:sz w:val="24"/>
          <w:szCs w:val="24"/>
        </w:rPr>
      </w:pPr>
      <w:r w:rsidRPr="00F34B6E">
        <w:rPr>
          <w:sz w:val="24"/>
          <w:szCs w:val="24"/>
        </w:rPr>
        <w:t>H Puererfellner reports modest honoraria and expert witness fees from: Medtronic, Saint Jude Medical and Biosense-Webster; and modest honoraria from Boehringer-Ingelheim, Bayer, Daiichi-Sankyo and Bristol-Myers-Squibb.</w:t>
      </w:r>
    </w:p>
    <w:p w14:paraId="0832BBA9" w14:textId="77777777" w:rsidR="00597826" w:rsidRPr="00F34B6E" w:rsidRDefault="00597826" w:rsidP="00375DCA">
      <w:pPr>
        <w:rPr>
          <w:sz w:val="24"/>
          <w:szCs w:val="24"/>
        </w:rPr>
      </w:pPr>
      <w:r w:rsidRPr="00F34B6E">
        <w:rPr>
          <w:sz w:val="24"/>
          <w:szCs w:val="24"/>
        </w:rPr>
        <w:t>M Rienstra reports significant research grants from the Netherlands Organisation of Scientific Research and the Netherlands Cardiovascular Research Initiative supported by Dutch Heart Foundation.</w:t>
      </w:r>
    </w:p>
    <w:p w14:paraId="1D55F19A" w14:textId="77777777" w:rsidR="00597826" w:rsidRPr="00F34B6E" w:rsidRDefault="00597826" w:rsidP="00375DCA">
      <w:pPr>
        <w:rPr>
          <w:sz w:val="24"/>
          <w:szCs w:val="24"/>
        </w:rPr>
      </w:pPr>
      <w:r w:rsidRPr="00F34B6E">
        <w:rPr>
          <w:sz w:val="24"/>
          <w:szCs w:val="24"/>
        </w:rPr>
        <w:t>R Sandhu has no disclosures.</w:t>
      </w:r>
    </w:p>
    <w:p w14:paraId="0522650F" w14:textId="77777777" w:rsidR="00597826" w:rsidRPr="00F34B6E" w:rsidRDefault="00597826" w:rsidP="00375DCA">
      <w:pPr>
        <w:rPr>
          <w:sz w:val="24"/>
          <w:szCs w:val="24"/>
        </w:rPr>
      </w:pPr>
      <w:r w:rsidRPr="00F34B6E">
        <w:rPr>
          <w:sz w:val="24"/>
          <w:szCs w:val="24"/>
        </w:rPr>
        <w:t>R Schnabel reports funding from the European Research Council (ERC) under the European Union’s Horizon 2020 research and innovation programme (grant agreement No 648131) and German Ministry of Research and Education (BMBF 01ZX1408A).</w:t>
      </w:r>
    </w:p>
    <w:p w14:paraId="138BA833" w14:textId="77777777" w:rsidR="00597826" w:rsidRPr="00F34B6E" w:rsidRDefault="00597826" w:rsidP="00375DCA">
      <w:pPr>
        <w:rPr>
          <w:sz w:val="24"/>
          <w:szCs w:val="24"/>
        </w:rPr>
      </w:pPr>
      <w:r w:rsidRPr="00F34B6E">
        <w:rPr>
          <w:sz w:val="24"/>
          <w:szCs w:val="24"/>
        </w:rPr>
        <w:t>CW Siu ​​ has been on the speakers of symposia for Bayer, BMS/Pfizer, and Boehringer Ingelheim (modest).</w:t>
      </w:r>
    </w:p>
    <w:p w14:paraId="6FC06565" w14:textId="77777777" w:rsidR="00597826" w:rsidRPr="00F34B6E" w:rsidRDefault="00597826" w:rsidP="00375DCA">
      <w:pPr>
        <w:rPr>
          <w:sz w:val="24"/>
          <w:szCs w:val="24"/>
        </w:rPr>
      </w:pPr>
      <w:r w:rsidRPr="00F34B6E">
        <w:rPr>
          <w:sz w:val="24"/>
          <w:szCs w:val="24"/>
        </w:rPr>
        <w:t>S Steinhubl reports a significant research grant from Janssen Pharmaceutical.</w:t>
      </w:r>
    </w:p>
    <w:p w14:paraId="42FECEB9" w14:textId="77777777" w:rsidR="00597826" w:rsidRPr="00F34B6E" w:rsidRDefault="00597826" w:rsidP="00375DCA">
      <w:pPr>
        <w:rPr>
          <w:sz w:val="24"/>
          <w:szCs w:val="24"/>
        </w:rPr>
      </w:pPr>
      <w:r w:rsidRPr="00F34B6E">
        <w:rPr>
          <w:sz w:val="24"/>
          <w:szCs w:val="24"/>
        </w:rPr>
        <w:t>JH Svendsen reports research grant (significant) and honoraria (modest) from Medtronic; research grants (modest) and honoraria (modest) from Biotronik, honoraria (modest) from Gilead, honoraria (modest) from Boehringer Ingelheim, honoraria (modest) from Astra-Zeneca and honoraria (modest) from Bayer.</w:t>
      </w:r>
    </w:p>
    <w:p w14:paraId="444D72F0" w14:textId="77777777" w:rsidR="00597826" w:rsidRPr="00F34B6E" w:rsidRDefault="00597826" w:rsidP="00375DCA">
      <w:pPr>
        <w:rPr>
          <w:sz w:val="24"/>
          <w:szCs w:val="24"/>
        </w:rPr>
      </w:pPr>
      <w:r w:rsidRPr="00C771B6">
        <w:rPr>
          <w:sz w:val="24"/>
          <w:szCs w:val="24"/>
        </w:rPr>
        <w:t>E Svennberg has received modest honoraria from Merck Sharp &amp; Dohme, Bristol-Myers Squibb/Pfizer, Boehringer-Ingelheim, Bayer and Sanofi, and a research grant from Roche (significant). </w:t>
      </w:r>
      <w:r w:rsidRPr="00F34B6E" w:rsidDel="007B3C2D">
        <w:rPr>
          <w:sz w:val="24"/>
          <w:szCs w:val="24"/>
        </w:rPr>
        <w:t xml:space="preserve"> </w:t>
      </w:r>
      <w:r w:rsidRPr="00F34B6E">
        <w:rPr>
          <w:sz w:val="24"/>
          <w:szCs w:val="24"/>
        </w:rPr>
        <w:t>S Themistoclakis has no disclosures.</w:t>
      </w:r>
    </w:p>
    <w:p w14:paraId="6A3F31F5" w14:textId="77777777" w:rsidR="00597826" w:rsidRPr="00F34B6E" w:rsidRDefault="00597826" w:rsidP="00375DCA">
      <w:pPr>
        <w:rPr>
          <w:sz w:val="24"/>
          <w:szCs w:val="24"/>
        </w:rPr>
      </w:pPr>
      <w:r w:rsidRPr="007C5552">
        <w:rPr>
          <w:sz w:val="24"/>
          <w:szCs w:val="24"/>
        </w:rPr>
        <w:t>R Tieleman has a patent as co-inventor of the MyDiagnostick with modest royalties paid.</w:t>
      </w:r>
    </w:p>
    <w:p w14:paraId="156C7CDE" w14:textId="77777777" w:rsidR="00597826" w:rsidRPr="00F34B6E" w:rsidRDefault="00597826" w:rsidP="00375DCA">
      <w:pPr>
        <w:rPr>
          <w:sz w:val="24"/>
          <w:szCs w:val="24"/>
        </w:rPr>
      </w:pPr>
      <w:r w:rsidRPr="00C771B6">
        <w:rPr>
          <w:sz w:val="24"/>
          <w:szCs w:val="24"/>
        </w:rPr>
        <w:t>M Turakhia reports grants (&gt;$10K) and personal fees ($&lt;10K) from Medtronic, grants from Janssen (&gt;$10K), personal fees from AliveCor (&lt;$10K), personal fees from Daiichi Sankyo (&lt;$10K), personal fees from Armetheon (&lt;$10K), personal fees from St Jude Medical (&gt;$10K), outside the submitted work</w:t>
      </w:r>
      <w:r w:rsidRPr="00F34B6E">
        <w:rPr>
          <w:sz w:val="24"/>
          <w:szCs w:val="24"/>
        </w:rPr>
        <w:t>.</w:t>
      </w:r>
    </w:p>
    <w:p w14:paraId="7DFF0399" w14:textId="77777777" w:rsidR="00597826" w:rsidRPr="00F34B6E" w:rsidRDefault="00597826" w:rsidP="00375DCA">
      <w:pPr>
        <w:rPr>
          <w:sz w:val="24"/>
          <w:szCs w:val="24"/>
        </w:rPr>
      </w:pPr>
      <w:r w:rsidRPr="00F34B6E">
        <w:rPr>
          <w:sz w:val="24"/>
          <w:szCs w:val="24"/>
        </w:rPr>
        <w:t>A Tveit has no disclosures.</w:t>
      </w:r>
    </w:p>
    <w:p w14:paraId="3B39F234" w14:textId="77777777" w:rsidR="00597826" w:rsidRPr="00F34B6E" w:rsidRDefault="00597826" w:rsidP="00375DCA">
      <w:pPr>
        <w:rPr>
          <w:sz w:val="24"/>
          <w:szCs w:val="24"/>
        </w:rPr>
      </w:pPr>
      <w:r w:rsidRPr="00F34B6E">
        <w:rPr>
          <w:sz w:val="24"/>
          <w:szCs w:val="24"/>
        </w:rPr>
        <w:t>S Uittenbogaart has no disclosures.</w:t>
      </w:r>
    </w:p>
    <w:p w14:paraId="390D84D7" w14:textId="77777777" w:rsidR="00597826" w:rsidRPr="00F34B6E" w:rsidRDefault="00597826" w:rsidP="00375DCA">
      <w:pPr>
        <w:rPr>
          <w:sz w:val="24"/>
          <w:szCs w:val="24"/>
        </w:rPr>
      </w:pPr>
      <w:r w:rsidRPr="00F34B6E">
        <w:rPr>
          <w:sz w:val="24"/>
          <w:szCs w:val="24"/>
        </w:rPr>
        <w:t>I Van Gelder has no disclosures.</w:t>
      </w:r>
    </w:p>
    <w:p w14:paraId="56ADFEAD" w14:textId="77777777" w:rsidR="00597826" w:rsidRPr="00F34B6E" w:rsidRDefault="00597826" w:rsidP="00375DCA">
      <w:pPr>
        <w:rPr>
          <w:sz w:val="24"/>
          <w:szCs w:val="24"/>
        </w:rPr>
      </w:pPr>
      <w:r w:rsidRPr="00F34B6E">
        <w:rPr>
          <w:sz w:val="24"/>
          <w:szCs w:val="24"/>
        </w:rPr>
        <w:t>A Verma reports grants from Medtronic,  outside the submitted work; .</w:t>
      </w:r>
    </w:p>
    <w:p w14:paraId="6C101321" w14:textId="77777777" w:rsidR="00597826" w:rsidRPr="00F34B6E" w:rsidRDefault="00597826" w:rsidP="00375DCA">
      <w:pPr>
        <w:rPr>
          <w:sz w:val="24"/>
          <w:szCs w:val="24"/>
        </w:rPr>
      </w:pPr>
      <w:r w:rsidRPr="00F34B6E">
        <w:rPr>
          <w:sz w:val="24"/>
          <w:szCs w:val="24"/>
        </w:rPr>
        <w:t>R Wachter reports a significant research grant from Boehringer Ingelheim and modes honoraria from: Boehringer Ingelheim, Bayer, Bristol-Myers-Squibb, Medtronic and Pfizer.</w:t>
      </w:r>
    </w:p>
    <w:p w14:paraId="3FBAC27D" w14:textId="77777777" w:rsidR="00597826" w:rsidRPr="004D04BF" w:rsidRDefault="00597826" w:rsidP="00375DCA">
      <w:pPr>
        <w:rPr>
          <w:sz w:val="24"/>
          <w:szCs w:val="24"/>
        </w:rPr>
      </w:pPr>
      <w:r w:rsidRPr="00F34B6E">
        <w:rPr>
          <w:sz w:val="24"/>
          <w:szCs w:val="24"/>
        </w:rPr>
        <w:t>BP Yan reports modest "other research support" in terms of AliveCor and Cardiio (Cardiio Inc, Cambridge, MA) devices.</w:t>
      </w:r>
    </w:p>
    <w:p w14:paraId="7AC405A8" w14:textId="77777777" w:rsidR="00597826" w:rsidRPr="00C771B6" w:rsidRDefault="00597826" w:rsidP="00375DCA">
      <w:pPr>
        <w:rPr>
          <w:sz w:val="24"/>
          <w:szCs w:val="24"/>
        </w:rPr>
      </w:pPr>
      <w:r w:rsidRPr="00C771B6">
        <w:rPr>
          <w:sz w:val="24"/>
          <w:szCs w:val="24"/>
        </w:rPr>
        <w:t xml:space="preserve"> </w:t>
      </w:r>
    </w:p>
    <w:p w14:paraId="4D19EC7A" w14:textId="77777777" w:rsidR="00375DCA" w:rsidRDefault="00375DCA"/>
    <w:sectPr w:rsidR="00375DCA" w:rsidSect="00375DC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863CAF" w14:textId="77777777" w:rsidR="00A07215" w:rsidRDefault="00A07215">
      <w:pPr>
        <w:spacing w:after="0" w:line="240" w:lineRule="auto"/>
      </w:pPr>
      <w:r>
        <w:separator/>
      </w:r>
    </w:p>
  </w:endnote>
  <w:endnote w:type="continuationSeparator" w:id="0">
    <w:p w14:paraId="4F1A167A" w14:textId="77777777" w:rsidR="00A07215" w:rsidRDefault="00A07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dvOT35fdff1a">
    <w:altName w:val="Cambria"/>
    <w:panose1 w:val="00000000000000000000"/>
    <w:charset w:val="00"/>
    <w:family w:val="roman"/>
    <w:notTrueType/>
    <w:pitch w:val="default"/>
    <w:sig w:usb0="00000003" w:usb1="00000000" w:usb2="00000000" w:usb3="00000000" w:csb0="00000001" w:csb1="00000000"/>
  </w:font>
  <w:font w:name="HelveticaNeue-Condensed">
    <w:altName w:val="Cambria"/>
    <w:panose1 w:val="00000000000000000000"/>
    <w:charset w:val="00"/>
    <w:family w:val="swiss"/>
    <w:notTrueType/>
    <w:pitch w:val="default"/>
    <w:sig w:usb0="00000003" w:usb1="00000000" w:usb2="00000000" w:usb3="00000000" w:csb0="00000001" w:csb1="00000000"/>
  </w:font>
  <w:font w:name="Universal-GreekwithMathPi">
    <w:altName w:val="Cambria"/>
    <w:panose1 w:val="00000000000000000000"/>
    <w:charset w:val="00"/>
    <w:family w:val="auto"/>
    <w:notTrueType/>
    <w:pitch w:val="default"/>
    <w:sig w:usb0="00000003" w:usb1="00000000" w:usb2="00000000" w:usb3="00000000" w:csb0="00000001" w:csb1="00000000"/>
  </w:font>
  <w:font w:name="Times-Roman">
    <w:altName w:val="Times New Roman"/>
    <w:charset w:val="00"/>
    <w:family w:val="auto"/>
    <w:pitch w:val="variable"/>
    <w:sig w:usb0="00000003" w:usb1="00000000" w:usb2="00000000" w:usb3="00000000" w:csb0="00000001" w:csb1="00000000"/>
  </w:font>
  <w:font w:name="OTNEJMScalaSansLF">
    <w:altName w:val="Arial"/>
    <w:panose1 w:val="00000000000000000000"/>
    <w:charset w:val="A3"/>
    <w:family w:val="swiss"/>
    <w:notTrueType/>
    <w:pitch w:val="default"/>
    <w:sig w:usb0="20000001" w:usb1="00000000" w:usb2="00000000" w:usb3="00000000" w:csb0="00000100" w:csb1="00000000"/>
  </w:font>
  <w:font w:name="AdvP4C4E74">
    <w:altName w:val="Cambria"/>
    <w:panose1 w:val="00000000000000000000"/>
    <w:charset w:val="00"/>
    <w:family w:val="auto"/>
    <w:notTrueType/>
    <w:pitch w:val="default"/>
    <w:sig w:usb0="00000003" w:usb1="00000000" w:usb2="00000000" w:usb3="00000000" w:csb0="00000001" w:csb1="00000000"/>
  </w:font>
  <w:font w:name="AdvOTb7819099">
    <w:altName w:val="Cambria"/>
    <w:panose1 w:val="00000000000000000000"/>
    <w:charset w:val="00"/>
    <w:family w:val="swiss"/>
    <w:notTrueType/>
    <w:pitch w:val="default"/>
    <w:sig w:usb0="00000003" w:usb1="00000000" w:usb2="00000000" w:usb3="00000000" w:csb0="00000001" w:csb1="00000000"/>
  </w:font>
  <w:font w:name="AdvPi1">
    <w:altName w:val="Cambria"/>
    <w:panose1 w:val="00000000000000000000"/>
    <w:charset w:val="00"/>
    <w:family w:val="roman"/>
    <w:notTrueType/>
    <w:pitch w:val="default"/>
    <w:sig w:usb0="00000003" w:usb1="00000000" w:usb2="00000000" w:usb3="00000000" w:csb0="00000001" w:csb1="00000000"/>
  </w:font>
  <w:font w:name="HelveticaNeueLTStd-LtCn">
    <w:altName w:val="Cambri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TNEJMQuadraat">
    <w:altName w:val="Cambria"/>
    <w:panose1 w:val="00000000000000000000"/>
    <w:charset w:val="4D"/>
    <w:family w:val="roman"/>
    <w:notTrueType/>
    <w:pitch w:val="default"/>
    <w:sig w:usb0="00000003" w:usb1="00000000" w:usb2="00000000" w:usb3="00000000" w:csb0="00000001" w:csb1="00000000"/>
  </w:font>
  <w:font w:name="NewsGothic">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453786"/>
      <w:docPartObj>
        <w:docPartGallery w:val="Page Numbers (Bottom of Page)"/>
        <w:docPartUnique/>
      </w:docPartObj>
    </w:sdtPr>
    <w:sdtEndPr>
      <w:rPr>
        <w:noProof/>
      </w:rPr>
    </w:sdtEndPr>
    <w:sdtContent>
      <w:p w14:paraId="5552DCA9" w14:textId="77777777" w:rsidR="00D32193" w:rsidRDefault="00D32193">
        <w:pPr>
          <w:pStyle w:val="Footer"/>
          <w:jc w:val="right"/>
        </w:pPr>
        <w:r>
          <w:fldChar w:fldCharType="begin"/>
        </w:r>
        <w:r>
          <w:instrText xml:space="preserve"> PAGE   \* MERGEFORMAT </w:instrText>
        </w:r>
        <w:r>
          <w:fldChar w:fldCharType="separate"/>
        </w:r>
        <w:r w:rsidR="00B611FB">
          <w:rPr>
            <w:noProof/>
          </w:rPr>
          <w:t>39</w:t>
        </w:r>
        <w:r>
          <w:rPr>
            <w:noProof/>
          </w:rPr>
          <w:fldChar w:fldCharType="end"/>
        </w:r>
      </w:p>
    </w:sdtContent>
  </w:sdt>
  <w:p w14:paraId="66E81E54" w14:textId="77777777" w:rsidR="00D32193" w:rsidRDefault="00D32193">
    <w:pPr>
      <w:pStyle w:val="Footer"/>
    </w:pPr>
  </w:p>
  <w:p w14:paraId="71E05BAC" w14:textId="77777777" w:rsidR="00D32193" w:rsidRDefault="00D3219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26AB1" w14:textId="77777777" w:rsidR="00A07215" w:rsidRDefault="00A07215">
      <w:pPr>
        <w:spacing w:after="0" w:line="240" w:lineRule="auto"/>
      </w:pPr>
      <w:r>
        <w:separator/>
      </w:r>
    </w:p>
  </w:footnote>
  <w:footnote w:type="continuationSeparator" w:id="0">
    <w:p w14:paraId="2B3FD9A9" w14:textId="77777777" w:rsidR="00A07215" w:rsidRDefault="00A07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46C0E"/>
    <w:multiLevelType w:val="hybridMultilevel"/>
    <w:tmpl w:val="89A04FF0"/>
    <w:lvl w:ilvl="0" w:tplc="8D987C2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 w15:restartNumberingAfterBreak="0">
    <w:nsid w:val="01500038"/>
    <w:multiLevelType w:val="hybridMultilevel"/>
    <w:tmpl w:val="30188B74"/>
    <w:lvl w:ilvl="0" w:tplc="04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6A7B2E"/>
    <w:multiLevelType w:val="hybridMultilevel"/>
    <w:tmpl w:val="1D941216"/>
    <w:lvl w:ilvl="0" w:tplc="F8B623B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EC4E2A"/>
    <w:multiLevelType w:val="hybridMultilevel"/>
    <w:tmpl w:val="D216228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4" w15:restartNumberingAfterBreak="0">
    <w:nsid w:val="103625AD"/>
    <w:multiLevelType w:val="hybridMultilevel"/>
    <w:tmpl w:val="DA1CF0F4"/>
    <w:lvl w:ilvl="0" w:tplc="6CCC3AA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B6228"/>
    <w:multiLevelType w:val="hybridMultilevel"/>
    <w:tmpl w:val="2E5CD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91630B"/>
    <w:multiLevelType w:val="hybridMultilevel"/>
    <w:tmpl w:val="24AA0450"/>
    <w:lvl w:ilvl="0" w:tplc="03F08A5A">
      <w:start w:val="1"/>
      <w:numFmt w:val="decimal"/>
      <w:lvlText w:val="%1."/>
      <w:lvlJc w:val="left"/>
      <w:pPr>
        <w:ind w:left="720" w:hanging="360"/>
      </w:pPr>
      <w:rPr>
        <w:rFonts w:cstheme="majorBidi" w:hint="default"/>
        <w:b w:val="0"/>
        <w:i w:val="0"/>
        <w:color w:val="2F5496" w:themeColor="accent1" w:themeShade="B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B94DCA"/>
    <w:multiLevelType w:val="hybridMultilevel"/>
    <w:tmpl w:val="C28CFF1E"/>
    <w:lvl w:ilvl="0" w:tplc="2252F8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7227BC"/>
    <w:multiLevelType w:val="hybridMultilevel"/>
    <w:tmpl w:val="09BA727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2EEA794A"/>
    <w:multiLevelType w:val="hybridMultilevel"/>
    <w:tmpl w:val="89A04FF0"/>
    <w:lvl w:ilvl="0" w:tplc="8D987C2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0" w15:restartNumberingAfterBreak="0">
    <w:nsid w:val="35FE2155"/>
    <w:multiLevelType w:val="hybridMultilevel"/>
    <w:tmpl w:val="89A04FF0"/>
    <w:lvl w:ilvl="0" w:tplc="8D987C2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376F5704"/>
    <w:multiLevelType w:val="hybridMultilevel"/>
    <w:tmpl w:val="D17AC5F4"/>
    <w:lvl w:ilvl="0" w:tplc="DE0CEC2E">
      <w:start w:val="1"/>
      <w:numFmt w:val="decimal"/>
      <w:lvlText w:val="%1."/>
      <w:lvlJc w:val="left"/>
      <w:pPr>
        <w:ind w:left="786" w:hanging="360"/>
      </w:pPr>
      <w:rPr>
        <w:rFonts w:hint="default"/>
        <w:b/>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2" w15:restartNumberingAfterBreak="0">
    <w:nsid w:val="398E4D1C"/>
    <w:multiLevelType w:val="hybridMultilevel"/>
    <w:tmpl w:val="58004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5B5780"/>
    <w:multiLevelType w:val="hybridMultilevel"/>
    <w:tmpl w:val="8E9C9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061B1B"/>
    <w:multiLevelType w:val="hybridMultilevel"/>
    <w:tmpl w:val="58004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5B60EF"/>
    <w:multiLevelType w:val="hybridMultilevel"/>
    <w:tmpl w:val="E94E09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6" w15:restartNumberingAfterBreak="0">
    <w:nsid w:val="48AB06FB"/>
    <w:multiLevelType w:val="hybridMultilevel"/>
    <w:tmpl w:val="209E9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33524B"/>
    <w:multiLevelType w:val="hybridMultilevel"/>
    <w:tmpl w:val="7FCAF3BC"/>
    <w:lvl w:ilvl="0" w:tplc="33F475C8">
      <w:start w:val="1"/>
      <w:numFmt w:val="decimal"/>
      <w:lvlText w:val="%1."/>
      <w:lvlJc w:val="left"/>
      <w:pPr>
        <w:ind w:left="1080" w:hanging="360"/>
      </w:pPr>
      <w:rPr>
        <w:rFonts w:eastAsiaTheme="majorEastAsia" w:cstheme="majorBidi" w:hint="default"/>
        <w:b/>
        <w:i w:val="0"/>
        <w:color w:val="2F5496" w:themeColor="accent1" w:themeShade="BF"/>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707A1F"/>
    <w:multiLevelType w:val="hybridMultilevel"/>
    <w:tmpl w:val="9D461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1FD2A97"/>
    <w:multiLevelType w:val="hybridMultilevel"/>
    <w:tmpl w:val="04C2CD62"/>
    <w:lvl w:ilvl="0" w:tplc="8D987C22">
      <w:start w:val="1"/>
      <w:numFmt w:val="lowerLetter"/>
      <w:lvlText w:val="%1)"/>
      <w:lvlJc w:val="left"/>
      <w:pPr>
        <w:ind w:left="770" w:hanging="360"/>
      </w:pPr>
      <w:rPr>
        <w:rFonts w:hint="default"/>
        <w:i w:val="0"/>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55C664ED"/>
    <w:multiLevelType w:val="hybridMultilevel"/>
    <w:tmpl w:val="F0545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1C5A55"/>
    <w:multiLevelType w:val="hybridMultilevel"/>
    <w:tmpl w:val="4A6219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92A6C0A"/>
    <w:multiLevelType w:val="hybridMultilevel"/>
    <w:tmpl w:val="12B29FE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3" w15:restartNumberingAfterBreak="0">
    <w:nsid w:val="594B67F2"/>
    <w:multiLevelType w:val="hybridMultilevel"/>
    <w:tmpl w:val="0D4EC7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9A73526"/>
    <w:multiLevelType w:val="hybridMultilevel"/>
    <w:tmpl w:val="E7B0E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A826385"/>
    <w:multiLevelType w:val="hybridMultilevel"/>
    <w:tmpl w:val="89A04FF0"/>
    <w:lvl w:ilvl="0" w:tplc="8D987C2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5DC75AC5"/>
    <w:multiLevelType w:val="hybridMultilevel"/>
    <w:tmpl w:val="58004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F12E7"/>
    <w:multiLevelType w:val="hybridMultilevel"/>
    <w:tmpl w:val="253CE9A0"/>
    <w:lvl w:ilvl="0" w:tplc="DC682B5E">
      <w:start w:val="1"/>
      <w:numFmt w:val="lowerLetter"/>
      <w:lvlText w:val="(%1)"/>
      <w:lvlJc w:val="left"/>
      <w:pPr>
        <w:ind w:left="720" w:hanging="360"/>
      </w:pPr>
      <w:rPr>
        <w:rFonts w:cs="Verdan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2A064E"/>
    <w:multiLevelType w:val="hybridMultilevel"/>
    <w:tmpl w:val="CB8C499E"/>
    <w:lvl w:ilvl="0" w:tplc="E13A25A0">
      <w:start w:val="1"/>
      <w:numFmt w:val="decimal"/>
      <w:lvlText w:val="%1."/>
      <w:lvlJc w:val="left"/>
      <w:pPr>
        <w:ind w:left="720" w:hanging="360"/>
      </w:pPr>
      <w:rPr>
        <w:rFonts w:asciiTheme="minorHAnsi" w:hAnsiTheme="minorHAnsi" w:cstheme="minorBid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AA087D"/>
    <w:multiLevelType w:val="hybridMultilevel"/>
    <w:tmpl w:val="46E2AF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1B0E04"/>
    <w:multiLevelType w:val="hybridMultilevel"/>
    <w:tmpl w:val="A86A6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5750CEE"/>
    <w:multiLevelType w:val="hybridMultilevel"/>
    <w:tmpl w:val="89A04FF0"/>
    <w:lvl w:ilvl="0" w:tplc="8D987C2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2" w15:restartNumberingAfterBreak="0">
    <w:nsid w:val="6B225775"/>
    <w:multiLevelType w:val="hybridMultilevel"/>
    <w:tmpl w:val="89A04FF0"/>
    <w:lvl w:ilvl="0" w:tplc="8D987C22">
      <w:start w:val="1"/>
      <w:numFmt w:val="lowerLetter"/>
      <w:lvlText w:val="%1)"/>
      <w:lvlJc w:val="left"/>
      <w:pPr>
        <w:ind w:left="770" w:hanging="360"/>
      </w:pPr>
      <w:rPr>
        <w:rFonts w:hint="default"/>
      </w:r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3" w15:restartNumberingAfterBreak="0">
    <w:nsid w:val="6B282B15"/>
    <w:multiLevelType w:val="hybridMultilevel"/>
    <w:tmpl w:val="1E726CB4"/>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4" w15:restartNumberingAfterBreak="0">
    <w:nsid w:val="77233DC1"/>
    <w:multiLevelType w:val="hybridMultilevel"/>
    <w:tmpl w:val="D3D2C444"/>
    <w:lvl w:ilvl="0" w:tplc="4D2E491A">
      <w:start w:val="1"/>
      <w:numFmt w:val="lowerLetter"/>
      <w:lvlText w:val="(%1)"/>
      <w:lvlJc w:val="left"/>
      <w:pPr>
        <w:ind w:left="1080" w:hanging="360"/>
      </w:pPr>
      <w:rPr>
        <w:rFonts w:asciiTheme="majorHAnsi" w:hAnsiTheme="majorHAnsi" w:cs="Verdan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78F7990"/>
    <w:multiLevelType w:val="hybridMultilevel"/>
    <w:tmpl w:val="A9F83E3C"/>
    <w:lvl w:ilvl="0" w:tplc="0410000F">
      <w:start w:val="1"/>
      <w:numFmt w:val="decimal"/>
      <w:lvlText w:val="%1."/>
      <w:lvlJc w:val="left"/>
      <w:pPr>
        <w:tabs>
          <w:tab w:val="num" w:pos="720"/>
        </w:tabs>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332064"/>
    <w:multiLevelType w:val="hybridMultilevel"/>
    <w:tmpl w:val="A9721F5C"/>
    <w:lvl w:ilvl="0" w:tplc="6FACBCF2">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BD28AA"/>
    <w:multiLevelType w:val="hybridMultilevel"/>
    <w:tmpl w:val="847AA28C"/>
    <w:lvl w:ilvl="0" w:tplc="21C4A27C">
      <w:start w:val="2"/>
      <w:numFmt w:val="bullet"/>
      <w:lvlText w:val="-"/>
      <w:lvlJc w:val="left"/>
      <w:pPr>
        <w:ind w:left="410" w:hanging="360"/>
      </w:pPr>
      <w:rPr>
        <w:rFonts w:ascii="Calibri Light" w:eastAsiaTheme="minorHAnsi" w:hAnsi="Calibri Light" w:cs="Verdana" w:hint="default"/>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38" w15:restartNumberingAfterBreak="0">
    <w:nsid w:val="7CF877FD"/>
    <w:multiLevelType w:val="hybridMultilevel"/>
    <w:tmpl w:val="87425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7"/>
  </w:num>
  <w:num w:numId="3">
    <w:abstractNumId w:val="31"/>
  </w:num>
  <w:num w:numId="4">
    <w:abstractNumId w:val="10"/>
  </w:num>
  <w:num w:numId="5">
    <w:abstractNumId w:val="0"/>
  </w:num>
  <w:num w:numId="6">
    <w:abstractNumId w:val="9"/>
  </w:num>
  <w:num w:numId="7">
    <w:abstractNumId w:val="32"/>
  </w:num>
  <w:num w:numId="8">
    <w:abstractNumId w:val="25"/>
  </w:num>
  <w:num w:numId="9">
    <w:abstractNumId w:val="19"/>
  </w:num>
  <w:num w:numId="10">
    <w:abstractNumId w:val="26"/>
  </w:num>
  <w:num w:numId="11">
    <w:abstractNumId w:val="12"/>
  </w:num>
  <w:num w:numId="12">
    <w:abstractNumId w:val="14"/>
  </w:num>
  <w:num w:numId="13">
    <w:abstractNumId w:val="28"/>
  </w:num>
  <w:num w:numId="14">
    <w:abstractNumId w:val="2"/>
  </w:num>
  <w:num w:numId="15">
    <w:abstractNumId w:val="34"/>
  </w:num>
  <w:num w:numId="16">
    <w:abstractNumId w:val="17"/>
  </w:num>
  <w:num w:numId="17">
    <w:abstractNumId w:val="6"/>
  </w:num>
  <w:num w:numId="18">
    <w:abstractNumId w:val="16"/>
  </w:num>
  <w:num w:numId="19">
    <w:abstractNumId w:val="13"/>
  </w:num>
  <w:num w:numId="20">
    <w:abstractNumId w:val="35"/>
  </w:num>
  <w:num w:numId="21">
    <w:abstractNumId w:val="8"/>
  </w:num>
  <w:num w:numId="22">
    <w:abstractNumId w:val="5"/>
  </w:num>
  <w:num w:numId="23">
    <w:abstractNumId w:val="29"/>
  </w:num>
  <w:num w:numId="24">
    <w:abstractNumId w:val="7"/>
  </w:num>
  <w:num w:numId="25">
    <w:abstractNumId w:val="22"/>
  </w:num>
  <w:num w:numId="26">
    <w:abstractNumId w:val="23"/>
  </w:num>
  <w:num w:numId="27">
    <w:abstractNumId w:val="30"/>
  </w:num>
  <w:num w:numId="28">
    <w:abstractNumId w:val="1"/>
  </w:num>
  <w:num w:numId="29">
    <w:abstractNumId w:val="4"/>
  </w:num>
  <w:num w:numId="30">
    <w:abstractNumId w:val="33"/>
  </w:num>
  <w:num w:numId="31">
    <w:abstractNumId w:val="24"/>
  </w:num>
  <w:num w:numId="32">
    <w:abstractNumId w:val="11"/>
  </w:num>
  <w:num w:numId="33">
    <w:abstractNumId w:val="15"/>
  </w:num>
  <w:num w:numId="34">
    <w:abstractNumId w:val="18"/>
  </w:num>
  <w:num w:numId="35">
    <w:abstractNumId w:val="3"/>
  </w:num>
  <w:num w:numId="36">
    <w:abstractNumId w:val="21"/>
  </w:num>
  <w:num w:numId="37">
    <w:abstractNumId w:val="27"/>
  </w:num>
  <w:num w:numId="38">
    <w:abstractNumId w:val="38"/>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597826"/>
    <w:rsid w:val="000527AD"/>
    <w:rsid w:val="000D0442"/>
    <w:rsid w:val="000F6254"/>
    <w:rsid w:val="00180EE2"/>
    <w:rsid w:val="001B43AF"/>
    <w:rsid w:val="001E39BA"/>
    <w:rsid w:val="00212E49"/>
    <w:rsid w:val="00236F00"/>
    <w:rsid w:val="0027703F"/>
    <w:rsid w:val="002E5F48"/>
    <w:rsid w:val="0034701A"/>
    <w:rsid w:val="00364075"/>
    <w:rsid w:val="00375DCA"/>
    <w:rsid w:val="003F64D8"/>
    <w:rsid w:val="00434657"/>
    <w:rsid w:val="0047502A"/>
    <w:rsid w:val="0051572C"/>
    <w:rsid w:val="0052434C"/>
    <w:rsid w:val="0057356B"/>
    <w:rsid w:val="005755CF"/>
    <w:rsid w:val="00593BC2"/>
    <w:rsid w:val="00597826"/>
    <w:rsid w:val="005A3345"/>
    <w:rsid w:val="0062518D"/>
    <w:rsid w:val="00663B79"/>
    <w:rsid w:val="006865CC"/>
    <w:rsid w:val="006F35C3"/>
    <w:rsid w:val="007C4030"/>
    <w:rsid w:val="007F227F"/>
    <w:rsid w:val="008122C5"/>
    <w:rsid w:val="00814F98"/>
    <w:rsid w:val="008873BA"/>
    <w:rsid w:val="008C2F13"/>
    <w:rsid w:val="00972357"/>
    <w:rsid w:val="0097564C"/>
    <w:rsid w:val="009B6996"/>
    <w:rsid w:val="00A009B5"/>
    <w:rsid w:val="00A07215"/>
    <w:rsid w:val="00A3301F"/>
    <w:rsid w:val="00AA3820"/>
    <w:rsid w:val="00AF3D36"/>
    <w:rsid w:val="00B6098B"/>
    <w:rsid w:val="00B611FB"/>
    <w:rsid w:val="00B85D12"/>
    <w:rsid w:val="00BC0926"/>
    <w:rsid w:val="00BF060A"/>
    <w:rsid w:val="00C23DFF"/>
    <w:rsid w:val="00C32983"/>
    <w:rsid w:val="00C51346"/>
    <w:rsid w:val="00C631F6"/>
    <w:rsid w:val="00C97E7D"/>
    <w:rsid w:val="00CC5B13"/>
    <w:rsid w:val="00D32193"/>
    <w:rsid w:val="00E07F2D"/>
    <w:rsid w:val="00E17004"/>
    <w:rsid w:val="00E446CA"/>
    <w:rsid w:val="00EA35B4"/>
    <w:rsid w:val="00F15466"/>
    <w:rsid w:val="00F3675B"/>
    <w:rsid w:val="00FC3F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B9115"/>
  <w15:chartTrackingRefBased/>
  <w15:docId w15:val="{D5BDD529-8DDD-4400-BE57-8E1DE1847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7826"/>
    <w:pPr>
      <w:spacing w:after="200" w:line="276" w:lineRule="auto"/>
    </w:pPr>
    <w:rPr>
      <w:lang w:val="en-US"/>
    </w:rPr>
  </w:style>
  <w:style w:type="paragraph" w:styleId="Heading1">
    <w:name w:val="heading 1"/>
    <w:basedOn w:val="Normal"/>
    <w:next w:val="Normal"/>
    <w:link w:val="Heading1Char"/>
    <w:uiPriority w:val="9"/>
    <w:qFormat/>
    <w:rsid w:val="0059782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597826"/>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597826"/>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597826"/>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7826"/>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597826"/>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597826"/>
    <w:rPr>
      <w:rFonts w:asciiTheme="majorHAnsi" w:eastAsiaTheme="majorEastAsia" w:hAnsiTheme="majorHAnsi" w:cstheme="majorBidi"/>
      <w:b/>
      <w:bCs/>
      <w:color w:val="4472C4" w:themeColor="accent1"/>
      <w:lang w:val="en-US"/>
    </w:rPr>
  </w:style>
  <w:style w:type="character" w:customStyle="1" w:styleId="Heading4Char">
    <w:name w:val="Heading 4 Char"/>
    <w:basedOn w:val="DefaultParagraphFont"/>
    <w:link w:val="Heading4"/>
    <w:uiPriority w:val="9"/>
    <w:rsid w:val="00597826"/>
    <w:rPr>
      <w:rFonts w:asciiTheme="majorHAnsi" w:eastAsiaTheme="majorEastAsia" w:hAnsiTheme="majorHAnsi" w:cstheme="majorBidi"/>
      <w:b/>
      <w:bCs/>
      <w:i/>
      <w:iCs/>
      <w:color w:val="4472C4" w:themeColor="accent1"/>
      <w:lang w:val="en-US"/>
    </w:rPr>
  </w:style>
  <w:style w:type="paragraph" w:styleId="ListParagraph">
    <w:name w:val="List Paragraph"/>
    <w:basedOn w:val="Normal"/>
    <w:uiPriority w:val="34"/>
    <w:qFormat/>
    <w:rsid w:val="00597826"/>
    <w:pPr>
      <w:ind w:left="720"/>
      <w:contextualSpacing/>
    </w:pPr>
  </w:style>
  <w:style w:type="table" w:styleId="TableGrid">
    <w:name w:val="Table Grid"/>
    <w:basedOn w:val="TableNormal"/>
    <w:uiPriority w:val="39"/>
    <w:rsid w:val="005978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7826"/>
    <w:rPr>
      <w:sz w:val="16"/>
      <w:szCs w:val="16"/>
    </w:rPr>
  </w:style>
  <w:style w:type="paragraph" w:styleId="CommentText">
    <w:name w:val="annotation text"/>
    <w:basedOn w:val="Normal"/>
    <w:link w:val="CommentTextChar"/>
    <w:uiPriority w:val="99"/>
    <w:unhideWhenUsed/>
    <w:rsid w:val="00597826"/>
    <w:pPr>
      <w:spacing w:after="0" w:line="240" w:lineRule="auto"/>
    </w:pPr>
    <w:rPr>
      <w:rFonts w:eastAsiaTheme="minorEastAsia"/>
      <w:sz w:val="20"/>
      <w:szCs w:val="20"/>
      <w:lang w:val="en-GB" w:eastAsia="sv-SE"/>
    </w:rPr>
  </w:style>
  <w:style w:type="character" w:customStyle="1" w:styleId="CommentTextChar">
    <w:name w:val="Comment Text Char"/>
    <w:basedOn w:val="DefaultParagraphFont"/>
    <w:link w:val="CommentText"/>
    <w:uiPriority w:val="99"/>
    <w:rsid w:val="00597826"/>
    <w:rPr>
      <w:rFonts w:eastAsiaTheme="minorEastAsia"/>
      <w:sz w:val="20"/>
      <w:szCs w:val="20"/>
      <w:lang w:val="en-GB" w:eastAsia="sv-SE"/>
    </w:rPr>
  </w:style>
  <w:style w:type="paragraph" w:customStyle="1" w:styleId="EndNoteBibliography">
    <w:name w:val="EndNote Bibliography"/>
    <w:basedOn w:val="Normal"/>
    <w:link w:val="EndNoteBibliographyChar"/>
    <w:rsid w:val="00597826"/>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597826"/>
    <w:rPr>
      <w:rFonts w:ascii="Calibri" w:hAnsi="Calibri"/>
      <w:noProof/>
      <w:lang w:val="en-US"/>
    </w:rPr>
  </w:style>
  <w:style w:type="paragraph" w:styleId="BalloonText">
    <w:name w:val="Balloon Text"/>
    <w:basedOn w:val="Normal"/>
    <w:link w:val="BalloonTextChar"/>
    <w:uiPriority w:val="99"/>
    <w:semiHidden/>
    <w:unhideWhenUsed/>
    <w:rsid w:val="00597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7826"/>
    <w:rPr>
      <w:rFonts w:ascii="Tahoma" w:hAnsi="Tahoma" w:cs="Tahoma"/>
      <w:sz w:val="16"/>
      <w:szCs w:val="16"/>
      <w:lang w:val="en-US"/>
    </w:rPr>
  </w:style>
  <w:style w:type="paragraph" w:styleId="Header">
    <w:name w:val="header"/>
    <w:basedOn w:val="Normal"/>
    <w:link w:val="HeaderChar"/>
    <w:uiPriority w:val="99"/>
    <w:unhideWhenUsed/>
    <w:rsid w:val="005978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826"/>
    <w:rPr>
      <w:lang w:val="en-US"/>
    </w:rPr>
  </w:style>
  <w:style w:type="paragraph" w:styleId="Footer">
    <w:name w:val="footer"/>
    <w:basedOn w:val="Normal"/>
    <w:link w:val="FooterChar"/>
    <w:uiPriority w:val="99"/>
    <w:unhideWhenUsed/>
    <w:rsid w:val="005978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826"/>
    <w:rPr>
      <w:lang w:val="en-US"/>
    </w:rPr>
  </w:style>
  <w:style w:type="character" w:styleId="Hyperlink">
    <w:name w:val="Hyperlink"/>
    <w:basedOn w:val="DefaultParagraphFont"/>
    <w:uiPriority w:val="99"/>
    <w:unhideWhenUsed/>
    <w:rsid w:val="00597826"/>
    <w:rPr>
      <w:color w:val="0563C1" w:themeColor="hyperlink"/>
      <w:u w:val="single"/>
    </w:rPr>
  </w:style>
  <w:style w:type="paragraph" w:styleId="Title">
    <w:name w:val="Title"/>
    <w:aliases w:val="title"/>
    <w:basedOn w:val="Normal"/>
    <w:next w:val="Normal"/>
    <w:link w:val="TitleChar"/>
    <w:uiPriority w:val="10"/>
    <w:qFormat/>
    <w:rsid w:val="0059782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aliases w:val="title Char"/>
    <w:basedOn w:val="DefaultParagraphFont"/>
    <w:link w:val="Title"/>
    <w:uiPriority w:val="10"/>
    <w:rsid w:val="00597826"/>
    <w:rPr>
      <w:rFonts w:asciiTheme="majorHAnsi" w:eastAsiaTheme="majorEastAsia" w:hAnsiTheme="majorHAnsi" w:cstheme="majorBidi"/>
      <w:color w:val="323E4F" w:themeColor="text2" w:themeShade="BF"/>
      <w:spacing w:val="5"/>
      <w:kern w:val="28"/>
      <w:sz w:val="52"/>
      <w:szCs w:val="52"/>
      <w:lang w:val="en-US"/>
    </w:rPr>
  </w:style>
  <w:style w:type="character" w:customStyle="1" w:styleId="EndNoteBibliographyZchn">
    <w:name w:val="EndNote Bibliography Zchn"/>
    <w:basedOn w:val="DefaultParagraphFont"/>
    <w:rsid w:val="00597826"/>
    <w:rPr>
      <w:rFonts w:ascii="Cambria" w:hAnsi="Cambria"/>
      <w:noProof/>
    </w:rPr>
  </w:style>
  <w:style w:type="paragraph" w:customStyle="1" w:styleId="EndNoteBibliographyTitle">
    <w:name w:val="EndNote Bibliography Title"/>
    <w:basedOn w:val="Normal"/>
    <w:link w:val="EndNoteBibliographyTitleChar"/>
    <w:rsid w:val="0059782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597826"/>
    <w:rPr>
      <w:rFonts w:ascii="Calibri" w:hAnsi="Calibri"/>
      <w:noProof/>
      <w:lang w:val="en-US"/>
    </w:rPr>
  </w:style>
  <w:style w:type="paragraph" w:styleId="NoSpacing">
    <w:name w:val="No Spacing"/>
    <w:uiPriority w:val="1"/>
    <w:qFormat/>
    <w:rsid w:val="00597826"/>
    <w:pPr>
      <w:spacing w:after="0" w:line="240" w:lineRule="auto"/>
    </w:pPr>
    <w:rPr>
      <w:rFonts w:eastAsiaTheme="minorEastAsia"/>
      <w:sz w:val="24"/>
      <w:szCs w:val="24"/>
      <w:lang w:val="it-IT" w:eastAsia="ja-JP"/>
    </w:rPr>
  </w:style>
  <w:style w:type="table" w:styleId="LightList-Accent1">
    <w:name w:val="Light List Accent 1"/>
    <w:basedOn w:val="TableNormal"/>
    <w:uiPriority w:val="61"/>
    <w:rsid w:val="00597826"/>
    <w:pPr>
      <w:spacing w:after="0" w:line="240" w:lineRule="auto"/>
    </w:pPr>
    <w:rPr>
      <w:rFonts w:eastAsiaTheme="minorEastAsia"/>
      <w:sz w:val="24"/>
      <w:szCs w:val="24"/>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EndnoteText">
    <w:name w:val="endnote text"/>
    <w:basedOn w:val="Normal"/>
    <w:link w:val="EndnoteTextChar"/>
    <w:semiHidden/>
    <w:unhideWhenUsed/>
    <w:rsid w:val="00597826"/>
    <w:pPr>
      <w:spacing w:after="0" w:line="240" w:lineRule="auto"/>
    </w:pPr>
    <w:rPr>
      <w:sz w:val="20"/>
      <w:szCs w:val="20"/>
      <w:lang w:val="en-GB"/>
    </w:rPr>
  </w:style>
  <w:style w:type="character" w:customStyle="1" w:styleId="EndnoteTextChar">
    <w:name w:val="Endnote Text Char"/>
    <w:basedOn w:val="DefaultParagraphFont"/>
    <w:link w:val="EndnoteText"/>
    <w:semiHidden/>
    <w:rsid w:val="00597826"/>
    <w:rPr>
      <w:sz w:val="20"/>
      <w:szCs w:val="20"/>
      <w:lang w:val="en-GB"/>
    </w:rPr>
  </w:style>
  <w:style w:type="character" w:styleId="EndnoteReference">
    <w:name w:val="endnote reference"/>
    <w:basedOn w:val="DefaultParagraphFont"/>
    <w:semiHidden/>
    <w:unhideWhenUsed/>
    <w:rsid w:val="00597826"/>
    <w:rPr>
      <w:vertAlign w:val="superscript"/>
    </w:rPr>
  </w:style>
  <w:style w:type="character" w:styleId="Strong">
    <w:name w:val="Strong"/>
    <w:aliases w:val="small print 9"/>
    <w:uiPriority w:val="22"/>
    <w:qFormat/>
    <w:rsid w:val="00597826"/>
    <w:rPr>
      <w:b/>
      <w:bCs/>
    </w:rPr>
  </w:style>
  <w:style w:type="character" w:customStyle="1" w:styleId="rwrro">
    <w:name w:val="rwrro"/>
    <w:basedOn w:val="DefaultParagraphFont"/>
    <w:rsid w:val="00597826"/>
  </w:style>
  <w:style w:type="paragraph" w:styleId="DocumentMap">
    <w:name w:val="Document Map"/>
    <w:basedOn w:val="Normal"/>
    <w:link w:val="DocumentMapChar"/>
    <w:uiPriority w:val="99"/>
    <w:semiHidden/>
    <w:unhideWhenUsed/>
    <w:rsid w:val="00597826"/>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597826"/>
    <w:rPr>
      <w:rFonts w:ascii="Times New Roman" w:hAnsi="Times New Roman" w:cs="Times New Roman"/>
      <w:sz w:val="24"/>
      <w:szCs w:val="24"/>
      <w:lang w:val="en-US"/>
    </w:rPr>
  </w:style>
  <w:style w:type="paragraph" w:styleId="Revision">
    <w:name w:val="Revision"/>
    <w:hidden/>
    <w:uiPriority w:val="99"/>
    <w:semiHidden/>
    <w:rsid w:val="00597826"/>
    <w:pPr>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597826"/>
    <w:pPr>
      <w:spacing w:after="200"/>
    </w:pPr>
    <w:rPr>
      <w:b/>
      <w:bCs/>
      <w:lang w:val="en-US"/>
    </w:rPr>
  </w:style>
  <w:style w:type="character" w:customStyle="1" w:styleId="CommentSubjectChar">
    <w:name w:val="Comment Subject Char"/>
    <w:basedOn w:val="CommentTextChar"/>
    <w:link w:val="CommentSubject"/>
    <w:uiPriority w:val="99"/>
    <w:semiHidden/>
    <w:rsid w:val="00597826"/>
    <w:rPr>
      <w:rFonts w:eastAsiaTheme="minorEastAsia"/>
      <w:b/>
      <w:bCs/>
      <w:sz w:val="20"/>
      <w:szCs w:val="20"/>
      <w:lang w:val="en-US" w:eastAsia="sv-SE"/>
    </w:rPr>
  </w:style>
  <w:style w:type="character" w:styleId="FollowedHyperlink">
    <w:name w:val="FollowedHyperlink"/>
    <w:basedOn w:val="DefaultParagraphFont"/>
    <w:uiPriority w:val="99"/>
    <w:semiHidden/>
    <w:unhideWhenUsed/>
    <w:rsid w:val="00597826"/>
    <w:rPr>
      <w:color w:val="954F72" w:themeColor="followedHyperlink"/>
      <w:u w:val="single"/>
    </w:rPr>
  </w:style>
  <w:style w:type="paragraph" w:customStyle="1" w:styleId="p">
    <w:name w:val="p"/>
    <w:basedOn w:val="Normal"/>
    <w:rsid w:val="005978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597826"/>
    <w:pPr>
      <w:pBdr>
        <w:top w:val="nil"/>
        <w:left w:val="nil"/>
        <w:bottom w:val="nil"/>
        <w:right w:val="nil"/>
        <w:between w:val="nil"/>
        <w:bar w:val="nil"/>
      </w:pBdr>
      <w:spacing w:after="0" w:line="240" w:lineRule="auto"/>
    </w:pPr>
    <w:rPr>
      <w:rFonts w:ascii="Helvetica" w:eastAsia="Helvetica" w:hAnsi="Helvetica" w:cs="Helvetica"/>
      <w:color w:val="000000"/>
      <w:bdr w:val="nil"/>
      <w:lang w:val="en-US"/>
    </w:rPr>
  </w:style>
  <w:style w:type="paragraph" w:styleId="Caption">
    <w:name w:val="caption"/>
    <w:basedOn w:val="Normal"/>
    <w:next w:val="Normal"/>
    <w:uiPriority w:val="35"/>
    <w:unhideWhenUsed/>
    <w:qFormat/>
    <w:rsid w:val="00597826"/>
    <w:pPr>
      <w:spacing w:line="240" w:lineRule="auto"/>
    </w:pPr>
    <w:rPr>
      <w:b/>
      <w:bCs/>
      <w:color w:val="4472C4" w:themeColor="accent1"/>
      <w:sz w:val="18"/>
      <w:szCs w:val="18"/>
    </w:rPr>
  </w:style>
  <w:style w:type="character" w:styleId="Emphasis">
    <w:name w:val="Emphasis"/>
    <w:basedOn w:val="DefaultParagraphFont"/>
    <w:uiPriority w:val="20"/>
    <w:qFormat/>
    <w:rsid w:val="00597826"/>
    <w:rPr>
      <w:i/>
      <w:iCs/>
    </w:rPr>
  </w:style>
  <w:style w:type="character" w:customStyle="1" w:styleId="apple-converted-space">
    <w:name w:val="apple-converted-space"/>
    <w:basedOn w:val="DefaultParagraphFont"/>
    <w:rsid w:val="00597826"/>
  </w:style>
  <w:style w:type="paragraph" w:customStyle="1" w:styleId="desc">
    <w:name w:val="desc"/>
    <w:basedOn w:val="Normal"/>
    <w:rsid w:val="00597826"/>
    <w:pPr>
      <w:spacing w:before="100" w:beforeAutospacing="1" w:after="100" w:afterAutospacing="1" w:line="240" w:lineRule="auto"/>
    </w:pPr>
    <w:rPr>
      <w:rFonts w:ascii="Times" w:hAnsi="Times"/>
      <w:sz w:val="20"/>
      <w:szCs w:val="20"/>
      <w:lang w:val="en-GB"/>
    </w:rPr>
  </w:style>
  <w:style w:type="paragraph" w:customStyle="1" w:styleId="details">
    <w:name w:val="details"/>
    <w:basedOn w:val="Normal"/>
    <w:rsid w:val="00597826"/>
    <w:pPr>
      <w:spacing w:before="100" w:beforeAutospacing="1" w:after="100" w:afterAutospacing="1" w:line="240" w:lineRule="auto"/>
    </w:pPr>
    <w:rPr>
      <w:rFonts w:ascii="Times" w:hAnsi="Times"/>
      <w:sz w:val="20"/>
      <w:szCs w:val="20"/>
      <w:lang w:val="en-GB"/>
    </w:rPr>
  </w:style>
  <w:style w:type="character" w:customStyle="1" w:styleId="jrnl">
    <w:name w:val="jrnl"/>
    <w:basedOn w:val="DefaultParagraphFont"/>
    <w:rsid w:val="00597826"/>
  </w:style>
  <w:style w:type="character" w:customStyle="1" w:styleId="highlight">
    <w:name w:val="highlight"/>
    <w:basedOn w:val="DefaultParagraphFont"/>
    <w:rsid w:val="005978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screen-intcollab.org/"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ben.freedman@sydney.edu.au"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heartrhythmalliance.org" TargetMode="External"/><Relationship Id="rId4" Type="http://schemas.openxmlformats.org/officeDocument/2006/relationships/webSettings" Target="webSettings.xml"/><Relationship Id="rId9" Type="http://schemas.openxmlformats.org/officeDocument/2006/relationships/hyperlink" Target="http://www.stopafib.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12959</Words>
  <Characters>73869</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Orchard</dc:creator>
  <cp:keywords/>
  <dc:description/>
  <cp:lastModifiedBy>John Camm</cp:lastModifiedBy>
  <cp:revision>2</cp:revision>
  <cp:lastPrinted>2017-02-28T06:24:00Z</cp:lastPrinted>
  <dcterms:created xsi:type="dcterms:W3CDTF">2017-06-12T08:23:00Z</dcterms:created>
  <dcterms:modified xsi:type="dcterms:W3CDTF">2017-06-12T08:23:00Z</dcterms:modified>
</cp:coreProperties>
</file>