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theme/themeOverride4.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theme/themeOverride5.xml" ContentType="application/vnd.openxmlformats-officedocument.themeOverride+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DE4C0" w14:textId="4F16F55D" w:rsidR="009A2A65" w:rsidRPr="00E73EF4" w:rsidRDefault="00652CA0" w:rsidP="00B6049E">
      <w:pPr>
        <w:pStyle w:val="NormalWeb"/>
        <w:spacing w:line="480" w:lineRule="auto"/>
        <w:jc w:val="both"/>
      </w:pPr>
      <w:r w:rsidRPr="00E73EF4">
        <w:t>Resistance gene transfer: induction of transducing phage by sub-inhibitory con</w:t>
      </w:r>
      <w:r w:rsidR="001808E4" w:rsidRPr="00E73EF4">
        <w:t>centrations of antimicrobials</w:t>
      </w:r>
      <w:r w:rsidRPr="00E73EF4">
        <w:t xml:space="preserve"> </w:t>
      </w:r>
      <w:r w:rsidR="005E31EA" w:rsidRPr="00E73EF4">
        <w:t xml:space="preserve">is </w:t>
      </w:r>
      <w:r w:rsidRPr="00E73EF4">
        <w:t>not correlated to induction of lytic phage.</w:t>
      </w:r>
    </w:p>
    <w:p w14:paraId="5210DF4A" w14:textId="6D2232DC" w:rsidR="00EE3298" w:rsidRPr="00E73EF4" w:rsidRDefault="00EE3298" w:rsidP="00B6049E">
      <w:pPr>
        <w:spacing w:line="480" w:lineRule="auto"/>
        <w:jc w:val="both"/>
        <w:rPr>
          <w:rFonts w:ascii="Times New Roman" w:hAnsi="Times New Roman" w:cs="Times New Roman"/>
          <w:sz w:val="24"/>
          <w:szCs w:val="24"/>
        </w:rPr>
      </w:pPr>
      <w:r w:rsidRPr="00E73EF4">
        <w:rPr>
          <w:rFonts w:ascii="Times New Roman" w:hAnsi="Times New Roman" w:cs="Times New Roman"/>
          <w:sz w:val="24"/>
          <w:szCs w:val="24"/>
        </w:rPr>
        <w:t xml:space="preserve">Kinga I </w:t>
      </w:r>
      <w:r w:rsidR="00986F3D" w:rsidRPr="00E73EF4">
        <w:rPr>
          <w:rFonts w:ascii="Times New Roman" w:hAnsi="Times New Roman" w:cs="Times New Roman"/>
          <w:sz w:val="24"/>
          <w:szCs w:val="24"/>
        </w:rPr>
        <w:t>STANCZAK-MROZEK</w:t>
      </w:r>
      <w:r w:rsidRPr="00E73EF4">
        <w:rPr>
          <w:rFonts w:ascii="Times New Roman" w:hAnsi="Times New Roman" w:cs="Times New Roman"/>
          <w:sz w:val="24"/>
          <w:szCs w:val="24"/>
          <w:vertAlign w:val="superscript"/>
        </w:rPr>
        <w:t>1</w:t>
      </w:r>
      <w:r w:rsidRPr="00E73EF4">
        <w:rPr>
          <w:rFonts w:ascii="Times New Roman" w:hAnsi="Times New Roman" w:cs="Times New Roman"/>
          <w:sz w:val="24"/>
          <w:szCs w:val="24"/>
        </w:rPr>
        <w:t xml:space="preserve">, </w:t>
      </w:r>
      <w:r w:rsidR="007D5C69" w:rsidRPr="00E73EF4">
        <w:rPr>
          <w:rFonts w:ascii="Times New Roman" w:hAnsi="Times New Roman" w:cs="Times New Roman"/>
          <w:sz w:val="24"/>
          <w:szCs w:val="24"/>
        </w:rPr>
        <w:t>K</w:t>
      </w:r>
      <w:r w:rsidR="008B64F8" w:rsidRPr="00E73EF4">
        <w:rPr>
          <w:rFonts w:ascii="Times New Roman" w:hAnsi="Times New Roman" w:cs="Times New Roman"/>
          <w:sz w:val="24"/>
          <w:szCs w:val="24"/>
        </w:rPr>
        <w:t>en G</w:t>
      </w:r>
      <w:r w:rsidR="007D5C69" w:rsidRPr="00E73EF4">
        <w:rPr>
          <w:rFonts w:ascii="Times New Roman" w:hAnsi="Times New Roman" w:cs="Times New Roman"/>
          <w:sz w:val="24"/>
          <w:szCs w:val="24"/>
        </w:rPr>
        <w:t xml:space="preserve">. </w:t>
      </w:r>
      <w:r w:rsidR="00986F3D" w:rsidRPr="00E73EF4">
        <w:rPr>
          <w:rFonts w:ascii="Times New Roman" w:hAnsi="Times New Roman" w:cs="Times New Roman"/>
          <w:sz w:val="24"/>
          <w:szCs w:val="24"/>
        </w:rPr>
        <w:t>LAING</w:t>
      </w:r>
      <w:r w:rsidR="007D5C69" w:rsidRPr="00E73EF4">
        <w:rPr>
          <w:rFonts w:ascii="Times New Roman" w:hAnsi="Times New Roman" w:cs="Times New Roman"/>
          <w:sz w:val="24"/>
          <w:szCs w:val="24"/>
        </w:rPr>
        <w:t xml:space="preserve">, </w:t>
      </w:r>
      <w:r w:rsidRPr="00E73EF4">
        <w:rPr>
          <w:rFonts w:ascii="Times New Roman" w:hAnsi="Times New Roman" w:cs="Times New Roman"/>
          <w:sz w:val="24"/>
          <w:szCs w:val="24"/>
        </w:rPr>
        <w:t xml:space="preserve">Jodi A </w:t>
      </w:r>
      <w:r w:rsidR="00986F3D" w:rsidRPr="00E73EF4">
        <w:rPr>
          <w:rFonts w:ascii="Times New Roman" w:hAnsi="Times New Roman" w:cs="Times New Roman"/>
          <w:sz w:val="24"/>
          <w:szCs w:val="24"/>
        </w:rPr>
        <w:t>LINDSAY</w:t>
      </w:r>
      <w:r w:rsidRPr="00E73EF4">
        <w:rPr>
          <w:rFonts w:ascii="Times New Roman" w:hAnsi="Times New Roman" w:cs="Times New Roman"/>
          <w:sz w:val="24"/>
          <w:szCs w:val="24"/>
          <w:vertAlign w:val="superscript"/>
        </w:rPr>
        <w:t>1</w:t>
      </w:r>
      <w:r w:rsidRPr="00E73EF4">
        <w:rPr>
          <w:rFonts w:ascii="Times New Roman" w:hAnsi="Times New Roman" w:cs="Times New Roman"/>
          <w:sz w:val="24"/>
          <w:szCs w:val="24"/>
        </w:rPr>
        <w:t>*</w:t>
      </w:r>
    </w:p>
    <w:p w14:paraId="6C53015B" w14:textId="77777777" w:rsidR="00EE3298" w:rsidRPr="00E73EF4" w:rsidRDefault="00EE3298" w:rsidP="00B6049E">
      <w:pPr>
        <w:spacing w:line="480" w:lineRule="auto"/>
        <w:jc w:val="both"/>
        <w:rPr>
          <w:rFonts w:ascii="Times New Roman" w:hAnsi="Times New Roman" w:cs="Times New Roman"/>
          <w:sz w:val="24"/>
          <w:szCs w:val="24"/>
        </w:rPr>
      </w:pPr>
    </w:p>
    <w:p w14:paraId="4767FA57" w14:textId="77777777" w:rsidR="00EE3298" w:rsidRPr="00E73EF4" w:rsidRDefault="00EE3298" w:rsidP="00B6049E">
      <w:pPr>
        <w:spacing w:line="480" w:lineRule="auto"/>
        <w:jc w:val="both"/>
        <w:rPr>
          <w:rFonts w:ascii="Times New Roman" w:hAnsi="Times New Roman" w:cs="Times New Roman"/>
          <w:sz w:val="24"/>
          <w:szCs w:val="24"/>
        </w:rPr>
      </w:pPr>
      <w:r w:rsidRPr="00E73EF4">
        <w:rPr>
          <w:rFonts w:ascii="Times New Roman" w:hAnsi="Times New Roman" w:cs="Times New Roman"/>
          <w:sz w:val="24"/>
          <w:szCs w:val="24"/>
          <w:vertAlign w:val="superscript"/>
        </w:rPr>
        <w:t>1</w:t>
      </w:r>
      <w:r w:rsidRPr="00E73EF4">
        <w:rPr>
          <w:rFonts w:ascii="Times New Roman" w:hAnsi="Times New Roman" w:cs="Times New Roman"/>
          <w:sz w:val="24"/>
          <w:szCs w:val="24"/>
        </w:rPr>
        <w:t>Institute for Infection and Immunity, St George’s, University of London, Cranmer Terrace, London, SW17 0RE, UK.</w:t>
      </w:r>
    </w:p>
    <w:p w14:paraId="7AFBC63A" w14:textId="77777777" w:rsidR="00EE3298" w:rsidRPr="00E73EF4" w:rsidRDefault="00EE3298" w:rsidP="00B6049E">
      <w:pPr>
        <w:spacing w:line="480" w:lineRule="auto"/>
        <w:jc w:val="both"/>
        <w:rPr>
          <w:rFonts w:ascii="Times New Roman" w:hAnsi="Times New Roman" w:cs="Times New Roman"/>
          <w:sz w:val="24"/>
          <w:szCs w:val="24"/>
        </w:rPr>
      </w:pPr>
    </w:p>
    <w:p w14:paraId="27F08B1E" w14:textId="20A353BD" w:rsidR="00EE3298" w:rsidRPr="00E73EF4" w:rsidRDefault="00605678" w:rsidP="00B6049E">
      <w:pPr>
        <w:spacing w:line="480" w:lineRule="auto"/>
        <w:jc w:val="both"/>
        <w:rPr>
          <w:rFonts w:ascii="Times New Roman" w:hAnsi="Times New Roman" w:cs="Times New Roman"/>
          <w:sz w:val="24"/>
          <w:szCs w:val="24"/>
        </w:rPr>
      </w:pPr>
      <w:r w:rsidRPr="00E73EF4">
        <w:rPr>
          <w:rFonts w:ascii="Times New Roman" w:hAnsi="Times New Roman" w:cs="Times New Roman"/>
          <w:sz w:val="24"/>
          <w:szCs w:val="24"/>
        </w:rPr>
        <w:t>*</w:t>
      </w:r>
      <w:r w:rsidR="00EE3298" w:rsidRPr="00E73EF4">
        <w:rPr>
          <w:rFonts w:ascii="Times New Roman" w:hAnsi="Times New Roman" w:cs="Times New Roman"/>
          <w:sz w:val="24"/>
          <w:szCs w:val="24"/>
        </w:rPr>
        <w:t>Author for Correspondence</w:t>
      </w:r>
      <w:r w:rsidRPr="00E73EF4">
        <w:rPr>
          <w:rFonts w:ascii="Times New Roman" w:hAnsi="Times New Roman" w:cs="Times New Roman"/>
          <w:sz w:val="24"/>
          <w:szCs w:val="24"/>
        </w:rPr>
        <w:t>:</w:t>
      </w:r>
      <w:r w:rsidR="00EE3298" w:rsidRPr="00E73EF4">
        <w:rPr>
          <w:rFonts w:ascii="Times New Roman" w:hAnsi="Times New Roman" w:cs="Times New Roman"/>
          <w:sz w:val="24"/>
          <w:szCs w:val="24"/>
        </w:rPr>
        <w:t xml:space="preserve"> Jodi A Lindsay, Infection and Immunity Research Institute, St George’s, University of London, Cranmer Terrace, London, SW17 0RE, UK. </w:t>
      </w:r>
    </w:p>
    <w:p w14:paraId="5215D50A" w14:textId="77777777" w:rsidR="00EE3298" w:rsidRPr="00E73EF4" w:rsidRDefault="00EE3298" w:rsidP="00B6049E">
      <w:pPr>
        <w:spacing w:line="480" w:lineRule="auto"/>
        <w:jc w:val="both"/>
        <w:rPr>
          <w:rFonts w:ascii="Times New Roman" w:hAnsi="Times New Roman" w:cs="Times New Roman"/>
          <w:sz w:val="24"/>
          <w:szCs w:val="24"/>
        </w:rPr>
      </w:pPr>
      <w:r w:rsidRPr="00E73EF4">
        <w:rPr>
          <w:rFonts w:ascii="Times New Roman" w:hAnsi="Times New Roman" w:cs="Times New Roman"/>
          <w:sz w:val="24"/>
          <w:szCs w:val="24"/>
        </w:rPr>
        <w:t>Tel +44 (0)208 725 0445; E-mail jlindsay@sgul.ac.uk</w:t>
      </w:r>
    </w:p>
    <w:p w14:paraId="2A9AC3FD" w14:textId="77777777" w:rsidR="00EE3298" w:rsidRPr="00E73EF4" w:rsidRDefault="00EE3298" w:rsidP="00B6049E">
      <w:pPr>
        <w:spacing w:line="480" w:lineRule="auto"/>
        <w:jc w:val="both"/>
        <w:rPr>
          <w:rFonts w:ascii="Times New Roman" w:hAnsi="Times New Roman" w:cs="Times New Roman"/>
          <w:sz w:val="24"/>
          <w:szCs w:val="24"/>
        </w:rPr>
      </w:pPr>
    </w:p>
    <w:p w14:paraId="0E5D9535" w14:textId="332BFA5F" w:rsidR="00EE3298" w:rsidRPr="00E73EF4" w:rsidRDefault="00EE3298" w:rsidP="00B6049E">
      <w:pPr>
        <w:spacing w:line="480" w:lineRule="auto"/>
        <w:jc w:val="both"/>
        <w:rPr>
          <w:rFonts w:ascii="Times New Roman" w:hAnsi="Times New Roman" w:cs="Times New Roman"/>
          <w:sz w:val="24"/>
          <w:szCs w:val="24"/>
        </w:rPr>
      </w:pPr>
      <w:r w:rsidRPr="00E73EF4">
        <w:rPr>
          <w:rFonts w:ascii="Times New Roman" w:hAnsi="Times New Roman" w:cs="Times New Roman"/>
          <w:sz w:val="24"/>
          <w:szCs w:val="24"/>
        </w:rPr>
        <w:t xml:space="preserve">Running title: Induction and suppression of </w:t>
      </w:r>
      <w:r w:rsidR="008B64F8" w:rsidRPr="00E73EF4">
        <w:rPr>
          <w:rFonts w:ascii="Times New Roman" w:hAnsi="Times New Roman" w:cs="Times New Roman"/>
          <w:sz w:val="24"/>
          <w:szCs w:val="24"/>
        </w:rPr>
        <w:t>AMR gene</w:t>
      </w:r>
      <w:r w:rsidRPr="00E73EF4">
        <w:rPr>
          <w:rFonts w:ascii="Times New Roman" w:hAnsi="Times New Roman" w:cs="Times New Roman"/>
          <w:sz w:val="24"/>
          <w:szCs w:val="24"/>
        </w:rPr>
        <w:t xml:space="preserve"> transfer</w:t>
      </w:r>
    </w:p>
    <w:p w14:paraId="3731D2FE" w14:textId="77777777" w:rsidR="00EE3298" w:rsidRPr="00E73EF4" w:rsidRDefault="00EE3298" w:rsidP="00B6049E">
      <w:pPr>
        <w:spacing w:line="480" w:lineRule="auto"/>
        <w:jc w:val="both"/>
        <w:rPr>
          <w:rFonts w:ascii="Times New Roman" w:hAnsi="Times New Roman" w:cs="Times New Roman"/>
          <w:sz w:val="24"/>
          <w:szCs w:val="24"/>
        </w:rPr>
      </w:pPr>
    </w:p>
    <w:p w14:paraId="57181258" w14:textId="77777777" w:rsidR="00EE3298" w:rsidRPr="00E73EF4" w:rsidRDefault="00EE3298" w:rsidP="00B6049E">
      <w:pPr>
        <w:spacing w:line="480" w:lineRule="auto"/>
        <w:jc w:val="both"/>
        <w:rPr>
          <w:rFonts w:ascii="Times New Roman" w:hAnsi="Times New Roman" w:cs="Times New Roman"/>
          <w:sz w:val="24"/>
          <w:szCs w:val="24"/>
        </w:rPr>
      </w:pPr>
    </w:p>
    <w:p w14:paraId="5184A424" w14:textId="77777777" w:rsidR="00EE3298" w:rsidRPr="00E73EF4" w:rsidRDefault="00EE3298" w:rsidP="00B6049E">
      <w:pPr>
        <w:spacing w:line="480" w:lineRule="auto"/>
        <w:jc w:val="both"/>
        <w:rPr>
          <w:rFonts w:ascii="Times New Roman" w:hAnsi="Times New Roman" w:cs="Times New Roman"/>
          <w:sz w:val="24"/>
          <w:szCs w:val="24"/>
        </w:rPr>
      </w:pPr>
    </w:p>
    <w:p w14:paraId="5C1330C7" w14:textId="77777777" w:rsidR="00652CA0" w:rsidRPr="00E73EF4" w:rsidRDefault="00652CA0" w:rsidP="00B6049E">
      <w:pPr>
        <w:spacing w:line="480" w:lineRule="auto"/>
        <w:jc w:val="both"/>
        <w:rPr>
          <w:rFonts w:ascii="Times New Roman" w:hAnsi="Times New Roman" w:cs="Times New Roman"/>
          <w:sz w:val="24"/>
          <w:szCs w:val="24"/>
        </w:rPr>
      </w:pPr>
    </w:p>
    <w:p w14:paraId="6899E1AD" w14:textId="77777777" w:rsidR="00EE3298" w:rsidRPr="00E73EF4" w:rsidRDefault="00EE3298" w:rsidP="00B6049E">
      <w:pPr>
        <w:spacing w:line="480" w:lineRule="auto"/>
        <w:jc w:val="both"/>
        <w:rPr>
          <w:rFonts w:ascii="Times New Roman" w:hAnsi="Times New Roman" w:cs="Times New Roman"/>
          <w:sz w:val="24"/>
          <w:szCs w:val="24"/>
        </w:rPr>
      </w:pPr>
    </w:p>
    <w:p w14:paraId="1EA7F955" w14:textId="77777777" w:rsidR="001D5460" w:rsidRPr="00E73EF4" w:rsidRDefault="001D5460" w:rsidP="00B6049E">
      <w:pPr>
        <w:spacing w:line="480" w:lineRule="auto"/>
        <w:jc w:val="both"/>
        <w:rPr>
          <w:rFonts w:ascii="Times New Roman" w:hAnsi="Times New Roman" w:cs="Times New Roman"/>
          <w:sz w:val="24"/>
          <w:szCs w:val="24"/>
        </w:rPr>
      </w:pPr>
    </w:p>
    <w:p w14:paraId="70BEFF44" w14:textId="77777777" w:rsidR="001D5460" w:rsidRPr="00E73EF4" w:rsidRDefault="001D5460" w:rsidP="00B6049E">
      <w:pPr>
        <w:spacing w:line="480" w:lineRule="auto"/>
        <w:jc w:val="both"/>
        <w:rPr>
          <w:rFonts w:ascii="Times New Roman" w:hAnsi="Times New Roman" w:cs="Times New Roman"/>
          <w:sz w:val="24"/>
          <w:szCs w:val="24"/>
        </w:rPr>
      </w:pPr>
    </w:p>
    <w:p w14:paraId="63982543" w14:textId="77777777" w:rsidR="00483DFB" w:rsidRPr="00E73EF4" w:rsidRDefault="00483DFB" w:rsidP="00B6049E">
      <w:pPr>
        <w:spacing w:line="480" w:lineRule="auto"/>
        <w:jc w:val="both"/>
        <w:rPr>
          <w:rFonts w:ascii="Times New Roman" w:hAnsi="Times New Roman" w:cs="Times New Roman"/>
          <w:sz w:val="24"/>
          <w:szCs w:val="24"/>
        </w:rPr>
      </w:pPr>
    </w:p>
    <w:p w14:paraId="7360AA48" w14:textId="77777777" w:rsidR="00EE3298" w:rsidRPr="00E73EF4" w:rsidRDefault="00EE3298" w:rsidP="00B6049E">
      <w:pPr>
        <w:spacing w:line="480" w:lineRule="auto"/>
        <w:jc w:val="both"/>
        <w:rPr>
          <w:rFonts w:ascii="Times New Roman" w:hAnsi="Times New Roman" w:cs="Times New Roman"/>
          <w:sz w:val="24"/>
          <w:szCs w:val="24"/>
          <w:u w:val="single"/>
        </w:rPr>
      </w:pPr>
      <w:r w:rsidRPr="00E73EF4">
        <w:rPr>
          <w:rFonts w:ascii="Times New Roman" w:hAnsi="Times New Roman" w:cs="Times New Roman"/>
          <w:b/>
          <w:sz w:val="24"/>
          <w:szCs w:val="24"/>
          <w:u w:val="single"/>
        </w:rPr>
        <w:lastRenderedPageBreak/>
        <w:t>Abstract</w:t>
      </w:r>
    </w:p>
    <w:p w14:paraId="5E7188FC" w14:textId="7158676F" w:rsidR="008635C3" w:rsidRPr="00E73EF4" w:rsidRDefault="00EE3298" w:rsidP="00B6049E">
      <w:pPr>
        <w:spacing w:line="480" w:lineRule="auto"/>
        <w:jc w:val="both"/>
        <w:rPr>
          <w:rFonts w:ascii="Times New Roman" w:hAnsi="Times New Roman" w:cs="Times New Roman"/>
          <w:sz w:val="24"/>
          <w:szCs w:val="24"/>
          <w:lang w:val="en-US"/>
        </w:rPr>
      </w:pPr>
      <w:r w:rsidRPr="00E73EF4">
        <w:rPr>
          <w:rFonts w:ascii="Times New Roman" w:hAnsi="Times New Roman" w:cs="Times New Roman"/>
          <w:b/>
          <w:sz w:val="24"/>
          <w:szCs w:val="24"/>
        </w:rPr>
        <w:t xml:space="preserve">Objectives: </w:t>
      </w:r>
      <w:r w:rsidR="008B64F8" w:rsidRPr="00E73EF4">
        <w:rPr>
          <w:rFonts w:ascii="Times New Roman" w:eastAsia="Calibri" w:hAnsi="Times New Roman" w:cs="Times New Roman"/>
          <w:sz w:val="24"/>
          <w:szCs w:val="24"/>
        </w:rPr>
        <w:t>Horizontal gene transfer</w:t>
      </w:r>
      <w:r w:rsidR="008635C3" w:rsidRPr="00E73EF4">
        <w:rPr>
          <w:rFonts w:ascii="Times New Roman" w:eastAsia="Calibri" w:hAnsi="Times New Roman" w:cs="Times New Roman"/>
          <w:sz w:val="24"/>
          <w:szCs w:val="24"/>
        </w:rPr>
        <w:t xml:space="preserve"> </w:t>
      </w:r>
      <w:r w:rsidR="008B64F8" w:rsidRPr="00E73EF4">
        <w:rPr>
          <w:rFonts w:ascii="Times New Roman" w:eastAsia="Calibri" w:hAnsi="Times New Roman" w:cs="Times New Roman"/>
          <w:sz w:val="24"/>
          <w:szCs w:val="24"/>
        </w:rPr>
        <w:t>(</w:t>
      </w:r>
      <w:r w:rsidR="008635C3" w:rsidRPr="00E73EF4">
        <w:rPr>
          <w:rFonts w:ascii="Times New Roman" w:eastAsia="Calibri" w:hAnsi="Times New Roman" w:cs="Times New Roman"/>
          <w:sz w:val="24"/>
          <w:szCs w:val="24"/>
        </w:rPr>
        <w:t>HGT</w:t>
      </w:r>
      <w:r w:rsidR="008B64F8" w:rsidRPr="00E73EF4">
        <w:rPr>
          <w:rFonts w:ascii="Times New Roman" w:eastAsia="Calibri" w:hAnsi="Times New Roman" w:cs="Times New Roman"/>
          <w:sz w:val="24"/>
          <w:szCs w:val="24"/>
        </w:rPr>
        <w:t>)</w:t>
      </w:r>
      <w:r w:rsidR="008635C3" w:rsidRPr="00E73EF4">
        <w:rPr>
          <w:rFonts w:ascii="Times New Roman" w:eastAsia="Calibri" w:hAnsi="Times New Roman" w:cs="Times New Roman"/>
          <w:sz w:val="24"/>
          <w:szCs w:val="24"/>
        </w:rPr>
        <w:t xml:space="preserve"> of antimicrobial resistance genes (AMR)</w:t>
      </w:r>
      <w:r w:rsidR="0074147C" w:rsidRPr="00E73EF4">
        <w:rPr>
          <w:rFonts w:ascii="Times New Roman" w:eastAsia="Calibri" w:hAnsi="Times New Roman" w:cs="Times New Roman"/>
          <w:sz w:val="24"/>
          <w:szCs w:val="24"/>
        </w:rPr>
        <w:t xml:space="preserve"> genes</w:t>
      </w:r>
      <w:r w:rsidR="008B64F8" w:rsidRPr="00E73EF4">
        <w:rPr>
          <w:rFonts w:ascii="Times New Roman" w:eastAsia="Calibri" w:hAnsi="Times New Roman" w:cs="Times New Roman"/>
          <w:sz w:val="24"/>
          <w:szCs w:val="24"/>
        </w:rPr>
        <w:t xml:space="preserve"> </w:t>
      </w:r>
      <w:r w:rsidR="005B4DC4" w:rsidRPr="00E73EF4">
        <w:rPr>
          <w:rFonts w:ascii="Times New Roman" w:eastAsia="Calibri" w:hAnsi="Times New Roman" w:cs="Times New Roman"/>
          <w:sz w:val="24"/>
          <w:szCs w:val="24"/>
        </w:rPr>
        <w:t xml:space="preserve">between clinical isolates </w:t>
      </w:r>
      <w:r w:rsidR="008B64F8" w:rsidRPr="00E73EF4">
        <w:rPr>
          <w:rFonts w:ascii="Times New Roman" w:eastAsia="Calibri" w:hAnsi="Times New Roman" w:cs="Times New Roman"/>
          <w:sz w:val="24"/>
          <w:szCs w:val="24"/>
        </w:rPr>
        <w:t xml:space="preserve">via transduction </w:t>
      </w:r>
      <w:r w:rsidR="005B4DC4" w:rsidRPr="00E73EF4">
        <w:rPr>
          <w:rFonts w:ascii="Times New Roman" w:eastAsia="Calibri" w:hAnsi="Times New Roman" w:cs="Times New Roman"/>
          <w:sz w:val="24"/>
          <w:szCs w:val="24"/>
        </w:rPr>
        <w:t xml:space="preserve">is </w:t>
      </w:r>
      <w:r w:rsidR="008B64F8" w:rsidRPr="00E73EF4">
        <w:rPr>
          <w:rFonts w:ascii="Times New Roman" w:eastAsia="Calibri" w:hAnsi="Times New Roman" w:cs="Times New Roman"/>
          <w:sz w:val="24"/>
          <w:szCs w:val="24"/>
        </w:rPr>
        <w:t xml:space="preserve">poorly </w:t>
      </w:r>
      <w:r w:rsidR="00652CA0" w:rsidRPr="00E73EF4">
        <w:rPr>
          <w:rFonts w:ascii="Times New Roman" w:eastAsia="Calibri" w:hAnsi="Times New Roman" w:cs="Times New Roman"/>
          <w:sz w:val="24"/>
          <w:szCs w:val="24"/>
        </w:rPr>
        <w:t>understood</w:t>
      </w:r>
      <w:r w:rsidR="008B64F8" w:rsidRPr="00E73EF4">
        <w:rPr>
          <w:rFonts w:ascii="Times New Roman" w:eastAsia="Calibri" w:hAnsi="Times New Roman" w:cs="Times New Roman"/>
          <w:sz w:val="24"/>
          <w:szCs w:val="24"/>
        </w:rPr>
        <w:t xml:space="preserve">. </w:t>
      </w:r>
      <w:r w:rsidR="008B64F8" w:rsidRPr="00E73EF4">
        <w:rPr>
          <w:rFonts w:ascii="Times New Roman" w:hAnsi="Times New Roman" w:cs="Times New Roman"/>
          <w:sz w:val="24"/>
          <w:szCs w:val="24"/>
        </w:rPr>
        <w:t xml:space="preserve">MRSA are opportunistic </w:t>
      </w:r>
      <w:r w:rsidR="007C4098" w:rsidRPr="00E73EF4">
        <w:rPr>
          <w:rFonts w:ascii="Times New Roman" w:hAnsi="Times New Roman" w:cs="Times New Roman"/>
          <w:sz w:val="24"/>
          <w:szCs w:val="24"/>
        </w:rPr>
        <w:t>pathogens</w:t>
      </w:r>
      <w:r w:rsidR="008B64F8" w:rsidRPr="00E73EF4">
        <w:rPr>
          <w:rFonts w:ascii="Times New Roman" w:hAnsi="Times New Roman" w:cs="Times New Roman"/>
          <w:sz w:val="24"/>
          <w:szCs w:val="24"/>
        </w:rPr>
        <w:t xml:space="preserve"> resistant to </w:t>
      </w:r>
      <w:r w:rsidR="00652CA0" w:rsidRPr="00E73EF4">
        <w:rPr>
          <w:rFonts w:ascii="Times New Roman" w:hAnsi="Times New Roman" w:cs="Times New Roman"/>
          <w:sz w:val="24"/>
          <w:szCs w:val="24"/>
        </w:rPr>
        <w:t xml:space="preserve">all classes of </w:t>
      </w:r>
      <w:r w:rsidR="008B64F8" w:rsidRPr="00E73EF4">
        <w:rPr>
          <w:rFonts w:ascii="Times New Roman" w:hAnsi="Times New Roman" w:cs="Times New Roman"/>
          <w:sz w:val="24"/>
          <w:szCs w:val="24"/>
        </w:rPr>
        <w:t xml:space="preserve">antimicrobial agents but </w:t>
      </w:r>
      <w:r w:rsidR="007C4098" w:rsidRPr="00E73EF4">
        <w:rPr>
          <w:rFonts w:ascii="Times New Roman" w:hAnsi="Times New Roman" w:cs="Times New Roman"/>
          <w:sz w:val="24"/>
          <w:szCs w:val="24"/>
        </w:rPr>
        <w:t xml:space="preserve">currently </w:t>
      </w:r>
      <w:r w:rsidR="008B64F8" w:rsidRPr="00E73EF4">
        <w:rPr>
          <w:rFonts w:ascii="Times New Roman" w:hAnsi="Times New Roman" w:cs="Times New Roman"/>
          <w:sz w:val="24"/>
          <w:szCs w:val="24"/>
        </w:rPr>
        <w:t xml:space="preserve">no strains </w:t>
      </w:r>
      <w:r w:rsidR="007C4098" w:rsidRPr="00E73EF4">
        <w:rPr>
          <w:rFonts w:ascii="Times New Roman" w:hAnsi="Times New Roman" w:cs="Times New Roman"/>
          <w:sz w:val="24"/>
          <w:szCs w:val="24"/>
        </w:rPr>
        <w:t>are fully drug resistant.</w:t>
      </w:r>
      <w:r w:rsidR="008635C3" w:rsidRPr="00E73EF4">
        <w:rPr>
          <w:rFonts w:ascii="Times New Roman" w:eastAsia="Calibri" w:hAnsi="Times New Roman" w:cs="Times New Roman"/>
          <w:sz w:val="24"/>
          <w:szCs w:val="24"/>
        </w:rPr>
        <w:t xml:space="preserve"> </w:t>
      </w:r>
      <w:r w:rsidR="008B64F8" w:rsidRPr="00E73EF4">
        <w:rPr>
          <w:rFonts w:ascii="Times New Roman" w:eastAsia="Calibri" w:hAnsi="Times New Roman" w:cs="Times New Roman"/>
          <w:sz w:val="24"/>
          <w:szCs w:val="24"/>
        </w:rPr>
        <w:t xml:space="preserve">AMR gene transfer </w:t>
      </w:r>
      <w:r w:rsidR="005B4DC4" w:rsidRPr="00E73EF4">
        <w:rPr>
          <w:rFonts w:ascii="Times New Roman" w:eastAsia="Calibri" w:hAnsi="Times New Roman" w:cs="Times New Roman"/>
          <w:sz w:val="24"/>
          <w:szCs w:val="24"/>
        </w:rPr>
        <w:t xml:space="preserve">between </w:t>
      </w:r>
      <w:r w:rsidR="005B4DC4" w:rsidRPr="00E73EF4">
        <w:rPr>
          <w:rFonts w:ascii="Times New Roman" w:eastAsia="Calibri" w:hAnsi="Times New Roman" w:cs="Times New Roman"/>
          <w:i/>
          <w:sz w:val="24"/>
          <w:szCs w:val="24"/>
        </w:rPr>
        <w:t xml:space="preserve">S. </w:t>
      </w:r>
      <w:proofErr w:type="spellStart"/>
      <w:r w:rsidR="005B4DC4" w:rsidRPr="00E73EF4">
        <w:rPr>
          <w:rFonts w:ascii="Times New Roman" w:eastAsia="Calibri" w:hAnsi="Times New Roman" w:cs="Times New Roman"/>
          <w:i/>
          <w:sz w:val="24"/>
          <w:szCs w:val="24"/>
        </w:rPr>
        <w:t>aureus</w:t>
      </w:r>
      <w:proofErr w:type="spellEnd"/>
      <w:r w:rsidR="005B4DC4" w:rsidRPr="00E73EF4">
        <w:rPr>
          <w:rFonts w:ascii="Times New Roman" w:eastAsia="Calibri" w:hAnsi="Times New Roman" w:cs="Times New Roman"/>
          <w:sz w:val="24"/>
          <w:szCs w:val="24"/>
        </w:rPr>
        <w:t xml:space="preserve"> </w:t>
      </w:r>
      <w:r w:rsidR="008B64F8" w:rsidRPr="00E73EF4">
        <w:rPr>
          <w:rFonts w:ascii="Times New Roman" w:eastAsia="Calibri" w:hAnsi="Times New Roman" w:cs="Times New Roman"/>
          <w:sz w:val="24"/>
          <w:szCs w:val="24"/>
        </w:rPr>
        <w:t>is</w:t>
      </w:r>
      <w:r w:rsidR="005B4DC4" w:rsidRPr="00E73EF4">
        <w:rPr>
          <w:rFonts w:ascii="Times New Roman" w:eastAsia="Calibri" w:hAnsi="Times New Roman" w:cs="Times New Roman"/>
          <w:sz w:val="24"/>
          <w:szCs w:val="24"/>
        </w:rPr>
        <w:t>olates is</w:t>
      </w:r>
      <w:r w:rsidR="008B64F8" w:rsidRPr="00E73EF4">
        <w:rPr>
          <w:rFonts w:ascii="Times New Roman" w:eastAsia="Calibri" w:hAnsi="Times New Roman" w:cs="Times New Roman"/>
          <w:sz w:val="24"/>
          <w:szCs w:val="24"/>
        </w:rPr>
        <w:t xml:space="preserve"> predominantly due to </w:t>
      </w:r>
      <w:r w:rsidR="008635C3" w:rsidRPr="00E73EF4">
        <w:rPr>
          <w:rFonts w:ascii="Times New Roman" w:eastAsia="Calibri" w:hAnsi="Times New Roman" w:cs="Times New Roman"/>
          <w:sz w:val="24"/>
          <w:szCs w:val="24"/>
        </w:rPr>
        <w:t xml:space="preserve">generalized transduction via </w:t>
      </w:r>
      <w:r w:rsidR="0074147C" w:rsidRPr="00E73EF4">
        <w:rPr>
          <w:rFonts w:ascii="Times New Roman" w:eastAsia="Calibri" w:hAnsi="Times New Roman" w:cs="Times New Roman"/>
          <w:sz w:val="24"/>
          <w:szCs w:val="24"/>
        </w:rPr>
        <w:t xml:space="preserve">endogenous </w:t>
      </w:r>
      <w:r w:rsidR="008635C3" w:rsidRPr="00E73EF4">
        <w:rPr>
          <w:rFonts w:ascii="Times New Roman" w:eastAsia="Calibri" w:hAnsi="Times New Roman" w:cs="Times New Roman"/>
          <w:sz w:val="24"/>
          <w:szCs w:val="24"/>
        </w:rPr>
        <w:t>bacteriophage</w:t>
      </w:r>
      <w:r w:rsidR="0074147C" w:rsidRPr="00E73EF4">
        <w:rPr>
          <w:rFonts w:ascii="Times New Roman" w:eastAsia="Calibri" w:hAnsi="Times New Roman" w:cs="Times New Roman"/>
          <w:sz w:val="24"/>
          <w:szCs w:val="24"/>
        </w:rPr>
        <w:t>, and recent studies have suggested transfer is elevated during host colonization</w:t>
      </w:r>
      <w:r w:rsidR="008635C3" w:rsidRPr="00E73EF4">
        <w:rPr>
          <w:rFonts w:ascii="Times New Roman" w:eastAsia="Calibri" w:hAnsi="Times New Roman" w:cs="Times New Roman"/>
          <w:sz w:val="24"/>
          <w:szCs w:val="24"/>
        </w:rPr>
        <w:t>.</w:t>
      </w:r>
      <w:r w:rsidR="008635C3" w:rsidRPr="00E73EF4">
        <w:rPr>
          <w:rFonts w:ascii="Times New Roman" w:hAnsi="Times New Roman" w:cs="Times New Roman"/>
          <w:sz w:val="24"/>
          <w:szCs w:val="24"/>
        </w:rPr>
        <w:t xml:space="preserve"> </w:t>
      </w:r>
      <w:r w:rsidR="008635C3" w:rsidRPr="00E73EF4">
        <w:rPr>
          <w:rFonts w:ascii="Times New Roman" w:hAnsi="Times New Roman" w:cs="Times New Roman"/>
          <w:iCs/>
          <w:sz w:val="24"/>
          <w:szCs w:val="24"/>
        </w:rPr>
        <w:t xml:space="preserve">The aim was </w:t>
      </w:r>
      <w:r w:rsidR="008635C3" w:rsidRPr="00E73EF4">
        <w:rPr>
          <w:rFonts w:ascii="Times New Roman" w:eastAsia="Calibri" w:hAnsi="Times New Roman" w:cs="Times New Roman"/>
          <w:sz w:val="24"/>
          <w:szCs w:val="24"/>
          <w:lang w:val="en-US"/>
        </w:rPr>
        <w:t xml:space="preserve">to </w:t>
      </w:r>
      <w:r w:rsidR="008635C3" w:rsidRPr="00E73EF4">
        <w:rPr>
          <w:rFonts w:ascii="Times New Roman" w:eastAsia="Calibri" w:hAnsi="Times New Roman" w:cs="Times New Roman"/>
          <w:bCs/>
          <w:iCs/>
          <w:sz w:val="24"/>
          <w:szCs w:val="24"/>
        </w:rPr>
        <w:t xml:space="preserve">investigate whether </w:t>
      </w:r>
      <w:r w:rsidR="008635C3" w:rsidRPr="00E73EF4">
        <w:rPr>
          <w:rFonts w:ascii="Times New Roman" w:eastAsia="Calibri" w:hAnsi="Times New Roman" w:cs="Times New Roman"/>
          <w:sz w:val="24"/>
          <w:szCs w:val="24"/>
          <w:lang w:eastAsia="en-GB"/>
        </w:rPr>
        <w:t xml:space="preserve">exposure to sub-MIC </w:t>
      </w:r>
      <w:r w:rsidR="00652CA0" w:rsidRPr="00E73EF4">
        <w:rPr>
          <w:rFonts w:ascii="Times New Roman" w:eastAsia="Calibri" w:hAnsi="Times New Roman" w:cs="Times New Roman"/>
          <w:sz w:val="24"/>
          <w:szCs w:val="24"/>
          <w:lang w:eastAsia="en-GB"/>
        </w:rPr>
        <w:t xml:space="preserve">concentrations </w:t>
      </w:r>
      <w:r w:rsidR="008635C3" w:rsidRPr="00E73EF4">
        <w:rPr>
          <w:rFonts w:ascii="Times New Roman" w:eastAsia="Calibri" w:hAnsi="Times New Roman" w:cs="Times New Roman"/>
          <w:sz w:val="24"/>
          <w:szCs w:val="24"/>
          <w:lang w:eastAsia="en-GB"/>
        </w:rPr>
        <w:t>of anti</w:t>
      </w:r>
      <w:r w:rsidR="00652CA0" w:rsidRPr="00E73EF4">
        <w:rPr>
          <w:rFonts w:ascii="Times New Roman" w:eastAsia="Calibri" w:hAnsi="Times New Roman" w:cs="Times New Roman"/>
          <w:sz w:val="24"/>
          <w:szCs w:val="24"/>
          <w:lang w:eastAsia="en-GB"/>
        </w:rPr>
        <w:t>microbials</w:t>
      </w:r>
      <w:r w:rsidR="008635C3" w:rsidRPr="00E73EF4">
        <w:rPr>
          <w:rFonts w:ascii="Times New Roman" w:eastAsia="Calibri" w:hAnsi="Times New Roman" w:cs="Times New Roman"/>
          <w:sz w:val="24"/>
          <w:szCs w:val="24"/>
          <w:lang w:eastAsia="en-GB"/>
        </w:rPr>
        <w:t xml:space="preserve"> </w:t>
      </w:r>
      <w:r w:rsidR="008635C3" w:rsidRPr="00E73EF4">
        <w:rPr>
          <w:rFonts w:ascii="Times New Roman" w:eastAsia="Calibri" w:hAnsi="Times New Roman" w:cs="Times New Roman"/>
          <w:sz w:val="24"/>
          <w:szCs w:val="24"/>
          <w:lang w:val="en-US"/>
        </w:rPr>
        <w:t>trigger</w:t>
      </w:r>
      <w:r w:rsidR="007C4098" w:rsidRPr="00E73EF4">
        <w:rPr>
          <w:rFonts w:ascii="Times New Roman" w:eastAsia="Calibri" w:hAnsi="Times New Roman" w:cs="Times New Roman"/>
          <w:sz w:val="24"/>
          <w:szCs w:val="24"/>
          <w:lang w:val="en-US"/>
        </w:rPr>
        <w:t>s</w:t>
      </w:r>
      <w:r w:rsidR="008635C3" w:rsidRPr="00E73EF4">
        <w:rPr>
          <w:rFonts w:ascii="Times New Roman" w:eastAsia="Calibri" w:hAnsi="Times New Roman" w:cs="Times New Roman"/>
          <w:sz w:val="24"/>
          <w:szCs w:val="24"/>
          <w:lang w:val="en-US"/>
        </w:rPr>
        <w:t xml:space="preserve"> bacteriophage induction</w:t>
      </w:r>
      <w:r w:rsidR="00605678" w:rsidRPr="00E73EF4">
        <w:rPr>
          <w:rFonts w:ascii="Times New Roman" w:eastAsia="Calibri" w:hAnsi="Times New Roman" w:cs="Times New Roman"/>
          <w:sz w:val="24"/>
          <w:szCs w:val="24"/>
          <w:lang w:val="en-US"/>
        </w:rPr>
        <w:t xml:space="preserve"> and/or</w:t>
      </w:r>
      <w:r w:rsidR="008635C3" w:rsidRPr="00E73EF4">
        <w:rPr>
          <w:rFonts w:ascii="Times New Roman" w:eastAsia="Calibri" w:hAnsi="Times New Roman" w:cs="Times New Roman"/>
          <w:sz w:val="24"/>
          <w:szCs w:val="24"/>
          <w:lang w:val="en-US"/>
        </w:rPr>
        <w:t xml:space="preserve"> increase</w:t>
      </w:r>
      <w:r w:rsidR="007C4098" w:rsidRPr="00E73EF4">
        <w:rPr>
          <w:rFonts w:ascii="Times New Roman" w:eastAsia="Calibri" w:hAnsi="Times New Roman" w:cs="Times New Roman"/>
          <w:sz w:val="24"/>
          <w:szCs w:val="24"/>
          <w:lang w:val="en-US"/>
        </w:rPr>
        <w:t>d</w:t>
      </w:r>
      <w:r w:rsidR="008635C3" w:rsidRPr="00E73EF4">
        <w:rPr>
          <w:rFonts w:ascii="Times New Roman" w:eastAsia="Calibri" w:hAnsi="Times New Roman" w:cs="Times New Roman"/>
          <w:sz w:val="24"/>
          <w:szCs w:val="24"/>
          <w:lang w:val="en-US"/>
        </w:rPr>
        <w:t xml:space="preserve"> efficiency of </w:t>
      </w:r>
      <w:r w:rsidR="0074147C" w:rsidRPr="00E73EF4">
        <w:rPr>
          <w:rFonts w:ascii="Times New Roman" w:eastAsia="Calibri" w:hAnsi="Times New Roman" w:cs="Times New Roman"/>
          <w:sz w:val="24"/>
          <w:szCs w:val="24"/>
          <w:lang w:val="en-US"/>
        </w:rPr>
        <w:t>AMR</w:t>
      </w:r>
      <w:r w:rsidR="008635C3" w:rsidRPr="00E73EF4">
        <w:rPr>
          <w:rFonts w:ascii="Times New Roman" w:eastAsia="Calibri" w:hAnsi="Times New Roman" w:cs="Times New Roman"/>
          <w:sz w:val="24"/>
          <w:szCs w:val="24"/>
          <w:lang w:val="en-US"/>
        </w:rPr>
        <w:t xml:space="preserve"> gene</w:t>
      </w:r>
      <w:r w:rsidR="008B64F8" w:rsidRPr="00E73EF4">
        <w:rPr>
          <w:rFonts w:ascii="Times New Roman" w:eastAsia="Calibri" w:hAnsi="Times New Roman" w:cs="Times New Roman"/>
          <w:sz w:val="24"/>
          <w:szCs w:val="24"/>
          <w:lang w:val="en-US"/>
        </w:rPr>
        <w:t xml:space="preserve"> transfer</w:t>
      </w:r>
      <w:r w:rsidR="00605678" w:rsidRPr="00E73EF4">
        <w:rPr>
          <w:rFonts w:ascii="Times New Roman" w:eastAsia="Calibri" w:hAnsi="Times New Roman" w:cs="Times New Roman"/>
          <w:sz w:val="24"/>
          <w:szCs w:val="24"/>
          <w:lang w:val="en-US"/>
        </w:rPr>
        <w:t xml:space="preserve">. </w:t>
      </w:r>
    </w:p>
    <w:p w14:paraId="44A11D10" w14:textId="01DAC8D8" w:rsidR="00DC038C" w:rsidRPr="00E73EF4" w:rsidRDefault="00DC038C" w:rsidP="00B6049E">
      <w:pPr>
        <w:spacing w:line="480" w:lineRule="auto"/>
        <w:jc w:val="both"/>
        <w:rPr>
          <w:rFonts w:ascii="Times New Roman" w:hAnsi="Times New Roman" w:cs="Times New Roman"/>
          <w:b/>
          <w:bCs/>
          <w:iCs/>
          <w:sz w:val="24"/>
          <w:szCs w:val="24"/>
        </w:rPr>
      </w:pPr>
      <w:r w:rsidRPr="00E73EF4">
        <w:rPr>
          <w:rFonts w:ascii="Times New Roman" w:hAnsi="Times New Roman" w:cs="Times New Roman"/>
          <w:b/>
          <w:bCs/>
          <w:iCs/>
          <w:sz w:val="24"/>
          <w:szCs w:val="24"/>
        </w:rPr>
        <w:t>Methods:</w:t>
      </w:r>
      <w:r w:rsidR="00427F7E" w:rsidRPr="00E73EF4">
        <w:rPr>
          <w:rFonts w:ascii="Times New Roman" w:hAnsi="Times New Roman" w:cs="Times New Roman"/>
          <w:b/>
          <w:bCs/>
          <w:iCs/>
          <w:sz w:val="24"/>
          <w:szCs w:val="24"/>
        </w:rPr>
        <w:t xml:space="preserve"> </w:t>
      </w:r>
      <w:r w:rsidR="0074147C" w:rsidRPr="00E73EF4">
        <w:rPr>
          <w:rFonts w:ascii="Times New Roman" w:hAnsi="Times New Roman" w:cs="Times New Roman"/>
          <w:bCs/>
          <w:iCs/>
          <w:sz w:val="24"/>
          <w:szCs w:val="24"/>
        </w:rPr>
        <w:t>I</w:t>
      </w:r>
      <w:r w:rsidR="00427F7E" w:rsidRPr="00E73EF4">
        <w:rPr>
          <w:rFonts w:ascii="Times New Roman" w:hAnsi="Times New Roman" w:cs="Times New Roman"/>
          <w:bCs/>
          <w:iCs/>
          <w:sz w:val="24"/>
          <w:szCs w:val="24"/>
        </w:rPr>
        <w:t>solates</w:t>
      </w:r>
      <w:r w:rsidR="00427F7E" w:rsidRPr="00E73EF4">
        <w:rPr>
          <w:rFonts w:ascii="Times New Roman" w:eastAsia="Calibri" w:hAnsi="Times New Roman" w:cs="Times New Roman"/>
          <w:iCs/>
          <w:sz w:val="24"/>
          <w:szCs w:val="24"/>
        </w:rPr>
        <w:t xml:space="preserve"> from MRSA carrier</w:t>
      </w:r>
      <w:r w:rsidR="0074147C" w:rsidRPr="00E73EF4">
        <w:rPr>
          <w:rFonts w:ascii="Times New Roman" w:eastAsia="Calibri" w:hAnsi="Times New Roman" w:cs="Times New Roman"/>
          <w:iCs/>
          <w:sz w:val="24"/>
          <w:szCs w:val="24"/>
        </w:rPr>
        <w:t>s</w:t>
      </w:r>
      <w:r w:rsidR="00427F7E" w:rsidRPr="00E73EF4">
        <w:rPr>
          <w:rFonts w:ascii="Times New Roman" w:eastAsia="Calibri" w:hAnsi="Times New Roman" w:cs="Times New Roman"/>
          <w:iCs/>
          <w:sz w:val="24"/>
          <w:szCs w:val="24"/>
        </w:rPr>
        <w:t xml:space="preserve"> were </w:t>
      </w:r>
      <w:r w:rsidR="008B64F8" w:rsidRPr="00E73EF4">
        <w:rPr>
          <w:rFonts w:ascii="Times New Roman" w:eastAsia="Calibri" w:hAnsi="Times New Roman" w:cs="Times New Roman"/>
          <w:iCs/>
          <w:sz w:val="24"/>
          <w:szCs w:val="24"/>
        </w:rPr>
        <w:t xml:space="preserve">exposed to </w:t>
      </w:r>
      <w:r w:rsidR="0074147C" w:rsidRPr="00E73EF4">
        <w:rPr>
          <w:rFonts w:ascii="Times New Roman" w:eastAsia="Calibri" w:hAnsi="Times New Roman" w:cs="Times New Roman"/>
          <w:bCs/>
          <w:sz w:val="24"/>
          <w:szCs w:val="24"/>
        </w:rPr>
        <w:t>nine</w:t>
      </w:r>
      <w:r w:rsidR="0008459B" w:rsidRPr="00E73EF4">
        <w:rPr>
          <w:rFonts w:ascii="Times New Roman" w:eastAsia="Calibri" w:hAnsi="Times New Roman" w:cs="Times New Roman"/>
          <w:bCs/>
          <w:sz w:val="24"/>
          <w:szCs w:val="24"/>
        </w:rPr>
        <w:t xml:space="preserve"> anti</w:t>
      </w:r>
      <w:r w:rsidR="00695851" w:rsidRPr="00E73EF4">
        <w:rPr>
          <w:rFonts w:ascii="Times New Roman" w:eastAsia="Calibri" w:hAnsi="Times New Roman" w:cs="Times New Roman"/>
          <w:bCs/>
          <w:sz w:val="24"/>
          <w:szCs w:val="24"/>
        </w:rPr>
        <w:t xml:space="preserve">microbials and supernatants compared for </w:t>
      </w:r>
      <w:r w:rsidR="008B64F8" w:rsidRPr="00E73EF4">
        <w:rPr>
          <w:rFonts w:ascii="Times New Roman" w:eastAsia="Calibri" w:hAnsi="Times New Roman" w:cs="Times New Roman"/>
          <w:bCs/>
          <w:sz w:val="24"/>
          <w:szCs w:val="24"/>
        </w:rPr>
        <w:t xml:space="preserve">lytic </w:t>
      </w:r>
      <w:r w:rsidR="0008459B" w:rsidRPr="00E73EF4">
        <w:rPr>
          <w:rFonts w:ascii="Times New Roman" w:eastAsia="Calibri" w:hAnsi="Times New Roman" w:cs="Times New Roman"/>
          <w:bCs/>
          <w:sz w:val="24"/>
          <w:szCs w:val="24"/>
        </w:rPr>
        <w:t>phage</w:t>
      </w:r>
      <w:r w:rsidR="008B64F8" w:rsidRPr="00E73EF4">
        <w:rPr>
          <w:rFonts w:ascii="Times New Roman" w:eastAsia="Calibri" w:hAnsi="Times New Roman" w:cs="Times New Roman"/>
          <w:bCs/>
          <w:sz w:val="24"/>
          <w:szCs w:val="24"/>
        </w:rPr>
        <w:t xml:space="preserve"> particles and </w:t>
      </w:r>
      <w:r w:rsidR="00695851" w:rsidRPr="00E73EF4">
        <w:rPr>
          <w:rFonts w:ascii="Times New Roman" w:eastAsia="Calibri" w:hAnsi="Times New Roman" w:cs="Times New Roman"/>
          <w:bCs/>
          <w:sz w:val="24"/>
          <w:szCs w:val="24"/>
        </w:rPr>
        <w:t>ability to transfer</w:t>
      </w:r>
      <w:r w:rsidR="005B4DC4" w:rsidRPr="00E73EF4">
        <w:rPr>
          <w:rFonts w:ascii="Times New Roman" w:eastAsia="Calibri" w:hAnsi="Times New Roman" w:cs="Times New Roman"/>
          <w:bCs/>
          <w:sz w:val="24"/>
          <w:szCs w:val="24"/>
        </w:rPr>
        <w:t xml:space="preserve"> </w:t>
      </w:r>
      <w:r w:rsidR="00695851" w:rsidRPr="00E73EF4">
        <w:rPr>
          <w:rFonts w:ascii="Times New Roman" w:eastAsia="Calibri" w:hAnsi="Times New Roman" w:cs="Times New Roman"/>
          <w:bCs/>
          <w:sz w:val="24"/>
          <w:szCs w:val="24"/>
        </w:rPr>
        <w:t xml:space="preserve">an AMR </w:t>
      </w:r>
      <w:r w:rsidR="008B64F8" w:rsidRPr="00E73EF4">
        <w:rPr>
          <w:rFonts w:ascii="Times New Roman" w:eastAsia="Calibri" w:hAnsi="Times New Roman" w:cs="Times New Roman"/>
          <w:bCs/>
          <w:sz w:val="24"/>
          <w:szCs w:val="24"/>
        </w:rPr>
        <w:t>gene</w:t>
      </w:r>
      <w:r w:rsidR="00695851" w:rsidRPr="00E73EF4">
        <w:rPr>
          <w:rFonts w:ascii="Times New Roman" w:eastAsia="Calibri" w:hAnsi="Times New Roman" w:cs="Times New Roman"/>
          <w:bCs/>
          <w:sz w:val="24"/>
          <w:szCs w:val="24"/>
        </w:rPr>
        <w:t>.</w:t>
      </w:r>
      <w:r w:rsidR="008B64F8" w:rsidRPr="00E73EF4">
        <w:rPr>
          <w:rFonts w:ascii="Times New Roman" w:eastAsia="Calibri" w:hAnsi="Times New Roman" w:cs="Times New Roman"/>
          <w:bCs/>
          <w:sz w:val="24"/>
          <w:szCs w:val="24"/>
        </w:rPr>
        <w:t xml:space="preserve"> </w:t>
      </w:r>
      <w:r w:rsidR="0074147C" w:rsidRPr="00E73EF4">
        <w:rPr>
          <w:rFonts w:ascii="Times New Roman" w:eastAsia="Calibri" w:hAnsi="Times New Roman" w:cs="Times New Roman"/>
          <w:bCs/>
          <w:sz w:val="24"/>
          <w:szCs w:val="24"/>
        </w:rPr>
        <w:t>A new technology, d</w:t>
      </w:r>
      <w:r w:rsidR="0008459B" w:rsidRPr="00E73EF4">
        <w:rPr>
          <w:rFonts w:ascii="Times New Roman" w:hAnsi="Times New Roman" w:cs="Times New Roman"/>
          <w:sz w:val="24"/>
          <w:szCs w:val="24"/>
        </w:rPr>
        <w:t xml:space="preserve">roplet digital PCR </w:t>
      </w:r>
      <w:r w:rsidR="00DE75D9" w:rsidRPr="00E73EF4">
        <w:rPr>
          <w:rFonts w:ascii="Times New Roman" w:hAnsi="Times New Roman" w:cs="Times New Roman"/>
          <w:sz w:val="24"/>
          <w:szCs w:val="24"/>
        </w:rPr>
        <w:t>(</w:t>
      </w:r>
      <w:proofErr w:type="spellStart"/>
      <w:r w:rsidR="00DE75D9" w:rsidRPr="00E73EF4">
        <w:rPr>
          <w:rFonts w:ascii="Times New Roman" w:hAnsi="Times New Roman" w:cs="Times New Roman"/>
          <w:sz w:val="24"/>
          <w:szCs w:val="24"/>
        </w:rPr>
        <w:t>ddPCR</w:t>
      </w:r>
      <w:proofErr w:type="spellEnd"/>
      <w:r w:rsidR="00DE75D9" w:rsidRPr="00E73EF4">
        <w:rPr>
          <w:rFonts w:ascii="Times New Roman" w:hAnsi="Times New Roman" w:cs="Times New Roman"/>
          <w:sz w:val="24"/>
          <w:szCs w:val="24"/>
        </w:rPr>
        <w:t>)</w:t>
      </w:r>
      <w:r w:rsidR="0008459B" w:rsidRPr="00E73EF4">
        <w:rPr>
          <w:rFonts w:ascii="Times New Roman" w:hAnsi="Times New Roman" w:cs="Times New Roman"/>
          <w:sz w:val="24"/>
          <w:szCs w:val="24"/>
        </w:rPr>
        <w:t xml:space="preserve"> measure</w:t>
      </w:r>
      <w:r w:rsidR="007C4098" w:rsidRPr="00E73EF4">
        <w:rPr>
          <w:rFonts w:ascii="Times New Roman" w:hAnsi="Times New Roman" w:cs="Times New Roman"/>
          <w:sz w:val="24"/>
          <w:szCs w:val="24"/>
        </w:rPr>
        <w:t>d</w:t>
      </w:r>
      <w:r w:rsidR="0008459B" w:rsidRPr="00E73EF4">
        <w:rPr>
          <w:rFonts w:ascii="Times New Roman" w:hAnsi="Times New Roman" w:cs="Times New Roman"/>
          <w:sz w:val="24"/>
          <w:szCs w:val="24"/>
        </w:rPr>
        <w:t xml:space="preserve"> </w:t>
      </w:r>
      <w:r w:rsidR="0074147C" w:rsidRPr="00E73EF4">
        <w:rPr>
          <w:rFonts w:ascii="Times New Roman" w:hAnsi="Times New Roman" w:cs="Times New Roman"/>
          <w:sz w:val="24"/>
          <w:szCs w:val="24"/>
        </w:rPr>
        <w:t xml:space="preserve">the </w:t>
      </w:r>
      <w:r w:rsidR="008B64F8" w:rsidRPr="00E73EF4">
        <w:rPr>
          <w:rFonts w:ascii="Times New Roman" w:hAnsi="Times New Roman" w:cs="Times New Roman"/>
          <w:sz w:val="24"/>
          <w:szCs w:val="24"/>
        </w:rPr>
        <w:t xml:space="preserve">concentration of genes in </w:t>
      </w:r>
      <w:r w:rsidR="0008459B" w:rsidRPr="00E73EF4">
        <w:rPr>
          <w:rFonts w:ascii="Times New Roman" w:hAnsi="Times New Roman" w:cs="Times New Roman"/>
          <w:sz w:val="24"/>
          <w:szCs w:val="24"/>
        </w:rPr>
        <w:t>phage particles.</w:t>
      </w:r>
      <w:r w:rsidR="006E4FAE" w:rsidRPr="00E73EF4">
        <w:rPr>
          <w:rFonts w:ascii="Times New Roman" w:hAnsi="Times New Roman" w:cs="Times New Roman"/>
          <w:sz w:val="24"/>
          <w:szCs w:val="24"/>
        </w:rPr>
        <w:t xml:space="preserve"> </w:t>
      </w:r>
    </w:p>
    <w:p w14:paraId="73E4CFC4" w14:textId="7CC62D71" w:rsidR="00514E4D" w:rsidRPr="00E73EF4" w:rsidRDefault="00DC038C" w:rsidP="00B6049E">
      <w:pPr>
        <w:spacing w:line="480" w:lineRule="auto"/>
        <w:jc w:val="both"/>
        <w:rPr>
          <w:rFonts w:ascii="Times New Roman" w:hAnsi="Times New Roman" w:cs="Times New Roman"/>
          <w:sz w:val="24"/>
          <w:szCs w:val="24"/>
        </w:rPr>
      </w:pPr>
      <w:r w:rsidRPr="00E73EF4">
        <w:rPr>
          <w:rFonts w:ascii="Times New Roman" w:hAnsi="Times New Roman" w:cs="Times New Roman"/>
          <w:b/>
          <w:sz w:val="24"/>
          <w:szCs w:val="24"/>
        </w:rPr>
        <w:t>Results:</w:t>
      </w:r>
      <w:r w:rsidR="0008459B" w:rsidRPr="00E73EF4">
        <w:rPr>
          <w:rFonts w:ascii="Times New Roman" w:hAnsi="Times New Roman" w:cs="Times New Roman"/>
          <w:b/>
          <w:sz w:val="24"/>
          <w:szCs w:val="24"/>
        </w:rPr>
        <w:t xml:space="preserve"> </w:t>
      </w:r>
      <w:r w:rsidR="0074147C" w:rsidRPr="00E73EF4">
        <w:rPr>
          <w:rFonts w:ascii="Times New Roman" w:hAnsi="Times New Roman" w:cs="Times New Roman"/>
          <w:sz w:val="24"/>
          <w:szCs w:val="24"/>
        </w:rPr>
        <w:t xml:space="preserve">All </w:t>
      </w:r>
      <w:r w:rsidR="00DE75D9" w:rsidRPr="00E73EF4">
        <w:rPr>
          <w:rFonts w:ascii="Times New Roman" w:hAnsi="Times New Roman" w:cs="Times New Roman"/>
          <w:sz w:val="24"/>
          <w:szCs w:val="24"/>
        </w:rPr>
        <w:t>antibiotics tested induced lytic phage</w:t>
      </w:r>
      <w:r w:rsidR="0074147C" w:rsidRPr="00E73EF4">
        <w:rPr>
          <w:rFonts w:ascii="Times New Roman" w:hAnsi="Times New Roman" w:cs="Times New Roman"/>
          <w:sz w:val="24"/>
          <w:szCs w:val="24"/>
        </w:rPr>
        <w:t xml:space="preserve"> </w:t>
      </w:r>
      <w:r w:rsidR="00DE75D9" w:rsidRPr="00E73EF4">
        <w:rPr>
          <w:rFonts w:ascii="Times New Roman" w:hAnsi="Times New Roman" w:cs="Times New Roman"/>
          <w:sz w:val="24"/>
          <w:szCs w:val="24"/>
        </w:rPr>
        <w:t>a</w:t>
      </w:r>
      <w:r w:rsidR="00695851" w:rsidRPr="00E73EF4">
        <w:rPr>
          <w:rFonts w:ascii="Times New Roman" w:hAnsi="Times New Roman" w:cs="Times New Roman"/>
          <w:sz w:val="24"/>
          <w:szCs w:val="24"/>
        </w:rPr>
        <w:t xml:space="preserve">nd </w:t>
      </w:r>
      <w:r w:rsidR="00DE75D9" w:rsidRPr="00E73EF4">
        <w:rPr>
          <w:rFonts w:ascii="Times New Roman" w:hAnsi="Times New Roman" w:cs="Times New Roman"/>
          <w:sz w:val="24"/>
          <w:szCs w:val="24"/>
        </w:rPr>
        <w:t xml:space="preserve">AMR gene transduction, </w:t>
      </w:r>
      <w:r w:rsidR="00695851" w:rsidRPr="00E73EF4">
        <w:rPr>
          <w:rFonts w:ascii="Times New Roman" w:hAnsi="Times New Roman" w:cs="Times New Roman"/>
          <w:sz w:val="24"/>
          <w:szCs w:val="24"/>
        </w:rPr>
        <w:t>although</w:t>
      </w:r>
      <w:r w:rsidR="00DE75D9" w:rsidRPr="00E73EF4">
        <w:rPr>
          <w:rFonts w:ascii="Times New Roman" w:hAnsi="Times New Roman" w:cs="Times New Roman"/>
          <w:sz w:val="24"/>
          <w:szCs w:val="24"/>
        </w:rPr>
        <w:t xml:space="preserve"> the ratio of </w:t>
      </w:r>
      <w:r w:rsidR="00E90782" w:rsidRPr="00E73EF4">
        <w:rPr>
          <w:rFonts w:ascii="Times New Roman" w:hAnsi="Times New Roman" w:cs="Times New Roman"/>
          <w:sz w:val="24"/>
          <w:szCs w:val="24"/>
        </w:rPr>
        <w:t xml:space="preserve">transducing particles </w:t>
      </w:r>
      <w:r w:rsidR="00652CA0" w:rsidRPr="00E73EF4">
        <w:rPr>
          <w:rFonts w:ascii="Times New Roman" w:hAnsi="Times New Roman" w:cs="Times New Roman"/>
          <w:sz w:val="24"/>
          <w:szCs w:val="24"/>
        </w:rPr>
        <w:t xml:space="preserve">to lytic particles </w:t>
      </w:r>
      <w:r w:rsidR="00E90782" w:rsidRPr="00E73EF4">
        <w:rPr>
          <w:rFonts w:ascii="Times New Roman" w:hAnsi="Times New Roman" w:cs="Times New Roman"/>
          <w:sz w:val="24"/>
          <w:szCs w:val="24"/>
        </w:rPr>
        <w:t xml:space="preserve">differed </w:t>
      </w:r>
      <w:r w:rsidR="00695851" w:rsidRPr="00E73EF4">
        <w:rPr>
          <w:rFonts w:ascii="Times New Roman" w:hAnsi="Times New Roman" w:cs="Times New Roman"/>
          <w:sz w:val="24"/>
          <w:szCs w:val="24"/>
        </w:rPr>
        <w:t xml:space="preserve">substantially </w:t>
      </w:r>
      <w:r w:rsidR="00E90782" w:rsidRPr="00E73EF4">
        <w:rPr>
          <w:rFonts w:ascii="Times New Roman" w:hAnsi="Times New Roman" w:cs="Times New Roman"/>
          <w:sz w:val="24"/>
          <w:szCs w:val="24"/>
        </w:rPr>
        <w:t xml:space="preserve">for each </w:t>
      </w:r>
      <w:r w:rsidR="00DE75D9" w:rsidRPr="00E73EF4">
        <w:rPr>
          <w:rFonts w:ascii="Times New Roman" w:hAnsi="Times New Roman" w:cs="Times New Roman"/>
          <w:sz w:val="24"/>
          <w:szCs w:val="24"/>
        </w:rPr>
        <w:t xml:space="preserve">antibiotic.  </w:t>
      </w:r>
      <w:proofErr w:type="spellStart"/>
      <w:r w:rsidR="005E31EA" w:rsidRPr="00E73EF4">
        <w:rPr>
          <w:rFonts w:ascii="Times New Roman" w:hAnsi="Times New Roman" w:cs="Times New Roman"/>
          <w:sz w:val="24"/>
          <w:szCs w:val="24"/>
        </w:rPr>
        <w:t>Mupirocin</w:t>
      </w:r>
      <w:proofErr w:type="spellEnd"/>
      <w:r w:rsidR="005E31EA" w:rsidRPr="00E73EF4">
        <w:rPr>
          <w:rFonts w:ascii="Times New Roman" w:hAnsi="Times New Roman" w:cs="Times New Roman"/>
          <w:sz w:val="24"/>
          <w:szCs w:val="24"/>
        </w:rPr>
        <w:t xml:space="preserve"> induced the highest ratio of transfer versus lytic particles.  </w:t>
      </w:r>
      <w:r w:rsidR="00D45801" w:rsidRPr="00E73EF4">
        <w:rPr>
          <w:rFonts w:ascii="Times New Roman" w:hAnsi="Times New Roman" w:cs="Times New Roman"/>
          <w:sz w:val="24"/>
          <w:szCs w:val="24"/>
        </w:rPr>
        <w:t xml:space="preserve">Gentamicin and </w:t>
      </w:r>
      <w:proofErr w:type="spellStart"/>
      <w:r w:rsidR="00D45801" w:rsidRPr="00E73EF4">
        <w:rPr>
          <w:rFonts w:ascii="Times New Roman" w:hAnsi="Times New Roman" w:cs="Times New Roman"/>
          <w:sz w:val="24"/>
          <w:szCs w:val="24"/>
        </w:rPr>
        <w:t>novobiocin</w:t>
      </w:r>
      <w:proofErr w:type="spellEnd"/>
      <w:r w:rsidR="00D45801" w:rsidRPr="00E73EF4">
        <w:rPr>
          <w:rFonts w:ascii="Times New Roman" w:hAnsi="Times New Roman" w:cs="Times New Roman"/>
          <w:sz w:val="24"/>
          <w:szCs w:val="24"/>
        </w:rPr>
        <w:t xml:space="preserve"> reduce</w:t>
      </w:r>
      <w:r w:rsidR="007C4098" w:rsidRPr="00E73EF4">
        <w:rPr>
          <w:rFonts w:ascii="Times New Roman" w:hAnsi="Times New Roman" w:cs="Times New Roman"/>
          <w:sz w:val="24"/>
          <w:szCs w:val="24"/>
        </w:rPr>
        <w:t>d</w:t>
      </w:r>
      <w:r w:rsidR="00D45801" w:rsidRPr="00E73EF4">
        <w:rPr>
          <w:rFonts w:ascii="Times New Roman" w:hAnsi="Times New Roman" w:cs="Times New Roman"/>
          <w:sz w:val="24"/>
          <w:szCs w:val="24"/>
        </w:rPr>
        <w:t xml:space="preserve"> </w:t>
      </w:r>
      <w:r w:rsidR="00C0383B" w:rsidRPr="00E73EF4">
        <w:rPr>
          <w:rFonts w:ascii="Times New Roman" w:hAnsi="Times New Roman" w:cs="Times New Roman"/>
          <w:sz w:val="24"/>
          <w:szCs w:val="24"/>
        </w:rPr>
        <w:t>UV-induced</w:t>
      </w:r>
      <w:r w:rsidR="00200842" w:rsidRPr="00E73EF4">
        <w:rPr>
          <w:rFonts w:ascii="Times New Roman" w:hAnsi="Times New Roman" w:cs="Times New Roman"/>
          <w:sz w:val="24"/>
          <w:szCs w:val="24"/>
        </w:rPr>
        <w:t xml:space="preserve"> AMR transduction.</w:t>
      </w:r>
      <w:r w:rsidR="00DE75D9" w:rsidRPr="00E73EF4">
        <w:rPr>
          <w:rFonts w:ascii="Times New Roman" w:hAnsi="Times New Roman" w:cs="Times New Roman"/>
          <w:sz w:val="24"/>
          <w:szCs w:val="24"/>
        </w:rPr>
        <w:t xml:space="preserve"> </w:t>
      </w:r>
      <w:r w:rsidR="005E31EA" w:rsidRPr="00E73EF4">
        <w:rPr>
          <w:rFonts w:ascii="Times New Roman" w:hAnsi="Times New Roman" w:cs="Times New Roman"/>
          <w:sz w:val="24"/>
          <w:szCs w:val="24"/>
        </w:rPr>
        <w:t>The gene</w:t>
      </w:r>
      <w:r w:rsidR="00C0383B" w:rsidRPr="00E73EF4">
        <w:rPr>
          <w:rFonts w:ascii="Times New Roman" w:hAnsi="Times New Roman" w:cs="Times New Roman"/>
          <w:sz w:val="24"/>
          <w:szCs w:val="24"/>
        </w:rPr>
        <w:t xml:space="preserve">s carried in </w:t>
      </w:r>
      <w:r w:rsidR="005E31EA" w:rsidRPr="00E73EF4">
        <w:rPr>
          <w:rFonts w:ascii="Times New Roman" w:hAnsi="Times New Roman" w:cs="Times New Roman"/>
          <w:sz w:val="24"/>
          <w:szCs w:val="24"/>
        </w:rPr>
        <w:t>p</w:t>
      </w:r>
      <w:r w:rsidR="00454466" w:rsidRPr="00E73EF4">
        <w:rPr>
          <w:rFonts w:ascii="Times New Roman" w:hAnsi="Times New Roman" w:cs="Times New Roman"/>
          <w:sz w:val="24"/>
          <w:szCs w:val="24"/>
        </w:rPr>
        <w:t>hage p</w:t>
      </w:r>
      <w:r w:rsidR="00D45801" w:rsidRPr="00E73EF4">
        <w:rPr>
          <w:rFonts w:ascii="Times New Roman" w:hAnsi="Times New Roman" w:cs="Times New Roman"/>
          <w:sz w:val="24"/>
          <w:szCs w:val="24"/>
        </w:rPr>
        <w:t>article</w:t>
      </w:r>
      <w:r w:rsidR="005E31EA" w:rsidRPr="00E73EF4">
        <w:rPr>
          <w:rFonts w:ascii="Times New Roman" w:hAnsi="Times New Roman" w:cs="Times New Roman"/>
          <w:sz w:val="24"/>
          <w:szCs w:val="24"/>
        </w:rPr>
        <w:t>s</w:t>
      </w:r>
      <w:r w:rsidR="00D45801" w:rsidRPr="00E73EF4">
        <w:rPr>
          <w:rFonts w:ascii="Times New Roman" w:hAnsi="Times New Roman" w:cs="Times New Roman"/>
          <w:sz w:val="24"/>
          <w:szCs w:val="24"/>
        </w:rPr>
        <w:t xml:space="preserve"> corr</w:t>
      </w:r>
      <w:r w:rsidR="00454466" w:rsidRPr="00E73EF4">
        <w:rPr>
          <w:rFonts w:ascii="Times New Roman" w:hAnsi="Times New Roman" w:cs="Times New Roman"/>
          <w:sz w:val="24"/>
          <w:szCs w:val="24"/>
        </w:rPr>
        <w:t>elated with</w:t>
      </w:r>
      <w:r w:rsidR="00C0383B" w:rsidRPr="00E73EF4">
        <w:rPr>
          <w:rFonts w:ascii="Times New Roman" w:hAnsi="Times New Roman" w:cs="Times New Roman"/>
          <w:sz w:val="24"/>
          <w:szCs w:val="24"/>
        </w:rPr>
        <w:t xml:space="preserve"> </w:t>
      </w:r>
      <w:r w:rsidR="00454466" w:rsidRPr="00E73EF4">
        <w:rPr>
          <w:rFonts w:ascii="Times New Roman" w:hAnsi="Times New Roman" w:cs="Times New Roman"/>
          <w:sz w:val="24"/>
          <w:szCs w:val="24"/>
        </w:rPr>
        <w:t>AMR transfer</w:t>
      </w:r>
      <w:r w:rsidR="00C0383B" w:rsidRPr="00E73EF4">
        <w:rPr>
          <w:rFonts w:ascii="Times New Roman" w:hAnsi="Times New Roman" w:cs="Times New Roman"/>
          <w:sz w:val="24"/>
          <w:szCs w:val="24"/>
        </w:rPr>
        <w:t xml:space="preserve"> or</w:t>
      </w:r>
      <w:r w:rsidR="00454466" w:rsidRPr="00E73EF4">
        <w:rPr>
          <w:rFonts w:ascii="Times New Roman" w:hAnsi="Times New Roman" w:cs="Times New Roman"/>
          <w:sz w:val="24"/>
          <w:szCs w:val="24"/>
        </w:rPr>
        <w:t xml:space="preserve"> lytic particle activity</w:t>
      </w:r>
      <w:r w:rsidR="00D45801" w:rsidRPr="00E73EF4">
        <w:rPr>
          <w:rFonts w:ascii="Times New Roman" w:hAnsi="Times New Roman" w:cs="Times New Roman"/>
          <w:sz w:val="24"/>
          <w:szCs w:val="24"/>
        </w:rPr>
        <w:t xml:space="preserve">, suggesting </w:t>
      </w:r>
      <w:r w:rsidR="009C26E1" w:rsidRPr="00E73EF4">
        <w:rPr>
          <w:rFonts w:ascii="Times New Roman" w:hAnsi="Times New Roman" w:cs="Times New Roman"/>
          <w:sz w:val="24"/>
          <w:szCs w:val="24"/>
        </w:rPr>
        <w:t>anti</w:t>
      </w:r>
      <w:r w:rsidR="00695851" w:rsidRPr="00E73EF4">
        <w:rPr>
          <w:rFonts w:ascii="Times New Roman" w:hAnsi="Times New Roman" w:cs="Times New Roman"/>
          <w:sz w:val="24"/>
          <w:szCs w:val="24"/>
        </w:rPr>
        <w:t>microbials</w:t>
      </w:r>
      <w:r w:rsidR="009C26E1" w:rsidRPr="00E73EF4">
        <w:rPr>
          <w:rFonts w:ascii="Times New Roman" w:hAnsi="Times New Roman" w:cs="Times New Roman"/>
          <w:sz w:val="24"/>
          <w:szCs w:val="24"/>
        </w:rPr>
        <w:t xml:space="preserve"> influence which </w:t>
      </w:r>
      <w:r w:rsidR="00D45801" w:rsidRPr="00E73EF4">
        <w:rPr>
          <w:rFonts w:ascii="Times New Roman" w:hAnsi="Times New Roman" w:cs="Times New Roman"/>
          <w:sz w:val="24"/>
          <w:szCs w:val="24"/>
        </w:rPr>
        <w:t xml:space="preserve">DNA </w:t>
      </w:r>
      <w:r w:rsidR="007C4098" w:rsidRPr="00E73EF4">
        <w:rPr>
          <w:rFonts w:ascii="Times New Roman" w:hAnsi="Times New Roman" w:cs="Times New Roman"/>
          <w:sz w:val="24"/>
          <w:szCs w:val="24"/>
        </w:rPr>
        <w:t xml:space="preserve">sequences </w:t>
      </w:r>
      <w:r w:rsidR="009C26E1" w:rsidRPr="00E73EF4">
        <w:rPr>
          <w:rFonts w:ascii="Times New Roman" w:hAnsi="Times New Roman" w:cs="Times New Roman"/>
          <w:sz w:val="24"/>
          <w:szCs w:val="24"/>
        </w:rPr>
        <w:t xml:space="preserve">are </w:t>
      </w:r>
      <w:r w:rsidR="00D45801" w:rsidRPr="00E73EF4">
        <w:rPr>
          <w:rFonts w:ascii="Times New Roman" w:hAnsi="Times New Roman" w:cs="Times New Roman"/>
          <w:sz w:val="24"/>
          <w:szCs w:val="24"/>
        </w:rPr>
        <w:t>packag</w:t>
      </w:r>
      <w:r w:rsidR="007C4098" w:rsidRPr="00E73EF4">
        <w:rPr>
          <w:rFonts w:ascii="Times New Roman" w:hAnsi="Times New Roman" w:cs="Times New Roman"/>
          <w:sz w:val="24"/>
          <w:szCs w:val="24"/>
        </w:rPr>
        <w:t>ed</w:t>
      </w:r>
      <w:r w:rsidR="00454466" w:rsidRPr="00E73EF4">
        <w:rPr>
          <w:rFonts w:ascii="Times New Roman" w:hAnsi="Times New Roman" w:cs="Times New Roman"/>
          <w:sz w:val="24"/>
          <w:szCs w:val="24"/>
        </w:rPr>
        <w:t xml:space="preserve"> </w:t>
      </w:r>
      <w:r w:rsidR="007C4098" w:rsidRPr="00E73EF4">
        <w:rPr>
          <w:rFonts w:ascii="Times New Roman" w:hAnsi="Times New Roman" w:cs="Times New Roman"/>
          <w:sz w:val="24"/>
          <w:szCs w:val="24"/>
        </w:rPr>
        <w:t xml:space="preserve">into </w:t>
      </w:r>
      <w:r w:rsidR="00454466" w:rsidRPr="00E73EF4">
        <w:rPr>
          <w:rFonts w:ascii="Times New Roman" w:hAnsi="Times New Roman" w:cs="Times New Roman"/>
          <w:sz w:val="24"/>
          <w:szCs w:val="24"/>
        </w:rPr>
        <w:t>phage particles</w:t>
      </w:r>
      <w:r w:rsidR="00D45801" w:rsidRPr="00E73EF4">
        <w:rPr>
          <w:rFonts w:ascii="Times New Roman" w:hAnsi="Times New Roman" w:cs="Times New Roman"/>
          <w:sz w:val="24"/>
          <w:szCs w:val="24"/>
        </w:rPr>
        <w:t>.</w:t>
      </w:r>
    </w:p>
    <w:p w14:paraId="3F7E6320" w14:textId="0ADCE9C3" w:rsidR="0010488E" w:rsidRPr="00E73EF4" w:rsidRDefault="00DC038C" w:rsidP="0010488E">
      <w:pPr>
        <w:spacing w:line="480" w:lineRule="auto"/>
        <w:jc w:val="both"/>
        <w:rPr>
          <w:rFonts w:ascii="Times New Roman" w:hAnsi="Times New Roman" w:cs="Times New Roman"/>
          <w:sz w:val="24"/>
          <w:szCs w:val="24"/>
          <w:lang w:val="en-US"/>
        </w:rPr>
      </w:pPr>
      <w:r w:rsidRPr="00E73EF4">
        <w:rPr>
          <w:rFonts w:ascii="Times New Roman" w:hAnsi="Times New Roman" w:cs="Times New Roman"/>
          <w:b/>
          <w:sz w:val="24"/>
          <w:szCs w:val="24"/>
        </w:rPr>
        <w:t>Conclusion:</w:t>
      </w:r>
      <w:r w:rsidR="006E4FAE" w:rsidRPr="00E73EF4">
        <w:rPr>
          <w:rFonts w:ascii="Times New Roman" w:hAnsi="Times New Roman" w:cs="Times New Roman"/>
          <w:sz w:val="24"/>
          <w:szCs w:val="24"/>
          <w:lang w:val="en-US"/>
        </w:rPr>
        <w:t xml:space="preserve"> </w:t>
      </w:r>
      <w:r w:rsidR="00DE75D9" w:rsidRPr="00E73EF4">
        <w:rPr>
          <w:rFonts w:ascii="Times New Roman" w:hAnsi="Times New Roman" w:cs="Times New Roman"/>
          <w:sz w:val="24"/>
          <w:szCs w:val="24"/>
          <w:lang w:val="en-US"/>
        </w:rPr>
        <w:t>Sub-inhibitory a</w:t>
      </w:r>
      <w:r w:rsidR="006E4FAE" w:rsidRPr="00E73EF4">
        <w:rPr>
          <w:rFonts w:ascii="Times New Roman" w:hAnsi="Times New Roman" w:cs="Times New Roman"/>
          <w:sz w:val="24"/>
          <w:szCs w:val="24"/>
          <w:lang w:val="en-US"/>
        </w:rPr>
        <w:t>ntibiotics</w:t>
      </w:r>
      <w:r w:rsidR="00DE75D9" w:rsidRPr="00E73EF4">
        <w:rPr>
          <w:rFonts w:ascii="Times New Roman" w:hAnsi="Times New Roman" w:cs="Times New Roman"/>
          <w:sz w:val="24"/>
          <w:szCs w:val="24"/>
          <w:lang w:val="en-US"/>
        </w:rPr>
        <w:t xml:space="preserve"> induce AMR gene transfer between clinical MRSA, while </w:t>
      </w:r>
      <w:r w:rsidR="00797E11" w:rsidRPr="00E73EF4">
        <w:rPr>
          <w:rFonts w:ascii="Times New Roman" w:hAnsi="Times New Roman" w:cs="Times New Roman"/>
          <w:sz w:val="24"/>
          <w:szCs w:val="24"/>
          <w:lang w:val="en-US"/>
        </w:rPr>
        <w:t>combination therapy with an inhibiting antibiotic could</w:t>
      </w:r>
      <w:r w:rsidR="003D0722" w:rsidRPr="00E73EF4">
        <w:rPr>
          <w:rFonts w:ascii="Times New Roman" w:hAnsi="Times New Roman" w:cs="Times New Roman"/>
          <w:sz w:val="24"/>
          <w:szCs w:val="24"/>
          <w:lang w:val="en-US"/>
        </w:rPr>
        <w:t xml:space="preserve"> </w:t>
      </w:r>
      <w:r w:rsidR="00695851" w:rsidRPr="00E73EF4">
        <w:rPr>
          <w:rFonts w:ascii="Times New Roman" w:hAnsi="Times New Roman" w:cs="Times New Roman"/>
          <w:sz w:val="24"/>
          <w:szCs w:val="24"/>
          <w:lang w:val="en-US"/>
        </w:rPr>
        <w:t xml:space="preserve">potentially </w:t>
      </w:r>
      <w:r w:rsidR="003D0722" w:rsidRPr="00E73EF4">
        <w:rPr>
          <w:rFonts w:ascii="Times New Roman" w:hAnsi="Times New Roman" w:cs="Times New Roman"/>
          <w:sz w:val="24"/>
          <w:szCs w:val="24"/>
          <w:lang w:val="en-US"/>
        </w:rPr>
        <w:t xml:space="preserve">alter </w:t>
      </w:r>
      <w:r w:rsidR="007C4098" w:rsidRPr="00E73EF4">
        <w:rPr>
          <w:rFonts w:ascii="Times New Roman" w:hAnsi="Times New Roman" w:cs="Times New Roman"/>
          <w:sz w:val="24"/>
          <w:szCs w:val="24"/>
          <w:lang w:val="en-US"/>
        </w:rPr>
        <w:t>AMR</w:t>
      </w:r>
      <w:r w:rsidR="003D0722" w:rsidRPr="00E73EF4">
        <w:rPr>
          <w:rFonts w:ascii="Times New Roman" w:hAnsi="Times New Roman" w:cs="Times New Roman"/>
          <w:sz w:val="24"/>
          <w:szCs w:val="24"/>
          <w:lang w:val="en-US"/>
        </w:rPr>
        <w:t xml:space="preserve"> </w:t>
      </w:r>
      <w:r w:rsidR="007C4098" w:rsidRPr="00E73EF4">
        <w:rPr>
          <w:rFonts w:ascii="Times New Roman" w:hAnsi="Times New Roman" w:cs="Times New Roman"/>
          <w:sz w:val="24"/>
          <w:szCs w:val="24"/>
          <w:lang w:val="en-US"/>
        </w:rPr>
        <w:t xml:space="preserve">gene </w:t>
      </w:r>
      <w:r w:rsidR="003D0722" w:rsidRPr="00E73EF4">
        <w:rPr>
          <w:rFonts w:ascii="Times New Roman" w:hAnsi="Times New Roman" w:cs="Times New Roman"/>
          <w:sz w:val="24"/>
          <w:szCs w:val="24"/>
          <w:lang w:val="en-US"/>
        </w:rPr>
        <w:t xml:space="preserve">packaging into phage particles, reducing </w:t>
      </w:r>
      <w:r w:rsidR="001808E4" w:rsidRPr="00E73EF4">
        <w:rPr>
          <w:rFonts w:ascii="Times New Roman" w:hAnsi="Times New Roman" w:cs="Times New Roman"/>
          <w:sz w:val="24"/>
          <w:szCs w:val="24"/>
          <w:lang w:val="en-US"/>
        </w:rPr>
        <w:t>AMR</w:t>
      </w:r>
      <w:r w:rsidR="003D0722" w:rsidRPr="00E73EF4">
        <w:rPr>
          <w:rFonts w:ascii="Times New Roman" w:hAnsi="Times New Roman" w:cs="Times New Roman"/>
          <w:sz w:val="24"/>
          <w:szCs w:val="24"/>
          <w:lang w:val="en-US"/>
        </w:rPr>
        <w:t xml:space="preserve"> transfer.</w:t>
      </w:r>
      <w:r w:rsidR="00695851" w:rsidRPr="00E73EF4">
        <w:rPr>
          <w:rFonts w:ascii="Times New Roman" w:hAnsi="Times New Roman" w:cs="Times New Roman"/>
          <w:sz w:val="24"/>
          <w:szCs w:val="24"/>
          <w:lang w:val="en-US"/>
        </w:rPr>
        <w:t xml:space="preserve"> </w:t>
      </w:r>
      <w:r w:rsidR="00336CE6" w:rsidRPr="00E73EF4">
        <w:rPr>
          <w:rFonts w:ascii="Times New Roman" w:hAnsi="Times New Roman" w:cs="Times New Roman"/>
          <w:sz w:val="24"/>
          <w:szCs w:val="24"/>
          <w:lang w:val="en-US"/>
        </w:rPr>
        <w:t xml:space="preserve">In a continually evolving environment, pathogens have an advantage if they can transfer DNA while lowering the risk of lytic death. </w:t>
      </w:r>
      <w:r w:rsidR="0010488E" w:rsidRPr="00E73EF4">
        <w:rPr>
          <w:rFonts w:ascii="Times New Roman" w:hAnsi="Times New Roman" w:cs="Times New Roman"/>
          <w:b/>
          <w:sz w:val="24"/>
          <w:szCs w:val="24"/>
          <w:u w:val="single"/>
        </w:rPr>
        <w:br w:type="page"/>
      </w:r>
    </w:p>
    <w:p w14:paraId="3F2DA5FC" w14:textId="0CC36821" w:rsidR="007D5C69" w:rsidRPr="00E73EF4" w:rsidRDefault="007D5C69" w:rsidP="00B6049E">
      <w:pPr>
        <w:spacing w:line="480" w:lineRule="auto"/>
        <w:ind w:firstLine="720"/>
        <w:jc w:val="both"/>
        <w:rPr>
          <w:rFonts w:ascii="Times New Roman" w:hAnsi="Times New Roman" w:cs="Times New Roman"/>
          <w:b/>
          <w:sz w:val="24"/>
          <w:szCs w:val="24"/>
          <w:u w:val="single"/>
        </w:rPr>
      </w:pPr>
      <w:r w:rsidRPr="00E73EF4">
        <w:rPr>
          <w:rFonts w:ascii="Times New Roman" w:hAnsi="Times New Roman" w:cs="Times New Roman"/>
          <w:b/>
          <w:sz w:val="24"/>
          <w:szCs w:val="24"/>
          <w:u w:val="single"/>
        </w:rPr>
        <w:lastRenderedPageBreak/>
        <w:t>Introduction</w:t>
      </w:r>
    </w:p>
    <w:p w14:paraId="55457FEC" w14:textId="74A06480" w:rsidR="008C18CD" w:rsidRPr="00E73EF4" w:rsidRDefault="00F12948" w:rsidP="00B6049E">
      <w:pPr>
        <w:spacing w:line="480" w:lineRule="auto"/>
        <w:jc w:val="both"/>
        <w:rPr>
          <w:rFonts w:ascii="Times New Roman" w:hAnsi="Times New Roman" w:cs="Times New Roman"/>
          <w:sz w:val="24"/>
          <w:szCs w:val="24"/>
          <w:lang w:val="en-US"/>
        </w:rPr>
      </w:pPr>
      <w:r w:rsidRPr="00E73EF4">
        <w:rPr>
          <w:rFonts w:ascii="Times New Roman" w:hAnsi="Times New Roman" w:cs="Times New Roman"/>
          <w:sz w:val="24"/>
          <w:szCs w:val="24"/>
          <w:lang w:val="en-US"/>
        </w:rPr>
        <w:t xml:space="preserve">Generalized transduction is a key mechanisms of antimicrobial resistance (AMR) gene transfer between </w:t>
      </w:r>
      <w:r w:rsidR="00C0383B" w:rsidRPr="00E73EF4">
        <w:rPr>
          <w:rFonts w:ascii="Times New Roman" w:hAnsi="Times New Roman" w:cs="Times New Roman"/>
          <w:sz w:val="24"/>
          <w:szCs w:val="24"/>
          <w:lang w:val="en-US"/>
        </w:rPr>
        <w:t xml:space="preserve">many </w:t>
      </w:r>
      <w:r w:rsidRPr="00E73EF4">
        <w:rPr>
          <w:rFonts w:ascii="Times New Roman" w:hAnsi="Times New Roman" w:cs="Times New Roman"/>
          <w:sz w:val="24"/>
          <w:szCs w:val="24"/>
          <w:lang w:val="en-US"/>
        </w:rPr>
        <w:t>bacteria</w:t>
      </w:r>
      <w:r w:rsidR="00EA1D82" w:rsidRPr="00E73EF4">
        <w:rPr>
          <w:rFonts w:ascii="Times New Roman" w:hAnsi="Times New Roman" w:cs="Times New Roman"/>
          <w:sz w:val="24"/>
          <w:szCs w:val="24"/>
          <w:lang w:val="en-US"/>
        </w:rPr>
        <w:t>, including the</w:t>
      </w:r>
      <w:r w:rsidRPr="00E73EF4">
        <w:rPr>
          <w:rFonts w:ascii="Times New Roman" w:hAnsi="Times New Roman" w:cs="Times New Roman"/>
          <w:sz w:val="24"/>
          <w:szCs w:val="24"/>
          <w:lang w:val="en-US"/>
        </w:rPr>
        <w:t xml:space="preserve"> major AMR pathogen </w:t>
      </w:r>
      <w:r w:rsidRPr="00E73EF4">
        <w:rPr>
          <w:rFonts w:ascii="Times New Roman" w:hAnsi="Times New Roman" w:cs="Times New Roman"/>
          <w:i/>
          <w:sz w:val="24"/>
          <w:szCs w:val="24"/>
          <w:lang w:val="en-US"/>
        </w:rPr>
        <w:t>Staphylococcus aureus</w:t>
      </w:r>
      <w:r w:rsidR="00EA1D82" w:rsidRPr="00E73EF4">
        <w:rPr>
          <w:rFonts w:ascii="Times New Roman" w:hAnsi="Times New Roman" w:cs="Times New Roman"/>
          <w:sz w:val="24"/>
          <w:szCs w:val="24"/>
          <w:vertAlign w:val="superscript"/>
          <w:lang w:val="en-US"/>
        </w:rPr>
        <w:t>1</w:t>
      </w:r>
      <w:r w:rsidR="00EA1D82" w:rsidRPr="00E73EF4">
        <w:rPr>
          <w:rFonts w:ascii="Times New Roman" w:hAnsi="Times New Roman" w:cs="Times New Roman"/>
          <w:sz w:val="24"/>
          <w:szCs w:val="24"/>
          <w:lang w:val="en-US"/>
        </w:rPr>
        <w:t xml:space="preserve">.  </w:t>
      </w:r>
      <w:r w:rsidR="009C6969" w:rsidRPr="00E73EF4">
        <w:rPr>
          <w:rFonts w:ascii="Times New Roman" w:hAnsi="Times New Roman" w:cs="Times New Roman"/>
          <w:sz w:val="24"/>
          <w:szCs w:val="24"/>
          <w:lang w:val="en-US"/>
        </w:rPr>
        <w:t xml:space="preserve">MRSA is the most frequently identified </w:t>
      </w:r>
      <w:r w:rsidR="009C6969" w:rsidRPr="00E73EF4">
        <w:rPr>
          <w:rFonts w:ascii="Times New Roman" w:hAnsi="Times New Roman" w:cs="Times New Roman"/>
          <w:sz w:val="24"/>
          <w:szCs w:val="24"/>
        </w:rPr>
        <w:t>nosocomial</w:t>
      </w:r>
      <w:r w:rsidR="009C6969" w:rsidRPr="00E73EF4">
        <w:rPr>
          <w:rFonts w:ascii="Times New Roman" w:hAnsi="Times New Roman" w:cs="Times New Roman"/>
          <w:sz w:val="24"/>
          <w:szCs w:val="24"/>
          <w:lang w:val="en-US"/>
        </w:rPr>
        <w:t xml:space="preserve"> pathogen in hospitals in many parts of the world </w:t>
      </w:r>
      <w:r w:rsidR="00FE5E2F" w:rsidRPr="00E73EF4">
        <w:rPr>
          <w:rFonts w:ascii="Times New Roman" w:hAnsi="Times New Roman" w:cs="Times New Roman"/>
          <w:sz w:val="24"/>
          <w:szCs w:val="24"/>
          <w:vertAlign w:val="superscript"/>
          <w:lang w:val="en-US"/>
        </w:rPr>
        <w:t>2</w:t>
      </w:r>
      <w:r w:rsidR="004335FC" w:rsidRPr="00E73EF4">
        <w:rPr>
          <w:rFonts w:ascii="Times New Roman" w:hAnsi="Times New Roman" w:cs="Times New Roman"/>
          <w:sz w:val="24"/>
          <w:szCs w:val="24"/>
          <w:lang w:val="en-US"/>
        </w:rPr>
        <w:t xml:space="preserve"> and the most prevalent cause </w:t>
      </w:r>
      <w:r w:rsidR="0010433C" w:rsidRPr="00E73EF4">
        <w:rPr>
          <w:rFonts w:ascii="Times New Roman" w:hAnsi="Times New Roman" w:cs="Times New Roman"/>
          <w:sz w:val="24"/>
          <w:szCs w:val="24"/>
          <w:lang w:val="en-US"/>
        </w:rPr>
        <w:t>of serious AMR infections.</w:t>
      </w:r>
      <w:r w:rsidR="008B0A56" w:rsidRPr="00E73EF4">
        <w:rPr>
          <w:rFonts w:ascii="Times New Roman" w:hAnsi="Times New Roman" w:cs="Times New Roman"/>
          <w:sz w:val="24"/>
          <w:szCs w:val="24"/>
          <w:vertAlign w:val="superscript"/>
          <w:lang w:val="en-US"/>
        </w:rPr>
        <w:t>3</w:t>
      </w:r>
      <w:r w:rsidR="0010433C" w:rsidRPr="00E73EF4">
        <w:rPr>
          <w:rFonts w:ascii="Times New Roman" w:hAnsi="Times New Roman" w:cs="Times New Roman"/>
          <w:sz w:val="24"/>
          <w:szCs w:val="24"/>
          <w:lang w:val="en-US"/>
        </w:rPr>
        <w:t xml:space="preserve"> </w:t>
      </w:r>
      <w:r w:rsidRPr="00E73EF4">
        <w:rPr>
          <w:rFonts w:ascii="Times New Roman" w:hAnsi="Times New Roman" w:cs="Times New Roman"/>
          <w:sz w:val="24"/>
          <w:szCs w:val="24"/>
          <w:lang w:val="en-US"/>
        </w:rPr>
        <w:t xml:space="preserve">Successful hospital associated (HA-) MRSA are </w:t>
      </w:r>
      <w:r w:rsidR="004335FC" w:rsidRPr="00E73EF4">
        <w:rPr>
          <w:rFonts w:ascii="Times New Roman" w:hAnsi="Times New Roman" w:cs="Times New Roman"/>
          <w:sz w:val="24"/>
          <w:szCs w:val="24"/>
          <w:lang w:val="en-US"/>
        </w:rPr>
        <w:t xml:space="preserve">resistant to </w:t>
      </w:r>
      <w:r w:rsidR="00C615C5" w:rsidRPr="00E73EF4">
        <w:rPr>
          <w:rFonts w:ascii="Times New Roman" w:hAnsi="Times New Roman" w:cs="Times New Roman"/>
          <w:sz w:val="24"/>
          <w:szCs w:val="24"/>
          <w:lang w:val="en-US"/>
        </w:rPr>
        <w:t xml:space="preserve">nearly </w:t>
      </w:r>
      <w:r w:rsidR="004335FC" w:rsidRPr="00E73EF4">
        <w:rPr>
          <w:rFonts w:ascii="Times New Roman" w:hAnsi="Times New Roman" w:cs="Times New Roman"/>
          <w:sz w:val="24"/>
          <w:szCs w:val="24"/>
          <w:lang w:val="en-US"/>
        </w:rPr>
        <w:t xml:space="preserve">all β-lactam, </w:t>
      </w:r>
      <w:proofErr w:type="spellStart"/>
      <w:r w:rsidR="004335FC" w:rsidRPr="00E73EF4">
        <w:rPr>
          <w:rFonts w:ascii="Times New Roman" w:hAnsi="Times New Roman" w:cs="Times New Roman"/>
          <w:sz w:val="24"/>
          <w:szCs w:val="24"/>
          <w:lang w:val="en-US"/>
        </w:rPr>
        <w:t>carbepenem</w:t>
      </w:r>
      <w:proofErr w:type="spellEnd"/>
      <w:r w:rsidR="004335FC" w:rsidRPr="00E73EF4">
        <w:rPr>
          <w:rFonts w:ascii="Times New Roman" w:hAnsi="Times New Roman" w:cs="Times New Roman"/>
          <w:sz w:val="24"/>
          <w:szCs w:val="24"/>
          <w:lang w:val="en-US"/>
        </w:rPr>
        <w:t xml:space="preserve"> and cepha</w:t>
      </w:r>
      <w:r w:rsidR="00C615C5" w:rsidRPr="00E73EF4">
        <w:rPr>
          <w:rFonts w:ascii="Times New Roman" w:hAnsi="Times New Roman" w:cs="Times New Roman"/>
          <w:sz w:val="24"/>
          <w:szCs w:val="24"/>
          <w:lang w:val="en-US"/>
        </w:rPr>
        <w:t>lo</w:t>
      </w:r>
      <w:r w:rsidR="004335FC" w:rsidRPr="00E73EF4">
        <w:rPr>
          <w:rFonts w:ascii="Times New Roman" w:hAnsi="Times New Roman" w:cs="Times New Roman"/>
          <w:sz w:val="24"/>
          <w:szCs w:val="24"/>
          <w:lang w:val="en-US"/>
        </w:rPr>
        <w:t xml:space="preserve">sporin antibiotics </w:t>
      </w:r>
      <w:r w:rsidR="00C615C5" w:rsidRPr="00E73EF4">
        <w:rPr>
          <w:rFonts w:ascii="Times New Roman" w:hAnsi="Times New Roman" w:cs="Times New Roman"/>
          <w:sz w:val="24"/>
          <w:szCs w:val="24"/>
          <w:lang w:val="en-US"/>
        </w:rPr>
        <w:t>due to the</w:t>
      </w:r>
      <w:r w:rsidR="004335FC" w:rsidRPr="00E73EF4">
        <w:rPr>
          <w:rFonts w:ascii="Times New Roman" w:hAnsi="Times New Roman" w:cs="Times New Roman"/>
          <w:sz w:val="24"/>
          <w:szCs w:val="24"/>
          <w:lang w:val="en-US"/>
        </w:rPr>
        <w:t xml:space="preserve"> </w:t>
      </w:r>
      <w:proofErr w:type="spellStart"/>
      <w:r w:rsidR="004335FC" w:rsidRPr="00E73EF4">
        <w:rPr>
          <w:rFonts w:ascii="Times New Roman" w:hAnsi="Times New Roman" w:cs="Times New Roman"/>
          <w:i/>
          <w:sz w:val="24"/>
          <w:szCs w:val="24"/>
          <w:lang w:val="en-US"/>
        </w:rPr>
        <w:t>mecA</w:t>
      </w:r>
      <w:proofErr w:type="spellEnd"/>
      <w:r w:rsidR="00C615C5" w:rsidRPr="00E73EF4">
        <w:rPr>
          <w:rFonts w:ascii="Times New Roman" w:hAnsi="Times New Roman" w:cs="Times New Roman"/>
          <w:i/>
          <w:sz w:val="24"/>
          <w:szCs w:val="24"/>
          <w:lang w:val="en-US"/>
        </w:rPr>
        <w:t xml:space="preserve"> </w:t>
      </w:r>
      <w:r w:rsidR="00C615C5" w:rsidRPr="00E73EF4">
        <w:rPr>
          <w:rFonts w:ascii="Times New Roman" w:hAnsi="Times New Roman" w:cs="Times New Roman"/>
          <w:sz w:val="24"/>
          <w:szCs w:val="24"/>
          <w:lang w:val="en-US"/>
        </w:rPr>
        <w:t>gene</w:t>
      </w:r>
      <w:r w:rsidRPr="00E73EF4">
        <w:rPr>
          <w:rFonts w:ascii="Times New Roman" w:hAnsi="Times New Roman" w:cs="Times New Roman"/>
          <w:sz w:val="24"/>
          <w:szCs w:val="24"/>
          <w:lang w:val="en-US"/>
        </w:rPr>
        <w:t xml:space="preserve">. In addition, </w:t>
      </w:r>
      <w:r w:rsidR="004335FC" w:rsidRPr="00E73EF4">
        <w:rPr>
          <w:rFonts w:ascii="Times New Roman" w:hAnsi="Times New Roman" w:cs="Times New Roman"/>
          <w:sz w:val="24"/>
          <w:szCs w:val="24"/>
          <w:lang w:val="en-US"/>
        </w:rPr>
        <w:t>resistan</w:t>
      </w:r>
      <w:r w:rsidRPr="00E73EF4">
        <w:rPr>
          <w:rFonts w:ascii="Times New Roman" w:hAnsi="Times New Roman" w:cs="Times New Roman"/>
          <w:sz w:val="24"/>
          <w:szCs w:val="24"/>
          <w:lang w:val="en-US"/>
        </w:rPr>
        <w:t>ce</w:t>
      </w:r>
      <w:r w:rsidR="004335FC" w:rsidRPr="00E73EF4">
        <w:rPr>
          <w:rFonts w:ascii="Times New Roman" w:hAnsi="Times New Roman" w:cs="Times New Roman"/>
          <w:sz w:val="24"/>
          <w:szCs w:val="24"/>
          <w:lang w:val="en-US"/>
        </w:rPr>
        <w:t xml:space="preserve"> to all </w:t>
      </w:r>
      <w:r w:rsidR="00C615C5" w:rsidRPr="00E73EF4">
        <w:rPr>
          <w:rFonts w:ascii="Times New Roman" w:hAnsi="Times New Roman" w:cs="Times New Roman"/>
          <w:sz w:val="24"/>
          <w:szCs w:val="24"/>
          <w:lang w:val="en-US"/>
        </w:rPr>
        <w:t xml:space="preserve">classes of </w:t>
      </w:r>
      <w:r w:rsidR="004335FC" w:rsidRPr="00E73EF4">
        <w:rPr>
          <w:rFonts w:ascii="Times New Roman" w:hAnsi="Times New Roman" w:cs="Times New Roman"/>
          <w:sz w:val="24"/>
          <w:szCs w:val="24"/>
          <w:lang w:val="en-US"/>
        </w:rPr>
        <w:t>antibiotics</w:t>
      </w:r>
      <w:r w:rsidRPr="00E73EF4">
        <w:rPr>
          <w:rFonts w:ascii="Times New Roman" w:hAnsi="Times New Roman" w:cs="Times New Roman"/>
          <w:sz w:val="24"/>
          <w:szCs w:val="24"/>
          <w:lang w:val="en-US"/>
        </w:rPr>
        <w:t xml:space="preserve"> have been described in HA-MRSA clones</w:t>
      </w:r>
      <w:r w:rsidR="004335FC" w:rsidRPr="00E73EF4">
        <w:rPr>
          <w:rFonts w:ascii="Times New Roman" w:hAnsi="Times New Roman" w:cs="Times New Roman"/>
          <w:sz w:val="24"/>
          <w:szCs w:val="24"/>
          <w:lang w:val="en-US"/>
        </w:rPr>
        <w:t xml:space="preserve">, </w:t>
      </w:r>
      <w:r w:rsidR="00C615C5" w:rsidRPr="00E73EF4">
        <w:rPr>
          <w:rFonts w:ascii="Times New Roman" w:hAnsi="Times New Roman" w:cs="Times New Roman"/>
          <w:sz w:val="24"/>
          <w:szCs w:val="24"/>
          <w:lang w:val="en-US"/>
        </w:rPr>
        <w:t>although</w:t>
      </w:r>
      <w:r w:rsidR="004335FC" w:rsidRPr="00E73EF4">
        <w:rPr>
          <w:rFonts w:ascii="Times New Roman" w:hAnsi="Times New Roman" w:cs="Times New Roman"/>
          <w:sz w:val="24"/>
          <w:szCs w:val="24"/>
          <w:lang w:val="en-US"/>
        </w:rPr>
        <w:t xml:space="preserve"> no individual isolates are resistant to all. </w:t>
      </w:r>
      <w:r w:rsidR="009C6969" w:rsidRPr="00E73EF4">
        <w:rPr>
          <w:rFonts w:ascii="Times New Roman" w:hAnsi="Times New Roman" w:cs="Times New Roman"/>
          <w:sz w:val="24"/>
          <w:szCs w:val="24"/>
          <w:lang w:val="en-US"/>
        </w:rPr>
        <w:t xml:space="preserve"> </w:t>
      </w:r>
      <w:r w:rsidR="00C615C5" w:rsidRPr="00E73EF4">
        <w:rPr>
          <w:rFonts w:ascii="Times New Roman" w:hAnsi="Times New Roman" w:cs="Times New Roman"/>
          <w:sz w:val="24"/>
          <w:szCs w:val="24"/>
          <w:lang w:val="en-US"/>
        </w:rPr>
        <w:t>Most</w:t>
      </w:r>
      <w:r w:rsidR="007329AE" w:rsidRPr="00E73EF4">
        <w:rPr>
          <w:rFonts w:ascii="Times New Roman" w:hAnsi="Times New Roman" w:cs="Times New Roman"/>
          <w:sz w:val="24"/>
          <w:szCs w:val="24"/>
          <w:lang w:val="en-US"/>
        </w:rPr>
        <w:t xml:space="preserve"> of these</w:t>
      </w:r>
      <w:r w:rsidR="00C615C5" w:rsidRPr="00E73EF4">
        <w:rPr>
          <w:rFonts w:ascii="Times New Roman" w:hAnsi="Times New Roman" w:cs="Times New Roman"/>
          <w:sz w:val="24"/>
          <w:szCs w:val="24"/>
          <w:lang w:val="en-US"/>
        </w:rPr>
        <w:t xml:space="preserve"> resistance</w:t>
      </w:r>
      <w:r w:rsidR="007329AE" w:rsidRPr="00E73EF4">
        <w:rPr>
          <w:rFonts w:ascii="Times New Roman" w:hAnsi="Times New Roman" w:cs="Times New Roman"/>
          <w:sz w:val="24"/>
          <w:szCs w:val="24"/>
          <w:lang w:val="en-US"/>
        </w:rPr>
        <w:t>s</w:t>
      </w:r>
      <w:r w:rsidR="00C615C5" w:rsidRPr="00E73EF4">
        <w:rPr>
          <w:rFonts w:ascii="Times New Roman" w:hAnsi="Times New Roman" w:cs="Times New Roman"/>
          <w:sz w:val="24"/>
          <w:szCs w:val="24"/>
          <w:lang w:val="en-US"/>
        </w:rPr>
        <w:t xml:space="preserve"> </w:t>
      </w:r>
      <w:r w:rsidR="007329AE" w:rsidRPr="00E73EF4">
        <w:rPr>
          <w:rFonts w:ascii="Times New Roman" w:hAnsi="Times New Roman" w:cs="Times New Roman"/>
          <w:sz w:val="24"/>
          <w:szCs w:val="24"/>
          <w:lang w:val="en-US"/>
        </w:rPr>
        <w:t>are</w:t>
      </w:r>
      <w:r w:rsidR="00C615C5" w:rsidRPr="00E73EF4">
        <w:rPr>
          <w:rFonts w:ascii="Times New Roman" w:hAnsi="Times New Roman" w:cs="Times New Roman"/>
          <w:sz w:val="24"/>
          <w:szCs w:val="24"/>
          <w:lang w:val="en-US"/>
        </w:rPr>
        <w:t xml:space="preserve"> due to genes encoded on mobile genetic elements (MGE) such as plasmids, transposons and SCC</w:t>
      </w:r>
      <w:r w:rsidR="00C615C5" w:rsidRPr="00E73EF4">
        <w:rPr>
          <w:rFonts w:ascii="Times New Roman" w:hAnsi="Times New Roman" w:cs="Times New Roman"/>
          <w:i/>
          <w:sz w:val="24"/>
          <w:szCs w:val="24"/>
          <w:lang w:val="en-US"/>
        </w:rPr>
        <w:t>mec</w:t>
      </w:r>
      <w:r w:rsidR="00C615C5" w:rsidRPr="00E73EF4">
        <w:rPr>
          <w:rFonts w:ascii="Times New Roman" w:hAnsi="Times New Roman" w:cs="Times New Roman"/>
          <w:sz w:val="24"/>
          <w:szCs w:val="24"/>
          <w:lang w:val="en-US"/>
        </w:rPr>
        <w:t>.</w:t>
      </w:r>
      <w:r w:rsidR="008B0A56" w:rsidRPr="00E73EF4">
        <w:rPr>
          <w:rFonts w:ascii="Times New Roman" w:hAnsi="Times New Roman" w:cs="Times New Roman"/>
          <w:sz w:val="24"/>
          <w:szCs w:val="24"/>
          <w:vertAlign w:val="superscript"/>
          <w:lang w:val="en-US"/>
        </w:rPr>
        <w:t>4</w:t>
      </w:r>
    </w:p>
    <w:p w14:paraId="3BD6C858" w14:textId="483C8480" w:rsidR="00446B7E" w:rsidRPr="00E73EF4" w:rsidRDefault="00986F3D" w:rsidP="00B6049E">
      <w:pPr>
        <w:spacing w:line="480" w:lineRule="auto"/>
        <w:ind w:firstLine="720"/>
        <w:jc w:val="both"/>
        <w:rPr>
          <w:rFonts w:ascii="Times New Roman" w:hAnsi="Times New Roman" w:cs="Times New Roman"/>
          <w:sz w:val="24"/>
          <w:szCs w:val="24"/>
        </w:rPr>
      </w:pPr>
      <w:r w:rsidRPr="00E73EF4">
        <w:rPr>
          <w:rFonts w:ascii="Times New Roman" w:eastAsia="Calibri" w:hAnsi="Times New Roman" w:cs="Times New Roman"/>
          <w:sz w:val="24"/>
          <w:szCs w:val="24"/>
        </w:rPr>
        <w:t>Horizontal gene transfer (</w:t>
      </w:r>
      <w:r w:rsidR="00DF637F" w:rsidRPr="00E73EF4">
        <w:rPr>
          <w:rFonts w:ascii="Times New Roman" w:eastAsia="Calibri" w:hAnsi="Times New Roman" w:cs="Times New Roman"/>
          <w:sz w:val="24"/>
          <w:szCs w:val="24"/>
        </w:rPr>
        <w:t>HGT</w:t>
      </w:r>
      <w:r w:rsidRPr="00E73EF4">
        <w:rPr>
          <w:rFonts w:ascii="Times New Roman" w:eastAsia="Calibri" w:hAnsi="Times New Roman" w:cs="Times New Roman"/>
          <w:sz w:val="24"/>
          <w:szCs w:val="24"/>
        </w:rPr>
        <w:t>)</w:t>
      </w:r>
      <w:r w:rsidR="00DF637F" w:rsidRPr="00E73EF4">
        <w:rPr>
          <w:rFonts w:ascii="Times New Roman" w:eastAsia="Calibri" w:hAnsi="Times New Roman" w:cs="Times New Roman"/>
          <w:sz w:val="24"/>
          <w:szCs w:val="24"/>
        </w:rPr>
        <w:t xml:space="preserve"> between</w:t>
      </w:r>
      <w:r w:rsidR="00DF637F" w:rsidRPr="00E73EF4">
        <w:rPr>
          <w:rFonts w:ascii="Times New Roman" w:eastAsia="Calibri" w:hAnsi="Times New Roman" w:cs="Times New Roman"/>
          <w:i/>
          <w:sz w:val="24"/>
          <w:szCs w:val="24"/>
        </w:rPr>
        <w:t xml:space="preserve"> S. </w:t>
      </w:r>
      <w:proofErr w:type="spellStart"/>
      <w:r w:rsidR="00DF637F" w:rsidRPr="00E73EF4">
        <w:rPr>
          <w:rFonts w:ascii="Times New Roman" w:eastAsia="Calibri" w:hAnsi="Times New Roman" w:cs="Times New Roman"/>
          <w:i/>
          <w:sz w:val="24"/>
          <w:szCs w:val="24"/>
        </w:rPr>
        <w:t>aureus</w:t>
      </w:r>
      <w:proofErr w:type="spellEnd"/>
      <w:r w:rsidR="00DF637F" w:rsidRPr="00E73EF4">
        <w:rPr>
          <w:rFonts w:ascii="Times New Roman" w:eastAsia="Calibri" w:hAnsi="Times New Roman" w:cs="Times New Roman"/>
          <w:sz w:val="24"/>
          <w:szCs w:val="24"/>
        </w:rPr>
        <w:t xml:space="preserve"> is predominantly due to </w:t>
      </w:r>
      <w:r w:rsidR="00965A16" w:rsidRPr="00E73EF4">
        <w:rPr>
          <w:rFonts w:ascii="Times New Roman" w:eastAsia="Calibri" w:hAnsi="Times New Roman" w:cs="Times New Roman"/>
          <w:sz w:val="24"/>
          <w:szCs w:val="24"/>
        </w:rPr>
        <w:t>generalized transduction via bacteriophage</w:t>
      </w:r>
      <w:r w:rsidR="001808E4" w:rsidRPr="00E73EF4">
        <w:rPr>
          <w:rFonts w:ascii="Times New Roman" w:eastAsia="Calibri" w:hAnsi="Times New Roman" w:cs="Times New Roman"/>
          <w:sz w:val="24"/>
          <w:szCs w:val="24"/>
        </w:rPr>
        <w:t xml:space="preserve">, </w:t>
      </w:r>
      <w:r w:rsidR="00EA1D82" w:rsidRPr="00E73EF4">
        <w:rPr>
          <w:rFonts w:ascii="Times New Roman" w:eastAsia="Calibri" w:hAnsi="Times New Roman" w:cs="Times New Roman"/>
          <w:sz w:val="24"/>
          <w:szCs w:val="24"/>
        </w:rPr>
        <w:t xml:space="preserve">and all clinical isolates have </w:t>
      </w:r>
      <w:proofErr w:type="spellStart"/>
      <w:r w:rsidR="00EA1D82" w:rsidRPr="00E73EF4">
        <w:rPr>
          <w:rFonts w:ascii="Times New Roman" w:eastAsia="Calibri" w:hAnsi="Times New Roman" w:cs="Times New Roman"/>
          <w:sz w:val="24"/>
          <w:szCs w:val="24"/>
        </w:rPr>
        <w:t>prophage</w:t>
      </w:r>
      <w:proofErr w:type="spellEnd"/>
      <w:r w:rsidR="00EA1D82" w:rsidRPr="00E73EF4">
        <w:rPr>
          <w:rFonts w:ascii="Times New Roman" w:eastAsia="Calibri" w:hAnsi="Times New Roman" w:cs="Times New Roman"/>
          <w:sz w:val="24"/>
          <w:szCs w:val="24"/>
        </w:rPr>
        <w:t xml:space="preserve"> in their genomes</w:t>
      </w:r>
      <w:r w:rsidR="00EA1D82" w:rsidRPr="00E73EF4">
        <w:rPr>
          <w:rFonts w:ascii="Times New Roman" w:eastAsia="Calibri" w:hAnsi="Times New Roman" w:cs="Times New Roman"/>
          <w:sz w:val="24"/>
          <w:szCs w:val="24"/>
          <w:vertAlign w:val="superscript"/>
        </w:rPr>
        <w:t>1</w:t>
      </w:r>
      <w:r w:rsidR="00EA1D82" w:rsidRPr="00E73EF4">
        <w:rPr>
          <w:rFonts w:ascii="Times New Roman" w:eastAsia="Calibri" w:hAnsi="Times New Roman" w:cs="Times New Roman"/>
          <w:sz w:val="24"/>
          <w:szCs w:val="24"/>
        </w:rPr>
        <w:t xml:space="preserve">. </w:t>
      </w:r>
      <w:r w:rsidR="00EA1D82" w:rsidRPr="00E73EF4">
        <w:rPr>
          <w:rFonts w:ascii="Times New Roman" w:eastAsia="SimSun" w:hAnsi="Times New Roman" w:cs="Times New Roman"/>
          <w:sz w:val="24"/>
          <w:szCs w:val="24"/>
          <w:lang w:val="en-US" w:eastAsia="zh-CN"/>
        </w:rPr>
        <w:t xml:space="preserve"> In contrast, </w:t>
      </w:r>
      <w:r w:rsidR="001808E4" w:rsidRPr="00E73EF4">
        <w:rPr>
          <w:rFonts w:ascii="Times New Roman" w:eastAsia="SimSun" w:hAnsi="Times New Roman" w:cs="Times New Roman"/>
          <w:sz w:val="24"/>
          <w:szCs w:val="24"/>
          <w:lang w:val="en-US" w:eastAsia="zh-CN"/>
        </w:rPr>
        <w:t xml:space="preserve"> t</w:t>
      </w:r>
      <w:r w:rsidR="000C7CDF" w:rsidRPr="00E73EF4">
        <w:rPr>
          <w:rFonts w:ascii="Times New Roman" w:eastAsia="SimSun" w:hAnsi="Times New Roman" w:cs="Times New Roman"/>
          <w:sz w:val="24"/>
          <w:szCs w:val="24"/>
          <w:lang w:val="en-US" w:eastAsia="zh-CN"/>
        </w:rPr>
        <w:t>ransformation</w:t>
      </w:r>
      <w:r w:rsidR="00200842" w:rsidRPr="00E73EF4">
        <w:rPr>
          <w:rFonts w:ascii="Times New Roman" w:eastAsia="SimSun" w:hAnsi="Times New Roman" w:cs="Times New Roman"/>
          <w:sz w:val="24"/>
          <w:szCs w:val="24"/>
          <w:lang w:val="en-US" w:eastAsia="zh-CN"/>
        </w:rPr>
        <w:t xml:space="preserve"> occurs </w:t>
      </w:r>
      <w:r w:rsidR="00DF637F" w:rsidRPr="00E73EF4">
        <w:rPr>
          <w:rFonts w:ascii="Times New Roman" w:eastAsia="SimSun" w:hAnsi="Times New Roman" w:cs="Times New Roman"/>
          <w:sz w:val="24"/>
          <w:szCs w:val="24"/>
          <w:lang w:val="en-US" w:eastAsia="zh-CN"/>
        </w:rPr>
        <w:t>at very low efficiency</w:t>
      </w:r>
      <w:r w:rsidR="001808E4" w:rsidRPr="00E73EF4">
        <w:rPr>
          <w:rFonts w:ascii="Times New Roman" w:eastAsia="SimSun" w:hAnsi="Times New Roman" w:cs="Times New Roman"/>
          <w:sz w:val="24"/>
          <w:szCs w:val="24"/>
          <w:lang w:val="en-US" w:eastAsia="zh-CN"/>
        </w:rPr>
        <w:t xml:space="preserve"> and</w:t>
      </w:r>
      <w:r w:rsidR="00DF637F" w:rsidRPr="00E73EF4">
        <w:rPr>
          <w:rFonts w:ascii="Times New Roman" w:eastAsia="SimSun" w:hAnsi="Times New Roman" w:cs="Times New Roman"/>
          <w:sz w:val="24"/>
          <w:szCs w:val="24"/>
          <w:lang w:val="en-US" w:eastAsia="zh-CN"/>
        </w:rPr>
        <w:t xml:space="preserve"> </w:t>
      </w:r>
      <w:r w:rsidR="000C7CDF" w:rsidRPr="00E73EF4">
        <w:rPr>
          <w:rFonts w:ascii="Times New Roman" w:eastAsia="SimSun" w:hAnsi="Times New Roman" w:cs="Times New Roman"/>
          <w:sz w:val="24"/>
          <w:szCs w:val="24"/>
          <w:lang w:val="en-US" w:eastAsia="zh-CN"/>
        </w:rPr>
        <w:t>conjugative elements are</w:t>
      </w:r>
      <w:r w:rsidR="00DF637F" w:rsidRPr="00E73EF4">
        <w:rPr>
          <w:rFonts w:ascii="Times New Roman" w:eastAsia="SimSun" w:hAnsi="Times New Roman" w:cs="Times New Roman"/>
          <w:sz w:val="24"/>
          <w:szCs w:val="24"/>
          <w:lang w:val="en-US" w:eastAsia="zh-CN"/>
        </w:rPr>
        <w:t xml:space="preserve"> found in </w:t>
      </w:r>
      <w:r w:rsidR="000C7CDF" w:rsidRPr="00E73EF4">
        <w:rPr>
          <w:rFonts w:ascii="Times New Roman" w:eastAsia="SimSun" w:hAnsi="Times New Roman" w:cs="Times New Roman"/>
          <w:sz w:val="24"/>
          <w:szCs w:val="24"/>
          <w:lang w:val="en-US" w:eastAsia="zh-CN"/>
        </w:rPr>
        <w:t>only a small fraction</w:t>
      </w:r>
      <w:r w:rsidR="00DF637F" w:rsidRPr="00E73EF4">
        <w:rPr>
          <w:rFonts w:ascii="Times New Roman" w:eastAsia="SimSun" w:hAnsi="Times New Roman" w:cs="Times New Roman"/>
          <w:sz w:val="24"/>
          <w:szCs w:val="24"/>
          <w:lang w:val="en-US" w:eastAsia="zh-CN"/>
        </w:rPr>
        <w:t xml:space="preserve"> of isolates</w:t>
      </w:r>
      <w:r w:rsidR="008B0A56" w:rsidRPr="00E73EF4">
        <w:rPr>
          <w:rFonts w:ascii="Times New Roman" w:eastAsia="SimSun" w:hAnsi="Times New Roman" w:cs="Times New Roman"/>
          <w:sz w:val="24"/>
          <w:szCs w:val="24"/>
          <w:lang w:val="en-US" w:eastAsia="zh-CN"/>
        </w:rPr>
        <w:t xml:space="preserve">. </w:t>
      </w:r>
      <w:r w:rsidR="008B0A56" w:rsidRPr="00E73EF4">
        <w:rPr>
          <w:rFonts w:ascii="Times New Roman" w:eastAsia="SimSun" w:hAnsi="Times New Roman" w:cs="Times New Roman"/>
          <w:sz w:val="24"/>
          <w:szCs w:val="24"/>
          <w:vertAlign w:val="superscript"/>
          <w:lang w:val="en-US" w:eastAsia="zh-CN"/>
        </w:rPr>
        <w:t>1</w:t>
      </w:r>
      <w:r w:rsidR="00294F2A" w:rsidRPr="00E73EF4">
        <w:rPr>
          <w:rFonts w:ascii="Times New Roman" w:eastAsia="SimSun" w:hAnsi="Times New Roman" w:cs="Times New Roman"/>
          <w:sz w:val="24"/>
          <w:szCs w:val="24"/>
          <w:vertAlign w:val="superscript"/>
          <w:lang w:val="en-US" w:eastAsia="zh-CN"/>
        </w:rPr>
        <w:t>,5,6</w:t>
      </w:r>
      <w:r w:rsidR="00DF637F" w:rsidRPr="00E73EF4">
        <w:rPr>
          <w:rFonts w:ascii="Times New Roman" w:eastAsia="SimSun" w:hAnsi="Times New Roman" w:cs="Times New Roman"/>
          <w:sz w:val="24"/>
          <w:szCs w:val="24"/>
          <w:lang w:val="en-US" w:eastAsia="zh-CN"/>
        </w:rPr>
        <w:t xml:space="preserve">  </w:t>
      </w:r>
      <w:r w:rsidR="00B25A56" w:rsidRPr="00E73EF4">
        <w:rPr>
          <w:rFonts w:ascii="Times New Roman" w:eastAsia="SimSun" w:hAnsi="Times New Roman" w:cs="Times New Roman"/>
          <w:sz w:val="24"/>
          <w:szCs w:val="24"/>
          <w:lang w:val="en-US" w:eastAsia="zh-CN"/>
        </w:rPr>
        <w:t xml:space="preserve"> </w:t>
      </w:r>
      <w:r w:rsidR="001808E4" w:rsidRPr="00E73EF4">
        <w:rPr>
          <w:rFonts w:ascii="Times New Roman" w:eastAsia="SimSun" w:hAnsi="Times New Roman" w:cs="Times New Roman"/>
          <w:sz w:val="24"/>
          <w:szCs w:val="24"/>
          <w:lang w:val="en-US" w:eastAsia="zh-CN"/>
        </w:rPr>
        <w:t>C</w:t>
      </w:r>
      <w:r w:rsidR="00EB500C" w:rsidRPr="00E73EF4">
        <w:rPr>
          <w:rFonts w:ascii="Times New Roman" w:eastAsia="SimSun" w:hAnsi="Times New Roman" w:cs="Times New Roman"/>
          <w:sz w:val="24"/>
          <w:szCs w:val="24"/>
          <w:lang w:val="en-US" w:eastAsia="zh-CN"/>
        </w:rPr>
        <w:t xml:space="preserve">linical isolates of MRSA (and </w:t>
      </w:r>
      <w:r w:rsidR="00EB500C" w:rsidRPr="00E73EF4">
        <w:rPr>
          <w:rFonts w:ascii="Times New Roman" w:eastAsia="SimSun" w:hAnsi="Times New Roman" w:cs="Times New Roman"/>
          <w:i/>
          <w:sz w:val="24"/>
          <w:szCs w:val="24"/>
          <w:lang w:val="en-US" w:eastAsia="zh-CN"/>
        </w:rPr>
        <w:t>S.</w:t>
      </w:r>
      <w:r w:rsidR="000F1FC3" w:rsidRPr="00E73EF4">
        <w:rPr>
          <w:rFonts w:ascii="Times New Roman" w:eastAsia="SimSun" w:hAnsi="Times New Roman" w:cs="Times New Roman"/>
          <w:i/>
          <w:sz w:val="24"/>
          <w:szCs w:val="24"/>
          <w:lang w:val="en-US" w:eastAsia="zh-CN"/>
        </w:rPr>
        <w:t xml:space="preserve"> </w:t>
      </w:r>
      <w:proofErr w:type="spellStart"/>
      <w:r w:rsidR="00EB500C" w:rsidRPr="00E73EF4">
        <w:rPr>
          <w:rFonts w:ascii="Times New Roman" w:eastAsia="SimSun" w:hAnsi="Times New Roman" w:cs="Times New Roman"/>
          <w:i/>
          <w:sz w:val="24"/>
          <w:szCs w:val="24"/>
          <w:lang w:val="en-US" w:eastAsia="zh-CN"/>
        </w:rPr>
        <w:t>aureus</w:t>
      </w:r>
      <w:proofErr w:type="spellEnd"/>
      <w:r w:rsidR="00EB500C" w:rsidRPr="00E73EF4">
        <w:rPr>
          <w:rFonts w:ascii="Times New Roman" w:eastAsia="SimSun" w:hAnsi="Times New Roman" w:cs="Times New Roman"/>
          <w:sz w:val="24"/>
          <w:szCs w:val="24"/>
          <w:lang w:val="en-US" w:eastAsia="zh-CN"/>
        </w:rPr>
        <w:t xml:space="preserve">) carry at least one </w:t>
      </w:r>
      <w:proofErr w:type="spellStart"/>
      <w:r w:rsidR="00EB500C" w:rsidRPr="00E73EF4">
        <w:rPr>
          <w:rFonts w:ascii="Times New Roman" w:eastAsia="SimSun" w:hAnsi="Times New Roman" w:cs="Times New Roman"/>
          <w:sz w:val="24"/>
          <w:szCs w:val="24"/>
          <w:lang w:val="en-US" w:eastAsia="zh-CN"/>
        </w:rPr>
        <w:t>prophage</w:t>
      </w:r>
      <w:proofErr w:type="spellEnd"/>
      <w:r w:rsidR="00EB500C" w:rsidRPr="00E73EF4">
        <w:rPr>
          <w:rFonts w:ascii="Times New Roman" w:eastAsia="SimSun" w:hAnsi="Times New Roman" w:cs="Times New Roman"/>
          <w:sz w:val="24"/>
          <w:szCs w:val="24"/>
          <w:lang w:val="en-US" w:eastAsia="zh-CN"/>
        </w:rPr>
        <w:t>, and some isolates carry up to four</w:t>
      </w:r>
      <w:r w:rsidR="00050D17" w:rsidRPr="00E73EF4">
        <w:rPr>
          <w:rFonts w:ascii="Times New Roman" w:eastAsia="SimSun" w:hAnsi="Times New Roman" w:cs="Times New Roman"/>
          <w:sz w:val="24"/>
          <w:szCs w:val="24"/>
          <w:lang w:val="en-US" w:eastAsia="zh-CN"/>
        </w:rPr>
        <w:t xml:space="preserve">. </w:t>
      </w:r>
      <w:r w:rsidR="00050D17" w:rsidRPr="00E73EF4">
        <w:rPr>
          <w:rFonts w:ascii="Times New Roman" w:eastAsia="SimSun" w:hAnsi="Times New Roman" w:cs="Times New Roman"/>
          <w:sz w:val="24"/>
          <w:szCs w:val="24"/>
          <w:vertAlign w:val="superscript"/>
          <w:lang w:val="en-US" w:eastAsia="zh-CN"/>
        </w:rPr>
        <w:t>5,7</w:t>
      </w:r>
      <w:r w:rsidR="00EB500C" w:rsidRPr="00E73EF4">
        <w:rPr>
          <w:rFonts w:ascii="Times New Roman" w:eastAsia="SimSun" w:hAnsi="Times New Roman" w:cs="Times New Roman"/>
          <w:sz w:val="24"/>
          <w:szCs w:val="24"/>
          <w:lang w:val="en-US" w:eastAsia="zh-CN"/>
        </w:rPr>
        <w:t xml:space="preserve"> </w:t>
      </w:r>
      <w:r w:rsidR="00EB500C" w:rsidRPr="00E73EF4">
        <w:rPr>
          <w:rFonts w:ascii="Times New Roman" w:eastAsia="Calibri" w:hAnsi="Times New Roman" w:cs="Times New Roman"/>
          <w:sz w:val="24"/>
          <w:szCs w:val="24"/>
        </w:rPr>
        <w:t xml:space="preserve"> </w:t>
      </w:r>
      <w:proofErr w:type="spellStart"/>
      <w:r w:rsidR="00EB500C" w:rsidRPr="00E73EF4">
        <w:rPr>
          <w:rFonts w:ascii="Times New Roman" w:eastAsia="Calibri" w:hAnsi="Times New Roman" w:cs="Times New Roman"/>
          <w:sz w:val="24"/>
          <w:szCs w:val="24"/>
        </w:rPr>
        <w:t>Prophage</w:t>
      </w:r>
      <w:proofErr w:type="spellEnd"/>
      <w:r w:rsidR="00EB500C" w:rsidRPr="00E73EF4">
        <w:rPr>
          <w:rFonts w:ascii="Times New Roman" w:eastAsia="Calibri" w:hAnsi="Times New Roman" w:cs="Times New Roman"/>
          <w:sz w:val="24"/>
          <w:szCs w:val="24"/>
        </w:rPr>
        <w:t xml:space="preserve"> </w:t>
      </w:r>
      <w:r w:rsidR="001D7529" w:rsidRPr="00E73EF4">
        <w:rPr>
          <w:rFonts w:ascii="Times New Roman" w:eastAsia="Calibri" w:hAnsi="Times New Roman" w:cs="Times New Roman"/>
          <w:sz w:val="24"/>
          <w:szCs w:val="24"/>
        </w:rPr>
        <w:t>can be</w:t>
      </w:r>
      <w:r w:rsidR="00EB500C" w:rsidRPr="00E73EF4">
        <w:rPr>
          <w:rFonts w:ascii="Times New Roman" w:eastAsia="Calibri" w:hAnsi="Times New Roman" w:cs="Times New Roman"/>
          <w:sz w:val="24"/>
          <w:szCs w:val="24"/>
        </w:rPr>
        <w:t xml:space="preserve"> induced to excise from the chromosome and replicate by </w:t>
      </w:r>
      <w:r w:rsidR="00A05C34" w:rsidRPr="00E73EF4">
        <w:rPr>
          <w:rFonts w:ascii="Times New Roman" w:hAnsi="Times New Roman" w:cs="Times New Roman"/>
          <w:sz w:val="24"/>
          <w:szCs w:val="24"/>
        </w:rPr>
        <w:t xml:space="preserve">environmental </w:t>
      </w:r>
      <w:r w:rsidR="000C7CDF" w:rsidRPr="00E73EF4">
        <w:rPr>
          <w:rFonts w:ascii="Times New Roman" w:hAnsi="Times New Roman" w:cs="Times New Roman"/>
          <w:sz w:val="24"/>
          <w:szCs w:val="24"/>
        </w:rPr>
        <w:t xml:space="preserve">stresses, </w:t>
      </w:r>
      <w:r w:rsidR="001D7529" w:rsidRPr="00E73EF4">
        <w:rPr>
          <w:rFonts w:ascii="Times New Roman" w:hAnsi="Times New Roman" w:cs="Times New Roman"/>
          <w:sz w:val="24"/>
          <w:szCs w:val="24"/>
        </w:rPr>
        <w:t xml:space="preserve">such as UV light </w:t>
      </w:r>
      <w:r w:rsidR="000C7CDF" w:rsidRPr="00E73EF4">
        <w:rPr>
          <w:rFonts w:ascii="Times New Roman" w:hAnsi="Times New Roman" w:cs="Times New Roman"/>
          <w:sz w:val="24"/>
          <w:szCs w:val="24"/>
        </w:rPr>
        <w:t>via the SOS system</w:t>
      </w:r>
      <w:r w:rsidR="00720D92" w:rsidRPr="00E73EF4">
        <w:rPr>
          <w:rFonts w:ascii="Times New Roman" w:hAnsi="Times New Roman" w:cs="Times New Roman"/>
          <w:sz w:val="24"/>
          <w:szCs w:val="24"/>
        </w:rPr>
        <w:t>, followed by release of infectious phage particles</w:t>
      </w:r>
      <w:r w:rsidR="000C7CDF" w:rsidRPr="00E73EF4">
        <w:rPr>
          <w:rFonts w:ascii="Times New Roman" w:hAnsi="Times New Roman" w:cs="Times New Roman"/>
          <w:sz w:val="24"/>
          <w:szCs w:val="24"/>
        </w:rPr>
        <w:t>.</w:t>
      </w:r>
      <w:r w:rsidR="00406D61" w:rsidRPr="00E73EF4">
        <w:rPr>
          <w:rFonts w:ascii="Times New Roman" w:hAnsi="Times New Roman" w:cs="Times New Roman"/>
          <w:sz w:val="24"/>
          <w:szCs w:val="24"/>
          <w:vertAlign w:val="superscript"/>
        </w:rPr>
        <w:t>8,9</w:t>
      </w:r>
      <w:r w:rsidR="000C7CDF" w:rsidRPr="00E73EF4">
        <w:rPr>
          <w:rFonts w:ascii="Times New Roman" w:hAnsi="Times New Roman" w:cs="Times New Roman"/>
          <w:sz w:val="24"/>
          <w:szCs w:val="24"/>
        </w:rPr>
        <w:t xml:space="preserve">  Transfer of phage DNA </w:t>
      </w:r>
      <w:r w:rsidR="001D7529" w:rsidRPr="00E73EF4">
        <w:rPr>
          <w:rFonts w:ascii="Times New Roman" w:hAnsi="Times New Roman" w:cs="Times New Roman"/>
          <w:sz w:val="24"/>
          <w:szCs w:val="24"/>
        </w:rPr>
        <w:t>(transduction</w:t>
      </w:r>
      <w:r w:rsidR="00720D92" w:rsidRPr="00E73EF4">
        <w:rPr>
          <w:rFonts w:ascii="Times New Roman" w:hAnsi="Times New Roman" w:cs="Times New Roman"/>
          <w:sz w:val="24"/>
          <w:szCs w:val="24"/>
        </w:rPr>
        <w:t xml:space="preserve"> of phage followed by </w:t>
      </w:r>
      <w:proofErr w:type="spellStart"/>
      <w:r w:rsidR="00720D92" w:rsidRPr="00E73EF4">
        <w:rPr>
          <w:rFonts w:ascii="Times New Roman" w:hAnsi="Times New Roman" w:cs="Times New Roman"/>
          <w:sz w:val="24"/>
          <w:szCs w:val="24"/>
        </w:rPr>
        <w:t>lysogeny</w:t>
      </w:r>
      <w:proofErr w:type="spellEnd"/>
      <w:r w:rsidR="001D7529" w:rsidRPr="00E73EF4">
        <w:rPr>
          <w:rFonts w:ascii="Times New Roman" w:hAnsi="Times New Roman" w:cs="Times New Roman"/>
          <w:sz w:val="24"/>
          <w:szCs w:val="24"/>
        </w:rPr>
        <w:t xml:space="preserve">) </w:t>
      </w:r>
      <w:r w:rsidR="000C7CDF" w:rsidRPr="00E73EF4">
        <w:rPr>
          <w:rFonts w:ascii="Times New Roman" w:hAnsi="Times New Roman" w:cs="Times New Roman"/>
          <w:sz w:val="24"/>
          <w:szCs w:val="24"/>
        </w:rPr>
        <w:t xml:space="preserve">between colonising </w:t>
      </w:r>
      <w:r w:rsidR="000C7CDF" w:rsidRPr="00E73EF4">
        <w:rPr>
          <w:rFonts w:ascii="Times New Roman" w:hAnsi="Times New Roman" w:cs="Times New Roman"/>
          <w:i/>
          <w:sz w:val="24"/>
          <w:szCs w:val="24"/>
        </w:rPr>
        <w:t xml:space="preserve">S. </w:t>
      </w:r>
      <w:proofErr w:type="spellStart"/>
      <w:r w:rsidR="000C7CDF" w:rsidRPr="00E73EF4">
        <w:rPr>
          <w:rFonts w:ascii="Times New Roman" w:hAnsi="Times New Roman" w:cs="Times New Roman"/>
          <w:i/>
          <w:sz w:val="24"/>
          <w:szCs w:val="24"/>
        </w:rPr>
        <w:t>aureus</w:t>
      </w:r>
      <w:proofErr w:type="spellEnd"/>
      <w:r w:rsidR="000C7CDF" w:rsidRPr="00E73EF4">
        <w:rPr>
          <w:rFonts w:ascii="Times New Roman" w:hAnsi="Times New Roman" w:cs="Times New Roman"/>
          <w:sz w:val="24"/>
          <w:szCs w:val="24"/>
        </w:rPr>
        <w:t xml:space="preserve"> populations is reported in cystic fibrosis patients</w:t>
      </w:r>
      <w:r w:rsidR="00EB1DF1" w:rsidRPr="00E73EF4">
        <w:rPr>
          <w:rFonts w:ascii="Times New Roman" w:hAnsi="Times New Roman" w:cs="Times New Roman"/>
          <w:sz w:val="24"/>
          <w:szCs w:val="24"/>
        </w:rPr>
        <w:t>.</w:t>
      </w:r>
      <w:r w:rsidR="00EB1DF1" w:rsidRPr="00E73EF4">
        <w:rPr>
          <w:rFonts w:ascii="Times New Roman" w:hAnsi="Times New Roman" w:cs="Times New Roman"/>
          <w:sz w:val="24"/>
          <w:szCs w:val="24"/>
          <w:vertAlign w:val="superscript"/>
        </w:rPr>
        <w:t>10</w:t>
      </w:r>
      <w:r w:rsidR="000C7CDF" w:rsidRPr="00E73EF4">
        <w:rPr>
          <w:rFonts w:ascii="Times New Roman" w:hAnsi="Times New Roman" w:cs="Times New Roman"/>
          <w:sz w:val="24"/>
          <w:szCs w:val="24"/>
        </w:rPr>
        <w:t xml:space="preserve"> </w:t>
      </w:r>
      <w:r w:rsidR="00446B7E" w:rsidRPr="00E73EF4">
        <w:rPr>
          <w:rFonts w:ascii="Times New Roman" w:hAnsi="Times New Roman" w:cs="Times New Roman"/>
          <w:sz w:val="24"/>
          <w:szCs w:val="24"/>
        </w:rPr>
        <w:t xml:space="preserve"> </w:t>
      </w:r>
      <w:r w:rsidR="000C7CDF" w:rsidRPr="00E73EF4">
        <w:rPr>
          <w:rFonts w:ascii="Times New Roman" w:hAnsi="Times New Roman" w:cs="Times New Roman"/>
          <w:sz w:val="24"/>
          <w:szCs w:val="24"/>
        </w:rPr>
        <w:t xml:space="preserve">Generalized transduction occurs when </w:t>
      </w:r>
      <w:r w:rsidR="001D7529" w:rsidRPr="00E73EF4">
        <w:rPr>
          <w:rFonts w:ascii="Times New Roman" w:hAnsi="Times New Roman" w:cs="Times New Roman"/>
          <w:sz w:val="24"/>
          <w:szCs w:val="24"/>
        </w:rPr>
        <w:t xml:space="preserve">induced </w:t>
      </w:r>
      <w:r w:rsidR="000C7CDF" w:rsidRPr="00E73EF4">
        <w:rPr>
          <w:rFonts w:ascii="Times New Roman" w:hAnsi="Times New Roman" w:cs="Times New Roman"/>
          <w:sz w:val="24"/>
          <w:szCs w:val="24"/>
        </w:rPr>
        <w:t xml:space="preserve">phage particles package host </w:t>
      </w:r>
      <w:r w:rsidR="00BF3DEE" w:rsidRPr="00E73EF4">
        <w:rPr>
          <w:rFonts w:ascii="Times New Roman" w:hAnsi="Times New Roman" w:cs="Times New Roman"/>
          <w:sz w:val="24"/>
          <w:szCs w:val="24"/>
        </w:rPr>
        <w:t xml:space="preserve">chromosomal or plasmid </w:t>
      </w:r>
      <w:r w:rsidR="000C7CDF" w:rsidRPr="00E73EF4">
        <w:rPr>
          <w:rFonts w:ascii="Times New Roman" w:hAnsi="Times New Roman" w:cs="Times New Roman"/>
          <w:sz w:val="24"/>
          <w:szCs w:val="24"/>
        </w:rPr>
        <w:t xml:space="preserve">DNA instead of replicating phage DNA, and on </w:t>
      </w:r>
      <w:r w:rsidR="001D7529" w:rsidRPr="00E73EF4">
        <w:rPr>
          <w:rFonts w:ascii="Times New Roman" w:hAnsi="Times New Roman" w:cs="Times New Roman"/>
          <w:sz w:val="24"/>
          <w:szCs w:val="24"/>
        </w:rPr>
        <w:t xml:space="preserve">cell </w:t>
      </w:r>
      <w:proofErr w:type="spellStart"/>
      <w:r w:rsidR="000C7CDF" w:rsidRPr="00E73EF4">
        <w:rPr>
          <w:rFonts w:ascii="Times New Roman" w:hAnsi="Times New Roman" w:cs="Times New Roman"/>
          <w:sz w:val="24"/>
          <w:szCs w:val="24"/>
        </w:rPr>
        <w:t>lysis</w:t>
      </w:r>
      <w:proofErr w:type="spellEnd"/>
      <w:r w:rsidR="000C7CDF" w:rsidRPr="00E73EF4">
        <w:rPr>
          <w:rFonts w:ascii="Times New Roman" w:hAnsi="Times New Roman" w:cs="Times New Roman"/>
          <w:sz w:val="24"/>
          <w:szCs w:val="24"/>
        </w:rPr>
        <w:t xml:space="preserve"> these particles deliver</w:t>
      </w:r>
      <w:r w:rsidR="00BF3DEE" w:rsidRPr="00E73EF4">
        <w:rPr>
          <w:rFonts w:ascii="Times New Roman" w:hAnsi="Times New Roman" w:cs="Times New Roman"/>
          <w:sz w:val="24"/>
          <w:szCs w:val="24"/>
        </w:rPr>
        <w:t xml:space="preserve"> host</w:t>
      </w:r>
      <w:r w:rsidR="000C7CDF" w:rsidRPr="00E73EF4">
        <w:rPr>
          <w:rFonts w:ascii="Times New Roman" w:hAnsi="Times New Roman" w:cs="Times New Roman"/>
          <w:sz w:val="24"/>
          <w:szCs w:val="24"/>
        </w:rPr>
        <w:t xml:space="preserve"> DNA to new recipient </w:t>
      </w:r>
      <w:r w:rsidR="000C7CDF" w:rsidRPr="00E73EF4">
        <w:rPr>
          <w:rFonts w:ascii="Times New Roman" w:hAnsi="Times New Roman" w:cs="Times New Roman"/>
          <w:i/>
          <w:sz w:val="24"/>
          <w:szCs w:val="24"/>
        </w:rPr>
        <w:t>S. aureus</w:t>
      </w:r>
      <w:r w:rsidR="00EB1DF1" w:rsidRPr="00E73EF4">
        <w:rPr>
          <w:rFonts w:ascii="Times New Roman" w:hAnsi="Times New Roman" w:cs="Times New Roman"/>
          <w:i/>
          <w:sz w:val="24"/>
          <w:szCs w:val="24"/>
        </w:rPr>
        <w:t>.</w:t>
      </w:r>
      <w:r w:rsidR="00EB1DF1" w:rsidRPr="00E73EF4">
        <w:rPr>
          <w:rFonts w:ascii="Times New Roman" w:hAnsi="Times New Roman" w:cs="Times New Roman"/>
          <w:sz w:val="24"/>
          <w:szCs w:val="24"/>
          <w:vertAlign w:val="superscript"/>
        </w:rPr>
        <w:t>11</w:t>
      </w:r>
      <w:r w:rsidR="001808E4" w:rsidRPr="00E73EF4">
        <w:rPr>
          <w:rFonts w:ascii="Times New Roman" w:hAnsi="Times New Roman" w:cs="Times New Roman"/>
          <w:sz w:val="24"/>
          <w:szCs w:val="24"/>
        </w:rPr>
        <w:t xml:space="preserve"> </w:t>
      </w:r>
      <w:r w:rsidR="00200842" w:rsidRPr="00E73EF4">
        <w:rPr>
          <w:rFonts w:ascii="Times New Roman" w:hAnsi="Times New Roman" w:cs="Times New Roman"/>
          <w:sz w:val="24"/>
          <w:szCs w:val="24"/>
        </w:rPr>
        <w:t xml:space="preserve"> </w:t>
      </w:r>
      <w:r w:rsidR="0031256E" w:rsidRPr="00E73EF4">
        <w:rPr>
          <w:rFonts w:ascii="Times New Roman" w:hAnsi="Times New Roman" w:cs="Times New Roman"/>
          <w:sz w:val="24"/>
          <w:szCs w:val="24"/>
        </w:rPr>
        <w:t>Typical s</w:t>
      </w:r>
      <w:r w:rsidR="001808E4" w:rsidRPr="00E73EF4">
        <w:rPr>
          <w:rFonts w:ascii="Times New Roman" w:hAnsi="Times New Roman" w:cs="Times New Roman"/>
          <w:sz w:val="24"/>
          <w:szCs w:val="24"/>
        </w:rPr>
        <w:t>mall rolling circle plasmids</w:t>
      </w:r>
      <w:r w:rsidR="0031256E" w:rsidRPr="00E73EF4">
        <w:rPr>
          <w:rFonts w:ascii="Times New Roman" w:hAnsi="Times New Roman" w:cs="Times New Roman"/>
          <w:sz w:val="24"/>
          <w:szCs w:val="24"/>
        </w:rPr>
        <w:t xml:space="preserve"> with AMR genes</w:t>
      </w:r>
      <w:r w:rsidR="001808E4" w:rsidRPr="00E73EF4">
        <w:rPr>
          <w:rFonts w:ascii="Times New Roman" w:hAnsi="Times New Roman" w:cs="Times New Roman"/>
          <w:sz w:val="24"/>
          <w:szCs w:val="24"/>
        </w:rPr>
        <w:t xml:space="preserve"> are reported to be packaged as </w:t>
      </w:r>
      <w:proofErr w:type="spellStart"/>
      <w:r w:rsidR="001808E4" w:rsidRPr="00E73EF4">
        <w:rPr>
          <w:rFonts w:ascii="Times New Roman" w:hAnsi="Times New Roman" w:cs="Times New Roman"/>
          <w:sz w:val="24"/>
          <w:szCs w:val="24"/>
        </w:rPr>
        <w:t>concatemer</w:t>
      </w:r>
      <w:r w:rsidR="0031256E" w:rsidRPr="00E73EF4">
        <w:rPr>
          <w:rFonts w:ascii="Times New Roman" w:hAnsi="Times New Roman" w:cs="Times New Roman"/>
          <w:sz w:val="24"/>
          <w:szCs w:val="24"/>
        </w:rPr>
        <w:t>s</w:t>
      </w:r>
      <w:proofErr w:type="spellEnd"/>
      <w:r w:rsidR="0031256E" w:rsidRPr="00E73EF4">
        <w:rPr>
          <w:rFonts w:ascii="Times New Roman" w:hAnsi="Times New Roman" w:cs="Times New Roman"/>
          <w:sz w:val="24"/>
          <w:szCs w:val="24"/>
        </w:rPr>
        <w:t xml:space="preserve"> in phage particles lacking</w:t>
      </w:r>
      <w:r w:rsidR="001808E4" w:rsidRPr="00E73EF4">
        <w:rPr>
          <w:rFonts w:ascii="Times New Roman" w:hAnsi="Times New Roman" w:cs="Times New Roman"/>
          <w:sz w:val="24"/>
          <w:szCs w:val="24"/>
        </w:rPr>
        <w:t xml:space="preserve"> phage DNA</w:t>
      </w:r>
      <w:r w:rsidR="00EB1DF1" w:rsidRPr="00E73EF4">
        <w:rPr>
          <w:rFonts w:ascii="Times New Roman" w:hAnsi="Times New Roman" w:cs="Times New Roman"/>
          <w:sz w:val="24"/>
          <w:szCs w:val="24"/>
        </w:rPr>
        <w:t>.</w:t>
      </w:r>
      <w:r w:rsidR="00EB1DF1" w:rsidRPr="00E73EF4">
        <w:rPr>
          <w:rFonts w:ascii="Times New Roman" w:hAnsi="Times New Roman" w:cs="Times New Roman"/>
          <w:sz w:val="24"/>
          <w:szCs w:val="24"/>
          <w:vertAlign w:val="superscript"/>
        </w:rPr>
        <w:t>12</w:t>
      </w:r>
      <w:r w:rsidR="00EB1DF1" w:rsidRPr="00E73EF4">
        <w:rPr>
          <w:rFonts w:ascii="Times New Roman" w:hAnsi="Times New Roman" w:cs="Times New Roman"/>
          <w:sz w:val="24"/>
          <w:szCs w:val="24"/>
        </w:rPr>
        <w:t xml:space="preserve"> </w:t>
      </w:r>
      <w:r w:rsidR="001808E4" w:rsidRPr="00E73EF4">
        <w:rPr>
          <w:rFonts w:ascii="Times New Roman" w:hAnsi="Times New Roman" w:cs="Times New Roman"/>
          <w:sz w:val="24"/>
          <w:szCs w:val="24"/>
        </w:rPr>
        <w:t xml:space="preserve">  The numbers of transducing particles in a lysate or supernatant is usually reported as a fraction of normal lytic phage particles, and is generally low.</w:t>
      </w:r>
      <w:r w:rsidR="00EB1DF1" w:rsidRPr="00E73EF4">
        <w:rPr>
          <w:rFonts w:ascii="Times New Roman" w:hAnsi="Times New Roman" w:cs="Times New Roman"/>
          <w:sz w:val="24"/>
          <w:szCs w:val="24"/>
          <w:vertAlign w:val="superscript"/>
        </w:rPr>
        <w:t>11</w:t>
      </w:r>
      <w:r w:rsidR="000C7CDF" w:rsidRPr="00E73EF4">
        <w:rPr>
          <w:rFonts w:ascii="Times New Roman" w:hAnsi="Times New Roman" w:cs="Times New Roman"/>
          <w:sz w:val="24"/>
          <w:szCs w:val="24"/>
        </w:rPr>
        <w:t xml:space="preserve"> </w:t>
      </w:r>
    </w:p>
    <w:p w14:paraId="2B579AB5" w14:textId="2531F0B6" w:rsidR="00EB500C" w:rsidRPr="00E73EF4" w:rsidRDefault="007329AE" w:rsidP="004F1994">
      <w:pPr>
        <w:spacing w:line="480" w:lineRule="auto"/>
        <w:ind w:firstLine="720"/>
        <w:jc w:val="both"/>
        <w:rPr>
          <w:rFonts w:ascii="Times New Roman" w:eastAsia="Calibri" w:hAnsi="Times New Roman" w:cs="Times New Roman"/>
          <w:sz w:val="24"/>
          <w:szCs w:val="24"/>
        </w:rPr>
      </w:pPr>
      <w:r w:rsidRPr="00E73EF4">
        <w:rPr>
          <w:rFonts w:ascii="Times New Roman" w:hAnsi="Times New Roman" w:cs="Times New Roman"/>
          <w:sz w:val="24"/>
          <w:szCs w:val="24"/>
        </w:rPr>
        <w:lastRenderedPageBreak/>
        <w:t xml:space="preserve">Clinical MRSA populations </w:t>
      </w:r>
      <w:r w:rsidR="00A931F0" w:rsidRPr="00E73EF4">
        <w:rPr>
          <w:rFonts w:ascii="Times New Roman" w:hAnsi="Times New Roman" w:cs="Times New Roman"/>
          <w:sz w:val="24"/>
          <w:szCs w:val="24"/>
        </w:rPr>
        <w:t>are challenging to genetically manipulate in the laboratory, in part due to restriction modification systems.</w:t>
      </w:r>
      <w:r w:rsidR="006727C5" w:rsidRPr="00E73EF4">
        <w:rPr>
          <w:rFonts w:ascii="Times New Roman" w:hAnsi="Times New Roman" w:cs="Times New Roman"/>
          <w:sz w:val="24"/>
          <w:szCs w:val="24"/>
          <w:vertAlign w:val="superscript"/>
        </w:rPr>
        <w:t>1</w:t>
      </w:r>
      <w:r w:rsidR="00CD7E94" w:rsidRPr="00E73EF4">
        <w:rPr>
          <w:rFonts w:ascii="Times New Roman" w:hAnsi="Times New Roman" w:cs="Times New Roman"/>
          <w:sz w:val="24"/>
          <w:szCs w:val="24"/>
          <w:vertAlign w:val="superscript"/>
        </w:rPr>
        <w:t>,1</w:t>
      </w:r>
      <w:r w:rsidR="006727C5" w:rsidRPr="00E73EF4">
        <w:rPr>
          <w:rFonts w:ascii="Times New Roman" w:hAnsi="Times New Roman" w:cs="Times New Roman"/>
          <w:sz w:val="24"/>
          <w:szCs w:val="24"/>
          <w:vertAlign w:val="superscript"/>
        </w:rPr>
        <w:t>3</w:t>
      </w:r>
      <w:r w:rsidR="00A931F0" w:rsidRPr="00E73EF4">
        <w:rPr>
          <w:rFonts w:ascii="Times New Roman" w:hAnsi="Times New Roman" w:cs="Times New Roman"/>
          <w:sz w:val="24"/>
          <w:szCs w:val="24"/>
        </w:rPr>
        <w:t xml:space="preserve">  However, in the host they </w:t>
      </w:r>
      <w:r w:rsidRPr="00E73EF4">
        <w:rPr>
          <w:rFonts w:ascii="Times New Roman" w:hAnsi="Times New Roman" w:cs="Times New Roman"/>
          <w:sz w:val="24"/>
          <w:szCs w:val="24"/>
        </w:rPr>
        <w:t>can acquire and lose different MGEs with different AMR genes resulting in mixed populations</w:t>
      </w:r>
      <w:r w:rsidR="00CD7E94" w:rsidRPr="00E73EF4">
        <w:rPr>
          <w:rFonts w:ascii="Times New Roman" w:hAnsi="Times New Roman" w:cs="Times New Roman"/>
          <w:sz w:val="24"/>
          <w:szCs w:val="24"/>
        </w:rPr>
        <w:t xml:space="preserve"> </w:t>
      </w:r>
      <w:r w:rsidRPr="00E73EF4">
        <w:rPr>
          <w:rFonts w:ascii="Times New Roman" w:hAnsi="Times New Roman" w:cs="Times New Roman"/>
          <w:sz w:val="24"/>
          <w:szCs w:val="24"/>
        </w:rPr>
        <w:t>within a single hospital or outbreak</w:t>
      </w:r>
      <w:r w:rsidR="006727C5" w:rsidRPr="00E73EF4">
        <w:rPr>
          <w:rFonts w:ascii="Times New Roman" w:hAnsi="Times New Roman" w:cs="Times New Roman"/>
          <w:sz w:val="24"/>
          <w:szCs w:val="24"/>
        </w:rPr>
        <w:t>.</w:t>
      </w:r>
      <w:r w:rsidR="006727C5" w:rsidRPr="00E73EF4">
        <w:rPr>
          <w:rFonts w:ascii="Times New Roman" w:hAnsi="Times New Roman" w:cs="Times New Roman"/>
          <w:sz w:val="24"/>
          <w:szCs w:val="24"/>
          <w:vertAlign w:val="superscript"/>
        </w:rPr>
        <w:t>4,14</w:t>
      </w:r>
      <w:r w:rsidR="001400DB" w:rsidRPr="00E73EF4">
        <w:rPr>
          <w:rFonts w:ascii="Times New Roman" w:hAnsi="Times New Roman" w:cs="Times New Roman"/>
          <w:sz w:val="24"/>
          <w:szCs w:val="24"/>
          <w:vertAlign w:val="superscript"/>
        </w:rPr>
        <w:t>-16</w:t>
      </w:r>
      <w:r w:rsidRPr="00E73EF4" w:rsidDel="00DF637F">
        <w:rPr>
          <w:rFonts w:ascii="Times New Roman" w:hAnsi="Times New Roman" w:cs="Times New Roman"/>
          <w:sz w:val="24"/>
          <w:szCs w:val="24"/>
        </w:rPr>
        <w:t xml:space="preserve"> </w:t>
      </w:r>
      <w:r w:rsidRPr="00E73EF4">
        <w:rPr>
          <w:rFonts w:ascii="Times New Roman" w:hAnsi="Times New Roman" w:cs="Times New Roman"/>
          <w:sz w:val="24"/>
          <w:szCs w:val="24"/>
        </w:rPr>
        <w:t xml:space="preserve">  Antimicrobial resistance provide a selective advantage for HA-MRSA</w:t>
      </w:r>
      <w:r w:rsidR="001400DB" w:rsidRPr="00E73EF4">
        <w:rPr>
          <w:rFonts w:ascii="Times New Roman" w:hAnsi="Times New Roman" w:cs="Times New Roman"/>
          <w:sz w:val="24"/>
          <w:szCs w:val="24"/>
          <w:vertAlign w:val="superscript"/>
        </w:rPr>
        <w:t>1</w:t>
      </w:r>
      <w:r w:rsidR="00CD7E94" w:rsidRPr="00E73EF4">
        <w:rPr>
          <w:rFonts w:ascii="Times New Roman" w:hAnsi="Times New Roman" w:cs="Times New Roman"/>
          <w:sz w:val="24"/>
          <w:szCs w:val="24"/>
          <w:vertAlign w:val="superscript"/>
        </w:rPr>
        <w:t>4,1</w:t>
      </w:r>
      <w:r w:rsidR="001400DB" w:rsidRPr="00E73EF4">
        <w:rPr>
          <w:rFonts w:ascii="Times New Roman" w:hAnsi="Times New Roman" w:cs="Times New Roman"/>
          <w:sz w:val="24"/>
          <w:szCs w:val="24"/>
          <w:vertAlign w:val="superscript"/>
        </w:rPr>
        <w:t>7</w:t>
      </w:r>
      <w:r w:rsidRPr="00E73EF4">
        <w:rPr>
          <w:rFonts w:ascii="Times New Roman" w:hAnsi="Times New Roman" w:cs="Times New Roman"/>
          <w:sz w:val="24"/>
          <w:szCs w:val="24"/>
        </w:rPr>
        <w:t xml:space="preserve"> and the spread of the successful HA-MRSA CC22 </w:t>
      </w:r>
      <w:proofErr w:type="spellStart"/>
      <w:r w:rsidRPr="00E73EF4">
        <w:rPr>
          <w:rFonts w:ascii="Times New Roman" w:hAnsi="Times New Roman" w:cs="Times New Roman"/>
          <w:sz w:val="24"/>
          <w:szCs w:val="24"/>
        </w:rPr>
        <w:t>SCC</w:t>
      </w:r>
      <w:r w:rsidRPr="00E73EF4">
        <w:rPr>
          <w:rFonts w:ascii="Times New Roman" w:hAnsi="Times New Roman" w:cs="Times New Roman"/>
          <w:i/>
          <w:sz w:val="24"/>
          <w:szCs w:val="24"/>
        </w:rPr>
        <w:t>mecIV</w:t>
      </w:r>
      <w:proofErr w:type="spellEnd"/>
      <w:r w:rsidRPr="00E73EF4">
        <w:rPr>
          <w:rFonts w:ascii="Times New Roman" w:hAnsi="Times New Roman" w:cs="Times New Roman"/>
          <w:sz w:val="24"/>
          <w:szCs w:val="24"/>
        </w:rPr>
        <w:t xml:space="preserve"> clone has been associated with increased gain and loss of multiple AMR</w:t>
      </w:r>
      <w:r w:rsidR="00A36BDC" w:rsidRPr="00E73EF4">
        <w:rPr>
          <w:rFonts w:ascii="Times New Roman" w:hAnsi="Times New Roman" w:cs="Times New Roman"/>
          <w:sz w:val="24"/>
          <w:szCs w:val="24"/>
        </w:rPr>
        <w:t>.</w:t>
      </w:r>
      <w:r w:rsidR="00A36BDC" w:rsidRPr="00E73EF4">
        <w:rPr>
          <w:rFonts w:ascii="Times New Roman" w:hAnsi="Times New Roman" w:cs="Times New Roman"/>
          <w:sz w:val="24"/>
          <w:szCs w:val="24"/>
          <w:vertAlign w:val="superscript"/>
        </w:rPr>
        <w:t>1</w:t>
      </w:r>
      <w:r w:rsidR="00CD7E94" w:rsidRPr="00E73EF4">
        <w:rPr>
          <w:rFonts w:ascii="Times New Roman" w:hAnsi="Times New Roman" w:cs="Times New Roman"/>
          <w:sz w:val="24"/>
          <w:szCs w:val="24"/>
          <w:vertAlign w:val="superscript"/>
        </w:rPr>
        <w:t>4,1</w:t>
      </w:r>
      <w:r w:rsidR="00A36BDC" w:rsidRPr="00E73EF4">
        <w:rPr>
          <w:rFonts w:ascii="Times New Roman" w:hAnsi="Times New Roman" w:cs="Times New Roman"/>
          <w:sz w:val="24"/>
          <w:szCs w:val="24"/>
          <w:vertAlign w:val="superscript"/>
        </w:rPr>
        <w:t>8</w:t>
      </w:r>
      <w:r w:rsidRPr="00E73EF4">
        <w:rPr>
          <w:rFonts w:ascii="Times New Roman" w:hAnsi="Times New Roman" w:cs="Times New Roman"/>
          <w:sz w:val="24"/>
          <w:szCs w:val="24"/>
        </w:rPr>
        <w:t xml:space="preserve"> </w:t>
      </w:r>
      <w:r w:rsidR="00A931F0" w:rsidRPr="00E73EF4">
        <w:rPr>
          <w:rFonts w:ascii="Times New Roman" w:hAnsi="Times New Roman" w:cs="Times New Roman"/>
          <w:sz w:val="24"/>
          <w:szCs w:val="24"/>
        </w:rPr>
        <w:t>More recently, i</w:t>
      </w:r>
      <w:r w:rsidR="0031256E" w:rsidRPr="00E73EF4">
        <w:rPr>
          <w:rFonts w:ascii="Times New Roman" w:hAnsi="Times New Roman" w:cs="Times New Roman"/>
          <w:sz w:val="24"/>
          <w:szCs w:val="24"/>
        </w:rPr>
        <w:t>n piglet</w:t>
      </w:r>
      <w:r w:rsidRPr="00E73EF4">
        <w:rPr>
          <w:rFonts w:ascii="Times New Roman" w:hAnsi="Times New Roman" w:cs="Times New Roman"/>
          <w:sz w:val="24"/>
          <w:szCs w:val="24"/>
        </w:rPr>
        <w:t xml:space="preserve"> studies we have shown </w:t>
      </w:r>
      <w:r w:rsidR="0031256E" w:rsidRPr="00E73EF4">
        <w:rPr>
          <w:rFonts w:ascii="Times New Roman" w:hAnsi="Times New Roman" w:cs="Times New Roman"/>
          <w:sz w:val="24"/>
          <w:szCs w:val="24"/>
        </w:rPr>
        <w:t xml:space="preserve">unexpectedly high </w:t>
      </w:r>
      <w:r w:rsidRPr="00E73EF4">
        <w:rPr>
          <w:rFonts w:ascii="Times New Roman" w:hAnsi="Times New Roman" w:cs="Times New Roman"/>
          <w:sz w:val="24"/>
          <w:szCs w:val="24"/>
        </w:rPr>
        <w:t xml:space="preserve">frequency </w:t>
      </w:r>
      <w:r w:rsidR="00A931F0" w:rsidRPr="00E73EF4">
        <w:rPr>
          <w:rFonts w:ascii="Times New Roman" w:hAnsi="Times New Roman" w:cs="Times New Roman"/>
          <w:sz w:val="24"/>
          <w:szCs w:val="24"/>
        </w:rPr>
        <w:t xml:space="preserve">of AMR gene transfer </w:t>
      </w:r>
      <w:r w:rsidR="0031256E" w:rsidRPr="00E73EF4">
        <w:rPr>
          <w:rFonts w:ascii="Times New Roman" w:hAnsi="Times New Roman" w:cs="Times New Roman"/>
          <w:sz w:val="24"/>
          <w:szCs w:val="24"/>
        </w:rPr>
        <w:t xml:space="preserve">between </w:t>
      </w:r>
      <w:r w:rsidR="0031256E" w:rsidRPr="00E73EF4">
        <w:rPr>
          <w:rFonts w:ascii="Times New Roman" w:hAnsi="Times New Roman" w:cs="Times New Roman"/>
          <w:i/>
          <w:sz w:val="24"/>
          <w:szCs w:val="24"/>
        </w:rPr>
        <w:t xml:space="preserve">S. </w:t>
      </w:r>
      <w:proofErr w:type="spellStart"/>
      <w:r w:rsidR="0031256E" w:rsidRPr="00E73EF4">
        <w:rPr>
          <w:rFonts w:ascii="Times New Roman" w:hAnsi="Times New Roman" w:cs="Times New Roman"/>
          <w:i/>
          <w:sz w:val="24"/>
          <w:szCs w:val="24"/>
        </w:rPr>
        <w:t>aureus</w:t>
      </w:r>
      <w:proofErr w:type="spellEnd"/>
      <w:r w:rsidR="0031256E" w:rsidRPr="00E73EF4">
        <w:rPr>
          <w:rFonts w:ascii="Times New Roman" w:hAnsi="Times New Roman" w:cs="Times New Roman"/>
          <w:sz w:val="24"/>
          <w:szCs w:val="24"/>
        </w:rPr>
        <w:t xml:space="preserve"> populations </w:t>
      </w:r>
      <w:r w:rsidR="00A931F0" w:rsidRPr="00E73EF4">
        <w:rPr>
          <w:rFonts w:ascii="Times New Roman" w:hAnsi="Times New Roman" w:cs="Times New Roman"/>
          <w:sz w:val="24"/>
          <w:szCs w:val="24"/>
        </w:rPr>
        <w:t xml:space="preserve">during </w:t>
      </w:r>
      <w:r w:rsidR="0031256E" w:rsidRPr="00E73EF4">
        <w:rPr>
          <w:rFonts w:ascii="Times New Roman" w:hAnsi="Times New Roman" w:cs="Times New Roman"/>
          <w:sz w:val="24"/>
          <w:szCs w:val="24"/>
        </w:rPr>
        <w:t>experimental co-colonization</w:t>
      </w:r>
      <w:r w:rsidRPr="00E73EF4">
        <w:rPr>
          <w:rFonts w:ascii="Times New Roman" w:hAnsi="Times New Roman" w:cs="Times New Roman"/>
          <w:sz w:val="24"/>
          <w:szCs w:val="24"/>
        </w:rPr>
        <w:t>.</w:t>
      </w:r>
      <w:r w:rsidR="00A36BDC" w:rsidRPr="00E73EF4">
        <w:rPr>
          <w:rFonts w:ascii="Times New Roman" w:hAnsi="Times New Roman" w:cs="Times New Roman"/>
          <w:sz w:val="24"/>
          <w:szCs w:val="24"/>
          <w:vertAlign w:val="superscript"/>
        </w:rPr>
        <w:t>19</w:t>
      </w:r>
      <w:r w:rsidRPr="00E73EF4">
        <w:rPr>
          <w:rFonts w:ascii="Times New Roman" w:hAnsi="Times New Roman" w:cs="Times New Roman"/>
          <w:sz w:val="24"/>
          <w:szCs w:val="24"/>
        </w:rPr>
        <w:t xml:space="preserve">  </w:t>
      </w:r>
      <w:r w:rsidR="0031256E" w:rsidRPr="00E73EF4">
        <w:rPr>
          <w:rFonts w:ascii="Times New Roman" w:hAnsi="Times New Roman" w:cs="Times New Roman"/>
          <w:sz w:val="24"/>
          <w:szCs w:val="24"/>
        </w:rPr>
        <w:t xml:space="preserve">We then showed that MRSA </w:t>
      </w:r>
      <w:r w:rsidR="00A931F0" w:rsidRPr="00E73EF4">
        <w:rPr>
          <w:rFonts w:ascii="Times New Roman" w:hAnsi="Times New Roman" w:cs="Times New Roman"/>
          <w:sz w:val="24"/>
          <w:szCs w:val="24"/>
        </w:rPr>
        <w:t>colonised</w:t>
      </w:r>
      <w:r w:rsidR="0031256E" w:rsidRPr="00E73EF4">
        <w:rPr>
          <w:rFonts w:ascii="Times New Roman" w:hAnsi="Times New Roman" w:cs="Times New Roman"/>
          <w:sz w:val="24"/>
          <w:szCs w:val="24"/>
        </w:rPr>
        <w:t xml:space="preserve"> patients harboured</w:t>
      </w:r>
      <w:r w:rsidR="00A931F0" w:rsidRPr="00E73EF4">
        <w:rPr>
          <w:rFonts w:ascii="Times New Roman" w:hAnsi="Times New Roman" w:cs="Times New Roman"/>
          <w:sz w:val="24"/>
          <w:szCs w:val="24"/>
        </w:rPr>
        <w:t xml:space="preserve"> </w:t>
      </w:r>
      <w:r w:rsidR="0031256E" w:rsidRPr="00E73EF4">
        <w:rPr>
          <w:rFonts w:ascii="Times New Roman" w:hAnsi="Times New Roman" w:cs="Times New Roman"/>
          <w:sz w:val="24"/>
          <w:szCs w:val="24"/>
        </w:rPr>
        <w:t>v</w:t>
      </w:r>
      <w:r w:rsidR="00A931F0" w:rsidRPr="00E73EF4">
        <w:rPr>
          <w:rFonts w:ascii="Times New Roman" w:hAnsi="Times New Roman" w:cs="Times New Roman"/>
          <w:sz w:val="24"/>
          <w:szCs w:val="24"/>
        </w:rPr>
        <w:t>ariant populations differing only in AMR genes</w:t>
      </w:r>
      <w:r w:rsidR="0031256E" w:rsidRPr="00E73EF4">
        <w:rPr>
          <w:rFonts w:ascii="Times New Roman" w:hAnsi="Times New Roman" w:cs="Times New Roman"/>
          <w:sz w:val="24"/>
          <w:szCs w:val="24"/>
        </w:rPr>
        <w:t>, as well as</w:t>
      </w:r>
      <w:r w:rsidR="00A931F0" w:rsidRPr="00E73EF4">
        <w:rPr>
          <w:rFonts w:ascii="Times New Roman" w:hAnsi="Times New Roman" w:cs="Times New Roman"/>
          <w:sz w:val="24"/>
          <w:szCs w:val="24"/>
        </w:rPr>
        <w:t xml:space="preserve"> free bacteriophage capable of generalized transduction</w:t>
      </w:r>
      <w:r w:rsidR="00A36BDC" w:rsidRPr="00E73EF4">
        <w:rPr>
          <w:rFonts w:ascii="Times New Roman" w:hAnsi="Times New Roman" w:cs="Times New Roman"/>
          <w:sz w:val="24"/>
          <w:szCs w:val="24"/>
        </w:rPr>
        <w:t>.</w:t>
      </w:r>
      <w:r w:rsidR="00A36BDC" w:rsidRPr="00E73EF4">
        <w:rPr>
          <w:rFonts w:ascii="Times New Roman" w:hAnsi="Times New Roman" w:cs="Times New Roman"/>
          <w:sz w:val="24"/>
          <w:szCs w:val="24"/>
          <w:vertAlign w:val="superscript"/>
        </w:rPr>
        <w:t>20</w:t>
      </w:r>
      <w:r w:rsidR="00A931F0" w:rsidRPr="00E73EF4">
        <w:rPr>
          <w:rFonts w:ascii="Times New Roman" w:hAnsi="Times New Roman" w:cs="Times New Roman"/>
          <w:sz w:val="24"/>
          <w:szCs w:val="24"/>
        </w:rPr>
        <w:t xml:space="preserve"> </w:t>
      </w:r>
      <w:r w:rsidR="0031256E" w:rsidRPr="00E73EF4">
        <w:rPr>
          <w:rFonts w:ascii="Times New Roman" w:hAnsi="Times New Roman" w:cs="Times New Roman"/>
          <w:sz w:val="24"/>
          <w:szCs w:val="24"/>
        </w:rPr>
        <w:t>This suggests gene transfer of AMR genes during colonisation in the natural habitat may be much higher than expected.</w:t>
      </w:r>
      <w:r w:rsidR="008554B9" w:rsidRPr="00E73EF4">
        <w:rPr>
          <w:rFonts w:ascii="Times New Roman" w:hAnsi="Times New Roman" w:cs="Times New Roman"/>
          <w:sz w:val="24"/>
          <w:szCs w:val="24"/>
        </w:rPr>
        <w:t xml:space="preserve"> </w:t>
      </w:r>
      <w:r w:rsidR="00446B7E" w:rsidRPr="00E73EF4">
        <w:rPr>
          <w:rFonts w:ascii="Times New Roman" w:hAnsi="Times New Roman" w:cs="Times New Roman"/>
          <w:sz w:val="24"/>
          <w:szCs w:val="24"/>
        </w:rPr>
        <w:t>Sub-inhibitory concen</w:t>
      </w:r>
      <w:r w:rsidR="001D7529" w:rsidRPr="00E73EF4">
        <w:rPr>
          <w:rFonts w:ascii="Times New Roman" w:hAnsi="Times New Roman" w:cs="Times New Roman"/>
          <w:sz w:val="24"/>
          <w:szCs w:val="24"/>
        </w:rPr>
        <w:t xml:space="preserve">trations of antibiotics </w:t>
      </w:r>
      <w:r w:rsidR="00446B7E" w:rsidRPr="00E73EF4">
        <w:rPr>
          <w:rFonts w:ascii="Times New Roman" w:hAnsi="Times New Roman" w:cs="Times New Roman"/>
          <w:sz w:val="24"/>
          <w:szCs w:val="24"/>
        </w:rPr>
        <w:t xml:space="preserve">induce bacteriophage </w:t>
      </w:r>
      <w:r w:rsidRPr="00E73EF4">
        <w:rPr>
          <w:rFonts w:ascii="Times New Roman" w:hAnsi="Times New Roman" w:cs="Times New Roman"/>
          <w:sz w:val="24"/>
          <w:szCs w:val="24"/>
        </w:rPr>
        <w:t>excision and replication</w:t>
      </w:r>
      <w:r w:rsidR="00225219" w:rsidRPr="00E73EF4">
        <w:rPr>
          <w:rFonts w:ascii="Times New Roman" w:hAnsi="Times New Roman" w:cs="Times New Roman"/>
          <w:sz w:val="24"/>
          <w:szCs w:val="24"/>
          <w:vertAlign w:val="superscript"/>
        </w:rPr>
        <w:t>8,</w:t>
      </w:r>
      <w:r w:rsidR="004F1994" w:rsidRPr="00E73EF4">
        <w:rPr>
          <w:rFonts w:ascii="Times New Roman" w:hAnsi="Times New Roman" w:cs="Times New Roman"/>
          <w:sz w:val="24"/>
          <w:szCs w:val="24"/>
          <w:vertAlign w:val="superscript"/>
        </w:rPr>
        <w:t>21</w:t>
      </w:r>
      <w:r w:rsidR="00225219" w:rsidRPr="00E73EF4">
        <w:rPr>
          <w:rFonts w:ascii="Times New Roman" w:hAnsi="Times New Roman" w:cs="Times New Roman"/>
          <w:sz w:val="24"/>
          <w:szCs w:val="24"/>
          <w:vertAlign w:val="superscript"/>
        </w:rPr>
        <w:t>,22</w:t>
      </w:r>
      <w:r w:rsidR="001D7529" w:rsidRPr="00E73EF4">
        <w:rPr>
          <w:rFonts w:ascii="Times New Roman" w:eastAsia="Calibri" w:hAnsi="Times New Roman" w:cs="Times New Roman"/>
          <w:sz w:val="24"/>
          <w:szCs w:val="24"/>
        </w:rPr>
        <w:t xml:space="preserve"> and</w:t>
      </w:r>
      <w:r w:rsidR="00EB500C" w:rsidRPr="00E73EF4">
        <w:rPr>
          <w:rFonts w:ascii="Times New Roman" w:eastAsia="Calibri" w:hAnsi="Times New Roman" w:cs="Times New Roman"/>
          <w:sz w:val="24"/>
          <w:szCs w:val="24"/>
        </w:rPr>
        <w:t xml:space="preserve"> </w:t>
      </w:r>
      <w:r w:rsidR="001D7529" w:rsidRPr="00E73EF4">
        <w:rPr>
          <w:rFonts w:ascii="Times New Roman" w:eastAsia="Calibri" w:hAnsi="Times New Roman" w:cs="Times New Roman"/>
          <w:sz w:val="24"/>
          <w:szCs w:val="24"/>
        </w:rPr>
        <w:t>a</w:t>
      </w:r>
      <w:r w:rsidR="00EB500C" w:rsidRPr="00E73EF4">
        <w:rPr>
          <w:rFonts w:ascii="Times New Roman" w:eastAsia="Calibri" w:hAnsi="Times New Roman" w:cs="Times New Roman"/>
          <w:sz w:val="24"/>
          <w:szCs w:val="24"/>
        </w:rPr>
        <w:t xml:space="preserve">ntibiotics such as </w:t>
      </w:r>
      <w:r w:rsidR="00EB500C" w:rsidRPr="00E73EF4">
        <w:rPr>
          <w:rFonts w:ascii="Times New Roman" w:hAnsi="Times New Roman" w:cs="Times New Roman"/>
          <w:sz w:val="24"/>
          <w:szCs w:val="24"/>
          <w:lang w:val="en-US"/>
        </w:rPr>
        <w:t>β-lactam</w:t>
      </w:r>
      <w:r w:rsidR="002827C2" w:rsidRPr="00E73EF4">
        <w:rPr>
          <w:rFonts w:ascii="Times New Roman" w:hAnsi="Times New Roman" w:cs="Times New Roman"/>
          <w:sz w:val="24"/>
          <w:szCs w:val="24"/>
          <w:lang w:val="en-US"/>
        </w:rPr>
        <w:t xml:space="preserve">, trimethoprim </w:t>
      </w:r>
      <w:r w:rsidR="00EB500C" w:rsidRPr="00E73EF4">
        <w:rPr>
          <w:rFonts w:ascii="Times New Roman" w:eastAsia="Calibri" w:hAnsi="Times New Roman" w:cs="Times New Roman"/>
          <w:sz w:val="24"/>
          <w:szCs w:val="24"/>
        </w:rPr>
        <w:t xml:space="preserve">and ciprofloxacin have been shown to enhance phage induction </w:t>
      </w:r>
      <w:r w:rsidR="00EB500C" w:rsidRPr="00E73EF4">
        <w:rPr>
          <w:rFonts w:ascii="Times New Roman" w:eastAsia="Calibri" w:hAnsi="Times New Roman" w:cs="Times New Roman"/>
          <w:i/>
          <w:sz w:val="24"/>
          <w:szCs w:val="24"/>
        </w:rPr>
        <w:t>in vitro</w:t>
      </w:r>
      <w:r w:rsidR="00EB500C" w:rsidRPr="00E73EF4">
        <w:rPr>
          <w:rFonts w:ascii="Times New Roman" w:eastAsia="Calibri" w:hAnsi="Times New Roman" w:cs="Times New Roman"/>
          <w:sz w:val="24"/>
          <w:szCs w:val="24"/>
        </w:rPr>
        <w:t xml:space="preserve"> and to increase the ability to transfer virulence genes between laboratory </w:t>
      </w:r>
      <w:r w:rsidR="00446B7E" w:rsidRPr="00E73EF4">
        <w:rPr>
          <w:rFonts w:ascii="Times New Roman" w:eastAsia="Calibri" w:hAnsi="Times New Roman" w:cs="Times New Roman"/>
          <w:sz w:val="24"/>
          <w:szCs w:val="24"/>
        </w:rPr>
        <w:t xml:space="preserve">strains of </w:t>
      </w:r>
      <w:r w:rsidR="00EB500C" w:rsidRPr="00E73EF4">
        <w:rPr>
          <w:rFonts w:ascii="Times New Roman" w:eastAsia="Calibri" w:hAnsi="Times New Roman" w:cs="Times New Roman"/>
          <w:i/>
          <w:sz w:val="24"/>
          <w:szCs w:val="24"/>
        </w:rPr>
        <w:t>S. aureus</w:t>
      </w:r>
      <w:r w:rsidR="00F11590" w:rsidRPr="00E73EF4">
        <w:rPr>
          <w:rFonts w:ascii="Times New Roman" w:eastAsia="Calibri" w:hAnsi="Times New Roman" w:cs="Times New Roman"/>
          <w:sz w:val="24"/>
          <w:szCs w:val="24"/>
        </w:rPr>
        <w:t>.</w:t>
      </w:r>
      <w:r w:rsidR="00225219" w:rsidRPr="00E73EF4">
        <w:rPr>
          <w:rFonts w:ascii="Times New Roman" w:eastAsia="Calibri" w:hAnsi="Times New Roman" w:cs="Times New Roman"/>
          <w:sz w:val="24"/>
          <w:szCs w:val="24"/>
          <w:vertAlign w:val="superscript"/>
        </w:rPr>
        <w:t>8</w:t>
      </w:r>
      <w:r w:rsidR="00332876" w:rsidRPr="00E73EF4">
        <w:rPr>
          <w:rFonts w:ascii="Times New Roman" w:eastAsia="Calibri" w:hAnsi="Times New Roman" w:cs="Times New Roman"/>
          <w:sz w:val="24"/>
          <w:szCs w:val="24"/>
          <w:vertAlign w:val="superscript"/>
        </w:rPr>
        <w:t>,2</w:t>
      </w:r>
      <w:r w:rsidR="00225219" w:rsidRPr="00E73EF4">
        <w:rPr>
          <w:rFonts w:ascii="Times New Roman" w:eastAsia="Calibri" w:hAnsi="Times New Roman" w:cs="Times New Roman"/>
          <w:sz w:val="24"/>
          <w:szCs w:val="24"/>
          <w:vertAlign w:val="superscript"/>
        </w:rPr>
        <w:t>3</w:t>
      </w:r>
      <w:r w:rsidR="00A05C34" w:rsidRPr="00E73EF4">
        <w:rPr>
          <w:rFonts w:ascii="Times New Roman" w:eastAsia="Calibri" w:hAnsi="Times New Roman" w:cs="Times New Roman"/>
          <w:sz w:val="24"/>
          <w:szCs w:val="24"/>
          <w:vertAlign w:val="superscript"/>
        </w:rPr>
        <w:t xml:space="preserve"> </w:t>
      </w:r>
      <w:r w:rsidR="00C4244A" w:rsidRPr="00E73EF4">
        <w:rPr>
          <w:rFonts w:ascii="Times New Roman" w:hAnsi="Times New Roman" w:cs="Times New Roman"/>
          <w:sz w:val="24"/>
          <w:szCs w:val="24"/>
        </w:rPr>
        <w:t>Thirty percent of hospitalized patients receive antibiotics</w:t>
      </w:r>
      <w:r w:rsidR="004A2829" w:rsidRPr="00E73EF4">
        <w:rPr>
          <w:rFonts w:ascii="Times New Roman" w:hAnsi="Times New Roman" w:cs="Times New Roman"/>
          <w:sz w:val="24"/>
          <w:szCs w:val="24"/>
          <w:vertAlign w:val="superscript"/>
        </w:rPr>
        <w:t>3,</w:t>
      </w:r>
      <w:r w:rsidR="008554B9" w:rsidRPr="00E73EF4">
        <w:rPr>
          <w:rFonts w:ascii="Times New Roman" w:hAnsi="Times New Roman" w:cs="Times New Roman"/>
          <w:sz w:val="24"/>
          <w:szCs w:val="24"/>
          <w:vertAlign w:val="superscript"/>
        </w:rPr>
        <w:t>2</w:t>
      </w:r>
      <w:r w:rsidR="00225219" w:rsidRPr="00E73EF4">
        <w:rPr>
          <w:rFonts w:ascii="Times New Roman" w:hAnsi="Times New Roman" w:cs="Times New Roman"/>
          <w:sz w:val="24"/>
          <w:szCs w:val="24"/>
          <w:vertAlign w:val="superscript"/>
        </w:rPr>
        <w:t>4</w:t>
      </w:r>
      <w:r w:rsidR="00C4244A" w:rsidRPr="00E73EF4">
        <w:rPr>
          <w:rFonts w:ascii="Times New Roman" w:hAnsi="Times New Roman" w:cs="Times New Roman"/>
          <w:sz w:val="24"/>
          <w:szCs w:val="24"/>
        </w:rPr>
        <w:t>, directly or indirectly acting on colonizing MRSA populations</w:t>
      </w:r>
      <w:r w:rsidR="00BF3DEE" w:rsidRPr="00E73EF4">
        <w:rPr>
          <w:rFonts w:ascii="Times New Roman" w:hAnsi="Times New Roman" w:cs="Times New Roman"/>
          <w:sz w:val="24"/>
          <w:szCs w:val="24"/>
        </w:rPr>
        <w:t xml:space="preserve"> which are the reservoir of subsequent infecting isolates</w:t>
      </w:r>
      <w:r w:rsidR="00C4244A" w:rsidRPr="00E73EF4">
        <w:rPr>
          <w:rFonts w:ascii="Times New Roman" w:hAnsi="Times New Roman" w:cs="Times New Roman"/>
          <w:sz w:val="24"/>
          <w:szCs w:val="24"/>
        </w:rPr>
        <w:t xml:space="preserve">.  </w:t>
      </w:r>
      <w:r w:rsidRPr="00E73EF4">
        <w:rPr>
          <w:rFonts w:ascii="Times New Roman" w:hAnsi="Times New Roman" w:cs="Times New Roman"/>
          <w:sz w:val="24"/>
          <w:szCs w:val="24"/>
        </w:rPr>
        <w:t xml:space="preserve">It is not known if this exposure affects the </w:t>
      </w:r>
      <w:r w:rsidR="00BF3DEE" w:rsidRPr="00E73EF4">
        <w:rPr>
          <w:rFonts w:ascii="Times New Roman" w:hAnsi="Times New Roman" w:cs="Times New Roman"/>
          <w:sz w:val="24"/>
          <w:szCs w:val="24"/>
        </w:rPr>
        <w:t>ability of colonizing</w:t>
      </w:r>
      <w:r w:rsidR="00720D92" w:rsidRPr="00E73EF4">
        <w:rPr>
          <w:rFonts w:ascii="Times New Roman" w:hAnsi="Times New Roman" w:cs="Times New Roman"/>
          <w:sz w:val="24"/>
          <w:szCs w:val="24"/>
        </w:rPr>
        <w:t xml:space="preserve"> MRSA</w:t>
      </w:r>
      <w:r w:rsidR="00BF3DEE" w:rsidRPr="00E73EF4">
        <w:rPr>
          <w:rFonts w:ascii="Times New Roman" w:hAnsi="Times New Roman" w:cs="Times New Roman"/>
          <w:sz w:val="24"/>
          <w:szCs w:val="24"/>
        </w:rPr>
        <w:t xml:space="preserve"> populations to transfer </w:t>
      </w:r>
      <w:r w:rsidRPr="00E73EF4">
        <w:rPr>
          <w:rFonts w:ascii="Times New Roman" w:hAnsi="Times New Roman" w:cs="Times New Roman"/>
          <w:sz w:val="24"/>
          <w:szCs w:val="24"/>
        </w:rPr>
        <w:t>AMR genes</w:t>
      </w:r>
      <w:r w:rsidR="00A931F0" w:rsidRPr="00E73EF4">
        <w:rPr>
          <w:rFonts w:ascii="Times New Roman" w:hAnsi="Times New Roman" w:cs="Times New Roman"/>
          <w:sz w:val="24"/>
          <w:szCs w:val="24"/>
        </w:rPr>
        <w:t>.</w:t>
      </w:r>
      <w:r w:rsidRPr="00E73EF4">
        <w:rPr>
          <w:rFonts w:ascii="Times New Roman" w:hAnsi="Times New Roman" w:cs="Times New Roman"/>
          <w:sz w:val="24"/>
          <w:szCs w:val="24"/>
        </w:rPr>
        <w:t xml:space="preserve"> </w:t>
      </w:r>
    </w:p>
    <w:p w14:paraId="5AD6E466" w14:textId="07EC42C6" w:rsidR="00F11590" w:rsidRPr="00E73EF4" w:rsidRDefault="00E11A50" w:rsidP="00B6049E">
      <w:pPr>
        <w:spacing w:line="480" w:lineRule="auto"/>
        <w:ind w:firstLine="720"/>
        <w:jc w:val="both"/>
        <w:rPr>
          <w:rFonts w:ascii="Times New Roman" w:eastAsia="Calibri" w:hAnsi="Times New Roman" w:cs="Times New Roman"/>
          <w:sz w:val="24"/>
          <w:szCs w:val="24"/>
        </w:rPr>
      </w:pPr>
      <w:r w:rsidRPr="00E73EF4">
        <w:rPr>
          <w:rFonts w:ascii="Times New Roman" w:eastAsia="Calibri" w:hAnsi="Times New Roman" w:cs="Times New Roman"/>
          <w:sz w:val="24"/>
          <w:szCs w:val="24"/>
        </w:rPr>
        <w:t xml:space="preserve">In this study we aimed to </w:t>
      </w:r>
      <w:r w:rsidRPr="00E73EF4">
        <w:rPr>
          <w:rFonts w:ascii="Times New Roman" w:eastAsia="Calibri" w:hAnsi="Times New Roman" w:cs="Times New Roman"/>
          <w:bCs/>
          <w:iCs/>
          <w:sz w:val="24"/>
          <w:szCs w:val="24"/>
        </w:rPr>
        <w:t xml:space="preserve">investigate whether </w:t>
      </w:r>
      <w:r w:rsidR="001D7529" w:rsidRPr="00E73EF4">
        <w:rPr>
          <w:rFonts w:ascii="Times New Roman" w:eastAsia="Calibri" w:hAnsi="Times New Roman" w:cs="Times New Roman"/>
          <w:sz w:val="24"/>
          <w:szCs w:val="24"/>
          <w:lang w:eastAsia="en-GB"/>
        </w:rPr>
        <w:t>s</w:t>
      </w:r>
      <w:r w:rsidRPr="00E73EF4">
        <w:rPr>
          <w:rFonts w:ascii="Times New Roman" w:eastAsia="Calibri" w:hAnsi="Times New Roman" w:cs="Times New Roman"/>
          <w:sz w:val="24"/>
          <w:szCs w:val="24"/>
          <w:lang w:eastAsia="en-GB"/>
        </w:rPr>
        <w:t xml:space="preserve">ub-MIC </w:t>
      </w:r>
      <w:r w:rsidR="001D7529" w:rsidRPr="00E73EF4">
        <w:rPr>
          <w:rFonts w:ascii="Times New Roman" w:eastAsia="Calibri" w:hAnsi="Times New Roman" w:cs="Times New Roman"/>
          <w:sz w:val="24"/>
          <w:szCs w:val="24"/>
          <w:lang w:eastAsia="en-GB"/>
        </w:rPr>
        <w:t xml:space="preserve">concentrations </w:t>
      </w:r>
      <w:r w:rsidRPr="00E73EF4">
        <w:rPr>
          <w:rFonts w:ascii="Times New Roman" w:eastAsia="Calibri" w:hAnsi="Times New Roman" w:cs="Times New Roman"/>
          <w:sz w:val="24"/>
          <w:szCs w:val="24"/>
          <w:lang w:eastAsia="en-GB"/>
        </w:rPr>
        <w:t xml:space="preserve">of </w:t>
      </w:r>
      <w:r w:rsidR="001D7529" w:rsidRPr="00E73EF4">
        <w:rPr>
          <w:rFonts w:ascii="Times New Roman" w:eastAsia="Calibri" w:hAnsi="Times New Roman" w:cs="Times New Roman"/>
          <w:sz w:val="24"/>
          <w:szCs w:val="24"/>
          <w:lang w:eastAsia="en-GB"/>
        </w:rPr>
        <w:t xml:space="preserve">different </w:t>
      </w:r>
      <w:r w:rsidRPr="00E73EF4">
        <w:rPr>
          <w:rFonts w:ascii="Times New Roman" w:eastAsia="Calibri" w:hAnsi="Times New Roman" w:cs="Times New Roman"/>
          <w:sz w:val="24"/>
          <w:szCs w:val="24"/>
          <w:lang w:eastAsia="en-GB"/>
        </w:rPr>
        <w:t xml:space="preserve">antibiotics </w:t>
      </w:r>
      <w:r w:rsidRPr="00E73EF4">
        <w:rPr>
          <w:rFonts w:ascii="Times New Roman" w:eastAsia="Calibri" w:hAnsi="Times New Roman" w:cs="Times New Roman"/>
          <w:sz w:val="24"/>
          <w:szCs w:val="24"/>
          <w:lang w:val="en-US"/>
        </w:rPr>
        <w:t xml:space="preserve">trigger </w:t>
      </w:r>
      <w:proofErr w:type="spellStart"/>
      <w:r w:rsidR="00720D92" w:rsidRPr="00E73EF4">
        <w:rPr>
          <w:rFonts w:ascii="Times New Roman" w:eastAsia="Calibri" w:hAnsi="Times New Roman" w:cs="Times New Roman"/>
          <w:sz w:val="24"/>
          <w:szCs w:val="24"/>
          <w:lang w:val="en-US"/>
        </w:rPr>
        <w:t>prophage</w:t>
      </w:r>
      <w:proofErr w:type="spellEnd"/>
      <w:r w:rsidRPr="00E73EF4">
        <w:rPr>
          <w:rFonts w:ascii="Times New Roman" w:eastAsia="Calibri" w:hAnsi="Times New Roman" w:cs="Times New Roman"/>
          <w:sz w:val="24"/>
          <w:szCs w:val="24"/>
          <w:lang w:val="en-US"/>
        </w:rPr>
        <w:t xml:space="preserve"> induction from MRSA </w:t>
      </w:r>
      <w:r w:rsidR="001D7529" w:rsidRPr="00E73EF4">
        <w:rPr>
          <w:rFonts w:ascii="Times New Roman" w:eastAsia="Calibri" w:hAnsi="Times New Roman" w:cs="Times New Roman"/>
          <w:sz w:val="24"/>
          <w:szCs w:val="24"/>
          <w:lang w:val="en-US"/>
        </w:rPr>
        <w:t xml:space="preserve">carriage </w:t>
      </w:r>
      <w:r w:rsidRPr="00E73EF4">
        <w:rPr>
          <w:rFonts w:ascii="Times New Roman" w:eastAsia="Calibri" w:hAnsi="Times New Roman" w:cs="Times New Roman"/>
          <w:sz w:val="24"/>
          <w:szCs w:val="24"/>
          <w:lang w:val="en-US"/>
        </w:rPr>
        <w:t>isolates</w:t>
      </w:r>
      <w:r w:rsidR="00720D92" w:rsidRPr="00E73EF4">
        <w:rPr>
          <w:rFonts w:ascii="Times New Roman" w:eastAsia="Calibri" w:hAnsi="Times New Roman" w:cs="Times New Roman"/>
          <w:sz w:val="24"/>
          <w:szCs w:val="24"/>
          <w:lang w:val="en-US"/>
        </w:rPr>
        <w:t xml:space="preserve">, leading to </w:t>
      </w:r>
      <w:proofErr w:type="spellStart"/>
      <w:r w:rsidR="00720D92" w:rsidRPr="00E73EF4">
        <w:rPr>
          <w:rFonts w:ascii="Times New Roman" w:eastAsia="Calibri" w:hAnsi="Times New Roman" w:cs="Times New Roman"/>
          <w:sz w:val="24"/>
          <w:szCs w:val="24"/>
          <w:lang w:val="en-US"/>
        </w:rPr>
        <w:t>lysis</w:t>
      </w:r>
      <w:proofErr w:type="spellEnd"/>
      <w:r w:rsidR="00720D92" w:rsidRPr="00E73EF4">
        <w:rPr>
          <w:rFonts w:ascii="Times New Roman" w:eastAsia="Calibri" w:hAnsi="Times New Roman" w:cs="Times New Roman"/>
          <w:sz w:val="24"/>
          <w:szCs w:val="24"/>
          <w:lang w:val="en-US"/>
        </w:rPr>
        <w:t xml:space="preserve"> and/or</w:t>
      </w:r>
      <w:r w:rsidRPr="00E73EF4">
        <w:rPr>
          <w:rFonts w:ascii="Times New Roman" w:eastAsia="Calibri" w:hAnsi="Times New Roman" w:cs="Times New Roman"/>
          <w:sz w:val="24"/>
          <w:szCs w:val="24"/>
          <w:lang w:val="en-US"/>
        </w:rPr>
        <w:t xml:space="preserve"> </w:t>
      </w:r>
      <w:r w:rsidR="00720D92" w:rsidRPr="00E73EF4">
        <w:rPr>
          <w:rFonts w:ascii="Times New Roman" w:eastAsia="Calibri" w:hAnsi="Times New Roman" w:cs="Times New Roman"/>
          <w:sz w:val="24"/>
          <w:szCs w:val="24"/>
          <w:lang w:val="en-US"/>
        </w:rPr>
        <w:t>i</w:t>
      </w:r>
      <w:r w:rsidRPr="00E73EF4">
        <w:rPr>
          <w:rFonts w:ascii="Times New Roman" w:eastAsia="Calibri" w:hAnsi="Times New Roman" w:cs="Times New Roman"/>
          <w:sz w:val="24"/>
          <w:szCs w:val="24"/>
          <w:lang w:val="en-US"/>
        </w:rPr>
        <w:t>ncreas</w:t>
      </w:r>
      <w:r w:rsidR="001D7529" w:rsidRPr="00E73EF4">
        <w:rPr>
          <w:rFonts w:ascii="Times New Roman" w:eastAsia="Calibri" w:hAnsi="Times New Roman" w:cs="Times New Roman"/>
          <w:sz w:val="24"/>
          <w:szCs w:val="24"/>
          <w:lang w:val="en-US"/>
        </w:rPr>
        <w:t>ing</w:t>
      </w:r>
      <w:r w:rsidRPr="00E73EF4">
        <w:rPr>
          <w:rFonts w:ascii="Times New Roman" w:eastAsia="Calibri" w:hAnsi="Times New Roman" w:cs="Times New Roman"/>
          <w:sz w:val="24"/>
          <w:szCs w:val="24"/>
          <w:lang w:val="en-US"/>
        </w:rPr>
        <w:t xml:space="preserve"> efficiency of transfer of resistance genes</w:t>
      </w:r>
      <w:r w:rsidR="000F1FC3" w:rsidRPr="00E73EF4">
        <w:rPr>
          <w:rFonts w:ascii="Times New Roman" w:eastAsia="Calibri" w:hAnsi="Times New Roman" w:cs="Times New Roman"/>
          <w:sz w:val="24"/>
          <w:szCs w:val="24"/>
          <w:lang w:val="en-US"/>
        </w:rPr>
        <w:t>.</w:t>
      </w:r>
      <w:r w:rsidR="00BF3DEE" w:rsidRPr="00E73EF4">
        <w:rPr>
          <w:rFonts w:ascii="Times New Roman" w:eastAsia="Calibri" w:hAnsi="Times New Roman" w:cs="Times New Roman"/>
          <w:sz w:val="24"/>
          <w:szCs w:val="24"/>
          <w:lang w:val="en-US"/>
        </w:rPr>
        <w:t xml:space="preserve">  We found that all antimicrobials induced transfer, although this was not </w:t>
      </w:r>
      <w:r w:rsidR="00EA1D82" w:rsidRPr="00E73EF4">
        <w:rPr>
          <w:rFonts w:ascii="Times New Roman" w:eastAsia="Calibri" w:hAnsi="Times New Roman" w:cs="Times New Roman"/>
          <w:sz w:val="24"/>
          <w:szCs w:val="24"/>
          <w:lang w:val="en-US"/>
        </w:rPr>
        <w:t>correlated with</w:t>
      </w:r>
      <w:r w:rsidR="00BF3DEE" w:rsidRPr="00E73EF4">
        <w:rPr>
          <w:rFonts w:ascii="Times New Roman" w:eastAsia="Calibri" w:hAnsi="Times New Roman" w:cs="Times New Roman"/>
          <w:sz w:val="24"/>
          <w:szCs w:val="24"/>
          <w:lang w:val="en-US"/>
        </w:rPr>
        <w:t xml:space="preserve"> their ability to induce lytic phage particles.</w:t>
      </w:r>
    </w:p>
    <w:p w14:paraId="2DE8D6D3" w14:textId="0153FB8D" w:rsidR="00483DFB" w:rsidRPr="00E73EF4" w:rsidRDefault="00E85DB9" w:rsidP="00E85DB9">
      <w:pPr>
        <w:rPr>
          <w:rFonts w:ascii="Times New Roman" w:hAnsi="Times New Roman" w:cs="Times New Roman"/>
          <w:sz w:val="24"/>
          <w:szCs w:val="24"/>
        </w:rPr>
      </w:pPr>
      <w:r w:rsidRPr="00E73EF4">
        <w:rPr>
          <w:rFonts w:ascii="Times New Roman" w:hAnsi="Times New Roman" w:cs="Times New Roman"/>
          <w:sz w:val="24"/>
          <w:szCs w:val="24"/>
        </w:rPr>
        <w:br w:type="page"/>
      </w:r>
    </w:p>
    <w:p w14:paraId="7080C488" w14:textId="77777777" w:rsidR="00D371DD" w:rsidRPr="00E73EF4" w:rsidRDefault="00B93549" w:rsidP="00B6049E">
      <w:pPr>
        <w:spacing w:line="480" w:lineRule="auto"/>
        <w:ind w:firstLine="720"/>
        <w:jc w:val="both"/>
        <w:rPr>
          <w:rFonts w:ascii="Times New Roman" w:hAnsi="Times New Roman" w:cs="Times New Roman"/>
          <w:b/>
          <w:sz w:val="24"/>
          <w:szCs w:val="24"/>
          <w:u w:val="single"/>
        </w:rPr>
      </w:pPr>
      <w:r w:rsidRPr="00E73EF4">
        <w:rPr>
          <w:rFonts w:ascii="Times New Roman" w:hAnsi="Times New Roman" w:cs="Times New Roman"/>
          <w:b/>
          <w:sz w:val="24"/>
          <w:szCs w:val="24"/>
          <w:u w:val="single"/>
        </w:rPr>
        <w:lastRenderedPageBreak/>
        <w:t>Materials and methods</w:t>
      </w:r>
    </w:p>
    <w:p w14:paraId="17007F48" w14:textId="116617F9" w:rsidR="007D5C69" w:rsidRPr="00E73EF4" w:rsidRDefault="00B93549" w:rsidP="00B6049E">
      <w:pPr>
        <w:spacing w:line="480" w:lineRule="auto"/>
        <w:ind w:firstLine="720"/>
        <w:jc w:val="both"/>
        <w:rPr>
          <w:rFonts w:ascii="Times New Roman" w:eastAsia="Calibri" w:hAnsi="Times New Roman" w:cs="Times New Roman"/>
          <w:b/>
          <w:sz w:val="24"/>
          <w:szCs w:val="24"/>
          <w:lang w:val="en-US"/>
        </w:rPr>
      </w:pPr>
      <w:r w:rsidRPr="00E73EF4">
        <w:rPr>
          <w:rFonts w:ascii="Times New Roman" w:eastAsia="Calibri" w:hAnsi="Times New Roman" w:cs="Times New Roman"/>
          <w:b/>
          <w:sz w:val="24"/>
          <w:szCs w:val="24"/>
          <w:lang w:val="en-US"/>
        </w:rPr>
        <w:t xml:space="preserve">Strains </w:t>
      </w:r>
      <w:r w:rsidR="0086090D" w:rsidRPr="00E73EF4">
        <w:rPr>
          <w:rFonts w:ascii="Times New Roman" w:eastAsia="Calibri" w:hAnsi="Times New Roman" w:cs="Times New Roman"/>
          <w:b/>
          <w:sz w:val="24"/>
          <w:szCs w:val="24"/>
          <w:lang w:val="en-US"/>
        </w:rPr>
        <w:t>and antibiotics</w:t>
      </w:r>
    </w:p>
    <w:p w14:paraId="79B06948" w14:textId="16BC0DA3" w:rsidR="003066D2" w:rsidRPr="00E73EF4" w:rsidRDefault="003066D2" w:rsidP="00BA3578">
      <w:pPr>
        <w:spacing w:line="480" w:lineRule="auto"/>
        <w:ind w:firstLine="720"/>
        <w:rPr>
          <w:rFonts w:ascii="Times New Roman" w:hAnsi="Times New Roman" w:cs="Times New Roman"/>
          <w:b/>
          <w:sz w:val="24"/>
          <w:szCs w:val="24"/>
        </w:rPr>
      </w:pPr>
      <w:r w:rsidRPr="00E73EF4">
        <w:rPr>
          <w:rFonts w:ascii="Times New Roman" w:eastAsia="Calibri" w:hAnsi="Times New Roman" w:cs="Times New Roman"/>
          <w:iCs/>
          <w:sz w:val="24"/>
          <w:szCs w:val="24"/>
          <w:lang w:val="en-US"/>
        </w:rPr>
        <w:t xml:space="preserve">Two colonizing MRSA isolates, 19A </w:t>
      </w:r>
      <w:r w:rsidRPr="00E73EF4">
        <w:rPr>
          <w:rFonts w:ascii="Times New Roman" w:eastAsia="Calibri" w:hAnsi="Times New Roman" w:cs="Times New Roman"/>
          <w:iCs/>
          <w:sz w:val="24"/>
          <w:szCs w:val="24"/>
        </w:rPr>
        <w:t>and 19B</w:t>
      </w:r>
      <w:r w:rsidR="004A2829" w:rsidRPr="00E73EF4">
        <w:rPr>
          <w:rFonts w:ascii="Times New Roman" w:eastAsia="Calibri" w:hAnsi="Times New Roman" w:cs="Times New Roman"/>
          <w:iCs/>
          <w:sz w:val="24"/>
          <w:szCs w:val="24"/>
          <w:vertAlign w:val="superscript"/>
        </w:rPr>
        <w:t>20</w:t>
      </w:r>
      <w:r w:rsidRPr="00E73EF4">
        <w:rPr>
          <w:rFonts w:ascii="Times New Roman" w:eastAsia="Calibri" w:hAnsi="Times New Roman" w:cs="Times New Roman"/>
          <w:iCs/>
          <w:sz w:val="24"/>
          <w:szCs w:val="24"/>
        </w:rPr>
        <w:t xml:space="preserve">, were selected as donor and recipient strains respectively for </w:t>
      </w:r>
      <w:r w:rsidR="008554B9" w:rsidRPr="00E73EF4">
        <w:rPr>
          <w:rFonts w:ascii="Times New Roman" w:eastAsia="Calibri" w:hAnsi="Times New Roman" w:cs="Times New Roman"/>
          <w:iCs/>
          <w:sz w:val="24"/>
          <w:szCs w:val="24"/>
        </w:rPr>
        <w:t>phage</w:t>
      </w:r>
      <w:r w:rsidRPr="00E73EF4">
        <w:rPr>
          <w:rFonts w:ascii="Times New Roman" w:eastAsia="Calibri" w:hAnsi="Times New Roman" w:cs="Times New Roman"/>
          <w:iCs/>
          <w:sz w:val="24"/>
          <w:szCs w:val="24"/>
        </w:rPr>
        <w:t xml:space="preserve"> preparation and transduction</w:t>
      </w:r>
      <w:r w:rsidR="008554B9" w:rsidRPr="00E73EF4">
        <w:rPr>
          <w:rFonts w:ascii="Times New Roman" w:eastAsia="Calibri" w:hAnsi="Times New Roman" w:cs="Times New Roman"/>
          <w:iCs/>
          <w:sz w:val="24"/>
          <w:szCs w:val="24"/>
        </w:rPr>
        <w:t>.</w:t>
      </w:r>
      <w:r w:rsidRPr="00E73EF4">
        <w:rPr>
          <w:rFonts w:ascii="Times New Roman" w:eastAsia="Calibri" w:hAnsi="Times New Roman" w:cs="Times New Roman"/>
          <w:iCs/>
          <w:sz w:val="24"/>
          <w:szCs w:val="24"/>
        </w:rPr>
        <w:t xml:space="preserve"> Both isolate</w:t>
      </w:r>
      <w:r w:rsidR="008554B9" w:rsidRPr="00E73EF4">
        <w:rPr>
          <w:rFonts w:ascii="Times New Roman" w:eastAsia="Calibri" w:hAnsi="Times New Roman" w:cs="Times New Roman"/>
          <w:iCs/>
          <w:sz w:val="24"/>
          <w:szCs w:val="24"/>
        </w:rPr>
        <w:t>s have been whole genome sequenced</w:t>
      </w:r>
      <w:r w:rsidRPr="00E73EF4">
        <w:rPr>
          <w:rFonts w:ascii="Times New Roman" w:eastAsia="Calibri" w:hAnsi="Times New Roman" w:cs="Times New Roman"/>
          <w:iCs/>
          <w:sz w:val="24"/>
          <w:szCs w:val="24"/>
        </w:rPr>
        <w:t xml:space="preserve"> belong to the dominant HA-MRSA clone in the UK CC22 </w:t>
      </w:r>
      <w:proofErr w:type="spellStart"/>
      <w:r w:rsidRPr="00E73EF4">
        <w:rPr>
          <w:rFonts w:ascii="Times New Roman" w:eastAsia="Calibri" w:hAnsi="Times New Roman" w:cs="Times New Roman"/>
          <w:iCs/>
          <w:sz w:val="24"/>
          <w:szCs w:val="24"/>
        </w:rPr>
        <w:t>SCC</w:t>
      </w:r>
      <w:r w:rsidRPr="00E73EF4">
        <w:rPr>
          <w:rFonts w:ascii="Times New Roman" w:eastAsia="Calibri" w:hAnsi="Times New Roman" w:cs="Times New Roman"/>
          <w:i/>
          <w:iCs/>
          <w:sz w:val="24"/>
          <w:szCs w:val="24"/>
        </w:rPr>
        <w:t>mecIV</w:t>
      </w:r>
      <w:proofErr w:type="spellEnd"/>
      <w:r w:rsidRPr="00E73EF4">
        <w:rPr>
          <w:rFonts w:ascii="Times New Roman" w:eastAsia="Calibri" w:hAnsi="Times New Roman" w:cs="Times New Roman"/>
          <w:iCs/>
          <w:sz w:val="24"/>
          <w:szCs w:val="24"/>
        </w:rPr>
        <w:t xml:space="preserve">, and carry </w:t>
      </w:r>
      <w:r w:rsidRPr="00E73EF4">
        <w:rPr>
          <w:rFonts w:ascii="Symbol" w:eastAsia="Calibri" w:hAnsi="Symbol" w:cs="Times New Roman"/>
          <w:iCs/>
          <w:sz w:val="24"/>
          <w:szCs w:val="24"/>
        </w:rPr>
        <w:t></w:t>
      </w:r>
      <w:r w:rsidRPr="00E73EF4">
        <w:rPr>
          <w:rFonts w:ascii="Times New Roman" w:eastAsia="Calibri" w:hAnsi="Times New Roman" w:cs="Times New Roman"/>
          <w:iCs/>
          <w:sz w:val="24"/>
          <w:szCs w:val="24"/>
        </w:rPr>
        <w:t xml:space="preserve">1, </w:t>
      </w:r>
      <w:r w:rsidRPr="00E73EF4">
        <w:rPr>
          <w:rFonts w:ascii="Symbol" w:eastAsia="Calibri" w:hAnsi="Symbol" w:cs="Times New Roman"/>
          <w:iCs/>
          <w:sz w:val="24"/>
          <w:szCs w:val="24"/>
        </w:rPr>
        <w:t></w:t>
      </w:r>
      <w:r w:rsidRPr="00E73EF4">
        <w:rPr>
          <w:rFonts w:ascii="Symbol" w:eastAsia="Calibri" w:hAnsi="Symbol" w:cs="Times New Roman"/>
          <w:iCs/>
          <w:sz w:val="24"/>
          <w:szCs w:val="24"/>
        </w:rPr>
        <w:t></w:t>
      </w:r>
      <w:r w:rsidRPr="00E73EF4">
        <w:rPr>
          <w:rFonts w:ascii="Symbol" w:eastAsia="Calibri" w:hAnsi="Symbol" w:cs="Times New Roman"/>
          <w:iCs/>
          <w:sz w:val="24"/>
          <w:szCs w:val="24"/>
        </w:rPr>
        <w:t></w:t>
      </w:r>
      <w:r w:rsidRPr="00E73EF4">
        <w:rPr>
          <w:rFonts w:ascii="Times New Roman" w:eastAsia="Calibri" w:hAnsi="Times New Roman" w:cs="Times New Roman"/>
          <w:iCs/>
          <w:sz w:val="24"/>
          <w:szCs w:val="24"/>
        </w:rPr>
        <w:t xml:space="preserve">and </w:t>
      </w:r>
      <w:r w:rsidRPr="00E73EF4">
        <w:rPr>
          <w:rFonts w:ascii="Symbol" w:eastAsia="Calibri" w:hAnsi="Symbol" w:cs="Times New Roman"/>
          <w:iCs/>
          <w:sz w:val="24"/>
          <w:szCs w:val="24"/>
        </w:rPr>
        <w:t></w:t>
      </w:r>
      <w:r w:rsidRPr="00E73EF4">
        <w:rPr>
          <w:rFonts w:ascii="Symbol" w:eastAsia="Calibri" w:hAnsi="Symbol" w:cs="Times New Roman"/>
          <w:iCs/>
          <w:sz w:val="24"/>
          <w:szCs w:val="24"/>
        </w:rPr>
        <w:t></w:t>
      </w:r>
      <w:r w:rsidRPr="00E73EF4">
        <w:rPr>
          <w:rFonts w:ascii="Times New Roman" w:eastAsia="Calibri" w:hAnsi="Times New Roman" w:cs="Times New Roman"/>
          <w:iCs/>
          <w:sz w:val="24"/>
          <w:szCs w:val="24"/>
        </w:rPr>
        <w:t xml:space="preserve"> </w:t>
      </w:r>
      <w:proofErr w:type="spellStart"/>
      <w:r w:rsidRPr="00E73EF4">
        <w:rPr>
          <w:rFonts w:ascii="Times New Roman" w:eastAsia="Calibri" w:hAnsi="Times New Roman" w:cs="Times New Roman"/>
          <w:iCs/>
          <w:sz w:val="24"/>
          <w:szCs w:val="24"/>
        </w:rPr>
        <w:t>phages</w:t>
      </w:r>
      <w:proofErr w:type="spellEnd"/>
      <w:r w:rsidRPr="00E73EF4">
        <w:rPr>
          <w:rFonts w:ascii="Times New Roman" w:eastAsia="Calibri" w:hAnsi="Times New Roman" w:cs="Times New Roman"/>
          <w:iCs/>
          <w:sz w:val="24"/>
          <w:szCs w:val="24"/>
        </w:rPr>
        <w:t xml:space="preserve"> and a SaPI4 element</w:t>
      </w:r>
      <w:r w:rsidR="008554B9" w:rsidRPr="00E73EF4">
        <w:rPr>
          <w:rFonts w:ascii="Times New Roman" w:eastAsia="Calibri" w:hAnsi="Times New Roman" w:cs="Times New Roman"/>
          <w:iCs/>
          <w:sz w:val="24"/>
          <w:szCs w:val="24"/>
          <w:vertAlign w:val="superscript"/>
        </w:rPr>
        <w:t>20</w:t>
      </w:r>
      <w:r w:rsidRPr="00E73EF4">
        <w:rPr>
          <w:rFonts w:ascii="Times New Roman" w:eastAsia="Calibri" w:hAnsi="Times New Roman" w:cs="Times New Roman"/>
          <w:iCs/>
          <w:sz w:val="24"/>
          <w:szCs w:val="24"/>
        </w:rPr>
        <w:t xml:space="preserve">.  19A is positive for </w:t>
      </w:r>
      <w:proofErr w:type="spellStart"/>
      <w:r w:rsidRPr="00E73EF4">
        <w:rPr>
          <w:rFonts w:ascii="Times New Roman" w:eastAsia="Calibri" w:hAnsi="Times New Roman" w:cs="Times New Roman"/>
          <w:i/>
          <w:iCs/>
          <w:sz w:val="24"/>
          <w:szCs w:val="24"/>
        </w:rPr>
        <w:t>ermC</w:t>
      </w:r>
      <w:proofErr w:type="spellEnd"/>
      <w:r w:rsidRPr="00E73EF4">
        <w:rPr>
          <w:rFonts w:ascii="Times New Roman" w:eastAsia="Calibri" w:hAnsi="Times New Roman" w:cs="Times New Roman"/>
          <w:iCs/>
          <w:sz w:val="24"/>
          <w:szCs w:val="24"/>
        </w:rPr>
        <w:t xml:space="preserve"> and a </w:t>
      </w:r>
      <w:r w:rsidRPr="00E73EF4">
        <w:rPr>
          <w:rFonts w:ascii="Times New Roman" w:eastAsia="Calibri" w:hAnsi="Times New Roman" w:cs="Times New Roman"/>
          <w:i/>
          <w:iCs/>
          <w:sz w:val="24"/>
          <w:szCs w:val="24"/>
        </w:rPr>
        <w:t>rep10</w:t>
      </w:r>
      <w:r w:rsidRPr="00E73EF4">
        <w:rPr>
          <w:rFonts w:ascii="Times New Roman" w:eastAsia="Calibri" w:hAnsi="Times New Roman" w:cs="Times New Roman"/>
          <w:iCs/>
          <w:sz w:val="24"/>
          <w:szCs w:val="24"/>
        </w:rPr>
        <w:t xml:space="preserve"> plasmid, and both are negative for conjugative transfer genes (</w:t>
      </w:r>
      <w:proofErr w:type="spellStart"/>
      <w:r w:rsidRPr="00E73EF4">
        <w:rPr>
          <w:rFonts w:ascii="Times New Roman" w:eastAsia="Calibri" w:hAnsi="Times New Roman" w:cs="Times New Roman"/>
          <w:i/>
          <w:iCs/>
          <w:sz w:val="24"/>
          <w:szCs w:val="24"/>
        </w:rPr>
        <w:t>tra</w:t>
      </w:r>
      <w:proofErr w:type="spellEnd"/>
      <w:r w:rsidRPr="00E73EF4">
        <w:rPr>
          <w:rFonts w:ascii="Times New Roman" w:eastAsia="Calibri" w:hAnsi="Times New Roman" w:cs="Times New Roman"/>
          <w:iCs/>
          <w:sz w:val="24"/>
          <w:szCs w:val="24"/>
        </w:rPr>
        <w:t xml:space="preserve">) (Supplementary Table </w:t>
      </w:r>
      <w:r w:rsidR="00DE3683" w:rsidRPr="00E73EF4">
        <w:rPr>
          <w:rFonts w:ascii="Times New Roman" w:eastAsia="Calibri" w:hAnsi="Times New Roman" w:cs="Times New Roman"/>
          <w:iCs/>
          <w:sz w:val="24"/>
          <w:szCs w:val="24"/>
        </w:rPr>
        <w:t>S</w:t>
      </w:r>
      <w:r w:rsidRPr="00E73EF4">
        <w:rPr>
          <w:rFonts w:ascii="Times New Roman" w:eastAsia="Calibri" w:hAnsi="Times New Roman" w:cs="Times New Roman"/>
          <w:iCs/>
          <w:sz w:val="24"/>
          <w:szCs w:val="24"/>
        </w:rPr>
        <w:t>1)</w:t>
      </w:r>
      <w:r w:rsidR="008554B9" w:rsidRPr="00E73EF4">
        <w:rPr>
          <w:rFonts w:ascii="Times New Roman" w:eastAsia="Calibri" w:hAnsi="Times New Roman" w:cs="Times New Roman"/>
          <w:iCs/>
          <w:sz w:val="24"/>
          <w:szCs w:val="24"/>
        </w:rPr>
        <w:t>.</w:t>
      </w:r>
      <w:r w:rsidRPr="00E73EF4">
        <w:rPr>
          <w:rFonts w:ascii="Times New Roman" w:eastAsia="Calibri" w:hAnsi="Times New Roman" w:cs="Times New Roman"/>
          <w:iCs/>
          <w:sz w:val="24"/>
          <w:szCs w:val="24"/>
        </w:rPr>
        <w:t xml:space="preserve"> RN4220</w:t>
      </w:r>
      <w:r w:rsidR="008554B9" w:rsidRPr="00E73EF4">
        <w:rPr>
          <w:rFonts w:ascii="Times New Roman" w:eastAsia="Calibri" w:hAnsi="Times New Roman" w:cs="Times New Roman"/>
          <w:iCs/>
          <w:sz w:val="24"/>
          <w:szCs w:val="24"/>
          <w:vertAlign w:val="superscript"/>
        </w:rPr>
        <w:t>2</w:t>
      </w:r>
      <w:r w:rsidR="00225219" w:rsidRPr="00E73EF4">
        <w:rPr>
          <w:rFonts w:ascii="Times New Roman" w:eastAsia="Calibri" w:hAnsi="Times New Roman" w:cs="Times New Roman"/>
          <w:iCs/>
          <w:sz w:val="24"/>
          <w:szCs w:val="24"/>
          <w:vertAlign w:val="superscript"/>
        </w:rPr>
        <w:t>5</w:t>
      </w:r>
      <w:r w:rsidRPr="00E73EF4">
        <w:rPr>
          <w:rFonts w:ascii="Times New Roman" w:eastAsia="Calibri" w:hAnsi="Times New Roman" w:cs="Times New Roman"/>
          <w:iCs/>
          <w:sz w:val="24"/>
          <w:szCs w:val="24"/>
        </w:rPr>
        <w:t xml:space="preserve"> is restriction-modification negative and was used as a control recipient.</w:t>
      </w:r>
    </w:p>
    <w:p w14:paraId="7FC3F6EC" w14:textId="0511E74B" w:rsidR="003066D2" w:rsidRPr="00E73EF4" w:rsidRDefault="003066D2" w:rsidP="00BA3578">
      <w:pPr>
        <w:spacing w:line="480" w:lineRule="auto"/>
        <w:ind w:firstLine="720"/>
        <w:rPr>
          <w:rFonts w:ascii="Times New Roman" w:hAnsi="Times New Roman" w:cs="Times New Roman"/>
          <w:sz w:val="24"/>
          <w:szCs w:val="24"/>
        </w:rPr>
      </w:pPr>
      <w:r w:rsidRPr="00E73EF4">
        <w:rPr>
          <w:rFonts w:ascii="Times New Roman" w:hAnsi="Times New Roman" w:cs="Times New Roman"/>
          <w:sz w:val="24"/>
          <w:szCs w:val="24"/>
        </w:rPr>
        <w:t xml:space="preserve">Antibiotics, apart from ciprofloxacin, were obtained from Sigma Aldrich Ltd. Ciprofloxacin was purchased from </w:t>
      </w:r>
      <w:proofErr w:type="spellStart"/>
      <w:r w:rsidRPr="00E73EF4">
        <w:rPr>
          <w:rFonts w:ascii="Times New Roman" w:hAnsi="Times New Roman" w:cs="Times New Roman"/>
          <w:sz w:val="24"/>
          <w:szCs w:val="24"/>
        </w:rPr>
        <w:t>Stratech</w:t>
      </w:r>
      <w:proofErr w:type="spellEnd"/>
      <w:r w:rsidRPr="00E73EF4">
        <w:rPr>
          <w:rFonts w:ascii="Times New Roman" w:hAnsi="Times New Roman" w:cs="Times New Roman"/>
          <w:sz w:val="24"/>
          <w:szCs w:val="24"/>
        </w:rPr>
        <w:t xml:space="preserve"> Scientific Limited as 10</w:t>
      </w:r>
      <w:r w:rsidR="009C5322" w:rsidRPr="00E73EF4">
        <w:rPr>
          <w:rFonts w:ascii="Times New Roman" w:hAnsi="Times New Roman" w:cs="Times New Roman"/>
          <w:sz w:val="24"/>
          <w:szCs w:val="24"/>
        </w:rPr>
        <w:t xml:space="preserve"> </w:t>
      </w:r>
      <w:r w:rsidRPr="00E73EF4">
        <w:rPr>
          <w:rFonts w:ascii="Times New Roman" w:hAnsi="Times New Roman" w:cs="Times New Roman"/>
          <w:sz w:val="24"/>
          <w:szCs w:val="24"/>
        </w:rPr>
        <w:t xml:space="preserve">mg/mL solution ready to use. MICs for antibiotics was performed by the standard growth </w:t>
      </w:r>
      <w:proofErr w:type="spellStart"/>
      <w:r w:rsidRPr="00E73EF4">
        <w:rPr>
          <w:rFonts w:ascii="Times New Roman" w:hAnsi="Times New Roman" w:cs="Times New Roman"/>
          <w:sz w:val="24"/>
          <w:szCs w:val="24"/>
        </w:rPr>
        <w:t>microdilution</w:t>
      </w:r>
      <w:proofErr w:type="spellEnd"/>
      <w:r w:rsidRPr="00E73EF4">
        <w:rPr>
          <w:rFonts w:ascii="Times New Roman" w:hAnsi="Times New Roman" w:cs="Times New Roman"/>
          <w:sz w:val="24"/>
          <w:szCs w:val="24"/>
        </w:rPr>
        <w:t xml:space="preserve"> method with </w:t>
      </w:r>
      <w:proofErr w:type="spellStart"/>
      <w:r w:rsidRPr="00E73EF4">
        <w:rPr>
          <w:rFonts w:ascii="Times New Roman" w:hAnsi="Times New Roman" w:cs="Times New Roman"/>
          <w:sz w:val="24"/>
          <w:szCs w:val="24"/>
        </w:rPr>
        <w:t>Iso-Sensitest</w:t>
      </w:r>
      <w:proofErr w:type="spellEnd"/>
      <w:r w:rsidRPr="00E73EF4">
        <w:rPr>
          <w:rFonts w:ascii="Times New Roman" w:hAnsi="Times New Roman" w:cs="Times New Roman"/>
          <w:sz w:val="24"/>
          <w:szCs w:val="24"/>
        </w:rPr>
        <w:t xml:space="preserve"> broth (</w:t>
      </w:r>
      <w:proofErr w:type="spellStart"/>
      <w:r w:rsidRPr="00E73EF4">
        <w:rPr>
          <w:rFonts w:ascii="Times New Roman" w:hAnsi="Times New Roman" w:cs="Times New Roman"/>
          <w:sz w:val="24"/>
          <w:szCs w:val="24"/>
        </w:rPr>
        <w:t>Oxoid</w:t>
      </w:r>
      <w:proofErr w:type="spellEnd"/>
      <w:r w:rsidRPr="00E73EF4">
        <w:rPr>
          <w:rFonts w:ascii="Times New Roman" w:hAnsi="Times New Roman" w:cs="Times New Roman"/>
          <w:sz w:val="24"/>
          <w:szCs w:val="24"/>
        </w:rPr>
        <w:t xml:space="preserve">) with a bacterial inoculum of </w:t>
      </w:r>
      <w:r w:rsidR="00A90154" w:rsidRPr="00E73EF4">
        <w:rPr>
          <w:rFonts w:ascii="Times New Roman" w:hAnsi="Times New Roman" w:cs="Times New Roman"/>
          <w:sz w:val="24"/>
          <w:szCs w:val="24"/>
        </w:rPr>
        <w:t xml:space="preserve">  </w:t>
      </w:r>
      <w:r w:rsidRPr="00E73EF4">
        <w:rPr>
          <w:rFonts w:ascii="Times New Roman" w:hAnsi="Times New Roman" w:cs="Times New Roman"/>
          <w:sz w:val="24"/>
          <w:szCs w:val="24"/>
        </w:rPr>
        <w:t>1 X 10</w:t>
      </w:r>
      <w:r w:rsidRPr="00E73EF4">
        <w:rPr>
          <w:rFonts w:ascii="Times New Roman" w:hAnsi="Times New Roman" w:cs="Times New Roman"/>
          <w:sz w:val="24"/>
          <w:szCs w:val="24"/>
          <w:vertAlign w:val="superscript"/>
        </w:rPr>
        <w:t>6</w:t>
      </w:r>
      <w:r w:rsidRPr="00E73EF4">
        <w:rPr>
          <w:rFonts w:ascii="Times New Roman" w:hAnsi="Times New Roman" w:cs="Times New Roman"/>
          <w:sz w:val="24"/>
          <w:szCs w:val="24"/>
        </w:rPr>
        <w:t xml:space="preserve"> </w:t>
      </w:r>
      <w:proofErr w:type="spellStart"/>
      <w:r w:rsidR="0007019E" w:rsidRPr="00E73EF4">
        <w:rPr>
          <w:rFonts w:ascii="Times New Roman" w:hAnsi="Times New Roman" w:cs="Times New Roman"/>
          <w:sz w:val="24"/>
          <w:szCs w:val="24"/>
        </w:rPr>
        <w:t>cfu</w:t>
      </w:r>
      <w:proofErr w:type="spellEnd"/>
      <w:r w:rsidRPr="00E73EF4">
        <w:rPr>
          <w:rFonts w:ascii="Times New Roman" w:hAnsi="Times New Roman" w:cs="Times New Roman"/>
          <w:sz w:val="24"/>
          <w:szCs w:val="24"/>
        </w:rPr>
        <w:t>/m</w:t>
      </w:r>
      <w:r w:rsidR="009C5322" w:rsidRPr="00E73EF4">
        <w:rPr>
          <w:rFonts w:ascii="Times New Roman" w:hAnsi="Times New Roman" w:cs="Times New Roman"/>
          <w:sz w:val="24"/>
          <w:szCs w:val="24"/>
        </w:rPr>
        <w:t>L</w:t>
      </w:r>
      <w:r w:rsidRPr="00E73EF4">
        <w:rPr>
          <w:rFonts w:ascii="Times New Roman" w:hAnsi="Times New Roman" w:cs="Times New Roman"/>
          <w:sz w:val="24"/>
          <w:szCs w:val="24"/>
        </w:rPr>
        <w:t xml:space="preserve"> and determined as the lowest concentration of an antimicrobial agent that inhibited the visible growth after O/N incubation at 37°C (Table </w:t>
      </w:r>
      <w:r w:rsidR="00DE3683" w:rsidRPr="00E73EF4">
        <w:rPr>
          <w:rFonts w:ascii="Times New Roman" w:hAnsi="Times New Roman" w:cs="Times New Roman"/>
          <w:sz w:val="24"/>
          <w:szCs w:val="24"/>
        </w:rPr>
        <w:t>S</w:t>
      </w:r>
      <w:r w:rsidR="00EA5D86" w:rsidRPr="00E73EF4">
        <w:rPr>
          <w:rFonts w:ascii="Times New Roman" w:hAnsi="Times New Roman" w:cs="Times New Roman"/>
          <w:sz w:val="24"/>
          <w:szCs w:val="24"/>
        </w:rPr>
        <w:t>2</w:t>
      </w:r>
      <w:r w:rsidRPr="00E73EF4">
        <w:rPr>
          <w:rFonts w:ascii="Times New Roman" w:hAnsi="Times New Roman" w:cs="Times New Roman"/>
          <w:sz w:val="24"/>
          <w:szCs w:val="24"/>
        </w:rPr>
        <w:t xml:space="preserve"> in Supplementary data).</w:t>
      </w:r>
    </w:p>
    <w:p w14:paraId="1BE4C109" w14:textId="32A0DD26" w:rsidR="003066D2" w:rsidRPr="00E73EF4" w:rsidRDefault="003205A5" w:rsidP="003066D2">
      <w:pPr>
        <w:spacing w:line="480" w:lineRule="auto"/>
        <w:ind w:firstLine="720"/>
        <w:jc w:val="both"/>
        <w:rPr>
          <w:rFonts w:ascii="Times New Roman" w:hAnsi="Times New Roman" w:cs="Times New Roman"/>
          <w:b/>
          <w:sz w:val="24"/>
          <w:szCs w:val="24"/>
        </w:rPr>
      </w:pPr>
      <w:r w:rsidRPr="00E73EF4">
        <w:rPr>
          <w:rFonts w:ascii="Times New Roman" w:eastAsia="SimSun" w:hAnsi="Times New Roman" w:cs="Times New Roman"/>
          <w:b/>
          <w:sz w:val="24"/>
          <w:szCs w:val="24"/>
          <w:lang w:eastAsia="en-GB"/>
        </w:rPr>
        <w:t>Exposure to</w:t>
      </w:r>
      <w:r w:rsidR="003066D2" w:rsidRPr="00E73EF4">
        <w:rPr>
          <w:rFonts w:ascii="Times New Roman" w:eastAsia="SimSun" w:hAnsi="Times New Roman" w:cs="Times New Roman"/>
          <w:b/>
          <w:sz w:val="24"/>
          <w:szCs w:val="24"/>
          <w:lang w:eastAsia="en-GB"/>
        </w:rPr>
        <w:t xml:space="preserve"> antibiotics</w:t>
      </w:r>
    </w:p>
    <w:p w14:paraId="31CE2F24" w14:textId="046EC918" w:rsidR="003066D2" w:rsidRPr="00E73EF4" w:rsidRDefault="003205A5" w:rsidP="003066D2">
      <w:pPr>
        <w:spacing w:line="480" w:lineRule="auto"/>
        <w:ind w:firstLine="720"/>
        <w:jc w:val="both"/>
        <w:rPr>
          <w:rFonts w:ascii="Times New Roman" w:eastAsia="SimSun" w:hAnsi="Times New Roman" w:cs="Times New Roman"/>
          <w:color w:val="000000"/>
          <w:sz w:val="24"/>
          <w:szCs w:val="24"/>
          <w:lang w:eastAsia="en-GB"/>
        </w:rPr>
      </w:pPr>
      <w:r w:rsidRPr="00E73EF4">
        <w:rPr>
          <w:rFonts w:ascii="Times New Roman" w:hAnsi="Times New Roman" w:cs="Times New Roman"/>
          <w:sz w:val="24"/>
          <w:szCs w:val="24"/>
        </w:rPr>
        <w:t xml:space="preserve">Donor </w:t>
      </w:r>
      <w:r w:rsidR="003066D2" w:rsidRPr="00E73EF4">
        <w:rPr>
          <w:rFonts w:ascii="Times New Roman" w:hAnsi="Times New Roman" w:cs="Times New Roman"/>
          <w:sz w:val="24"/>
          <w:szCs w:val="24"/>
        </w:rPr>
        <w:t>19A was</w:t>
      </w:r>
      <w:r w:rsidR="00455B20" w:rsidRPr="00E73EF4">
        <w:rPr>
          <w:rFonts w:ascii="Times New Roman" w:hAnsi="Times New Roman" w:cs="Times New Roman"/>
          <w:sz w:val="24"/>
          <w:szCs w:val="24"/>
        </w:rPr>
        <w:t xml:space="preserve"> grown</w:t>
      </w:r>
      <w:r w:rsidR="003066D2" w:rsidRPr="00E73EF4">
        <w:rPr>
          <w:rFonts w:ascii="Times New Roman" w:hAnsi="Times New Roman" w:cs="Times New Roman"/>
          <w:sz w:val="24"/>
          <w:szCs w:val="24"/>
        </w:rPr>
        <w:t xml:space="preserve"> in 7 mL</w:t>
      </w:r>
      <w:r w:rsidR="00793883" w:rsidRPr="00E73EF4">
        <w:rPr>
          <w:rFonts w:ascii="Times New Roman" w:hAnsi="Times New Roman" w:cs="Times New Roman"/>
          <w:sz w:val="24"/>
          <w:szCs w:val="24"/>
        </w:rPr>
        <w:t xml:space="preserve"> </w:t>
      </w:r>
      <w:r w:rsidR="003066D2" w:rsidRPr="00E73EF4">
        <w:rPr>
          <w:rFonts w:ascii="Times New Roman" w:hAnsi="Times New Roman" w:cs="Times New Roman"/>
          <w:sz w:val="24"/>
          <w:szCs w:val="24"/>
        </w:rPr>
        <w:t>LK broth (</w:t>
      </w:r>
      <w:r w:rsidR="00986F3D" w:rsidRPr="00E73EF4">
        <w:rPr>
          <w:rFonts w:ascii="Times New Roman" w:hAnsi="Times New Roman" w:cs="Times New Roman"/>
          <w:sz w:val="24"/>
          <w:szCs w:val="24"/>
        </w:rPr>
        <w:t xml:space="preserve">1% </w:t>
      </w:r>
      <w:proofErr w:type="spellStart"/>
      <w:r w:rsidR="00986F3D" w:rsidRPr="00E73EF4">
        <w:rPr>
          <w:rFonts w:ascii="Times New Roman" w:hAnsi="Times New Roman" w:cs="Times New Roman"/>
          <w:sz w:val="24"/>
          <w:szCs w:val="24"/>
        </w:rPr>
        <w:t>tryptone</w:t>
      </w:r>
      <w:proofErr w:type="spellEnd"/>
      <w:r w:rsidR="00986F3D" w:rsidRPr="00E73EF4">
        <w:rPr>
          <w:rFonts w:ascii="Times New Roman" w:hAnsi="Times New Roman" w:cs="Times New Roman"/>
          <w:sz w:val="24"/>
          <w:szCs w:val="24"/>
        </w:rPr>
        <w:t xml:space="preserve">, 0.5% yeast extract, 0.7% </w:t>
      </w:r>
      <w:proofErr w:type="spellStart"/>
      <w:r w:rsidR="00986F3D" w:rsidRPr="00E73EF4">
        <w:rPr>
          <w:rFonts w:ascii="Times New Roman" w:hAnsi="Times New Roman" w:cs="Times New Roman"/>
          <w:sz w:val="24"/>
          <w:szCs w:val="24"/>
        </w:rPr>
        <w:t>KCl</w:t>
      </w:r>
      <w:proofErr w:type="spellEnd"/>
      <w:r w:rsidR="00986F3D" w:rsidRPr="00E73EF4">
        <w:rPr>
          <w:rFonts w:ascii="Times New Roman" w:hAnsi="Times New Roman" w:cs="Times New Roman"/>
          <w:sz w:val="24"/>
          <w:szCs w:val="24"/>
        </w:rPr>
        <w:t>, all purchased from Sigma-Aldrich Ltd</w:t>
      </w:r>
      <w:r w:rsidR="003066D2" w:rsidRPr="00E73EF4">
        <w:rPr>
          <w:rFonts w:ascii="Times New Roman" w:hAnsi="Times New Roman" w:cs="Times New Roman"/>
          <w:sz w:val="24"/>
          <w:szCs w:val="24"/>
        </w:rPr>
        <w:t xml:space="preserve">) </w:t>
      </w:r>
      <w:r w:rsidRPr="00E73EF4">
        <w:rPr>
          <w:rFonts w:ascii="Times New Roman" w:hAnsi="Times New Roman" w:cs="Times New Roman"/>
          <w:sz w:val="24"/>
          <w:szCs w:val="24"/>
        </w:rPr>
        <w:t>at 37</w:t>
      </w:r>
      <w:r w:rsidRPr="00E73EF4">
        <w:rPr>
          <w:rFonts w:ascii="Cambria Math" w:hAnsi="Cambria Math" w:cs="Cambria Math"/>
          <w:sz w:val="24"/>
          <w:szCs w:val="24"/>
        </w:rPr>
        <w:t>⁰</w:t>
      </w:r>
      <w:r w:rsidRPr="00E73EF4">
        <w:rPr>
          <w:rFonts w:ascii="Times New Roman" w:hAnsi="Times New Roman" w:cs="Times New Roman"/>
          <w:sz w:val="24"/>
          <w:szCs w:val="24"/>
        </w:rPr>
        <w:t xml:space="preserve">C with shaking </w:t>
      </w:r>
      <w:r w:rsidR="003066D2" w:rsidRPr="00E73EF4">
        <w:rPr>
          <w:rFonts w:ascii="Times New Roman" w:hAnsi="Times New Roman" w:cs="Times New Roman"/>
          <w:sz w:val="24"/>
          <w:szCs w:val="24"/>
        </w:rPr>
        <w:t xml:space="preserve">until log phase (OD 0.5-1 at A600). Bacteria were spun down and </w:t>
      </w:r>
      <w:proofErr w:type="spellStart"/>
      <w:r w:rsidR="003066D2" w:rsidRPr="00E73EF4">
        <w:rPr>
          <w:rFonts w:ascii="Times New Roman" w:hAnsi="Times New Roman" w:cs="Times New Roman"/>
          <w:sz w:val="24"/>
          <w:szCs w:val="24"/>
        </w:rPr>
        <w:t>resuspended</w:t>
      </w:r>
      <w:proofErr w:type="spellEnd"/>
      <w:r w:rsidR="003066D2" w:rsidRPr="00E73EF4">
        <w:rPr>
          <w:rFonts w:ascii="Times New Roman" w:hAnsi="Times New Roman" w:cs="Times New Roman"/>
          <w:sz w:val="24"/>
          <w:szCs w:val="24"/>
        </w:rPr>
        <w:t xml:space="preserve"> in 7</w:t>
      </w:r>
      <w:r w:rsidR="009C5322" w:rsidRPr="00E73EF4">
        <w:rPr>
          <w:rFonts w:ascii="Times New Roman" w:hAnsi="Times New Roman" w:cs="Times New Roman"/>
          <w:sz w:val="24"/>
          <w:szCs w:val="24"/>
        </w:rPr>
        <w:t xml:space="preserve"> </w:t>
      </w:r>
      <w:r w:rsidR="003066D2" w:rsidRPr="00E73EF4">
        <w:rPr>
          <w:rFonts w:ascii="Times New Roman" w:hAnsi="Times New Roman" w:cs="Times New Roman"/>
          <w:sz w:val="24"/>
          <w:szCs w:val="24"/>
        </w:rPr>
        <w:t xml:space="preserve">mL phage buffer (50 </w:t>
      </w:r>
      <w:proofErr w:type="spellStart"/>
      <w:r w:rsidR="003066D2" w:rsidRPr="00E73EF4">
        <w:rPr>
          <w:rFonts w:ascii="Times New Roman" w:hAnsi="Times New Roman" w:cs="Times New Roman"/>
          <w:sz w:val="24"/>
          <w:szCs w:val="24"/>
        </w:rPr>
        <w:t>mM</w:t>
      </w:r>
      <w:proofErr w:type="spellEnd"/>
      <w:r w:rsidR="003066D2" w:rsidRPr="00E73EF4">
        <w:rPr>
          <w:rFonts w:ascii="Times New Roman" w:hAnsi="Times New Roman" w:cs="Times New Roman"/>
          <w:sz w:val="24"/>
          <w:szCs w:val="24"/>
        </w:rPr>
        <w:t xml:space="preserve"> TRIS-</w:t>
      </w:r>
      <w:proofErr w:type="spellStart"/>
      <w:r w:rsidR="003066D2" w:rsidRPr="00E73EF4">
        <w:rPr>
          <w:rFonts w:ascii="Times New Roman" w:hAnsi="Times New Roman" w:cs="Times New Roman"/>
          <w:sz w:val="24"/>
          <w:szCs w:val="24"/>
        </w:rPr>
        <w:t>HCl</w:t>
      </w:r>
      <w:proofErr w:type="spellEnd"/>
      <w:r w:rsidR="003066D2" w:rsidRPr="00E73EF4">
        <w:rPr>
          <w:rFonts w:ascii="Times New Roman" w:hAnsi="Times New Roman" w:cs="Times New Roman"/>
          <w:sz w:val="24"/>
          <w:szCs w:val="24"/>
        </w:rPr>
        <w:t xml:space="preserve"> pH 7.8, 100 </w:t>
      </w:r>
      <w:proofErr w:type="spellStart"/>
      <w:r w:rsidR="003066D2" w:rsidRPr="00E73EF4">
        <w:rPr>
          <w:rFonts w:ascii="Times New Roman" w:hAnsi="Times New Roman" w:cs="Times New Roman"/>
          <w:sz w:val="24"/>
          <w:szCs w:val="24"/>
        </w:rPr>
        <w:t>mM</w:t>
      </w:r>
      <w:proofErr w:type="spellEnd"/>
      <w:r w:rsidR="003066D2" w:rsidRPr="00E73EF4">
        <w:rPr>
          <w:rFonts w:ascii="Times New Roman" w:hAnsi="Times New Roman" w:cs="Times New Roman"/>
          <w:sz w:val="24"/>
          <w:szCs w:val="24"/>
        </w:rPr>
        <w:t xml:space="preserve"> </w:t>
      </w:r>
      <w:proofErr w:type="spellStart"/>
      <w:r w:rsidR="003066D2" w:rsidRPr="00E73EF4">
        <w:rPr>
          <w:rFonts w:ascii="Times New Roman" w:hAnsi="Times New Roman" w:cs="Times New Roman"/>
          <w:sz w:val="24"/>
          <w:szCs w:val="24"/>
        </w:rPr>
        <w:t>NaCl</w:t>
      </w:r>
      <w:proofErr w:type="spellEnd"/>
      <w:r w:rsidR="003066D2" w:rsidRPr="00E73EF4">
        <w:rPr>
          <w:rFonts w:ascii="Times New Roman" w:hAnsi="Times New Roman" w:cs="Times New Roman"/>
          <w:sz w:val="24"/>
          <w:szCs w:val="24"/>
        </w:rPr>
        <w:t xml:space="preserve">, 1 </w:t>
      </w:r>
      <w:proofErr w:type="spellStart"/>
      <w:r w:rsidR="003066D2" w:rsidRPr="00E73EF4">
        <w:rPr>
          <w:rFonts w:ascii="Times New Roman" w:hAnsi="Times New Roman" w:cs="Times New Roman"/>
          <w:sz w:val="24"/>
          <w:szCs w:val="24"/>
        </w:rPr>
        <w:t>mM</w:t>
      </w:r>
      <w:proofErr w:type="spellEnd"/>
      <w:r w:rsidR="003066D2" w:rsidRPr="00E73EF4">
        <w:rPr>
          <w:rFonts w:ascii="Times New Roman" w:hAnsi="Times New Roman" w:cs="Times New Roman"/>
          <w:sz w:val="24"/>
          <w:szCs w:val="24"/>
        </w:rPr>
        <w:t xml:space="preserve"> MgSO4, 4 </w:t>
      </w:r>
      <w:proofErr w:type="spellStart"/>
      <w:r w:rsidR="003066D2" w:rsidRPr="00E73EF4">
        <w:rPr>
          <w:rFonts w:ascii="Times New Roman" w:hAnsi="Times New Roman" w:cs="Times New Roman"/>
          <w:sz w:val="24"/>
          <w:szCs w:val="24"/>
        </w:rPr>
        <w:t>mM</w:t>
      </w:r>
      <w:proofErr w:type="spellEnd"/>
      <w:r w:rsidR="003066D2" w:rsidRPr="00E73EF4">
        <w:rPr>
          <w:rFonts w:ascii="Times New Roman" w:hAnsi="Times New Roman" w:cs="Times New Roman"/>
          <w:sz w:val="24"/>
          <w:szCs w:val="24"/>
        </w:rPr>
        <w:t xml:space="preserve"> CaCl</w:t>
      </w:r>
      <w:r w:rsidR="003066D2" w:rsidRPr="00E73EF4">
        <w:rPr>
          <w:rFonts w:ascii="Times New Roman" w:hAnsi="Times New Roman" w:cs="Times New Roman"/>
          <w:sz w:val="24"/>
          <w:szCs w:val="24"/>
          <w:vertAlign w:val="subscript"/>
        </w:rPr>
        <w:t>2</w:t>
      </w:r>
      <w:r w:rsidR="003066D2" w:rsidRPr="00E73EF4">
        <w:rPr>
          <w:rFonts w:ascii="Times New Roman" w:hAnsi="Times New Roman" w:cs="Times New Roman"/>
          <w:sz w:val="24"/>
          <w:szCs w:val="24"/>
        </w:rPr>
        <w:t xml:space="preserve">, 1g </w:t>
      </w:r>
      <w:proofErr w:type="spellStart"/>
      <w:r w:rsidR="003066D2" w:rsidRPr="00E73EF4">
        <w:rPr>
          <w:rFonts w:ascii="Times New Roman" w:hAnsi="Times New Roman" w:cs="Times New Roman"/>
          <w:sz w:val="24"/>
          <w:szCs w:val="24"/>
        </w:rPr>
        <w:t>gelatin</w:t>
      </w:r>
      <w:proofErr w:type="spellEnd"/>
      <w:r w:rsidR="003066D2" w:rsidRPr="00E73EF4">
        <w:rPr>
          <w:rFonts w:ascii="Times New Roman" w:hAnsi="Times New Roman" w:cs="Times New Roman"/>
          <w:sz w:val="24"/>
          <w:szCs w:val="24"/>
        </w:rPr>
        <w:t>, Sigma-Aldrich Ltd).</w:t>
      </w:r>
      <w:r w:rsidR="003066D2" w:rsidRPr="00E73EF4">
        <w:rPr>
          <w:rFonts w:ascii="Times New Roman" w:eastAsia="SimSun" w:hAnsi="Times New Roman" w:cs="Times New Roman"/>
          <w:color w:val="000000"/>
          <w:sz w:val="24"/>
          <w:szCs w:val="24"/>
          <w:lang w:eastAsia="en-GB"/>
        </w:rPr>
        <w:t xml:space="preserve"> Antibiotics were added (Table </w:t>
      </w:r>
      <w:r w:rsidR="00E3666E" w:rsidRPr="00E73EF4">
        <w:rPr>
          <w:rFonts w:ascii="Times New Roman" w:eastAsia="SimSun" w:hAnsi="Times New Roman" w:cs="Times New Roman"/>
          <w:color w:val="000000"/>
          <w:sz w:val="24"/>
          <w:szCs w:val="24"/>
          <w:lang w:eastAsia="en-GB"/>
        </w:rPr>
        <w:t>1</w:t>
      </w:r>
      <w:r w:rsidR="003066D2" w:rsidRPr="00E73EF4">
        <w:rPr>
          <w:rFonts w:ascii="Times New Roman" w:eastAsia="SimSun" w:hAnsi="Times New Roman" w:cs="Times New Roman"/>
          <w:color w:val="000000"/>
          <w:sz w:val="24"/>
          <w:szCs w:val="24"/>
          <w:lang w:eastAsia="en-GB"/>
        </w:rPr>
        <w:t>), alone or in combination, followed by 7</w:t>
      </w:r>
      <w:r w:rsidR="009C5322" w:rsidRPr="00E73EF4">
        <w:rPr>
          <w:rFonts w:ascii="Times New Roman" w:eastAsia="SimSun" w:hAnsi="Times New Roman" w:cs="Times New Roman"/>
          <w:color w:val="000000"/>
          <w:sz w:val="24"/>
          <w:szCs w:val="24"/>
          <w:lang w:eastAsia="en-GB"/>
        </w:rPr>
        <w:t xml:space="preserve"> </w:t>
      </w:r>
      <w:r w:rsidR="003066D2" w:rsidRPr="00E73EF4">
        <w:rPr>
          <w:rFonts w:ascii="Times New Roman" w:eastAsia="SimSun" w:hAnsi="Times New Roman" w:cs="Times New Roman"/>
          <w:color w:val="000000"/>
          <w:sz w:val="24"/>
          <w:szCs w:val="24"/>
          <w:lang w:eastAsia="en-GB"/>
        </w:rPr>
        <w:t>m</w:t>
      </w:r>
      <w:r w:rsidR="009C5322" w:rsidRPr="00E73EF4">
        <w:rPr>
          <w:rFonts w:ascii="Times New Roman" w:eastAsia="SimSun" w:hAnsi="Times New Roman" w:cs="Times New Roman"/>
          <w:color w:val="000000"/>
          <w:sz w:val="24"/>
          <w:szCs w:val="24"/>
          <w:lang w:eastAsia="en-GB"/>
        </w:rPr>
        <w:t>L</w:t>
      </w:r>
      <w:r w:rsidR="003066D2" w:rsidRPr="00E73EF4">
        <w:rPr>
          <w:rFonts w:ascii="Times New Roman" w:eastAsia="SimSun" w:hAnsi="Times New Roman" w:cs="Times New Roman"/>
          <w:color w:val="000000"/>
          <w:sz w:val="24"/>
          <w:szCs w:val="24"/>
          <w:lang w:eastAsia="en-GB"/>
        </w:rPr>
        <w:t xml:space="preserve"> </w:t>
      </w:r>
      <w:r w:rsidR="003066D2" w:rsidRPr="00E73EF4">
        <w:rPr>
          <w:rFonts w:ascii="Times New Roman" w:hAnsi="Times New Roman" w:cs="Times New Roman"/>
          <w:color w:val="000000"/>
          <w:sz w:val="24"/>
          <w:szCs w:val="24"/>
        </w:rPr>
        <w:t xml:space="preserve">sterilized brain heart infusion broth (BHIB, </w:t>
      </w:r>
      <w:r w:rsidR="003066D2" w:rsidRPr="00E73EF4">
        <w:rPr>
          <w:rFonts w:ascii="Times New Roman" w:hAnsi="Times New Roman" w:cs="Times New Roman"/>
          <w:sz w:val="24"/>
          <w:szCs w:val="24"/>
        </w:rPr>
        <w:t>Sigma-Aldrich Ltd</w:t>
      </w:r>
      <w:r w:rsidR="003066D2" w:rsidRPr="00E73EF4">
        <w:rPr>
          <w:rFonts w:ascii="Times New Roman" w:hAnsi="Times New Roman" w:cs="Times New Roman"/>
          <w:color w:val="000000"/>
          <w:sz w:val="24"/>
          <w:szCs w:val="24"/>
        </w:rPr>
        <w:t>)</w:t>
      </w:r>
      <w:r w:rsidR="00136BA0" w:rsidRPr="00E73EF4">
        <w:rPr>
          <w:rFonts w:ascii="Times New Roman" w:hAnsi="Times New Roman" w:cs="Times New Roman"/>
          <w:color w:val="000000"/>
          <w:sz w:val="24"/>
          <w:szCs w:val="24"/>
        </w:rPr>
        <w:t xml:space="preserve">. </w:t>
      </w:r>
      <w:r w:rsidR="003066D2" w:rsidRPr="00E73EF4">
        <w:rPr>
          <w:rFonts w:ascii="Times New Roman" w:hAnsi="Times New Roman" w:cs="Times New Roman"/>
          <w:color w:val="000000"/>
          <w:sz w:val="24"/>
          <w:szCs w:val="24"/>
        </w:rPr>
        <w:t xml:space="preserve"> </w:t>
      </w:r>
      <w:r w:rsidR="003066D2" w:rsidRPr="00E73EF4">
        <w:rPr>
          <w:rFonts w:ascii="Times New Roman" w:eastAsia="SimSun" w:hAnsi="Times New Roman" w:cs="Times New Roman"/>
          <w:color w:val="000000"/>
          <w:sz w:val="24"/>
          <w:szCs w:val="24"/>
          <w:lang w:val="en-US" w:eastAsia="en-GB"/>
        </w:rPr>
        <w:t xml:space="preserve">Samples were </w:t>
      </w:r>
      <w:proofErr w:type="spellStart"/>
      <w:r w:rsidR="003066D2" w:rsidRPr="00E73EF4">
        <w:rPr>
          <w:rFonts w:ascii="Times New Roman" w:eastAsia="SimSun" w:hAnsi="Times New Roman" w:cs="Times New Roman"/>
          <w:color w:val="000000"/>
          <w:sz w:val="24"/>
          <w:szCs w:val="24"/>
          <w:lang w:eastAsia="en-GB"/>
        </w:rPr>
        <w:t>vortexed</w:t>
      </w:r>
      <w:proofErr w:type="spellEnd"/>
      <w:r w:rsidR="003066D2" w:rsidRPr="00E73EF4">
        <w:rPr>
          <w:rFonts w:ascii="Times New Roman" w:eastAsia="SimSun" w:hAnsi="Times New Roman" w:cs="Times New Roman"/>
          <w:color w:val="000000"/>
          <w:sz w:val="24"/>
          <w:szCs w:val="24"/>
          <w:lang w:eastAsia="en-GB"/>
        </w:rPr>
        <w:t xml:space="preserve"> gently and incubated at room temp</w:t>
      </w:r>
      <w:r w:rsidRPr="00E73EF4">
        <w:rPr>
          <w:rFonts w:ascii="Times New Roman" w:eastAsia="SimSun" w:hAnsi="Times New Roman" w:cs="Times New Roman"/>
          <w:color w:val="000000"/>
          <w:sz w:val="24"/>
          <w:szCs w:val="24"/>
          <w:lang w:eastAsia="en-GB"/>
        </w:rPr>
        <w:t>erature</w:t>
      </w:r>
      <w:r w:rsidR="003066D2" w:rsidRPr="00E73EF4">
        <w:rPr>
          <w:rFonts w:ascii="Times New Roman" w:eastAsia="SimSun" w:hAnsi="Times New Roman" w:cs="Times New Roman"/>
          <w:color w:val="000000"/>
          <w:sz w:val="24"/>
          <w:szCs w:val="24"/>
          <w:lang w:eastAsia="en-GB"/>
        </w:rPr>
        <w:t xml:space="preserve"> for 10 min.</w:t>
      </w:r>
      <w:r w:rsidR="003066D2" w:rsidRPr="00E73EF4">
        <w:rPr>
          <w:rFonts w:ascii="Times New Roman" w:hAnsi="Times New Roman" w:cs="Times New Roman"/>
          <w:sz w:val="24"/>
          <w:szCs w:val="24"/>
        </w:rPr>
        <w:t xml:space="preserve"> After overnight incubation at 30-32°C with gentl</w:t>
      </w:r>
      <w:r w:rsidRPr="00E73EF4">
        <w:rPr>
          <w:rFonts w:ascii="Times New Roman" w:hAnsi="Times New Roman" w:cs="Times New Roman"/>
          <w:sz w:val="24"/>
          <w:szCs w:val="24"/>
        </w:rPr>
        <w:t>e</w:t>
      </w:r>
      <w:r w:rsidR="003066D2" w:rsidRPr="00E73EF4">
        <w:rPr>
          <w:rFonts w:ascii="Times New Roman" w:hAnsi="Times New Roman" w:cs="Times New Roman"/>
          <w:sz w:val="24"/>
          <w:szCs w:val="24"/>
        </w:rPr>
        <w:t xml:space="preserve"> shaking samples were centrifuged for 10 min </w:t>
      </w:r>
      <w:proofErr w:type="gramStart"/>
      <w:r w:rsidR="003066D2" w:rsidRPr="00E73EF4">
        <w:rPr>
          <w:rFonts w:ascii="Times New Roman" w:hAnsi="Times New Roman" w:cs="Times New Roman"/>
          <w:sz w:val="24"/>
          <w:szCs w:val="24"/>
        </w:rPr>
        <w:t>at  3000</w:t>
      </w:r>
      <w:proofErr w:type="gramEnd"/>
      <w:r w:rsidR="00986F3D" w:rsidRPr="00E73EF4">
        <w:rPr>
          <w:rFonts w:ascii="Times New Roman" w:hAnsi="Times New Roman" w:cs="Times New Roman"/>
          <w:sz w:val="24"/>
          <w:szCs w:val="24"/>
        </w:rPr>
        <w:t xml:space="preserve"> x </w:t>
      </w:r>
      <w:r w:rsidR="003066D2" w:rsidRPr="00E73EF4">
        <w:rPr>
          <w:rFonts w:ascii="Times New Roman" w:hAnsi="Times New Roman" w:cs="Times New Roman"/>
          <w:i/>
          <w:sz w:val="24"/>
          <w:szCs w:val="24"/>
        </w:rPr>
        <w:t>g</w:t>
      </w:r>
      <w:r w:rsidR="003066D2" w:rsidRPr="00E73EF4">
        <w:rPr>
          <w:rFonts w:ascii="Times New Roman" w:hAnsi="Times New Roman" w:cs="Times New Roman"/>
          <w:sz w:val="24"/>
          <w:szCs w:val="24"/>
        </w:rPr>
        <w:t xml:space="preserve"> and filtered through a 0.22 µm filter (</w:t>
      </w:r>
      <w:r w:rsidR="003066D2" w:rsidRPr="00E73EF4">
        <w:rPr>
          <w:rFonts w:ascii="Times New Roman" w:eastAsia="Calibri" w:hAnsi="Times New Roman" w:cs="Times New Roman"/>
          <w:sz w:val="24"/>
          <w:szCs w:val="24"/>
        </w:rPr>
        <w:t>Millipore</w:t>
      </w:r>
      <w:r w:rsidR="003066D2" w:rsidRPr="00E73EF4">
        <w:rPr>
          <w:rFonts w:ascii="Times New Roman" w:hAnsi="Times New Roman" w:cs="Times New Roman"/>
          <w:sz w:val="24"/>
          <w:szCs w:val="24"/>
        </w:rPr>
        <w:t>).</w:t>
      </w:r>
      <w:r w:rsidR="003066D2" w:rsidRPr="00E73EF4">
        <w:t xml:space="preserve"> </w:t>
      </w:r>
    </w:p>
    <w:p w14:paraId="29B4D2EE" w14:textId="0E378A3B" w:rsidR="003066D2" w:rsidRPr="00E73EF4" w:rsidRDefault="003066D2" w:rsidP="00483DFB">
      <w:pPr>
        <w:autoSpaceDE w:val="0"/>
        <w:autoSpaceDN w:val="0"/>
        <w:adjustRightInd w:val="0"/>
        <w:spacing w:after="0" w:line="480" w:lineRule="auto"/>
        <w:ind w:firstLine="720"/>
        <w:jc w:val="both"/>
        <w:rPr>
          <w:rFonts w:ascii="Times New Roman" w:eastAsia="SimSun" w:hAnsi="Times New Roman" w:cs="Times New Roman"/>
          <w:color w:val="000000"/>
          <w:sz w:val="24"/>
          <w:szCs w:val="24"/>
          <w:lang w:eastAsia="en-GB"/>
        </w:rPr>
      </w:pPr>
      <w:r w:rsidRPr="00E73EF4">
        <w:rPr>
          <w:rFonts w:ascii="Times New Roman" w:eastAsia="Times New Roman" w:hAnsi="Times New Roman" w:cs="Times New Roman"/>
          <w:color w:val="000000"/>
          <w:sz w:val="24"/>
          <w:szCs w:val="24"/>
          <w:lang w:eastAsia="en-GB"/>
        </w:rPr>
        <w:lastRenderedPageBreak/>
        <w:t>The impact of sub-MIC concentrations of antibiotics on UV light induced phage was tested by a similar method.</w:t>
      </w:r>
      <w:r w:rsidR="003205A5" w:rsidRPr="00E73EF4">
        <w:rPr>
          <w:rFonts w:ascii="Times New Roman" w:eastAsia="Times New Roman" w:hAnsi="Times New Roman" w:cs="Times New Roman"/>
          <w:color w:val="000000"/>
          <w:sz w:val="24"/>
          <w:szCs w:val="24"/>
          <w:lang w:eastAsia="en-GB"/>
        </w:rPr>
        <w:t xml:space="preserve"> </w:t>
      </w:r>
      <w:r w:rsidRPr="00E73EF4">
        <w:rPr>
          <w:rFonts w:ascii="Times New Roman" w:eastAsia="SimSun" w:hAnsi="Times New Roman" w:cs="Times New Roman"/>
          <w:color w:val="000000"/>
          <w:sz w:val="24"/>
          <w:szCs w:val="24"/>
          <w:lang w:val="en-US" w:eastAsia="en-GB"/>
        </w:rPr>
        <w:t>1</w:t>
      </w:r>
      <w:r w:rsidR="009C5322" w:rsidRPr="00E73EF4">
        <w:rPr>
          <w:rFonts w:ascii="Times New Roman" w:eastAsia="SimSun" w:hAnsi="Times New Roman" w:cs="Times New Roman"/>
          <w:color w:val="000000"/>
          <w:sz w:val="24"/>
          <w:szCs w:val="24"/>
          <w:lang w:val="en-US" w:eastAsia="en-GB"/>
        </w:rPr>
        <w:t xml:space="preserve"> </w:t>
      </w:r>
      <w:r w:rsidRPr="00E73EF4">
        <w:rPr>
          <w:rFonts w:ascii="Times New Roman" w:eastAsia="SimSun" w:hAnsi="Times New Roman" w:cs="Times New Roman"/>
          <w:color w:val="000000"/>
          <w:sz w:val="24"/>
          <w:szCs w:val="24"/>
          <w:lang w:val="en-US" w:eastAsia="en-GB"/>
        </w:rPr>
        <w:t>mL of the LK broth</w:t>
      </w:r>
      <w:r w:rsidRPr="00E73EF4" w:rsidDel="00C44F56">
        <w:rPr>
          <w:rFonts w:ascii="Times New Roman" w:eastAsia="SimSun" w:hAnsi="Times New Roman" w:cs="Times New Roman"/>
          <w:color w:val="000000"/>
          <w:sz w:val="24"/>
          <w:szCs w:val="24"/>
          <w:lang w:val="en-US" w:eastAsia="en-GB"/>
        </w:rPr>
        <w:t xml:space="preserve"> </w:t>
      </w:r>
      <w:r w:rsidRPr="00E73EF4">
        <w:rPr>
          <w:rFonts w:ascii="Times New Roman" w:eastAsia="SimSun" w:hAnsi="Times New Roman" w:cs="Times New Roman"/>
          <w:color w:val="000000"/>
          <w:sz w:val="24"/>
          <w:szCs w:val="24"/>
          <w:lang w:val="en-US" w:eastAsia="en-GB"/>
        </w:rPr>
        <w:t xml:space="preserve">log phase culture was </w:t>
      </w:r>
      <w:proofErr w:type="spellStart"/>
      <w:r w:rsidRPr="00E73EF4">
        <w:rPr>
          <w:rFonts w:ascii="Times New Roman" w:eastAsia="SimSun" w:hAnsi="Times New Roman" w:cs="Times New Roman"/>
          <w:color w:val="000000"/>
          <w:sz w:val="24"/>
          <w:szCs w:val="24"/>
          <w:lang w:val="en-US" w:eastAsia="en-GB"/>
        </w:rPr>
        <w:t>resuspen</w:t>
      </w:r>
      <w:r w:rsidR="00DA38F5" w:rsidRPr="00E73EF4">
        <w:rPr>
          <w:rFonts w:ascii="Times New Roman" w:eastAsia="SimSun" w:hAnsi="Times New Roman" w:cs="Times New Roman"/>
          <w:color w:val="000000"/>
          <w:sz w:val="24"/>
          <w:szCs w:val="24"/>
          <w:lang w:val="en-US" w:eastAsia="en-GB"/>
        </w:rPr>
        <w:t>ded</w:t>
      </w:r>
      <w:proofErr w:type="spellEnd"/>
      <w:r w:rsidR="00DA38F5" w:rsidRPr="00E73EF4">
        <w:rPr>
          <w:rFonts w:ascii="Times New Roman" w:eastAsia="SimSun" w:hAnsi="Times New Roman" w:cs="Times New Roman"/>
          <w:color w:val="000000"/>
          <w:sz w:val="24"/>
          <w:szCs w:val="24"/>
          <w:lang w:val="en-US" w:eastAsia="en-GB"/>
        </w:rPr>
        <w:t xml:space="preserve"> in </w:t>
      </w:r>
      <w:r w:rsidRPr="00E73EF4">
        <w:rPr>
          <w:rFonts w:ascii="Times New Roman" w:eastAsia="SimSun" w:hAnsi="Times New Roman" w:cs="Times New Roman"/>
          <w:color w:val="000000"/>
          <w:sz w:val="24"/>
          <w:szCs w:val="24"/>
          <w:lang w:val="en-US" w:eastAsia="en-GB"/>
        </w:rPr>
        <w:t>1</w:t>
      </w:r>
      <w:r w:rsidR="009C5322" w:rsidRPr="00E73EF4">
        <w:rPr>
          <w:rFonts w:ascii="Times New Roman" w:eastAsia="SimSun" w:hAnsi="Times New Roman" w:cs="Times New Roman"/>
          <w:color w:val="000000"/>
          <w:sz w:val="24"/>
          <w:szCs w:val="24"/>
          <w:lang w:val="en-US" w:eastAsia="en-GB"/>
        </w:rPr>
        <w:t xml:space="preserve"> </w:t>
      </w:r>
      <w:r w:rsidRPr="00E73EF4">
        <w:rPr>
          <w:rFonts w:ascii="Times New Roman" w:eastAsia="SimSun" w:hAnsi="Times New Roman" w:cs="Times New Roman"/>
          <w:color w:val="000000"/>
          <w:sz w:val="24"/>
          <w:szCs w:val="24"/>
          <w:lang w:val="en-US" w:eastAsia="en-GB"/>
        </w:rPr>
        <w:t xml:space="preserve">mL phage buffer and pipetted into a sterile </w:t>
      </w:r>
      <w:r w:rsidR="00986F3D" w:rsidRPr="00E73EF4">
        <w:rPr>
          <w:rFonts w:ascii="Times New Roman" w:eastAsia="SimSun" w:hAnsi="Times New Roman" w:cs="Times New Roman"/>
          <w:color w:val="000000"/>
          <w:sz w:val="24"/>
          <w:szCs w:val="24"/>
          <w:lang w:val="en-US" w:eastAsia="en-GB"/>
        </w:rPr>
        <w:t>P</w:t>
      </w:r>
      <w:r w:rsidRPr="00E73EF4">
        <w:rPr>
          <w:rFonts w:ascii="Times New Roman" w:eastAsia="SimSun" w:hAnsi="Times New Roman" w:cs="Times New Roman"/>
          <w:color w:val="000000"/>
          <w:sz w:val="24"/>
          <w:szCs w:val="24"/>
          <w:lang w:val="en-US" w:eastAsia="en-GB"/>
        </w:rPr>
        <w:t>etri dish, then 6</w:t>
      </w:r>
      <w:r w:rsidR="009C5322" w:rsidRPr="00E73EF4">
        <w:rPr>
          <w:rFonts w:ascii="Times New Roman" w:eastAsia="SimSun" w:hAnsi="Times New Roman" w:cs="Times New Roman"/>
          <w:color w:val="000000"/>
          <w:sz w:val="24"/>
          <w:szCs w:val="24"/>
          <w:lang w:val="en-US" w:eastAsia="en-GB"/>
        </w:rPr>
        <w:t xml:space="preserve"> </w:t>
      </w:r>
      <w:r w:rsidRPr="00E73EF4">
        <w:rPr>
          <w:rFonts w:ascii="Times New Roman" w:eastAsia="SimSun" w:hAnsi="Times New Roman" w:cs="Times New Roman"/>
          <w:color w:val="000000"/>
          <w:sz w:val="24"/>
          <w:szCs w:val="24"/>
          <w:lang w:val="en-US" w:eastAsia="en-GB"/>
        </w:rPr>
        <w:t>m</w:t>
      </w:r>
      <w:r w:rsidR="009C5322" w:rsidRPr="00E73EF4">
        <w:rPr>
          <w:rFonts w:ascii="Times New Roman" w:eastAsia="SimSun" w:hAnsi="Times New Roman" w:cs="Times New Roman"/>
          <w:color w:val="000000"/>
          <w:sz w:val="24"/>
          <w:szCs w:val="24"/>
          <w:lang w:val="en-US" w:eastAsia="en-GB"/>
        </w:rPr>
        <w:t>L</w:t>
      </w:r>
      <w:r w:rsidRPr="00E73EF4">
        <w:rPr>
          <w:rFonts w:ascii="Times New Roman" w:eastAsia="SimSun" w:hAnsi="Times New Roman" w:cs="Times New Roman"/>
          <w:color w:val="000000"/>
          <w:sz w:val="24"/>
          <w:szCs w:val="24"/>
          <w:lang w:val="en-US" w:eastAsia="en-GB"/>
        </w:rPr>
        <w:t xml:space="preserve"> of phage buffer was added. The </w:t>
      </w:r>
      <w:r w:rsidR="00986F3D" w:rsidRPr="00E73EF4">
        <w:rPr>
          <w:rFonts w:ascii="Times New Roman" w:eastAsia="SimSun" w:hAnsi="Times New Roman" w:cs="Times New Roman"/>
          <w:color w:val="000000"/>
          <w:sz w:val="24"/>
          <w:szCs w:val="24"/>
          <w:lang w:val="en-US" w:eastAsia="en-GB"/>
        </w:rPr>
        <w:t>P</w:t>
      </w:r>
      <w:r w:rsidRPr="00E73EF4">
        <w:rPr>
          <w:rFonts w:ascii="Times New Roman" w:eastAsia="SimSun" w:hAnsi="Times New Roman" w:cs="Times New Roman"/>
          <w:color w:val="000000"/>
          <w:sz w:val="24"/>
          <w:szCs w:val="24"/>
          <w:lang w:val="en-US" w:eastAsia="en-GB"/>
        </w:rPr>
        <w:t>etri dish was placed on the UV light sou</w:t>
      </w:r>
      <w:r w:rsidR="003205A5" w:rsidRPr="00E73EF4">
        <w:rPr>
          <w:rFonts w:ascii="Times New Roman" w:eastAsia="SimSun" w:hAnsi="Times New Roman" w:cs="Times New Roman"/>
          <w:color w:val="000000"/>
          <w:sz w:val="24"/>
          <w:szCs w:val="24"/>
          <w:lang w:val="en-US" w:eastAsia="en-GB"/>
        </w:rPr>
        <w:t>rce</w:t>
      </w:r>
      <w:r w:rsidRPr="00E73EF4">
        <w:rPr>
          <w:rFonts w:ascii="Times New Roman" w:eastAsia="SimSun" w:hAnsi="Times New Roman" w:cs="Times New Roman"/>
          <w:color w:val="000000"/>
          <w:sz w:val="24"/>
          <w:szCs w:val="24"/>
          <w:lang w:val="en-US" w:eastAsia="en-GB"/>
        </w:rPr>
        <w:t xml:space="preserve"> with the lid off for 30 </w:t>
      </w:r>
      <w:r w:rsidRPr="00E73EF4">
        <w:rPr>
          <w:rFonts w:ascii="Times New Roman" w:hAnsi="Times New Roman" w:cs="Times New Roman"/>
          <w:sz w:val="24"/>
          <w:szCs w:val="24"/>
        </w:rPr>
        <w:t>seconds.</w:t>
      </w:r>
      <w:r w:rsidRPr="00E73EF4">
        <w:rPr>
          <w:rFonts w:ascii="Times New Roman" w:eastAsia="SimSun" w:hAnsi="Times New Roman" w:cs="Times New Roman"/>
          <w:color w:val="000000"/>
          <w:sz w:val="24"/>
          <w:szCs w:val="24"/>
          <w:lang w:eastAsia="en-GB"/>
        </w:rPr>
        <w:t xml:space="preserve"> Exposed bacteria were </w:t>
      </w:r>
      <w:r w:rsidRPr="00E73EF4">
        <w:rPr>
          <w:rFonts w:ascii="Times New Roman" w:eastAsia="SimSun" w:hAnsi="Times New Roman" w:cs="Times New Roman"/>
          <w:color w:val="000000"/>
          <w:sz w:val="24"/>
          <w:szCs w:val="24"/>
          <w:lang w:val="en-US" w:eastAsia="en-GB"/>
        </w:rPr>
        <w:t>transferred with a pipette into a</w:t>
      </w:r>
      <w:r w:rsidR="003205A5" w:rsidRPr="00E73EF4">
        <w:rPr>
          <w:rFonts w:ascii="Times New Roman" w:eastAsia="SimSun" w:hAnsi="Times New Roman" w:cs="Times New Roman"/>
          <w:color w:val="000000"/>
          <w:sz w:val="24"/>
          <w:szCs w:val="24"/>
          <w:lang w:val="en-US" w:eastAsia="en-GB"/>
        </w:rPr>
        <w:t xml:space="preserve"> 50</w:t>
      </w:r>
      <w:r w:rsidR="009C5322" w:rsidRPr="00E73EF4">
        <w:rPr>
          <w:rFonts w:ascii="Times New Roman" w:eastAsia="SimSun" w:hAnsi="Times New Roman" w:cs="Times New Roman"/>
          <w:color w:val="000000"/>
          <w:sz w:val="24"/>
          <w:szCs w:val="24"/>
          <w:lang w:val="en-US" w:eastAsia="en-GB"/>
        </w:rPr>
        <w:t xml:space="preserve"> </w:t>
      </w:r>
      <w:r w:rsidR="003205A5" w:rsidRPr="00E73EF4">
        <w:rPr>
          <w:rFonts w:ascii="Times New Roman" w:eastAsia="SimSun" w:hAnsi="Times New Roman" w:cs="Times New Roman"/>
          <w:color w:val="000000"/>
          <w:sz w:val="24"/>
          <w:szCs w:val="24"/>
          <w:lang w:val="en-US" w:eastAsia="en-GB"/>
        </w:rPr>
        <w:t>m</w:t>
      </w:r>
      <w:r w:rsidR="009C5322" w:rsidRPr="00E73EF4">
        <w:rPr>
          <w:rFonts w:ascii="Times New Roman" w:eastAsia="SimSun" w:hAnsi="Times New Roman" w:cs="Times New Roman"/>
          <w:color w:val="000000"/>
          <w:sz w:val="24"/>
          <w:szCs w:val="24"/>
          <w:lang w:val="en-US" w:eastAsia="en-GB"/>
        </w:rPr>
        <w:t>L</w:t>
      </w:r>
      <w:r w:rsidRPr="00E73EF4">
        <w:rPr>
          <w:rFonts w:ascii="Times New Roman" w:eastAsia="SimSun" w:hAnsi="Times New Roman" w:cs="Times New Roman"/>
          <w:color w:val="000000"/>
          <w:sz w:val="24"/>
          <w:szCs w:val="24"/>
          <w:lang w:val="en-US" w:eastAsia="en-GB"/>
        </w:rPr>
        <w:t xml:space="preserve"> Falcon tube followed by addition of antibiotic </w:t>
      </w:r>
      <w:r w:rsidR="003205A5" w:rsidRPr="00E73EF4">
        <w:rPr>
          <w:rFonts w:ascii="Times New Roman" w:eastAsia="SimSun" w:hAnsi="Times New Roman" w:cs="Times New Roman"/>
          <w:color w:val="000000"/>
          <w:sz w:val="24"/>
          <w:szCs w:val="24"/>
          <w:lang w:val="en-US" w:eastAsia="en-GB"/>
        </w:rPr>
        <w:t>(</w:t>
      </w:r>
      <w:r w:rsidRPr="00E73EF4">
        <w:rPr>
          <w:rFonts w:ascii="Times New Roman" w:eastAsia="SimSun" w:hAnsi="Times New Roman" w:cs="Times New Roman"/>
          <w:color w:val="000000"/>
          <w:sz w:val="24"/>
          <w:szCs w:val="24"/>
          <w:lang w:val="en-US" w:eastAsia="en-GB"/>
        </w:rPr>
        <w:t xml:space="preserve">Table </w:t>
      </w:r>
      <w:r w:rsidR="00E3666E" w:rsidRPr="00E73EF4">
        <w:rPr>
          <w:rFonts w:ascii="Times New Roman" w:eastAsia="SimSun" w:hAnsi="Times New Roman" w:cs="Times New Roman"/>
          <w:color w:val="000000"/>
          <w:sz w:val="24"/>
          <w:szCs w:val="24"/>
          <w:lang w:val="en-US" w:eastAsia="en-GB"/>
        </w:rPr>
        <w:t>1</w:t>
      </w:r>
      <w:r w:rsidRPr="00E73EF4">
        <w:rPr>
          <w:rFonts w:ascii="Times New Roman" w:eastAsia="SimSun" w:hAnsi="Times New Roman" w:cs="Times New Roman"/>
          <w:color w:val="000000"/>
          <w:sz w:val="24"/>
          <w:szCs w:val="24"/>
          <w:lang w:val="en-US" w:eastAsia="en-GB"/>
        </w:rPr>
        <w:t xml:space="preserve">).  </w:t>
      </w:r>
      <w:r w:rsidRPr="00E73EF4">
        <w:rPr>
          <w:rFonts w:ascii="Times New Roman" w:eastAsia="SimSun" w:hAnsi="Times New Roman" w:cs="Times New Roman"/>
          <w:color w:val="000000"/>
          <w:sz w:val="24"/>
          <w:szCs w:val="24"/>
          <w:lang w:eastAsia="en-GB"/>
        </w:rPr>
        <w:t xml:space="preserve">Controls with bacteria exposed to UV light only or selected antibiotic only as well as not exposed at all were always included. </w:t>
      </w:r>
      <w:r w:rsidR="00793883" w:rsidRPr="00E73EF4">
        <w:rPr>
          <w:rFonts w:ascii="Times New Roman" w:eastAsia="SimSun" w:hAnsi="Times New Roman" w:cs="Times New Roman"/>
          <w:color w:val="000000"/>
          <w:sz w:val="24"/>
          <w:szCs w:val="24"/>
          <w:lang w:eastAsia="en-GB"/>
        </w:rPr>
        <w:t>7</w:t>
      </w:r>
      <w:r w:rsidR="009C5322" w:rsidRPr="00E73EF4">
        <w:rPr>
          <w:rFonts w:ascii="Times New Roman" w:eastAsia="SimSun" w:hAnsi="Times New Roman" w:cs="Times New Roman"/>
          <w:color w:val="000000"/>
          <w:sz w:val="24"/>
          <w:szCs w:val="24"/>
          <w:lang w:eastAsia="en-GB"/>
        </w:rPr>
        <w:t xml:space="preserve"> </w:t>
      </w:r>
      <w:r w:rsidR="00793883" w:rsidRPr="00E73EF4">
        <w:rPr>
          <w:rFonts w:ascii="Times New Roman" w:eastAsia="SimSun" w:hAnsi="Times New Roman" w:cs="Times New Roman"/>
          <w:color w:val="000000"/>
          <w:sz w:val="24"/>
          <w:szCs w:val="24"/>
          <w:lang w:eastAsia="en-GB"/>
        </w:rPr>
        <w:t>mL</w:t>
      </w:r>
      <w:r w:rsidRPr="00E73EF4">
        <w:rPr>
          <w:rFonts w:ascii="Times New Roman" w:eastAsia="SimSun" w:hAnsi="Times New Roman" w:cs="Times New Roman"/>
          <w:color w:val="000000"/>
          <w:sz w:val="24"/>
          <w:szCs w:val="24"/>
          <w:lang w:eastAsia="en-GB"/>
        </w:rPr>
        <w:t xml:space="preserve"> of BHIB was added, and incubated overnight as before.</w:t>
      </w:r>
    </w:p>
    <w:p w14:paraId="190CCF34" w14:textId="77777777" w:rsidR="003066D2" w:rsidRPr="00E73EF4" w:rsidRDefault="003066D2" w:rsidP="003066D2">
      <w:pPr>
        <w:spacing w:line="480" w:lineRule="auto"/>
        <w:ind w:firstLine="720"/>
        <w:jc w:val="both"/>
        <w:rPr>
          <w:rFonts w:ascii="Times New Roman" w:hAnsi="Times New Roman" w:cs="Times New Roman"/>
          <w:b/>
          <w:sz w:val="24"/>
          <w:szCs w:val="24"/>
        </w:rPr>
      </w:pPr>
      <w:r w:rsidRPr="00E73EF4">
        <w:rPr>
          <w:rFonts w:ascii="Times New Roman" w:hAnsi="Times New Roman" w:cs="Times New Roman"/>
          <w:b/>
          <w:sz w:val="24"/>
          <w:szCs w:val="24"/>
        </w:rPr>
        <w:t>Titration of lytic phage</w:t>
      </w:r>
    </w:p>
    <w:p w14:paraId="1B75B018" w14:textId="47FEF55A" w:rsidR="003066D2" w:rsidRPr="00E73EF4" w:rsidRDefault="003066D2" w:rsidP="003066D2">
      <w:pPr>
        <w:spacing w:line="480" w:lineRule="auto"/>
        <w:ind w:firstLine="720"/>
        <w:jc w:val="both"/>
        <w:rPr>
          <w:rFonts w:ascii="Times New Roman" w:hAnsi="Times New Roman" w:cs="Times New Roman"/>
          <w:sz w:val="24"/>
          <w:szCs w:val="24"/>
        </w:rPr>
      </w:pPr>
      <w:r w:rsidRPr="00E73EF4">
        <w:rPr>
          <w:rFonts w:ascii="Times New Roman" w:hAnsi="Times New Roman" w:cs="Times New Roman"/>
          <w:sz w:val="24"/>
          <w:szCs w:val="24"/>
        </w:rPr>
        <w:t>Titration of phage preparations was performed as described previously</w:t>
      </w:r>
      <w:r w:rsidR="0007019E" w:rsidRPr="00E73EF4">
        <w:rPr>
          <w:rFonts w:ascii="Times New Roman" w:hAnsi="Times New Roman" w:cs="Times New Roman"/>
          <w:sz w:val="24"/>
          <w:szCs w:val="24"/>
          <w:vertAlign w:val="superscript"/>
        </w:rPr>
        <w:t>20</w:t>
      </w:r>
      <w:r w:rsidR="00225219" w:rsidRPr="00E73EF4">
        <w:rPr>
          <w:rFonts w:ascii="Times New Roman" w:hAnsi="Times New Roman" w:cs="Times New Roman"/>
          <w:sz w:val="24"/>
          <w:szCs w:val="24"/>
        </w:rPr>
        <w:t xml:space="preserve"> </w:t>
      </w:r>
      <w:r w:rsidRPr="00E73EF4">
        <w:rPr>
          <w:rFonts w:ascii="Times New Roman" w:hAnsi="Times New Roman" w:cs="Times New Roman"/>
          <w:sz w:val="24"/>
          <w:szCs w:val="24"/>
        </w:rPr>
        <w:t>using RN4220 as an indicator strain. Briefly 200 µL of phage preparation was mixed with 200 µL recipient cells (RN4220) in log phase (OD 1 at A600) followed by addition of 30 µL 1M CaCl</w:t>
      </w:r>
      <w:r w:rsidRPr="00E73EF4">
        <w:rPr>
          <w:rFonts w:ascii="Times New Roman" w:hAnsi="Times New Roman" w:cs="Times New Roman"/>
          <w:sz w:val="24"/>
          <w:szCs w:val="24"/>
          <w:vertAlign w:val="subscript"/>
        </w:rPr>
        <w:t>2</w:t>
      </w:r>
      <w:r w:rsidRPr="00E73EF4">
        <w:rPr>
          <w:rFonts w:ascii="Times New Roman" w:hAnsi="Times New Roman" w:cs="Times New Roman"/>
          <w:sz w:val="24"/>
          <w:szCs w:val="24"/>
        </w:rPr>
        <w:t>. Samples were left at room temperature (RT</w:t>
      </w:r>
      <w:r w:rsidR="000D70BF" w:rsidRPr="00E73EF4">
        <w:rPr>
          <w:rFonts w:ascii="Times New Roman" w:hAnsi="Times New Roman" w:cs="Times New Roman"/>
          <w:sz w:val="24"/>
          <w:szCs w:val="24"/>
        </w:rPr>
        <w:t>) for 15 min, mixed with approximately</w:t>
      </w:r>
      <w:r w:rsidRPr="00E73EF4">
        <w:rPr>
          <w:rFonts w:ascii="Times New Roman" w:hAnsi="Times New Roman" w:cs="Times New Roman"/>
          <w:sz w:val="24"/>
          <w:szCs w:val="24"/>
        </w:rPr>
        <w:t xml:space="preserve"> 7 mL molten top agar and poured over set phage bottom agar plates. Phage agar was prepared by mixing 3 g/L yeast extract (Sigma-Aldrich Ltd), 3 g/L </w:t>
      </w:r>
      <w:proofErr w:type="spellStart"/>
      <w:r w:rsidRPr="00E73EF4">
        <w:rPr>
          <w:rFonts w:ascii="Times New Roman" w:hAnsi="Times New Roman" w:cs="Times New Roman"/>
          <w:sz w:val="24"/>
          <w:szCs w:val="24"/>
        </w:rPr>
        <w:t>casamino</w:t>
      </w:r>
      <w:proofErr w:type="spellEnd"/>
      <w:r w:rsidRPr="00E73EF4">
        <w:rPr>
          <w:rFonts w:ascii="Times New Roman" w:hAnsi="Times New Roman" w:cs="Times New Roman"/>
          <w:sz w:val="24"/>
          <w:szCs w:val="24"/>
        </w:rPr>
        <w:t xml:space="preserve"> acids (Fisher-Scientific), 5.9 g/L </w:t>
      </w:r>
      <w:proofErr w:type="spellStart"/>
      <w:r w:rsidRPr="00E73EF4">
        <w:rPr>
          <w:rFonts w:ascii="Times New Roman" w:hAnsi="Times New Roman" w:cs="Times New Roman"/>
          <w:sz w:val="24"/>
          <w:szCs w:val="24"/>
        </w:rPr>
        <w:t>NaCl</w:t>
      </w:r>
      <w:proofErr w:type="spellEnd"/>
      <w:r w:rsidRPr="00E73EF4">
        <w:rPr>
          <w:rFonts w:ascii="Times New Roman" w:hAnsi="Times New Roman" w:cs="Times New Roman"/>
          <w:sz w:val="24"/>
          <w:szCs w:val="24"/>
        </w:rPr>
        <w:t xml:space="preserve"> (Sigma-Aldrich Ltd) and either 10 g/L of agar (Sigma-Aldrich Ltd) (bottom</w:t>
      </w:r>
      <w:r w:rsidR="007E61B3" w:rsidRPr="00E73EF4">
        <w:rPr>
          <w:rFonts w:ascii="Times New Roman" w:hAnsi="Times New Roman" w:cs="Times New Roman"/>
          <w:sz w:val="24"/>
          <w:szCs w:val="24"/>
        </w:rPr>
        <w:t xml:space="preserve"> agar</w:t>
      </w:r>
      <w:r w:rsidRPr="00E73EF4">
        <w:rPr>
          <w:rFonts w:ascii="Times New Roman" w:hAnsi="Times New Roman" w:cs="Times New Roman"/>
          <w:sz w:val="24"/>
          <w:szCs w:val="24"/>
        </w:rPr>
        <w:t>) or 3.3 g/L (top</w:t>
      </w:r>
      <w:r w:rsidR="007E61B3" w:rsidRPr="00E73EF4">
        <w:rPr>
          <w:rFonts w:ascii="Times New Roman" w:hAnsi="Times New Roman" w:cs="Times New Roman"/>
          <w:sz w:val="24"/>
          <w:szCs w:val="24"/>
        </w:rPr>
        <w:t xml:space="preserve"> agar</w:t>
      </w:r>
      <w:r w:rsidRPr="00E73EF4">
        <w:rPr>
          <w:rFonts w:ascii="Times New Roman" w:hAnsi="Times New Roman" w:cs="Times New Roman"/>
          <w:sz w:val="24"/>
          <w:szCs w:val="24"/>
        </w:rPr>
        <w:t>). Plates were incubated at 30ºC for 24 h and the numbers of plaques counted to calculate the plaque forming units per mL (</w:t>
      </w:r>
      <w:proofErr w:type="spellStart"/>
      <w:r w:rsidRPr="00E73EF4">
        <w:rPr>
          <w:rFonts w:ascii="Times New Roman" w:hAnsi="Times New Roman" w:cs="Times New Roman"/>
          <w:sz w:val="24"/>
          <w:szCs w:val="24"/>
        </w:rPr>
        <w:t>pfu</w:t>
      </w:r>
      <w:proofErr w:type="spellEnd"/>
      <w:r w:rsidRPr="00E73EF4">
        <w:rPr>
          <w:rFonts w:ascii="Times New Roman" w:hAnsi="Times New Roman" w:cs="Times New Roman"/>
          <w:sz w:val="24"/>
          <w:szCs w:val="24"/>
        </w:rPr>
        <w:t>/mL).</w:t>
      </w:r>
    </w:p>
    <w:p w14:paraId="0CF15706" w14:textId="77777777" w:rsidR="003066D2" w:rsidRPr="00E73EF4" w:rsidRDefault="003066D2" w:rsidP="003066D2">
      <w:pPr>
        <w:spacing w:line="480" w:lineRule="auto"/>
        <w:ind w:firstLine="720"/>
        <w:jc w:val="both"/>
        <w:rPr>
          <w:rFonts w:ascii="Times New Roman" w:hAnsi="Times New Roman" w:cs="Times New Roman"/>
          <w:b/>
          <w:bCs/>
          <w:sz w:val="24"/>
          <w:szCs w:val="24"/>
        </w:rPr>
      </w:pPr>
      <w:r w:rsidRPr="00E73EF4">
        <w:rPr>
          <w:rFonts w:ascii="Times New Roman" w:hAnsi="Times New Roman" w:cs="Times New Roman"/>
          <w:b/>
          <w:bCs/>
          <w:sz w:val="24"/>
          <w:szCs w:val="24"/>
        </w:rPr>
        <w:t>Generalized transduction</w:t>
      </w:r>
    </w:p>
    <w:p w14:paraId="21A42D8A" w14:textId="0B69D67F" w:rsidR="003066D2" w:rsidRPr="00E73EF4" w:rsidRDefault="003066D2" w:rsidP="003066D2">
      <w:pPr>
        <w:spacing w:line="480" w:lineRule="auto"/>
        <w:ind w:firstLine="720"/>
        <w:jc w:val="both"/>
        <w:rPr>
          <w:rFonts w:ascii="Times New Roman" w:hAnsi="Times New Roman" w:cs="Times New Roman"/>
          <w:sz w:val="24"/>
          <w:szCs w:val="24"/>
        </w:rPr>
      </w:pPr>
      <w:r w:rsidRPr="00E73EF4">
        <w:rPr>
          <w:rFonts w:ascii="Times New Roman" w:hAnsi="Times New Roman" w:cs="Times New Roman"/>
          <w:bCs/>
          <w:sz w:val="24"/>
          <w:szCs w:val="24"/>
        </w:rPr>
        <w:t>Generalized transduction was performed as described previously</w:t>
      </w:r>
      <w:r w:rsidR="0007019E" w:rsidRPr="00E73EF4">
        <w:rPr>
          <w:rFonts w:ascii="Times New Roman" w:hAnsi="Times New Roman" w:cs="Times New Roman"/>
          <w:bCs/>
          <w:sz w:val="24"/>
          <w:szCs w:val="24"/>
        </w:rPr>
        <w:t>.</w:t>
      </w:r>
      <w:r w:rsidR="0007019E" w:rsidRPr="00E73EF4">
        <w:rPr>
          <w:rFonts w:ascii="Times New Roman" w:hAnsi="Times New Roman" w:cs="Times New Roman"/>
          <w:bCs/>
          <w:sz w:val="24"/>
          <w:szCs w:val="24"/>
          <w:vertAlign w:val="superscript"/>
        </w:rPr>
        <w:t>20</w:t>
      </w:r>
      <w:r w:rsidRPr="00E73EF4">
        <w:rPr>
          <w:rFonts w:ascii="Times New Roman" w:hAnsi="Times New Roman" w:cs="Times New Roman"/>
          <w:bCs/>
          <w:sz w:val="24"/>
          <w:szCs w:val="24"/>
        </w:rPr>
        <w:t xml:space="preserve"> </w:t>
      </w:r>
      <w:r w:rsidRPr="00E73EF4">
        <w:rPr>
          <w:rFonts w:ascii="Times New Roman" w:hAnsi="Times New Roman" w:cs="Times New Roman"/>
          <w:sz w:val="24"/>
          <w:szCs w:val="24"/>
        </w:rPr>
        <w:t>Recipient bacteria were grown in BHIB overnight at 37</w:t>
      </w:r>
      <w:r w:rsidRPr="00E73EF4">
        <w:rPr>
          <w:rFonts w:ascii="Times New Roman" w:hAnsi="Times New Roman" w:cs="Times New Roman"/>
          <w:sz w:val="24"/>
          <w:szCs w:val="24"/>
        </w:rPr>
        <w:sym w:font="Symbol" w:char="F0B0"/>
      </w:r>
      <w:r w:rsidRPr="00E73EF4">
        <w:rPr>
          <w:rFonts w:ascii="Times New Roman" w:hAnsi="Times New Roman" w:cs="Times New Roman"/>
          <w:sz w:val="24"/>
          <w:szCs w:val="24"/>
        </w:rPr>
        <w:t xml:space="preserve">C with shaking, centrifuged for 10 min at 3000 g and </w:t>
      </w:r>
      <w:proofErr w:type="spellStart"/>
      <w:r w:rsidRPr="00E73EF4">
        <w:rPr>
          <w:rFonts w:ascii="Times New Roman" w:hAnsi="Times New Roman" w:cs="Times New Roman"/>
          <w:sz w:val="24"/>
          <w:szCs w:val="24"/>
        </w:rPr>
        <w:t>resuspended</w:t>
      </w:r>
      <w:proofErr w:type="spellEnd"/>
      <w:r w:rsidRPr="00E73EF4">
        <w:rPr>
          <w:rFonts w:ascii="Times New Roman" w:hAnsi="Times New Roman" w:cs="Times New Roman"/>
          <w:sz w:val="24"/>
          <w:szCs w:val="24"/>
        </w:rPr>
        <w:t xml:space="preserve"> in 1</w:t>
      </w:r>
      <w:r w:rsidR="009C5322" w:rsidRPr="00E73EF4">
        <w:rPr>
          <w:rFonts w:ascii="Times New Roman" w:hAnsi="Times New Roman" w:cs="Times New Roman"/>
          <w:sz w:val="24"/>
          <w:szCs w:val="24"/>
        </w:rPr>
        <w:t xml:space="preserve"> </w:t>
      </w:r>
      <w:r w:rsidRPr="00E73EF4">
        <w:rPr>
          <w:rFonts w:ascii="Times New Roman" w:hAnsi="Times New Roman" w:cs="Times New Roman"/>
          <w:sz w:val="24"/>
          <w:szCs w:val="24"/>
        </w:rPr>
        <w:t xml:space="preserve">mL LK </w:t>
      </w:r>
      <w:proofErr w:type="gramStart"/>
      <w:r w:rsidRPr="00E73EF4">
        <w:rPr>
          <w:rFonts w:ascii="Times New Roman" w:hAnsi="Times New Roman" w:cs="Times New Roman"/>
          <w:sz w:val="24"/>
          <w:szCs w:val="24"/>
        </w:rPr>
        <w:t>broth  Recipient</w:t>
      </w:r>
      <w:proofErr w:type="gramEnd"/>
      <w:r w:rsidRPr="00E73EF4">
        <w:rPr>
          <w:rFonts w:ascii="Times New Roman" w:hAnsi="Times New Roman" w:cs="Times New Roman"/>
          <w:sz w:val="24"/>
          <w:szCs w:val="24"/>
        </w:rPr>
        <w:t xml:space="preserve"> cells were mixed with 1 mL LK broth, 0.5 mL phage preparation</w:t>
      </w:r>
      <w:r w:rsidR="007E61B3" w:rsidRPr="00E73EF4">
        <w:rPr>
          <w:rFonts w:ascii="Times New Roman" w:hAnsi="Times New Roman" w:cs="Times New Roman"/>
          <w:sz w:val="24"/>
          <w:szCs w:val="24"/>
        </w:rPr>
        <w:t>,</w:t>
      </w:r>
      <w:r w:rsidRPr="00E73EF4">
        <w:rPr>
          <w:rFonts w:ascii="Times New Roman" w:hAnsi="Times New Roman" w:cs="Times New Roman"/>
          <w:sz w:val="24"/>
          <w:szCs w:val="24"/>
        </w:rPr>
        <w:t xml:space="preserve"> and CaCl</w:t>
      </w:r>
      <w:r w:rsidRPr="00E73EF4">
        <w:rPr>
          <w:rFonts w:ascii="Times New Roman" w:hAnsi="Times New Roman" w:cs="Times New Roman"/>
          <w:sz w:val="24"/>
          <w:szCs w:val="24"/>
          <w:vertAlign w:val="subscript"/>
        </w:rPr>
        <w:t xml:space="preserve">2 </w:t>
      </w:r>
      <w:r w:rsidRPr="00E73EF4">
        <w:rPr>
          <w:rFonts w:ascii="Times New Roman" w:hAnsi="Times New Roman" w:cs="Times New Roman"/>
          <w:sz w:val="24"/>
          <w:szCs w:val="24"/>
        </w:rPr>
        <w:t>was added to final concentration 8</w:t>
      </w:r>
      <w:r w:rsidR="009C5322" w:rsidRPr="00E73EF4">
        <w:rPr>
          <w:rFonts w:ascii="Times New Roman" w:hAnsi="Times New Roman" w:cs="Times New Roman"/>
          <w:sz w:val="24"/>
          <w:szCs w:val="24"/>
        </w:rPr>
        <w:t xml:space="preserve"> </w:t>
      </w:r>
      <w:proofErr w:type="spellStart"/>
      <w:r w:rsidRPr="00E73EF4">
        <w:rPr>
          <w:rFonts w:ascii="Times New Roman" w:hAnsi="Times New Roman" w:cs="Times New Roman"/>
          <w:sz w:val="24"/>
          <w:szCs w:val="24"/>
        </w:rPr>
        <w:t>mM</w:t>
      </w:r>
      <w:proofErr w:type="spellEnd"/>
      <w:r w:rsidRPr="00E73EF4">
        <w:rPr>
          <w:rFonts w:ascii="Times New Roman" w:hAnsi="Times New Roman" w:cs="Times New Roman"/>
          <w:sz w:val="24"/>
          <w:szCs w:val="24"/>
        </w:rPr>
        <w:t xml:space="preserve"> </w:t>
      </w:r>
      <w:r w:rsidR="007E61B3" w:rsidRPr="00E73EF4">
        <w:rPr>
          <w:rFonts w:ascii="Times New Roman" w:hAnsi="Times New Roman" w:cs="Times New Roman"/>
          <w:sz w:val="24"/>
          <w:szCs w:val="24"/>
        </w:rPr>
        <w:t xml:space="preserve">followed by </w:t>
      </w:r>
      <w:r w:rsidRPr="00E73EF4">
        <w:rPr>
          <w:rFonts w:ascii="Times New Roman" w:hAnsi="Times New Roman" w:cs="Times New Roman"/>
          <w:iCs/>
          <w:sz w:val="24"/>
          <w:szCs w:val="24"/>
        </w:rPr>
        <w:t xml:space="preserve">20 µg/mL </w:t>
      </w:r>
      <w:proofErr w:type="spellStart"/>
      <w:r w:rsidRPr="00E73EF4">
        <w:rPr>
          <w:rFonts w:ascii="Times New Roman" w:hAnsi="Times New Roman" w:cs="Times New Roman"/>
          <w:iCs/>
          <w:sz w:val="24"/>
          <w:szCs w:val="24"/>
        </w:rPr>
        <w:t>DNase</w:t>
      </w:r>
      <w:proofErr w:type="spellEnd"/>
      <w:r w:rsidRPr="00E73EF4">
        <w:rPr>
          <w:rFonts w:ascii="Times New Roman" w:hAnsi="Times New Roman" w:cs="Times New Roman"/>
          <w:sz w:val="24"/>
          <w:szCs w:val="24"/>
        </w:rPr>
        <w:t xml:space="preserve"> </w:t>
      </w:r>
      <w:r w:rsidRPr="00E73EF4">
        <w:rPr>
          <w:rFonts w:ascii="Times New Roman" w:hAnsi="Times New Roman" w:cs="Times New Roman"/>
          <w:iCs/>
          <w:sz w:val="24"/>
          <w:szCs w:val="24"/>
        </w:rPr>
        <w:t>(</w:t>
      </w:r>
      <w:proofErr w:type="spellStart"/>
      <w:r w:rsidRPr="00E73EF4">
        <w:rPr>
          <w:rFonts w:ascii="Times New Roman" w:hAnsi="Times New Roman" w:cs="Times New Roman"/>
          <w:iCs/>
          <w:sz w:val="24"/>
          <w:szCs w:val="24"/>
        </w:rPr>
        <w:t>Promega</w:t>
      </w:r>
      <w:proofErr w:type="spellEnd"/>
      <w:r w:rsidRPr="00E73EF4">
        <w:rPr>
          <w:rFonts w:ascii="Times New Roman" w:hAnsi="Times New Roman" w:cs="Times New Roman"/>
          <w:iCs/>
          <w:sz w:val="24"/>
          <w:szCs w:val="24"/>
        </w:rPr>
        <w:t>)</w:t>
      </w:r>
      <w:r w:rsidRPr="00E73EF4">
        <w:rPr>
          <w:rFonts w:ascii="Times New Roman" w:hAnsi="Times New Roman" w:cs="Times New Roman"/>
          <w:sz w:val="24"/>
          <w:szCs w:val="24"/>
        </w:rPr>
        <w:t>. Samples were incubated at 31</w:t>
      </w:r>
      <w:r w:rsidRPr="00E73EF4">
        <w:rPr>
          <w:rFonts w:ascii="Times New Roman" w:hAnsi="Times New Roman" w:cs="Times New Roman"/>
          <w:sz w:val="24"/>
          <w:szCs w:val="24"/>
        </w:rPr>
        <w:sym w:font="Symbol" w:char="F0B0"/>
      </w:r>
      <w:r w:rsidRPr="00E73EF4">
        <w:rPr>
          <w:rFonts w:ascii="Times New Roman" w:hAnsi="Times New Roman" w:cs="Times New Roman"/>
          <w:sz w:val="24"/>
          <w:szCs w:val="24"/>
        </w:rPr>
        <w:t xml:space="preserve">C for 45 </w:t>
      </w:r>
      <w:proofErr w:type="spellStart"/>
      <w:r w:rsidRPr="00E73EF4">
        <w:rPr>
          <w:rFonts w:ascii="Times New Roman" w:hAnsi="Times New Roman" w:cs="Times New Roman"/>
          <w:sz w:val="24"/>
          <w:szCs w:val="24"/>
        </w:rPr>
        <w:t>mins</w:t>
      </w:r>
      <w:proofErr w:type="spellEnd"/>
      <w:r w:rsidRPr="00E73EF4">
        <w:rPr>
          <w:rFonts w:ascii="Times New Roman" w:hAnsi="Times New Roman" w:cs="Times New Roman"/>
          <w:sz w:val="24"/>
          <w:szCs w:val="24"/>
        </w:rPr>
        <w:t xml:space="preserve">. Control tubes with recipient cells </w:t>
      </w:r>
      <w:r w:rsidRPr="00E73EF4">
        <w:rPr>
          <w:rFonts w:ascii="Times New Roman" w:hAnsi="Times New Roman" w:cs="Times New Roman"/>
          <w:sz w:val="24"/>
          <w:szCs w:val="24"/>
        </w:rPr>
        <w:lastRenderedPageBreak/>
        <w:t xml:space="preserve">only and phage preparation only were also prepared. After incubation, ice cold 0.02 M sodium citrate was added (Honeywell International </w:t>
      </w:r>
      <w:proofErr w:type="spellStart"/>
      <w:r w:rsidRPr="00E73EF4">
        <w:rPr>
          <w:rFonts w:ascii="Times New Roman" w:hAnsi="Times New Roman" w:cs="Times New Roman"/>
          <w:sz w:val="24"/>
          <w:szCs w:val="24"/>
        </w:rPr>
        <w:t>Inc</w:t>
      </w:r>
      <w:proofErr w:type="spellEnd"/>
      <w:r w:rsidRPr="00E73EF4">
        <w:rPr>
          <w:rFonts w:ascii="Times New Roman" w:hAnsi="Times New Roman" w:cs="Times New Roman"/>
          <w:sz w:val="24"/>
          <w:szCs w:val="24"/>
        </w:rPr>
        <w:t>) to a final concentration of 15</w:t>
      </w:r>
      <w:r w:rsidR="00F118C1" w:rsidRPr="00E73EF4">
        <w:rPr>
          <w:rFonts w:ascii="Times New Roman" w:hAnsi="Times New Roman" w:cs="Times New Roman"/>
          <w:sz w:val="24"/>
          <w:szCs w:val="24"/>
        </w:rPr>
        <w:t xml:space="preserve"> </w:t>
      </w:r>
      <w:proofErr w:type="spellStart"/>
      <w:r w:rsidR="00F118C1" w:rsidRPr="00E73EF4">
        <w:rPr>
          <w:rFonts w:ascii="Times New Roman" w:hAnsi="Times New Roman" w:cs="Times New Roman"/>
          <w:sz w:val="24"/>
          <w:szCs w:val="24"/>
        </w:rPr>
        <w:t>mM</w:t>
      </w:r>
      <w:proofErr w:type="spellEnd"/>
      <w:r w:rsidR="00F118C1" w:rsidRPr="00E73EF4">
        <w:rPr>
          <w:rFonts w:ascii="Times New Roman" w:hAnsi="Times New Roman" w:cs="Times New Roman"/>
          <w:sz w:val="24"/>
          <w:szCs w:val="24"/>
        </w:rPr>
        <w:t xml:space="preserve"> and samples centrifuged at 3</w:t>
      </w:r>
      <w:r w:rsidRPr="00E73EF4">
        <w:rPr>
          <w:rFonts w:ascii="Times New Roman" w:hAnsi="Times New Roman" w:cs="Times New Roman"/>
          <w:sz w:val="24"/>
          <w:szCs w:val="24"/>
        </w:rPr>
        <w:t xml:space="preserve">000 </w:t>
      </w:r>
      <w:r w:rsidR="00F118C1" w:rsidRPr="00E73EF4">
        <w:rPr>
          <w:rFonts w:ascii="Times New Roman" w:hAnsi="Times New Roman" w:cs="Times New Roman"/>
          <w:sz w:val="24"/>
          <w:szCs w:val="24"/>
        </w:rPr>
        <w:t>g</w:t>
      </w:r>
      <w:r w:rsidRPr="00E73EF4">
        <w:rPr>
          <w:rFonts w:ascii="Times New Roman" w:hAnsi="Times New Roman" w:cs="Times New Roman"/>
          <w:sz w:val="24"/>
          <w:szCs w:val="24"/>
        </w:rPr>
        <w:t xml:space="preserve"> for 10 min. The supernatant was decanted, the pellet </w:t>
      </w:r>
      <w:proofErr w:type="spellStart"/>
      <w:r w:rsidRPr="00E73EF4">
        <w:rPr>
          <w:rFonts w:ascii="Times New Roman" w:hAnsi="Times New Roman" w:cs="Times New Roman"/>
          <w:sz w:val="24"/>
          <w:szCs w:val="24"/>
        </w:rPr>
        <w:t>resuspended</w:t>
      </w:r>
      <w:proofErr w:type="spellEnd"/>
      <w:r w:rsidRPr="00E73EF4">
        <w:rPr>
          <w:rFonts w:ascii="Times New Roman" w:hAnsi="Times New Roman" w:cs="Times New Roman"/>
          <w:sz w:val="24"/>
          <w:szCs w:val="24"/>
        </w:rPr>
        <w:t xml:space="preserve"> in 1</w:t>
      </w:r>
      <w:r w:rsidR="009C5322" w:rsidRPr="00E73EF4">
        <w:rPr>
          <w:rFonts w:ascii="Times New Roman" w:hAnsi="Times New Roman" w:cs="Times New Roman"/>
          <w:sz w:val="24"/>
          <w:szCs w:val="24"/>
        </w:rPr>
        <w:t xml:space="preserve"> </w:t>
      </w:r>
      <w:r w:rsidRPr="00E73EF4">
        <w:rPr>
          <w:rFonts w:ascii="Times New Roman" w:hAnsi="Times New Roman" w:cs="Times New Roman"/>
          <w:sz w:val="24"/>
          <w:szCs w:val="24"/>
        </w:rPr>
        <w:t xml:space="preserve">mL ice cold 0.02 M sodium citrate and left on ice for at least 2 h. Samples were spread on LK plates prepared by mixing LK broth components with 5 g bacteriological agar, supplemented with 0.05% sodium citrate and 0.15 </w:t>
      </w:r>
      <w:r w:rsidRPr="00E73EF4">
        <w:rPr>
          <w:rFonts w:ascii="Times New Roman" w:hAnsi="Times New Roman" w:cs="Times New Roman"/>
          <w:sz w:val="24"/>
          <w:szCs w:val="24"/>
        </w:rPr>
        <w:sym w:font="Symbol" w:char="F06D"/>
      </w:r>
      <w:r w:rsidRPr="00E73EF4">
        <w:rPr>
          <w:rFonts w:ascii="Times New Roman" w:hAnsi="Times New Roman" w:cs="Times New Roman"/>
          <w:sz w:val="24"/>
          <w:szCs w:val="24"/>
        </w:rPr>
        <w:t>g/mL erythromycin and incubated at 37</w:t>
      </w:r>
      <w:r w:rsidRPr="00E73EF4">
        <w:rPr>
          <w:rFonts w:ascii="Times New Roman" w:hAnsi="Times New Roman" w:cs="Times New Roman"/>
          <w:sz w:val="24"/>
          <w:szCs w:val="24"/>
        </w:rPr>
        <w:sym w:font="Symbol" w:char="F0B0"/>
      </w:r>
      <w:r w:rsidRPr="00E73EF4">
        <w:rPr>
          <w:rFonts w:ascii="Times New Roman" w:hAnsi="Times New Roman" w:cs="Times New Roman"/>
          <w:sz w:val="24"/>
          <w:szCs w:val="24"/>
        </w:rPr>
        <w:t xml:space="preserve">C for 60 min, then overlaid with 4-5 mL of LK top agar supplemented with 30 </w:t>
      </w:r>
      <w:r w:rsidRPr="00E73EF4">
        <w:rPr>
          <w:rFonts w:ascii="Times New Roman" w:hAnsi="Times New Roman" w:cs="Times New Roman"/>
          <w:sz w:val="24"/>
          <w:szCs w:val="24"/>
        </w:rPr>
        <w:sym w:font="Symbol" w:char="F06D"/>
      </w:r>
      <w:r w:rsidRPr="00E73EF4">
        <w:rPr>
          <w:rFonts w:ascii="Times New Roman" w:hAnsi="Times New Roman" w:cs="Times New Roman"/>
          <w:sz w:val="24"/>
          <w:szCs w:val="24"/>
        </w:rPr>
        <w:t>g/mL erythromycin. Plates were incubated for 48 h at 37</w:t>
      </w:r>
      <w:r w:rsidRPr="00E73EF4">
        <w:rPr>
          <w:rFonts w:ascii="Times New Roman" w:hAnsi="Times New Roman" w:cs="Times New Roman"/>
          <w:sz w:val="24"/>
          <w:szCs w:val="24"/>
        </w:rPr>
        <w:sym w:font="Symbol" w:char="F0B0"/>
      </w:r>
      <w:r w:rsidRPr="00E73EF4">
        <w:rPr>
          <w:rFonts w:ascii="Times New Roman" w:hAnsi="Times New Roman" w:cs="Times New Roman"/>
          <w:sz w:val="24"/>
          <w:szCs w:val="24"/>
        </w:rPr>
        <w:t xml:space="preserve">C. The number of </w:t>
      </w:r>
      <w:proofErr w:type="spellStart"/>
      <w:r w:rsidRPr="00E73EF4">
        <w:rPr>
          <w:rFonts w:ascii="Times New Roman" w:hAnsi="Times New Roman" w:cs="Times New Roman"/>
          <w:sz w:val="24"/>
          <w:szCs w:val="24"/>
        </w:rPr>
        <w:t>transductant</w:t>
      </w:r>
      <w:proofErr w:type="spellEnd"/>
      <w:r w:rsidRPr="00E73EF4">
        <w:rPr>
          <w:rFonts w:ascii="Times New Roman" w:hAnsi="Times New Roman" w:cs="Times New Roman"/>
          <w:sz w:val="24"/>
          <w:szCs w:val="24"/>
        </w:rPr>
        <w:t xml:space="preserve"> cells were counted and expressed as a number of </w:t>
      </w:r>
      <w:proofErr w:type="spellStart"/>
      <w:r w:rsidRPr="00E73EF4">
        <w:rPr>
          <w:rFonts w:ascii="Times New Roman" w:hAnsi="Times New Roman" w:cs="Times New Roman"/>
          <w:sz w:val="24"/>
          <w:szCs w:val="24"/>
        </w:rPr>
        <w:t>transductant</w:t>
      </w:r>
      <w:proofErr w:type="spellEnd"/>
      <w:r w:rsidRPr="00E73EF4">
        <w:rPr>
          <w:rFonts w:ascii="Times New Roman" w:hAnsi="Times New Roman" w:cs="Times New Roman"/>
          <w:sz w:val="24"/>
          <w:szCs w:val="24"/>
        </w:rPr>
        <w:t xml:space="preserve"> cells per mL (TC/mL) instead of commonly used frequency of </w:t>
      </w:r>
      <w:proofErr w:type="spellStart"/>
      <w:r w:rsidRPr="00E73EF4">
        <w:rPr>
          <w:rFonts w:ascii="Times New Roman" w:hAnsi="Times New Roman" w:cs="Times New Roman"/>
          <w:sz w:val="24"/>
          <w:szCs w:val="24"/>
        </w:rPr>
        <w:t>transduct</w:t>
      </w:r>
      <w:r w:rsidR="00017927" w:rsidRPr="00E73EF4">
        <w:rPr>
          <w:rFonts w:ascii="Times New Roman" w:hAnsi="Times New Roman" w:cs="Times New Roman"/>
          <w:sz w:val="24"/>
          <w:szCs w:val="24"/>
        </w:rPr>
        <w:t>ants</w:t>
      </w:r>
      <w:proofErr w:type="spellEnd"/>
      <w:r w:rsidR="00017927" w:rsidRPr="00E73EF4">
        <w:rPr>
          <w:rFonts w:ascii="Times New Roman" w:hAnsi="Times New Roman" w:cs="Times New Roman"/>
          <w:sz w:val="24"/>
          <w:szCs w:val="24"/>
        </w:rPr>
        <w:t xml:space="preserve"> per plaque forming </w:t>
      </w:r>
      <w:proofErr w:type="gramStart"/>
      <w:r w:rsidR="00017927" w:rsidRPr="00E73EF4">
        <w:rPr>
          <w:rFonts w:ascii="Times New Roman" w:hAnsi="Times New Roman" w:cs="Times New Roman"/>
          <w:sz w:val="24"/>
          <w:szCs w:val="24"/>
        </w:rPr>
        <w:t>unit</w:t>
      </w:r>
      <w:r w:rsidRPr="00E73EF4">
        <w:rPr>
          <w:rFonts w:ascii="Times New Roman" w:hAnsi="Times New Roman" w:cs="Times New Roman"/>
          <w:sz w:val="24"/>
          <w:szCs w:val="24"/>
        </w:rPr>
        <w:t xml:space="preserve"> </w:t>
      </w:r>
      <w:r w:rsidR="00017927" w:rsidRPr="00E73EF4">
        <w:rPr>
          <w:rFonts w:ascii="Times New Roman" w:hAnsi="Times New Roman" w:cs="Times New Roman"/>
          <w:sz w:val="24"/>
          <w:szCs w:val="24"/>
        </w:rPr>
        <w:t xml:space="preserve"> </w:t>
      </w:r>
      <w:r w:rsidRPr="00E73EF4">
        <w:rPr>
          <w:rFonts w:ascii="Times New Roman" w:hAnsi="Times New Roman" w:cs="Times New Roman"/>
          <w:sz w:val="24"/>
          <w:szCs w:val="24"/>
        </w:rPr>
        <w:t>as</w:t>
      </w:r>
      <w:proofErr w:type="gramEnd"/>
      <w:r w:rsidRPr="00E73EF4">
        <w:rPr>
          <w:rFonts w:ascii="Times New Roman" w:hAnsi="Times New Roman" w:cs="Times New Roman"/>
          <w:sz w:val="24"/>
          <w:szCs w:val="24"/>
        </w:rPr>
        <w:t xml:space="preserve"> not all particles will carry virulent phage genome and cause </w:t>
      </w:r>
      <w:proofErr w:type="spellStart"/>
      <w:r w:rsidRPr="00E73EF4">
        <w:rPr>
          <w:rFonts w:ascii="Times New Roman" w:hAnsi="Times New Roman" w:cs="Times New Roman"/>
          <w:sz w:val="24"/>
          <w:szCs w:val="24"/>
        </w:rPr>
        <w:t>lysis</w:t>
      </w:r>
      <w:proofErr w:type="spellEnd"/>
      <w:r w:rsidRPr="00E73EF4">
        <w:rPr>
          <w:rFonts w:ascii="Times New Roman" w:hAnsi="Times New Roman" w:cs="Times New Roman"/>
          <w:sz w:val="24"/>
          <w:szCs w:val="24"/>
        </w:rPr>
        <w:t xml:space="preserve">. Selected colonies of </w:t>
      </w:r>
      <w:proofErr w:type="spellStart"/>
      <w:r w:rsidRPr="00E73EF4">
        <w:rPr>
          <w:rFonts w:ascii="Times New Roman" w:hAnsi="Times New Roman" w:cs="Times New Roman"/>
          <w:sz w:val="24"/>
          <w:szCs w:val="24"/>
        </w:rPr>
        <w:t>transductants</w:t>
      </w:r>
      <w:proofErr w:type="spellEnd"/>
      <w:r w:rsidRPr="00E73EF4">
        <w:rPr>
          <w:rFonts w:ascii="Times New Roman" w:hAnsi="Times New Roman" w:cs="Times New Roman"/>
          <w:sz w:val="24"/>
          <w:szCs w:val="24"/>
        </w:rPr>
        <w:t xml:space="preserve"> were picked and passaged on </w:t>
      </w:r>
      <w:proofErr w:type="spellStart"/>
      <w:r w:rsidRPr="00E73EF4">
        <w:rPr>
          <w:rFonts w:ascii="Times New Roman" w:hAnsi="Times New Roman" w:cs="Times New Roman"/>
          <w:sz w:val="24"/>
          <w:szCs w:val="24"/>
        </w:rPr>
        <w:t>mannitol</w:t>
      </w:r>
      <w:proofErr w:type="spellEnd"/>
      <w:r w:rsidRPr="00E73EF4">
        <w:rPr>
          <w:rFonts w:ascii="Times New Roman" w:hAnsi="Times New Roman" w:cs="Times New Roman"/>
          <w:sz w:val="24"/>
          <w:szCs w:val="24"/>
        </w:rPr>
        <w:t xml:space="preserve"> salt agar to confirm they were</w:t>
      </w:r>
      <w:r w:rsidRPr="00E73EF4">
        <w:rPr>
          <w:rFonts w:ascii="Times New Roman" w:hAnsi="Times New Roman" w:cs="Times New Roman"/>
          <w:i/>
          <w:sz w:val="24"/>
          <w:szCs w:val="24"/>
        </w:rPr>
        <w:t xml:space="preserve"> S. </w:t>
      </w:r>
      <w:proofErr w:type="spellStart"/>
      <w:r w:rsidRPr="00E73EF4">
        <w:rPr>
          <w:rFonts w:ascii="Times New Roman" w:hAnsi="Times New Roman" w:cs="Times New Roman"/>
          <w:i/>
          <w:sz w:val="24"/>
          <w:szCs w:val="24"/>
        </w:rPr>
        <w:t>aureus</w:t>
      </w:r>
      <w:proofErr w:type="spellEnd"/>
      <w:r w:rsidRPr="00E73EF4">
        <w:rPr>
          <w:rFonts w:ascii="Times New Roman" w:hAnsi="Times New Roman" w:cs="Times New Roman"/>
          <w:sz w:val="24"/>
          <w:szCs w:val="24"/>
        </w:rPr>
        <w:t xml:space="preserve"> and on BHIA with 30 </w:t>
      </w:r>
      <w:r w:rsidRPr="00E73EF4">
        <w:rPr>
          <w:rFonts w:ascii="Times New Roman" w:hAnsi="Times New Roman" w:cs="Times New Roman"/>
          <w:sz w:val="24"/>
          <w:szCs w:val="24"/>
        </w:rPr>
        <w:sym w:font="Symbol" w:char="F06D"/>
      </w:r>
      <w:r w:rsidRPr="00E73EF4">
        <w:rPr>
          <w:rFonts w:ascii="Times New Roman" w:hAnsi="Times New Roman" w:cs="Times New Roman"/>
          <w:sz w:val="24"/>
          <w:szCs w:val="24"/>
        </w:rPr>
        <w:t xml:space="preserve">g/mL erythromycin. DNA from </w:t>
      </w:r>
      <w:r w:rsidR="00017927" w:rsidRPr="00E73EF4">
        <w:rPr>
          <w:rFonts w:ascii="Times New Roman" w:hAnsi="Times New Roman" w:cs="Times New Roman"/>
          <w:sz w:val="24"/>
          <w:szCs w:val="24"/>
        </w:rPr>
        <w:t xml:space="preserve">up to 20 </w:t>
      </w:r>
      <w:proofErr w:type="spellStart"/>
      <w:r w:rsidR="00017927" w:rsidRPr="00E73EF4">
        <w:rPr>
          <w:rFonts w:ascii="Times New Roman" w:hAnsi="Times New Roman" w:cs="Times New Roman"/>
          <w:sz w:val="24"/>
          <w:szCs w:val="24"/>
        </w:rPr>
        <w:t>transductant</w:t>
      </w:r>
      <w:proofErr w:type="spellEnd"/>
      <w:r w:rsidR="00017927" w:rsidRPr="00E73EF4">
        <w:rPr>
          <w:rFonts w:ascii="Times New Roman" w:hAnsi="Times New Roman" w:cs="Times New Roman"/>
          <w:sz w:val="24"/>
          <w:szCs w:val="24"/>
        </w:rPr>
        <w:t xml:space="preserve"> colonies per antibiotic </w:t>
      </w:r>
      <w:r w:rsidRPr="00E73EF4">
        <w:rPr>
          <w:rFonts w:ascii="Times New Roman" w:hAnsi="Times New Roman" w:cs="Times New Roman"/>
          <w:sz w:val="24"/>
          <w:szCs w:val="24"/>
        </w:rPr>
        <w:t xml:space="preserve">was extracted and the presence of </w:t>
      </w:r>
      <w:proofErr w:type="spellStart"/>
      <w:r w:rsidRPr="00E73EF4">
        <w:rPr>
          <w:rFonts w:ascii="Times New Roman" w:hAnsi="Times New Roman" w:cs="Times New Roman"/>
          <w:i/>
          <w:iCs/>
          <w:sz w:val="24"/>
          <w:szCs w:val="24"/>
        </w:rPr>
        <w:t>ermC</w:t>
      </w:r>
      <w:proofErr w:type="spellEnd"/>
      <w:r w:rsidRPr="00E73EF4">
        <w:rPr>
          <w:rFonts w:ascii="Times New Roman" w:hAnsi="Times New Roman" w:cs="Times New Roman"/>
          <w:sz w:val="24"/>
          <w:szCs w:val="24"/>
        </w:rPr>
        <w:t xml:space="preserve"> confirmed by PCR.</w:t>
      </w:r>
    </w:p>
    <w:p w14:paraId="3273CEFD" w14:textId="77777777" w:rsidR="003066D2" w:rsidRPr="00E73EF4" w:rsidRDefault="003066D2" w:rsidP="003066D2">
      <w:pPr>
        <w:spacing w:line="480" w:lineRule="auto"/>
        <w:ind w:firstLine="720"/>
        <w:jc w:val="both"/>
        <w:rPr>
          <w:rFonts w:ascii="Times New Roman" w:hAnsi="Times New Roman" w:cs="Times New Roman"/>
          <w:b/>
          <w:color w:val="000000"/>
          <w:sz w:val="24"/>
          <w:szCs w:val="24"/>
        </w:rPr>
      </w:pPr>
      <w:r w:rsidRPr="00E73EF4">
        <w:rPr>
          <w:rFonts w:ascii="Times New Roman" w:eastAsia="Calibri" w:hAnsi="Times New Roman" w:cs="Times New Roman"/>
          <w:b/>
          <w:sz w:val="24"/>
          <w:szCs w:val="24"/>
        </w:rPr>
        <w:t>Isolation and purification of genomic DNA from phage particles</w:t>
      </w:r>
    </w:p>
    <w:p w14:paraId="1FD8A12B" w14:textId="5F082471" w:rsidR="003066D2" w:rsidRPr="00E73EF4" w:rsidRDefault="003066D2" w:rsidP="003066D2">
      <w:pPr>
        <w:spacing w:line="480" w:lineRule="auto"/>
        <w:ind w:firstLine="720"/>
        <w:jc w:val="both"/>
        <w:rPr>
          <w:rFonts w:ascii="Times New Roman" w:eastAsia="Calibri" w:hAnsi="Times New Roman" w:cs="Times New Roman"/>
          <w:sz w:val="24"/>
          <w:szCs w:val="24"/>
        </w:rPr>
      </w:pPr>
      <w:r w:rsidRPr="00E73EF4">
        <w:rPr>
          <w:rFonts w:ascii="Times New Roman" w:eastAsia="Calibri" w:hAnsi="Times New Roman" w:cs="Times New Roman"/>
          <w:bCs/>
          <w:sz w:val="24"/>
          <w:szCs w:val="24"/>
        </w:rPr>
        <w:t xml:space="preserve"> 500</w:t>
      </w:r>
      <w:r w:rsidR="00793883" w:rsidRPr="00E73EF4">
        <w:rPr>
          <w:rFonts w:ascii="Times New Roman" w:eastAsia="Calibri" w:hAnsi="Times New Roman" w:cs="Times New Roman"/>
          <w:bCs/>
          <w:sz w:val="24"/>
          <w:szCs w:val="24"/>
        </w:rPr>
        <w:t xml:space="preserve"> </w:t>
      </w:r>
      <w:r w:rsidRPr="00E73EF4">
        <w:rPr>
          <w:rFonts w:ascii="Times New Roman" w:eastAsia="Calibri" w:hAnsi="Times New Roman" w:cs="Times New Roman"/>
          <w:bCs/>
          <w:sz w:val="24"/>
          <w:szCs w:val="24"/>
        </w:rPr>
        <w:t xml:space="preserve">mL of phage preparation was clarified by filter sterilization through a </w:t>
      </w:r>
      <w:proofErr w:type="spellStart"/>
      <w:r w:rsidRPr="00E73EF4">
        <w:rPr>
          <w:rFonts w:ascii="Times New Roman" w:eastAsia="Calibri" w:hAnsi="Times New Roman" w:cs="Times New Roman"/>
          <w:bCs/>
          <w:sz w:val="24"/>
          <w:szCs w:val="24"/>
        </w:rPr>
        <w:t>stericup</w:t>
      </w:r>
      <w:proofErr w:type="spellEnd"/>
      <w:r w:rsidRPr="00E73EF4">
        <w:rPr>
          <w:rFonts w:ascii="Times New Roman" w:eastAsia="Calibri" w:hAnsi="Times New Roman" w:cs="Times New Roman"/>
          <w:bCs/>
          <w:sz w:val="24"/>
          <w:szCs w:val="24"/>
        </w:rPr>
        <w:t xml:space="preserve"> vacuum </w:t>
      </w:r>
      <w:r w:rsidRPr="00E73EF4">
        <w:rPr>
          <w:rFonts w:ascii="Times New Roman" w:eastAsia="Calibri" w:hAnsi="Times New Roman" w:cs="Times New Roman"/>
          <w:sz w:val="24"/>
          <w:szCs w:val="24"/>
        </w:rPr>
        <w:t>filtration system with 0.22µm filter (Millipore). 5</w:t>
      </w:r>
      <w:r w:rsidR="009C5322" w:rsidRPr="00E73EF4">
        <w:rPr>
          <w:rFonts w:ascii="Times New Roman" w:eastAsia="Calibri" w:hAnsi="Times New Roman" w:cs="Times New Roman"/>
          <w:sz w:val="24"/>
          <w:szCs w:val="24"/>
        </w:rPr>
        <w:t xml:space="preserve"> </w:t>
      </w:r>
      <w:r w:rsidRPr="00E73EF4">
        <w:rPr>
          <w:rFonts w:ascii="Times New Roman" w:eastAsia="Calibri" w:hAnsi="Times New Roman" w:cs="Times New Roman"/>
          <w:sz w:val="24"/>
          <w:szCs w:val="24"/>
        </w:rPr>
        <w:t>mL of 5mM</w:t>
      </w:r>
      <w:r w:rsidRPr="00E73EF4">
        <w:rPr>
          <w:rFonts w:ascii="Times New Roman" w:eastAsia="Calibri" w:hAnsi="Times New Roman" w:cs="Times New Roman"/>
          <w:sz w:val="24"/>
          <w:szCs w:val="24"/>
          <w:vertAlign w:val="subscript"/>
        </w:rPr>
        <w:t xml:space="preserve"> </w:t>
      </w:r>
      <w:r w:rsidRPr="00E73EF4">
        <w:rPr>
          <w:rFonts w:ascii="Times New Roman" w:eastAsia="Calibri" w:hAnsi="Times New Roman" w:cs="Times New Roman"/>
          <w:sz w:val="24"/>
          <w:szCs w:val="24"/>
        </w:rPr>
        <w:t>MgSO</w:t>
      </w:r>
      <w:r w:rsidRPr="00E73EF4">
        <w:rPr>
          <w:rFonts w:ascii="Times New Roman" w:eastAsia="Calibri" w:hAnsi="Times New Roman" w:cs="Times New Roman"/>
          <w:sz w:val="24"/>
          <w:szCs w:val="24"/>
          <w:vertAlign w:val="subscript"/>
        </w:rPr>
        <w:t xml:space="preserve">4 </w:t>
      </w:r>
      <w:r w:rsidRPr="00E73EF4">
        <w:rPr>
          <w:rFonts w:ascii="Times New Roman" w:eastAsia="Calibri" w:hAnsi="Times New Roman" w:cs="Times New Roman"/>
          <w:sz w:val="24"/>
          <w:szCs w:val="24"/>
        </w:rPr>
        <w:t>was added followed by addition of  5µg/mL</w:t>
      </w:r>
      <w:r w:rsidR="00A90154" w:rsidRPr="00E73EF4">
        <w:rPr>
          <w:rFonts w:ascii="Times New Roman" w:eastAsia="Calibri" w:hAnsi="Times New Roman" w:cs="Times New Roman"/>
          <w:sz w:val="24"/>
          <w:szCs w:val="24"/>
        </w:rPr>
        <w:t xml:space="preserve"> </w:t>
      </w:r>
      <w:proofErr w:type="spellStart"/>
      <w:r w:rsidR="00A90154" w:rsidRPr="00E73EF4">
        <w:rPr>
          <w:rFonts w:ascii="Times New Roman" w:eastAsia="Calibri" w:hAnsi="Times New Roman" w:cs="Times New Roman"/>
          <w:sz w:val="24"/>
          <w:szCs w:val="24"/>
        </w:rPr>
        <w:t>DNase</w:t>
      </w:r>
      <w:proofErr w:type="spellEnd"/>
      <w:r w:rsidR="00A90154" w:rsidRPr="00E73EF4">
        <w:rPr>
          <w:rFonts w:ascii="Times New Roman" w:eastAsia="Calibri" w:hAnsi="Times New Roman" w:cs="Times New Roman"/>
          <w:sz w:val="24"/>
          <w:szCs w:val="24"/>
        </w:rPr>
        <w:t xml:space="preserve"> I (Roche) and 10 µg/m</w:t>
      </w:r>
      <w:r w:rsidRPr="00E73EF4">
        <w:rPr>
          <w:rFonts w:ascii="Times New Roman" w:eastAsia="Calibri" w:hAnsi="Times New Roman" w:cs="Times New Roman"/>
          <w:sz w:val="24"/>
          <w:szCs w:val="24"/>
        </w:rPr>
        <w:t>L</w:t>
      </w:r>
      <w:r w:rsidR="00A90154" w:rsidRPr="00E73EF4">
        <w:rPr>
          <w:rFonts w:ascii="Times New Roman" w:eastAsia="Calibri" w:hAnsi="Times New Roman" w:cs="Times New Roman"/>
          <w:sz w:val="24"/>
          <w:szCs w:val="24"/>
        </w:rPr>
        <w:t xml:space="preserve"> </w:t>
      </w:r>
      <w:proofErr w:type="spellStart"/>
      <w:r w:rsidRPr="00E73EF4">
        <w:rPr>
          <w:rFonts w:ascii="Times New Roman" w:eastAsia="Calibri" w:hAnsi="Times New Roman" w:cs="Times New Roman"/>
          <w:sz w:val="24"/>
          <w:szCs w:val="24"/>
        </w:rPr>
        <w:t>RNase</w:t>
      </w:r>
      <w:proofErr w:type="spellEnd"/>
      <w:r w:rsidRPr="00E73EF4">
        <w:rPr>
          <w:rFonts w:ascii="Times New Roman" w:eastAsia="Calibri" w:hAnsi="Times New Roman" w:cs="Times New Roman"/>
          <w:sz w:val="24"/>
          <w:szCs w:val="24"/>
        </w:rPr>
        <w:t xml:space="preserve"> A (Sigma Aldrich Ltd), followed by incubation for 1h at 37</w:t>
      </w:r>
      <w:r w:rsidRPr="00E73EF4">
        <w:rPr>
          <w:rFonts w:ascii="Times New Roman" w:eastAsia="Calibri" w:hAnsi="Times New Roman" w:cs="Times New Roman"/>
          <w:sz w:val="24"/>
          <w:szCs w:val="24"/>
        </w:rPr>
        <w:sym w:font="Symbol" w:char="F0B0"/>
      </w:r>
      <w:r w:rsidRPr="00E73EF4">
        <w:rPr>
          <w:rFonts w:ascii="Times New Roman" w:eastAsia="Calibri" w:hAnsi="Times New Roman" w:cs="Times New Roman"/>
          <w:sz w:val="24"/>
          <w:szCs w:val="24"/>
        </w:rPr>
        <w:t>C. Solid PEG 8000 (</w:t>
      </w:r>
      <w:proofErr w:type="spellStart"/>
      <w:r w:rsidRPr="00E73EF4">
        <w:rPr>
          <w:rFonts w:ascii="Times New Roman" w:eastAsia="Calibri" w:hAnsi="Times New Roman" w:cs="Times New Roman"/>
          <w:sz w:val="24"/>
          <w:szCs w:val="24"/>
        </w:rPr>
        <w:t>Promega</w:t>
      </w:r>
      <w:proofErr w:type="spellEnd"/>
      <w:r w:rsidRPr="00E73EF4">
        <w:rPr>
          <w:rFonts w:ascii="Times New Roman" w:eastAsia="Calibri" w:hAnsi="Times New Roman" w:cs="Times New Roman"/>
          <w:sz w:val="24"/>
          <w:szCs w:val="24"/>
        </w:rPr>
        <w:t>) was added to a final concentration of 30% and dissolved by a slow stirring  at 4</w:t>
      </w:r>
      <w:r w:rsidRPr="00E73EF4">
        <w:rPr>
          <w:rFonts w:ascii="Cambria Math" w:eastAsia="Calibri" w:hAnsi="Cambria Math" w:cs="Cambria Math"/>
          <w:sz w:val="24"/>
          <w:szCs w:val="24"/>
        </w:rPr>
        <w:t>⁰</w:t>
      </w:r>
      <w:r w:rsidRPr="00E73EF4">
        <w:rPr>
          <w:rFonts w:ascii="Times New Roman" w:eastAsia="Calibri" w:hAnsi="Times New Roman" w:cs="Times New Roman"/>
          <w:sz w:val="24"/>
          <w:szCs w:val="24"/>
        </w:rPr>
        <w:t>C</w:t>
      </w:r>
      <w:r w:rsidR="000D70BF" w:rsidRPr="00E73EF4">
        <w:rPr>
          <w:rFonts w:ascii="Times New Roman" w:eastAsia="Calibri" w:hAnsi="Times New Roman" w:cs="Times New Roman"/>
          <w:sz w:val="24"/>
          <w:szCs w:val="24"/>
        </w:rPr>
        <w:t xml:space="preserve"> </w:t>
      </w:r>
      <w:r w:rsidRPr="00E73EF4">
        <w:rPr>
          <w:rFonts w:ascii="Times New Roman" w:eastAsia="Calibri" w:hAnsi="Times New Roman" w:cs="Times New Roman"/>
          <w:sz w:val="24"/>
          <w:szCs w:val="24"/>
        </w:rPr>
        <w:t>for 48</w:t>
      </w:r>
      <w:r w:rsidR="009C5322" w:rsidRPr="00E73EF4">
        <w:rPr>
          <w:rFonts w:ascii="Times New Roman" w:eastAsia="Calibri" w:hAnsi="Times New Roman" w:cs="Times New Roman"/>
          <w:sz w:val="24"/>
          <w:szCs w:val="24"/>
        </w:rPr>
        <w:t xml:space="preserve"> </w:t>
      </w:r>
      <w:r w:rsidRPr="00E73EF4">
        <w:rPr>
          <w:rFonts w:ascii="Times New Roman" w:eastAsia="Calibri" w:hAnsi="Times New Roman" w:cs="Times New Roman"/>
          <w:sz w:val="24"/>
          <w:szCs w:val="24"/>
        </w:rPr>
        <w:t>h.  The solution was centrifuged at 3000</w:t>
      </w:r>
      <w:r w:rsidR="00986F3D" w:rsidRPr="00E73EF4">
        <w:rPr>
          <w:rFonts w:ascii="Times New Roman" w:eastAsia="Calibri" w:hAnsi="Times New Roman" w:cs="Times New Roman"/>
          <w:sz w:val="24"/>
          <w:szCs w:val="24"/>
        </w:rPr>
        <w:t xml:space="preserve"> x </w:t>
      </w:r>
      <w:r w:rsidRPr="00E73EF4">
        <w:rPr>
          <w:rFonts w:ascii="Times New Roman" w:eastAsia="Calibri" w:hAnsi="Times New Roman" w:cs="Times New Roman"/>
          <w:i/>
          <w:sz w:val="24"/>
          <w:szCs w:val="24"/>
        </w:rPr>
        <w:t>g</w:t>
      </w:r>
      <w:r w:rsidRPr="00E73EF4">
        <w:rPr>
          <w:rFonts w:ascii="Times New Roman" w:eastAsia="Calibri" w:hAnsi="Times New Roman" w:cs="Times New Roman"/>
          <w:sz w:val="24"/>
          <w:szCs w:val="24"/>
        </w:rPr>
        <w:t xml:space="preserve"> for 45 min and the pellet </w:t>
      </w:r>
      <w:proofErr w:type="spellStart"/>
      <w:r w:rsidRPr="00E73EF4">
        <w:rPr>
          <w:rFonts w:ascii="Times New Roman" w:eastAsia="Calibri" w:hAnsi="Times New Roman" w:cs="Times New Roman"/>
          <w:sz w:val="24"/>
          <w:szCs w:val="24"/>
        </w:rPr>
        <w:t>resuspended</w:t>
      </w:r>
      <w:proofErr w:type="spellEnd"/>
      <w:r w:rsidRPr="00E73EF4">
        <w:rPr>
          <w:rFonts w:ascii="Times New Roman" w:eastAsia="Calibri" w:hAnsi="Times New Roman" w:cs="Times New Roman"/>
          <w:sz w:val="24"/>
          <w:szCs w:val="24"/>
        </w:rPr>
        <w:t xml:space="preserve"> in 3</w:t>
      </w:r>
      <w:r w:rsidR="009C5322" w:rsidRPr="00E73EF4">
        <w:rPr>
          <w:rFonts w:ascii="Times New Roman" w:eastAsia="Calibri" w:hAnsi="Times New Roman" w:cs="Times New Roman"/>
          <w:sz w:val="24"/>
          <w:szCs w:val="24"/>
        </w:rPr>
        <w:t xml:space="preserve"> </w:t>
      </w:r>
      <w:r w:rsidRPr="00E73EF4">
        <w:rPr>
          <w:rFonts w:ascii="Times New Roman" w:eastAsia="Calibri" w:hAnsi="Times New Roman" w:cs="Times New Roman"/>
          <w:sz w:val="24"/>
          <w:szCs w:val="24"/>
        </w:rPr>
        <w:t xml:space="preserve">mL of SM buffer (100 </w:t>
      </w:r>
      <w:proofErr w:type="spellStart"/>
      <w:r w:rsidRPr="00E73EF4">
        <w:rPr>
          <w:rFonts w:ascii="Times New Roman" w:eastAsia="Calibri" w:hAnsi="Times New Roman" w:cs="Times New Roman"/>
          <w:sz w:val="24"/>
          <w:szCs w:val="24"/>
        </w:rPr>
        <w:t>mM</w:t>
      </w:r>
      <w:proofErr w:type="spellEnd"/>
      <w:r w:rsidRPr="00E73EF4">
        <w:rPr>
          <w:rFonts w:ascii="Times New Roman" w:eastAsia="Calibri" w:hAnsi="Times New Roman" w:cs="Times New Roman"/>
          <w:sz w:val="24"/>
          <w:szCs w:val="24"/>
        </w:rPr>
        <w:t xml:space="preserve"> </w:t>
      </w:r>
      <w:proofErr w:type="spellStart"/>
      <w:r w:rsidRPr="00E73EF4">
        <w:rPr>
          <w:rFonts w:ascii="Times New Roman" w:eastAsia="Calibri" w:hAnsi="Times New Roman" w:cs="Times New Roman"/>
          <w:sz w:val="24"/>
          <w:szCs w:val="24"/>
        </w:rPr>
        <w:t>NaCl</w:t>
      </w:r>
      <w:proofErr w:type="spellEnd"/>
      <w:r w:rsidRPr="00E73EF4">
        <w:rPr>
          <w:rFonts w:ascii="Times New Roman" w:eastAsia="Calibri" w:hAnsi="Times New Roman" w:cs="Times New Roman"/>
          <w:sz w:val="24"/>
          <w:szCs w:val="24"/>
        </w:rPr>
        <w:t>, 8mM MgSO</w:t>
      </w:r>
      <w:r w:rsidRPr="00E73EF4">
        <w:rPr>
          <w:rFonts w:ascii="Times New Roman" w:eastAsia="Calibri" w:hAnsi="Times New Roman" w:cs="Times New Roman"/>
          <w:sz w:val="24"/>
          <w:szCs w:val="24"/>
          <w:vertAlign w:val="subscript"/>
        </w:rPr>
        <w:t>4</w:t>
      </w:r>
      <w:r w:rsidRPr="00E73EF4">
        <w:rPr>
          <w:rFonts w:ascii="Times New Roman" w:eastAsia="Calibri" w:hAnsi="Times New Roman" w:cs="Times New Roman"/>
          <w:sz w:val="24"/>
          <w:szCs w:val="24"/>
        </w:rPr>
        <w:t>•7H</w:t>
      </w:r>
      <w:r w:rsidRPr="00E73EF4">
        <w:rPr>
          <w:rFonts w:ascii="Times New Roman" w:eastAsia="Calibri" w:hAnsi="Times New Roman" w:cs="Times New Roman"/>
          <w:sz w:val="24"/>
          <w:szCs w:val="24"/>
          <w:vertAlign w:val="subscript"/>
        </w:rPr>
        <w:t>2</w:t>
      </w:r>
      <w:r w:rsidRPr="00E73EF4">
        <w:rPr>
          <w:rFonts w:ascii="Times New Roman" w:eastAsia="Calibri" w:hAnsi="Times New Roman" w:cs="Times New Roman"/>
          <w:sz w:val="24"/>
          <w:szCs w:val="24"/>
        </w:rPr>
        <w:t xml:space="preserve">O, 50mM Tris-Cl pH 7.5 all from Sigma Aldrich Ltd) and left for 30 min at RT.  Proteinase K </w:t>
      </w:r>
      <w:r w:rsidRPr="00E73EF4">
        <w:rPr>
          <w:rFonts w:ascii="Times New Roman" w:eastAsia="Calibri" w:hAnsi="Times New Roman" w:cs="Times New Roman"/>
          <w:bCs/>
          <w:sz w:val="24"/>
          <w:szCs w:val="24"/>
        </w:rPr>
        <w:t>(</w:t>
      </w:r>
      <w:proofErr w:type="spellStart"/>
      <w:r w:rsidRPr="00E73EF4">
        <w:rPr>
          <w:rFonts w:ascii="Times New Roman" w:eastAsia="Calibri" w:hAnsi="Times New Roman" w:cs="Times New Roman"/>
          <w:bCs/>
          <w:sz w:val="24"/>
          <w:szCs w:val="24"/>
        </w:rPr>
        <w:t>Qiagen</w:t>
      </w:r>
      <w:proofErr w:type="spellEnd"/>
      <w:r w:rsidRPr="00E73EF4">
        <w:rPr>
          <w:rFonts w:ascii="Times New Roman" w:eastAsia="Calibri" w:hAnsi="Times New Roman" w:cs="Times New Roman"/>
          <w:bCs/>
          <w:sz w:val="24"/>
          <w:szCs w:val="24"/>
        </w:rPr>
        <w:t xml:space="preserve">) was added </w:t>
      </w:r>
      <w:r w:rsidRPr="00E73EF4">
        <w:rPr>
          <w:rFonts w:ascii="Times New Roman" w:eastAsia="Calibri" w:hAnsi="Times New Roman" w:cs="Times New Roman"/>
          <w:sz w:val="24"/>
          <w:szCs w:val="24"/>
        </w:rPr>
        <w:t>to a final concentration of 50</w:t>
      </w:r>
      <w:r w:rsidR="009C5322" w:rsidRPr="00E73EF4">
        <w:rPr>
          <w:rFonts w:ascii="Times New Roman" w:eastAsia="Calibri" w:hAnsi="Times New Roman" w:cs="Times New Roman"/>
          <w:sz w:val="24"/>
          <w:szCs w:val="24"/>
        </w:rPr>
        <w:t xml:space="preserve"> </w:t>
      </w:r>
      <w:r w:rsidRPr="00E73EF4">
        <w:rPr>
          <w:rFonts w:ascii="Times New Roman" w:eastAsia="Calibri" w:hAnsi="Times New Roman" w:cs="Times New Roman"/>
          <w:sz w:val="24"/>
          <w:szCs w:val="24"/>
        </w:rPr>
        <w:t>µg/m</w:t>
      </w:r>
      <w:r w:rsidR="00F118C1" w:rsidRPr="00E73EF4">
        <w:rPr>
          <w:rFonts w:ascii="Times New Roman" w:eastAsia="Calibri" w:hAnsi="Times New Roman" w:cs="Times New Roman"/>
          <w:sz w:val="24"/>
          <w:szCs w:val="24"/>
        </w:rPr>
        <w:t>L</w:t>
      </w:r>
      <w:r w:rsidRPr="00E73EF4">
        <w:rPr>
          <w:rFonts w:ascii="Times New Roman" w:eastAsia="Calibri" w:hAnsi="Times New Roman" w:cs="Times New Roman"/>
          <w:sz w:val="24"/>
          <w:szCs w:val="24"/>
        </w:rPr>
        <w:t xml:space="preserve"> , </w:t>
      </w:r>
      <w:r w:rsidRPr="00E73EF4">
        <w:rPr>
          <w:rFonts w:ascii="Times New Roman" w:eastAsia="Calibri" w:hAnsi="Times New Roman" w:cs="Times New Roman"/>
          <w:bCs/>
          <w:sz w:val="24"/>
          <w:szCs w:val="24"/>
        </w:rPr>
        <w:t>SDS (</w:t>
      </w:r>
      <w:r w:rsidRPr="00E73EF4">
        <w:rPr>
          <w:rFonts w:ascii="Times New Roman" w:eastAsia="Calibri" w:hAnsi="Times New Roman" w:cs="Times New Roman"/>
          <w:sz w:val="24"/>
          <w:szCs w:val="24"/>
        </w:rPr>
        <w:t>Sigma Aldrich Ltd) to a final concentration of 0.5%, 0.5</w:t>
      </w:r>
      <w:r w:rsidR="009C5322" w:rsidRPr="00E73EF4">
        <w:rPr>
          <w:rFonts w:ascii="Times New Roman" w:eastAsia="Calibri" w:hAnsi="Times New Roman" w:cs="Times New Roman"/>
          <w:sz w:val="24"/>
          <w:szCs w:val="24"/>
        </w:rPr>
        <w:t xml:space="preserve"> </w:t>
      </w:r>
      <w:r w:rsidRPr="00E73EF4">
        <w:rPr>
          <w:rFonts w:ascii="Times New Roman" w:eastAsia="Calibri" w:hAnsi="Times New Roman" w:cs="Times New Roman"/>
          <w:sz w:val="24"/>
          <w:szCs w:val="24"/>
        </w:rPr>
        <w:t xml:space="preserve">M EDTA pH 8.0 to a final </w:t>
      </w:r>
      <w:r w:rsidRPr="00E73EF4">
        <w:rPr>
          <w:rFonts w:ascii="Times New Roman" w:eastAsia="Calibri" w:hAnsi="Times New Roman" w:cs="Times New Roman"/>
          <w:sz w:val="24"/>
          <w:szCs w:val="24"/>
        </w:rPr>
        <w:lastRenderedPageBreak/>
        <w:t xml:space="preserve">concentration of 20 </w:t>
      </w:r>
      <w:proofErr w:type="spellStart"/>
      <w:r w:rsidRPr="00E73EF4">
        <w:rPr>
          <w:rFonts w:ascii="Times New Roman" w:eastAsia="Calibri" w:hAnsi="Times New Roman" w:cs="Times New Roman"/>
          <w:sz w:val="24"/>
          <w:szCs w:val="24"/>
        </w:rPr>
        <w:t>mM</w:t>
      </w:r>
      <w:proofErr w:type="spellEnd"/>
      <w:r w:rsidRPr="00E73EF4">
        <w:rPr>
          <w:rFonts w:ascii="Times New Roman" w:eastAsia="Calibri" w:hAnsi="Times New Roman" w:cs="Times New Roman"/>
          <w:sz w:val="24"/>
          <w:szCs w:val="24"/>
        </w:rPr>
        <w:t xml:space="preserve"> (Sigma Aldrich Ltd) and incubated for 1h at 56°C and then cooled down to RT. An equal volume of solution containing phenol, chloroform and </w:t>
      </w:r>
      <w:proofErr w:type="spellStart"/>
      <w:r w:rsidRPr="00E73EF4">
        <w:rPr>
          <w:rFonts w:ascii="Times New Roman" w:eastAsia="Calibri" w:hAnsi="Times New Roman" w:cs="Times New Roman"/>
          <w:sz w:val="24"/>
          <w:szCs w:val="24"/>
        </w:rPr>
        <w:t>isoamyl</w:t>
      </w:r>
      <w:proofErr w:type="spellEnd"/>
      <w:r w:rsidRPr="00E73EF4">
        <w:rPr>
          <w:rFonts w:ascii="Times New Roman" w:eastAsia="Calibri" w:hAnsi="Times New Roman" w:cs="Times New Roman"/>
          <w:sz w:val="24"/>
          <w:szCs w:val="24"/>
        </w:rPr>
        <w:t xml:space="preserve"> alcohol in a 25:24:1 ratio </w:t>
      </w:r>
      <w:r w:rsidRPr="00E73EF4">
        <w:rPr>
          <w:rFonts w:ascii="Times New Roman" w:eastAsia="Calibri" w:hAnsi="Times New Roman" w:cs="Times New Roman"/>
          <w:bCs/>
          <w:sz w:val="24"/>
          <w:szCs w:val="24"/>
        </w:rPr>
        <w:t>(</w:t>
      </w:r>
      <w:r w:rsidRPr="00E73EF4">
        <w:rPr>
          <w:rFonts w:ascii="Times New Roman" w:eastAsia="Calibri" w:hAnsi="Times New Roman" w:cs="Times New Roman"/>
          <w:sz w:val="24"/>
          <w:szCs w:val="24"/>
        </w:rPr>
        <w:t>Sigma Aldrich Ltd) was added, mixed gently and centrifuged at 12</w:t>
      </w:r>
      <w:r w:rsidR="00986F3D" w:rsidRPr="00E73EF4">
        <w:rPr>
          <w:rFonts w:ascii="Times New Roman" w:eastAsia="Calibri" w:hAnsi="Times New Roman" w:cs="Times New Roman"/>
          <w:sz w:val="24"/>
          <w:szCs w:val="24"/>
        </w:rPr>
        <w:t xml:space="preserve"> </w:t>
      </w:r>
      <w:r w:rsidRPr="00E73EF4">
        <w:rPr>
          <w:rFonts w:ascii="Times New Roman" w:eastAsia="Calibri" w:hAnsi="Times New Roman" w:cs="Times New Roman"/>
          <w:sz w:val="24"/>
          <w:szCs w:val="24"/>
        </w:rPr>
        <w:t>000</w:t>
      </w:r>
      <w:r w:rsidR="00986F3D" w:rsidRPr="00E73EF4">
        <w:rPr>
          <w:rFonts w:ascii="Times New Roman" w:eastAsia="Calibri" w:hAnsi="Times New Roman" w:cs="Times New Roman"/>
          <w:sz w:val="24"/>
          <w:szCs w:val="24"/>
        </w:rPr>
        <w:t xml:space="preserve"> x </w:t>
      </w:r>
      <w:r w:rsidRPr="00E73EF4">
        <w:rPr>
          <w:rFonts w:ascii="Times New Roman" w:eastAsia="Calibri" w:hAnsi="Times New Roman" w:cs="Times New Roman"/>
          <w:i/>
          <w:sz w:val="24"/>
          <w:szCs w:val="24"/>
        </w:rPr>
        <w:t>g</w:t>
      </w:r>
      <w:r w:rsidRPr="00E73EF4" w:rsidDel="00E23F94">
        <w:rPr>
          <w:rFonts w:ascii="Times New Roman" w:eastAsia="Calibri" w:hAnsi="Times New Roman" w:cs="Times New Roman"/>
          <w:sz w:val="24"/>
          <w:szCs w:val="24"/>
        </w:rPr>
        <w:t xml:space="preserve"> </w:t>
      </w:r>
      <w:r w:rsidRPr="00E73EF4">
        <w:rPr>
          <w:rFonts w:ascii="Times New Roman" w:eastAsia="Calibri" w:hAnsi="Times New Roman" w:cs="Times New Roman"/>
          <w:sz w:val="24"/>
          <w:szCs w:val="24"/>
        </w:rPr>
        <w:t>for 10 min. The aqueous phase was recovered and an equal volume of chloroform was added then centrifuged at 12</w:t>
      </w:r>
      <w:r w:rsidR="00986F3D" w:rsidRPr="00E73EF4">
        <w:rPr>
          <w:rFonts w:ascii="Times New Roman" w:eastAsia="Calibri" w:hAnsi="Times New Roman" w:cs="Times New Roman"/>
          <w:sz w:val="24"/>
          <w:szCs w:val="24"/>
        </w:rPr>
        <w:t xml:space="preserve"> </w:t>
      </w:r>
      <w:r w:rsidRPr="00E73EF4">
        <w:rPr>
          <w:rFonts w:ascii="Times New Roman" w:eastAsia="Calibri" w:hAnsi="Times New Roman" w:cs="Times New Roman"/>
          <w:sz w:val="24"/>
          <w:szCs w:val="24"/>
        </w:rPr>
        <w:t>000</w:t>
      </w:r>
      <w:r w:rsidR="00986F3D" w:rsidRPr="00E73EF4">
        <w:rPr>
          <w:rFonts w:ascii="Times New Roman" w:eastAsia="Calibri" w:hAnsi="Times New Roman" w:cs="Times New Roman"/>
          <w:sz w:val="24"/>
          <w:szCs w:val="24"/>
        </w:rPr>
        <w:t xml:space="preserve"> x </w:t>
      </w:r>
      <w:r w:rsidRPr="00E73EF4">
        <w:rPr>
          <w:rFonts w:ascii="Times New Roman" w:eastAsia="Calibri" w:hAnsi="Times New Roman" w:cs="Times New Roman"/>
          <w:i/>
          <w:sz w:val="24"/>
          <w:szCs w:val="24"/>
        </w:rPr>
        <w:t>g</w:t>
      </w:r>
      <w:r w:rsidRPr="00E73EF4">
        <w:rPr>
          <w:rFonts w:ascii="Times New Roman" w:eastAsia="Calibri" w:hAnsi="Times New Roman" w:cs="Times New Roman"/>
          <w:sz w:val="24"/>
          <w:szCs w:val="24"/>
        </w:rPr>
        <w:t xml:space="preserve"> for 10 min. The aqueous phase was pipetted into a clean </w:t>
      </w:r>
      <w:r w:rsidR="00986F3D" w:rsidRPr="00E73EF4">
        <w:rPr>
          <w:rFonts w:ascii="Times New Roman" w:eastAsia="Calibri" w:hAnsi="Times New Roman" w:cs="Times New Roman"/>
          <w:sz w:val="24"/>
          <w:szCs w:val="24"/>
        </w:rPr>
        <w:t>microfuge tube</w:t>
      </w:r>
      <w:r w:rsidRPr="00E73EF4">
        <w:rPr>
          <w:rFonts w:ascii="Times New Roman" w:eastAsia="Calibri" w:hAnsi="Times New Roman" w:cs="Times New Roman"/>
          <w:sz w:val="24"/>
          <w:szCs w:val="24"/>
        </w:rPr>
        <w:t xml:space="preserve"> and washed three times with chloroform. 1</w:t>
      </w:r>
      <w:r w:rsidR="009C5322" w:rsidRPr="00E73EF4">
        <w:rPr>
          <w:rFonts w:ascii="Times New Roman" w:eastAsia="Calibri" w:hAnsi="Times New Roman" w:cs="Times New Roman"/>
          <w:sz w:val="24"/>
          <w:szCs w:val="24"/>
        </w:rPr>
        <w:t xml:space="preserve"> </w:t>
      </w:r>
      <w:r w:rsidRPr="00E73EF4">
        <w:rPr>
          <w:rFonts w:ascii="Times New Roman" w:eastAsia="Calibri" w:hAnsi="Times New Roman" w:cs="Times New Roman"/>
          <w:sz w:val="24"/>
          <w:szCs w:val="24"/>
        </w:rPr>
        <w:t>mL of 100% ethanol was added and the sample was left at - 20°C O/N, spun at 12</w:t>
      </w:r>
      <w:r w:rsidR="00986F3D" w:rsidRPr="00E73EF4">
        <w:rPr>
          <w:rFonts w:ascii="Times New Roman" w:eastAsia="Calibri" w:hAnsi="Times New Roman" w:cs="Times New Roman"/>
          <w:sz w:val="24"/>
          <w:szCs w:val="24"/>
        </w:rPr>
        <w:t xml:space="preserve"> </w:t>
      </w:r>
      <w:r w:rsidRPr="00E73EF4">
        <w:rPr>
          <w:rFonts w:ascii="Times New Roman" w:eastAsia="Calibri" w:hAnsi="Times New Roman" w:cs="Times New Roman"/>
          <w:sz w:val="24"/>
          <w:szCs w:val="24"/>
        </w:rPr>
        <w:t>000</w:t>
      </w:r>
      <w:r w:rsidR="00986F3D" w:rsidRPr="00E73EF4">
        <w:rPr>
          <w:rFonts w:ascii="Times New Roman" w:eastAsia="Calibri" w:hAnsi="Times New Roman" w:cs="Times New Roman"/>
          <w:sz w:val="24"/>
          <w:szCs w:val="24"/>
        </w:rPr>
        <w:t xml:space="preserve"> x </w:t>
      </w:r>
      <w:r w:rsidRPr="00E73EF4">
        <w:rPr>
          <w:rFonts w:ascii="Times New Roman" w:eastAsia="Calibri" w:hAnsi="Times New Roman" w:cs="Times New Roman"/>
          <w:i/>
          <w:sz w:val="24"/>
          <w:szCs w:val="24"/>
        </w:rPr>
        <w:t>g</w:t>
      </w:r>
      <w:r w:rsidRPr="00E73EF4">
        <w:rPr>
          <w:rFonts w:ascii="Times New Roman" w:eastAsia="Calibri" w:hAnsi="Times New Roman" w:cs="Times New Roman"/>
          <w:sz w:val="24"/>
          <w:szCs w:val="24"/>
        </w:rPr>
        <w:t xml:space="preserve"> for 20 min and the pellet washed 3 times with 1</w:t>
      </w:r>
      <w:r w:rsidR="009C5322" w:rsidRPr="00E73EF4">
        <w:rPr>
          <w:rFonts w:ascii="Times New Roman" w:eastAsia="Calibri" w:hAnsi="Times New Roman" w:cs="Times New Roman"/>
          <w:sz w:val="24"/>
          <w:szCs w:val="24"/>
        </w:rPr>
        <w:t xml:space="preserve"> </w:t>
      </w:r>
      <w:r w:rsidRPr="00E73EF4">
        <w:rPr>
          <w:rFonts w:ascii="Times New Roman" w:eastAsia="Calibri" w:hAnsi="Times New Roman" w:cs="Times New Roman"/>
          <w:sz w:val="24"/>
          <w:szCs w:val="24"/>
        </w:rPr>
        <w:t>mL of 70% ethanol and dissolved in 50</w:t>
      </w:r>
      <w:r w:rsidR="009C5322" w:rsidRPr="00E73EF4">
        <w:rPr>
          <w:rFonts w:ascii="Times New Roman" w:eastAsia="Calibri" w:hAnsi="Times New Roman" w:cs="Times New Roman"/>
          <w:sz w:val="24"/>
          <w:szCs w:val="24"/>
        </w:rPr>
        <w:t xml:space="preserve"> </w:t>
      </w:r>
      <w:r w:rsidRPr="00E73EF4">
        <w:rPr>
          <w:rFonts w:ascii="Times New Roman" w:eastAsia="Calibri" w:hAnsi="Times New Roman" w:cs="Times New Roman"/>
          <w:sz w:val="24"/>
          <w:szCs w:val="24"/>
        </w:rPr>
        <w:t>µL of dH</w:t>
      </w:r>
      <w:r w:rsidRPr="00E73EF4">
        <w:rPr>
          <w:rFonts w:ascii="Times New Roman" w:eastAsia="Calibri" w:hAnsi="Times New Roman" w:cs="Times New Roman"/>
          <w:sz w:val="24"/>
          <w:szCs w:val="24"/>
          <w:vertAlign w:val="subscript"/>
        </w:rPr>
        <w:t>2</w:t>
      </w:r>
      <w:r w:rsidRPr="00E73EF4">
        <w:rPr>
          <w:rFonts w:ascii="Times New Roman" w:eastAsia="Calibri" w:hAnsi="Times New Roman" w:cs="Times New Roman"/>
          <w:sz w:val="24"/>
          <w:szCs w:val="24"/>
        </w:rPr>
        <w:t>O. The DNA was purified by using the Wizard SV gel and PCR clean-up system (</w:t>
      </w:r>
      <w:proofErr w:type="spellStart"/>
      <w:r w:rsidRPr="00E73EF4">
        <w:rPr>
          <w:rFonts w:ascii="Times New Roman" w:eastAsia="Calibri" w:hAnsi="Times New Roman" w:cs="Times New Roman"/>
          <w:sz w:val="24"/>
          <w:szCs w:val="24"/>
        </w:rPr>
        <w:t>Promega</w:t>
      </w:r>
      <w:proofErr w:type="spellEnd"/>
      <w:r w:rsidRPr="00E73EF4">
        <w:rPr>
          <w:rFonts w:ascii="Times New Roman" w:eastAsia="Calibri" w:hAnsi="Times New Roman" w:cs="Times New Roman"/>
          <w:sz w:val="24"/>
          <w:szCs w:val="24"/>
        </w:rPr>
        <w:t xml:space="preserve">) according to the manufacturer's instructions. </w:t>
      </w:r>
      <w:proofErr w:type="spellStart"/>
      <w:r w:rsidRPr="00E73EF4">
        <w:rPr>
          <w:rFonts w:ascii="Times New Roman" w:eastAsia="Calibri" w:hAnsi="Times New Roman" w:cs="Times New Roman"/>
          <w:sz w:val="24"/>
          <w:szCs w:val="24"/>
        </w:rPr>
        <w:t>Nanodrop</w:t>
      </w:r>
      <w:proofErr w:type="spellEnd"/>
      <w:r w:rsidRPr="00E73EF4">
        <w:rPr>
          <w:rFonts w:ascii="Times New Roman" w:eastAsia="Calibri" w:hAnsi="Times New Roman" w:cs="Times New Roman"/>
          <w:sz w:val="24"/>
          <w:szCs w:val="24"/>
        </w:rPr>
        <w:t xml:space="preserve"> and gel electrophoresis were used to quantify DNA.</w:t>
      </w:r>
    </w:p>
    <w:p w14:paraId="54ABBF9E" w14:textId="77777777" w:rsidR="003066D2" w:rsidRPr="00E73EF4" w:rsidRDefault="003066D2" w:rsidP="003066D2">
      <w:pPr>
        <w:spacing w:line="480" w:lineRule="auto"/>
        <w:ind w:firstLine="720"/>
        <w:jc w:val="both"/>
        <w:rPr>
          <w:rFonts w:ascii="Times New Roman" w:eastAsia="Calibri" w:hAnsi="Times New Roman" w:cs="Times New Roman"/>
          <w:b/>
          <w:sz w:val="24"/>
          <w:szCs w:val="24"/>
        </w:rPr>
      </w:pPr>
      <w:r w:rsidRPr="00E73EF4">
        <w:rPr>
          <w:rFonts w:ascii="Times New Roman" w:eastAsia="Calibri" w:hAnsi="Times New Roman" w:cs="Times New Roman"/>
          <w:b/>
          <w:sz w:val="24"/>
          <w:szCs w:val="24"/>
        </w:rPr>
        <w:t>Droplet digital PCR (</w:t>
      </w:r>
      <w:proofErr w:type="spellStart"/>
      <w:r w:rsidRPr="00E73EF4">
        <w:rPr>
          <w:rFonts w:ascii="Times New Roman" w:eastAsia="Calibri" w:hAnsi="Times New Roman" w:cs="Times New Roman"/>
          <w:b/>
          <w:sz w:val="24"/>
          <w:szCs w:val="24"/>
        </w:rPr>
        <w:t>ddPCR</w:t>
      </w:r>
      <w:proofErr w:type="spellEnd"/>
      <w:r w:rsidRPr="00E73EF4">
        <w:rPr>
          <w:rFonts w:ascii="Times New Roman" w:eastAsia="Calibri" w:hAnsi="Times New Roman" w:cs="Times New Roman"/>
          <w:b/>
          <w:sz w:val="24"/>
          <w:szCs w:val="24"/>
        </w:rPr>
        <w:t>) assay</w:t>
      </w:r>
    </w:p>
    <w:p w14:paraId="5BE2F7CC" w14:textId="5EA5FB74" w:rsidR="003066D2" w:rsidRPr="00E73EF4" w:rsidRDefault="003066D2" w:rsidP="003066D2">
      <w:pPr>
        <w:spacing w:line="480" w:lineRule="auto"/>
        <w:ind w:firstLine="720"/>
        <w:jc w:val="both"/>
        <w:rPr>
          <w:rFonts w:ascii="Times New Roman" w:hAnsi="Times New Roman" w:cs="Times New Roman"/>
          <w:sz w:val="24"/>
          <w:szCs w:val="24"/>
        </w:rPr>
      </w:pPr>
      <w:r w:rsidRPr="00E73EF4">
        <w:rPr>
          <w:rFonts w:ascii="Times New Roman" w:hAnsi="Times New Roman" w:cs="Times New Roman"/>
          <w:sz w:val="24"/>
          <w:szCs w:val="24"/>
        </w:rPr>
        <w:t xml:space="preserve">The QX100 Droplet Digital PCR system from Bio-Rad was used. </w:t>
      </w:r>
      <w:r w:rsidRPr="00E73EF4">
        <w:rPr>
          <w:rFonts w:ascii="Times New Roman" w:hAnsi="Times New Roman" w:cs="Times New Roman"/>
          <w:sz w:val="24"/>
          <w:szCs w:val="24"/>
          <w:lang w:val="en-US"/>
        </w:rPr>
        <w:t xml:space="preserve">Four genes were selected for </w:t>
      </w:r>
      <w:proofErr w:type="spellStart"/>
      <w:r w:rsidRPr="00E73EF4">
        <w:rPr>
          <w:rFonts w:ascii="Times New Roman" w:hAnsi="Times New Roman" w:cs="Times New Roman"/>
          <w:sz w:val="24"/>
          <w:szCs w:val="24"/>
          <w:lang w:val="en-US"/>
        </w:rPr>
        <w:t>ddPCR</w:t>
      </w:r>
      <w:proofErr w:type="spellEnd"/>
      <w:r w:rsidRPr="00E73EF4">
        <w:rPr>
          <w:rFonts w:ascii="Times New Roman" w:hAnsi="Times New Roman" w:cs="Times New Roman"/>
          <w:sz w:val="24"/>
          <w:szCs w:val="24"/>
          <w:lang w:val="en-US"/>
        </w:rPr>
        <w:t xml:space="preserve"> analysis. The </w:t>
      </w:r>
      <w:proofErr w:type="spellStart"/>
      <w:r w:rsidRPr="00E73EF4">
        <w:rPr>
          <w:rFonts w:ascii="Times New Roman" w:hAnsi="Times New Roman" w:cs="Times New Roman"/>
          <w:i/>
          <w:sz w:val="24"/>
          <w:szCs w:val="24"/>
          <w:lang w:val="en-US"/>
        </w:rPr>
        <w:t>ermC</w:t>
      </w:r>
      <w:proofErr w:type="spellEnd"/>
      <w:r w:rsidRPr="00E73EF4">
        <w:rPr>
          <w:rFonts w:ascii="Times New Roman" w:hAnsi="Times New Roman" w:cs="Times New Roman"/>
          <w:sz w:val="24"/>
          <w:szCs w:val="24"/>
          <w:lang w:val="en-US"/>
        </w:rPr>
        <w:t xml:space="preserve"> erythromycin resistance gene located on </w:t>
      </w:r>
      <w:r w:rsidRPr="00E73EF4">
        <w:rPr>
          <w:rFonts w:ascii="Times New Roman" w:hAnsi="Times New Roman" w:cs="Times New Roman"/>
          <w:bCs/>
          <w:sz w:val="24"/>
          <w:szCs w:val="24"/>
        </w:rPr>
        <w:t xml:space="preserve">the </w:t>
      </w:r>
      <w:r w:rsidRPr="00E73EF4">
        <w:rPr>
          <w:rFonts w:ascii="Times New Roman" w:hAnsi="Times New Roman" w:cs="Times New Roman"/>
          <w:bCs/>
          <w:i/>
          <w:sz w:val="24"/>
          <w:szCs w:val="24"/>
        </w:rPr>
        <w:t>rep10</w:t>
      </w:r>
      <w:r w:rsidRPr="00E73EF4">
        <w:rPr>
          <w:rFonts w:ascii="Times New Roman" w:hAnsi="Times New Roman" w:cs="Times New Roman"/>
          <w:bCs/>
          <w:sz w:val="24"/>
          <w:szCs w:val="24"/>
        </w:rPr>
        <w:t xml:space="preserve"> plasmid, </w:t>
      </w:r>
      <w:r w:rsidRPr="00E73EF4">
        <w:rPr>
          <w:rFonts w:ascii="Times New Roman" w:hAnsi="Times New Roman" w:cs="Times New Roman"/>
          <w:sz w:val="24"/>
          <w:szCs w:val="24"/>
          <w:lang w:val="en-US"/>
        </w:rPr>
        <w:t>t</w:t>
      </w:r>
      <w:r w:rsidR="000D70BF" w:rsidRPr="00E73EF4">
        <w:rPr>
          <w:rStyle w:val="st"/>
          <w:rFonts w:ascii="Times New Roman" w:hAnsi="Times New Roman" w:cs="Times New Roman"/>
          <w:sz w:val="24"/>
          <w:szCs w:val="24"/>
        </w:rPr>
        <w:t>he staphylococcal nuclease</w:t>
      </w:r>
      <w:r w:rsidRPr="00E73EF4">
        <w:rPr>
          <w:rStyle w:val="st"/>
          <w:rFonts w:ascii="Times New Roman" w:hAnsi="Times New Roman" w:cs="Times New Roman"/>
          <w:sz w:val="24"/>
          <w:szCs w:val="24"/>
        </w:rPr>
        <w:t xml:space="preserve"> </w:t>
      </w:r>
      <w:r w:rsidRPr="00E73EF4">
        <w:rPr>
          <w:rStyle w:val="Emphasis"/>
          <w:rFonts w:ascii="Times New Roman" w:hAnsi="Times New Roman" w:cs="Times New Roman"/>
          <w:i w:val="0"/>
          <w:sz w:val="24"/>
          <w:szCs w:val="24"/>
        </w:rPr>
        <w:t xml:space="preserve">gene </w:t>
      </w:r>
      <w:proofErr w:type="spellStart"/>
      <w:r w:rsidRPr="00E73EF4">
        <w:rPr>
          <w:rStyle w:val="Emphasis"/>
          <w:rFonts w:ascii="Times New Roman" w:hAnsi="Times New Roman" w:cs="Times New Roman"/>
          <w:sz w:val="24"/>
          <w:szCs w:val="24"/>
        </w:rPr>
        <w:t>nuc</w:t>
      </w:r>
      <w:proofErr w:type="spellEnd"/>
      <w:r w:rsidRPr="00E73EF4">
        <w:rPr>
          <w:rStyle w:val="Emphasis"/>
          <w:rFonts w:ascii="Times New Roman" w:hAnsi="Times New Roman" w:cs="Times New Roman"/>
          <w:i w:val="0"/>
          <w:sz w:val="24"/>
          <w:szCs w:val="24"/>
        </w:rPr>
        <w:t xml:space="preserve">, </w:t>
      </w:r>
      <w:r w:rsidRPr="00E73EF4">
        <w:rPr>
          <w:rFonts w:ascii="Times New Roman" w:hAnsi="Times New Roman" w:cs="Times New Roman"/>
          <w:sz w:val="24"/>
          <w:szCs w:val="24"/>
        </w:rPr>
        <w:t xml:space="preserve">located on the bacterial </w:t>
      </w:r>
      <w:r w:rsidRPr="00E73EF4">
        <w:rPr>
          <w:rStyle w:val="st"/>
          <w:rFonts w:ascii="Times New Roman" w:hAnsi="Times New Roman" w:cs="Times New Roman"/>
          <w:sz w:val="24"/>
          <w:szCs w:val="24"/>
        </w:rPr>
        <w:t>chromosome, and t</w:t>
      </w:r>
      <w:proofErr w:type="spellStart"/>
      <w:r w:rsidRPr="00E73EF4">
        <w:rPr>
          <w:rFonts w:ascii="Times New Roman" w:hAnsi="Times New Roman" w:cs="Times New Roman"/>
          <w:sz w:val="24"/>
          <w:szCs w:val="24"/>
          <w:lang w:val="en-US"/>
        </w:rPr>
        <w:t>wo</w:t>
      </w:r>
      <w:proofErr w:type="spellEnd"/>
      <w:r w:rsidRPr="00E73EF4">
        <w:rPr>
          <w:rFonts w:ascii="Times New Roman" w:hAnsi="Times New Roman" w:cs="Times New Roman"/>
          <w:sz w:val="24"/>
          <w:szCs w:val="24"/>
          <w:lang w:val="en-US"/>
        </w:rPr>
        <w:t xml:space="preserve"> genes encoding bacteriophage </w:t>
      </w:r>
      <w:proofErr w:type="spellStart"/>
      <w:r w:rsidRPr="00E73EF4">
        <w:rPr>
          <w:rFonts w:ascii="Times New Roman" w:hAnsi="Times New Roman" w:cs="Times New Roman"/>
          <w:sz w:val="24"/>
          <w:szCs w:val="24"/>
          <w:lang w:val="en-US"/>
        </w:rPr>
        <w:t>integrase</w:t>
      </w:r>
      <w:proofErr w:type="spellEnd"/>
      <w:r w:rsidRPr="00E73EF4">
        <w:rPr>
          <w:rFonts w:ascii="Times New Roman" w:hAnsi="Times New Roman" w:cs="Times New Roman"/>
          <w:sz w:val="24"/>
          <w:szCs w:val="24"/>
          <w:lang w:val="en-US"/>
        </w:rPr>
        <w:t xml:space="preserve"> genes for Φ1 and Φ2.</w:t>
      </w:r>
      <w:r w:rsidRPr="00E73EF4">
        <w:rPr>
          <w:rFonts w:ascii="Times New Roman" w:hAnsi="Times New Roman" w:cs="Times New Roman"/>
          <w:sz w:val="24"/>
          <w:szCs w:val="24"/>
        </w:rPr>
        <w:t xml:space="preserve"> Primer and probe sequences are provided in </w:t>
      </w:r>
      <w:r w:rsidR="00FD0A70" w:rsidRPr="00E73EF4">
        <w:rPr>
          <w:rFonts w:ascii="Times New Roman" w:hAnsi="Times New Roman" w:cs="Times New Roman"/>
          <w:sz w:val="24"/>
          <w:szCs w:val="24"/>
        </w:rPr>
        <w:t xml:space="preserve">Supplementary </w:t>
      </w:r>
      <w:r w:rsidRPr="00E73EF4">
        <w:rPr>
          <w:rFonts w:ascii="Times New Roman" w:hAnsi="Times New Roman" w:cs="Times New Roman"/>
          <w:sz w:val="24"/>
          <w:szCs w:val="24"/>
        </w:rPr>
        <w:t xml:space="preserve">Table </w:t>
      </w:r>
      <w:r w:rsidR="00DE3683" w:rsidRPr="00E73EF4">
        <w:rPr>
          <w:rFonts w:ascii="Times New Roman" w:hAnsi="Times New Roman" w:cs="Times New Roman"/>
          <w:sz w:val="24"/>
          <w:szCs w:val="24"/>
        </w:rPr>
        <w:t>S</w:t>
      </w:r>
      <w:r w:rsidR="00EA5D86" w:rsidRPr="00E73EF4">
        <w:rPr>
          <w:rFonts w:ascii="Times New Roman" w:hAnsi="Times New Roman" w:cs="Times New Roman"/>
          <w:sz w:val="24"/>
          <w:szCs w:val="24"/>
        </w:rPr>
        <w:t>3</w:t>
      </w:r>
      <w:r w:rsidRPr="00E73EF4">
        <w:rPr>
          <w:rFonts w:ascii="Times New Roman" w:hAnsi="Times New Roman" w:cs="Times New Roman"/>
          <w:sz w:val="24"/>
          <w:szCs w:val="24"/>
        </w:rPr>
        <w:t xml:space="preserve"> and were used in paired combinations as either Φ2 and </w:t>
      </w:r>
      <w:proofErr w:type="spellStart"/>
      <w:r w:rsidRPr="00E73EF4">
        <w:rPr>
          <w:rFonts w:ascii="Times New Roman" w:hAnsi="Times New Roman" w:cs="Times New Roman"/>
          <w:i/>
          <w:sz w:val="24"/>
          <w:szCs w:val="24"/>
        </w:rPr>
        <w:t>ermC</w:t>
      </w:r>
      <w:proofErr w:type="spellEnd"/>
      <w:r w:rsidRPr="00E73EF4">
        <w:rPr>
          <w:rFonts w:ascii="Times New Roman" w:hAnsi="Times New Roman" w:cs="Times New Roman"/>
          <w:sz w:val="24"/>
          <w:szCs w:val="24"/>
        </w:rPr>
        <w:t xml:space="preserve"> or </w:t>
      </w:r>
      <w:proofErr w:type="spellStart"/>
      <w:r w:rsidRPr="00E73EF4">
        <w:rPr>
          <w:rFonts w:ascii="Times New Roman" w:hAnsi="Times New Roman" w:cs="Times New Roman"/>
          <w:i/>
          <w:sz w:val="24"/>
          <w:szCs w:val="24"/>
        </w:rPr>
        <w:t>nuc</w:t>
      </w:r>
      <w:proofErr w:type="spellEnd"/>
      <w:r w:rsidRPr="00E73EF4">
        <w:rPr>
          <w:rFonts w:ascii="Times New Roman" w:hAnsi="Times New Roman" w:cs="Times New Roman"/>
          <w:sz w:val="24"/>
          <w:szCs w:val="24"/>
        </w:rPr>
        <w:t xml:space="preserve"> and Φ1. Φ2 and </w:t>
      </w:r>
      <w:proofErr w:type="spellStart"/>
      <w:r w:rsidRPr="00E73EF4">
        <w:rPr>
          <w:rFonts w:ascii="Times New Roman" w:hAnsi="Times New Roman" w:cs="Times New Roman"/>
          <w:i/>
          <w:sz w:val="24"/>
          <w:szCs w:val="24"/>
        </w:rPr>
        <w:t>nuc</w:t>
      </w:r>
      <w:proofErr w:type="spellEnd"/>
      <w:r w:rsidRPr="00E73EF4">
        <w:rPr>
          <w:rFonts w:ascii="Times New Roman" w:hAnsi="Times New Roman" w:cs="Times New Roman"/>
          <w:sz w:val="24"/>
          <w:szCs w:val="24"/>
        </w:rPr>
        <w:t xml:space="preserve"> probes were labelled with 5’ FAM and </w:t>
      </w:r>
      <w:proofErr w:type="spellStart"/>
      <w:r w:rsidRPr="00E73EF4">
        <w:rPr>
          <w:rFonts w:ascii="Times New Roman" w:hAnsi="Times New Roman" w:cs="Times New Roman"/>
          <w:i/>
          <w:sz w:val="24"/>
          <w:szCs w:val="24"/>
        </w:rPr>
        <w:t>ermC</w:t>
      </w:r>
      <w:proofErr w:type="spellEnd"/>
      <w:r w:rsidRPr="00E73EF4">
        <w:rPr>
          <w:rFonts w:ascii="Times New Roman" w:hAnsi="Times New Roman" w:cs="Times New Roman"/>
          <w:sz w:val="24"/>
          <w:szCs w:val="24"/>
        </w:rPr>
        <w:t xml:space="preserve"> and Φ1 were labelled with 5’ Yakima yellow (using the VIC HEX channel on the QX100).  A 20 × concentrated primer-probe mix for </w:t>
      </w:r>
      <w:proofErr w:type="spellStart"/>
      <w:r w:rsidRPr="00E73EF4">
        <w:rPr>
          <w:rFonts w:ascii="Times New Roman" w:hAnsi="Times New Roman" w:cs="Times New Roman"/>
          <w:sz w:val="24"/>
          <w:szCs w:val="24"/>
        </w:rPr>
        <w:t>ddPCR</w:t>
      </w:r>
      <w:proofErr w:type="spellEnd"/>
      <w:r w:rsidRPr="00E73EF4">
        <w:rPr>
          <w:rFonts w:ascii="Times New Roman" w:hAnsi="Times New Roman" w:cs="Times New Roman"/>
          <w:sz w:val="24"/>
          <w:szCs w:val="24"/>
        </w:rPr>
        <w:t xml:space="preserve"> was prepared by mixing 12</w:t>
      </w:r>
      <w:r w:rsidR="009C5322" w:rsidRPr="00E73EF4">
        <w:rPr>
          <w:rFonts w:ascii="Times New Roman" w:hAnsi="Times New Roman" w:cs="Times New Roman"/>
          <w:sz w:val="24"/>
          <w:szCs w:val="24"/>
        </w:rPr>
        <w:t xml:space="preserve"> </w:t>
      </w:r>
      <w:proofErr w:type="spellStart"/>
      <w:r w:rsidRPr="00E73EF4">
        <w:rPr>
          <w:rFonts w:ascii="Times New Roman" w:hAnsi="Times New Roman" w:cs="Times New Roman"/>
          <w:sz w:val="24"/>
          <w:szCs w:val="24"/>
        </w:rPr>
        <w:t>μL</w:t>
      </w:r>
      <w:proofErr w:type="spellEnd"/>
      <w:r w:rsidRPr="00E73EF4">
        <w:rPr>
          <w:rFonts w:ascii="Times New Roman" w:hAnsi="Times New Roman" w:cs="Times New Roman"/>
          <w:sz w:val="24"/>
          <w:szCs w:val="24"/>
        </w:rPr>
        <w:t xml:space="preserve"> of each of two </w:t>
      </w:r>
      <w:proofErr w:type="gramStart"/>
      <w:r w:rsidRPr="00E73EF4">
        <w:rPr>
          <w:rFonts w:ascii="Times New Roman" w:hAnsi="Times New Roman" w:cs="Times New Roman"/>
          <w:sz w:val="24"/>
          <w:szCs w:val="24"/>
        </w:rPr>
        <w:t>selected  forward</w:t>
      </w:r>
      <w:proofErr w:type="gramEnd"/>
      <w:r w:rsidRPr="00E73EF4">
        <w:rPr>
          <w:rFonts w:ascii="Times New Roman" w:hAnsi="Times New Roman" w:cs="Times New Roman"/>
          <w:sz w:val="24"/>
          <w:szCs w:val="24"/>
        </w:rPr>
        <w:t xml:space="preserve"> primers (</w:t>
      </w:r>
      <w:r w:rsidRPr="00E73EF4">
        <w:rPr>
          <w:rFonts w:ascii="Times New Roman" w:eastAsia="Calibri" w:hAnsi="Times New Roman" w:cs="Times New Roman"/>
          <w:sz w:val="24"/>
          <w:szCs w:val="24"/>
        </w:rPr>
        <w:t xml:space="preserve">600 </w:t>
      </w:r>
      <w:proofErr w:type="spellStart"/>
      <w:r w:rsidRPr="00E73EF4">
        <w:rPr>
          <w:rFonts w:ascii="Times New Roman" w:eastAsia="Calibri" w:hAnsi="Times New Roman" w:cs="Times New Roman"/>
          <w:sz w:val="24"/>
          <w:szCs w:val="24"/>
        </w:rPr>
        <w:t>nM</w:t>
      </w:r>
      <w:proofErr w:type="spellEnd"/>
      <w:r w:rsidRPr="00E73EF4">
        <w:rPr>
          <w:rFonts w:ascii="Times New Roman" w:eastAsia="Calibri" w:hAnsi="Times New Roman" w:cs="Times New Roman"/>
          <w:sz w:val="24"/>
          <w:szCs w:val="24"/>
        </w:rPr>
        <w:t>)</w:t>
      </w:r>
      <w:r w:rsidRPr="00E73EF4">
        <w:rPr>
          <w:rFonts w:ascii="Times New Roman" w:hAnsi="Times New Roman" w:cs="Times New Roman"/>
          <w:sz w:val="24"/>
          <w:szCs w:val="24"/>
        </w:rPr>
        <w:t>, 6</w:t>
      </w:r>
      <w:r w:rsidR="009C5322" w:rsidRPr="00E73EF4">
        <w:rPr>
          <w:rFonts w:ascii="Times New Roman" w:hAnsi="Times New Roman" w:cs="Times New Roman"/>
          <w:sz w:val="24"/>
          <w:szCs w:val="24"/>
        </w:rPr>
        <w:t xml:space="preserve"> </w:t>
      </w:r>
      <w:proofErr w:type="spellStart"/>
      <w:r w:rsidRPr="00E73EF4">
        <w:rPr>
          <w:rFonts w:ascii="Times New Roman" w:hAnsi="Times New Roman" w:cs="Times New Roman"/>
          <w:sz w:val="24"/>
          <w:szCs w:val="24"/>
        </w:rPr>
        <w:t>μL</w:t>
      </w:r>
      <w:proofErr w:type="spellEnd"/>
      <w:r w:rsidRPr="00E73EF4">
        <w:rPr>
          <w:rFonts w:ascii="Times New Roman" w:hAnsi="Times New Roman" w:cs="Times New Roman"/>
          <w:sz w:val="24"/>
          <w:szCs w:val="24"/>
        </w:rPr>
        <w:t xml:space="preserve"> of each of reverse primers (</w:t>
      </w:r>
      <w:r w:rsidRPr="00E73EF4">
        <w:rPr>
          <w:rFonts w:ascii="Times New Roman" w:eastAsia="Calibri" w:hAnsi="Times New Roman" w:cs="Times New Roman"/>
          <w:sz w:val="24"/>
          <w:szCs w:val="24"/>
        </w:rPr>
        <w:t xml:space="preserve">600 </w:t>
      </w:r>
      <w:proofErr w:type="spellStart"/>
      <w:r w:rsidRPr="00E73EF4">
        <w:rPr>
          <w:rFonts w:ascii="Times New Roman" w:eastAsia="Calibri" w:hAnsi="Times New Roman" w:cs="Times New Roman"/>
          <w:sz w:val="24"/>
          <w:szCs w:val="24"/>
        </w:rPr>
        <w:t>nM</w:t>
      </w:r>
      <w:proofErr w:type="spellEnd"/>
      <w:r w:rsidRPr="00E73EF4">
        <w:rPr>
          <w:rFonts w:ascii="Times New Roman" w:eastAsia="Calibri" w:hAnsi="Times New Roman" w:cs="Times New Roman"/>
          <w:sz w:val="24"/>
          <w:szCs w:val="24"/>
        </w:rPr>
        <w:t xml:space="preserve"> for </w:t>
      </w:r>
      <w:proofErr w:type="spellStart"/>
      <w:r w:rsidRPr="00E73EF4">
        <w:rPr>
          <w:rFonts w:ascii="Times New Roman" w:eastAsia="Calibri" w:hAnsi="Times New Roman" w:cs="Times New Roman"/>
          <w:i/>
          <w:sz w:val="24"/>
          <w:szCs w:val="24"/>
        </w:rPr>
        <w:t>nuc</w:t>
      </w:r>
      <w:proofErr w:type="spellEnd"/>
      <w:r w:rsidRPr="00E73EF4">
        <w:rPr>
          <w:rFonts w:ascii="Times New Roman" w:eastAsia="Calibri" w:hAnsi="Times New Roman" w:cs="Times New Roman"/>
          <w:sz w:val="24"/>
          <w:szCs w:val="24"/>
        </w:rPr>
        <w:t xml:space="preserve"> gene and 300 </w:t>
      </w:r>
      <w:proofErr w:type="spellStart"/>
      <w:r w:rsidRPr="00E73EF4">
        <w:rPr>
          <w:rFonts w:ascii="Times New Roman" w:eastAsia="Calibri" w:hAnsi="Times New Roman" w:cs="Times New Roman"/>
          <w:sz w:val="24"/>
          <w:szCs w:val="24"/>
        </w:rPr>
        <w:t>nM</w:t>
      </w:r>
      <w:proofErr w:type="spellEnd"/>
      <w:r w:rsidRPr="00E73EF4">
        <w:rPr>
          <w:rFonts w:ascii="Times New Roman" w:eastAsia="Calibri" w:hAnsi="Times New Roman" w:cs="Times New Roman"/>
          <w:sz w:val="24"/>
          <w:szCs w:val="24"/>
        </w:rPr>
        <w:t xml:space="preserve"> for the rest genes)</w:t>
      </w:r>
      <w:r w:rsidRPr="00E73EF4">
        <w:rPr>
          <w:rFonts w:ascii="Times New Roman" w:hAnsi="Times New Roman" w:cs="Times New Roman"/>
          <w:sz w:val="24"/>
          <w:szCs w:val="24"/>
        </w:rPr>
        <w:t>, 4</w:t>
      </w:r>
      <w:r w:rsidR="009C5322" w:rsidRPr="00E73EF4">
        <w:rPr>
          <w:rFonts w:ascii="Times New Roman" w:hAnsi="Times New Roman" w:cs="Times New Roman"/>
          <w:sz w:val="24"/>
          <w:szCs w:val="24"/>
        </w:rPr>
        <w:t xml:space="preserve"> </w:t>
      </w:r>
      <w:proofErr w:type="spellStart"/>
      <w:r w:rsidRPr="00E73EF4">
        <w:rPr>
          <w:rFonts w:ascii="Times New Roman" w:hAnsi="Times New Roman" w:cs="Times New Roman"/>
          <w:sz w:val="24"/>
          <w:szCs w:val="24"/>
        </w:rPr>
        <w:t>μL</w:t>
      </w:r>
      <w:proofErr w:type="spellEnd"/>
      <w:r w:rsidRPr="00E73EF4">
        <w:rPr>
          <w:rFonts w:ascii="Times New Roman" w:hAnsi="Times New Roman" w:cs="Times New Roman"/>
          <w:sz w:val="24"/>
          <w:szCs w:val="24"/>
        </w:rPr>
        <w:t xml:space="preserve"> of each probe and made up to 100</w:t>
      </w:r>
      <w:r w:rsidR="009C5322" w:rsidRPr="00E73EF4">
        <w:rPr>
          <w:rFonts w:ascii="Times New Roman" w:hAnsi="Times New Roman" w:cs="Times New Roman"/>
          <w:sz w:val="24"/>
          <w:szCs w:val="24"/>
        </w:rPr>
        <w:t xml:space="preserve"> </w:t>
      </w:r>
      <w:proofErr w:type="spellStart"/>
      <w:r w:rsidRPr="00E73EF4">
        <w:rPr>
          <w:rFonts w:ascii="Times New Roman" w:hAnsi="Times New Roman" w:cs="Times New Roman"/>
          <w:sz w:val="24"/>
          <w:szCs w:val="24"/>
        </w:rPr>
        <w:t>μL</w:t>
      </w:r>
      <w:proofErr w:type="spellEnd"/>
      <w:r w:rsidRPr="00E73EF4">
        <w:rPr>
          <w:rFonts w:ascii="Times New Roman" w:hAnsi="Times New Roman" w:cs="Times New Roman"/>
          <w:sz w:val="24"/>
          <w:szCs w:val="24"/>
        </w:rPr>
        <w:t xml:space="preserve"> of dH</w:t>
      </w:r>
      <w:r w:rsidRPr="00E73EF4">
        <w:rPr>
          <w:rFonts w:ascii="Times New Roman" w:hAnsi="Times New Roman" w:cs="Times New Roman"/>
          <w:sz w:val="24"/>
          <w:szCs w:val="24"/>
          <w:vertAlign w:val="subscript"/>
        </w:rPr>
        <w:t>2</w:t>
      </w:r>
      <w:r w:rsidRPr="00E73EF4">
        <w:rPr>
          <w:rFonts w:ascii="Times New Roman" w:hAnsi="Times New Roman" w:cs="Times New Roman"/>
          <w:sz w:val="24"/>
          <w:szCs w:val="24"/>
        </w:rPr>
        <w:t xml:space="preserve">O, then </w:t>
      </w:r>
      <w:proofErr w:type="spellStart"/>
      <w:r w:rsidRPr="00E73EF4">
        <w:rPr>
          <w:rFonts w:ascii="Times New Roman" w:hAnsi="Times New Roman" w:cs="Times New Roman"/>
          <w:sz w:val="24"/>
          <w:szCs w:val="24"/>
        </w:rPr>
        <w:t>aliquoted</w:t>
      </w:r>
      <w:proofErr w:type="spellEnd"/>
      <w:r w:rsidRPr="00E73EF4">
        <w:rPr>
          <w:rFonts w:ascii="Times New Roman" w:hAnsi="Times New Roman" w:cs="Times New Roman"/>
          <w:sz w:val="24"/>
          <w:szCs w:val="24"/>
        </w:rPr>
        <w:t xml:space="preserve"> and kept at -20°C. The master mix for </w:t>
      </w:r>
      <w:proofErr w:type="spellStart"/>
      <w:r w:rsidRPr="00E73EF4">
        <w:rPr>
          <w:rFonts w:ascii="Times New Roman" w:hAnsi="Times New Roman" w:cs="Times New Roman"/>
          <w:sz w:val="24"/>
          <w:szCs w:val="24"/>
        </w:rPr>
        <w:t>ddPCR</w:t>
      </w:r>
      <w:proofErr w:type="spellEnd"/>
      <w:r w:rsidRPr="00E73EF4">
        <w:rPr>
          <w:rFonts w:ascii="Times New Roman" w:hAnsi="Times New Roman" w:cs="Times New Roman"/>
          <w:sz w:val="24"/>
          <w:szCs w:val="24"/>
        </w:rPr>
        <w:t xml:space="preserve"> for each sample assay was prepared by mixing 10</w:t>
      </w:r>
      <w:r w:rsidR="009C5322" w:rsidRPr="00E73EF4">
        <w:rPr>
          <w:rFonts w:ascii="Times New Roman" w:hAnsi="Times New Roman" w:cs="Times New Roman"/>
          <w:sz w:val="24"/>
          <w:szCs w:val="24"/>
        </w:rPr>
        <w:t xml:space="preserve"> </w:t>
      </w:r>
      <w:proofErr w:type="spellStart"/>
      <w:r w:rsidRPr="00E73EF4">
        <w:rPr>
          <w:rFonts w:ascii="Times New Roman" w:hAnsi="Times New Roman" w:cs="Times New Roman"/>
          <w:sz w:val="24"/>
          <w:szCs w:val="24"/>
        </w:rPr>
        <w:t>μL</w:t>
      </w:r>
      <w:proofErr w:type="spellEnd"/>
      <w:r w:rsidRPr="00E73EF4">
        <w:rPr>
          <w:rFonts w:ascii="Times New Roman" w:hAnsi="Times New Roman" w:cs="Times New Roman"/>
          <w:sz w:val="24"/>
          <w:szCs w:val="24"/>
        </w:rPr>
        <w:t xml:space="preserve"> of a 2× </w:t>
      </w:r>
      <w:proofErr w:type="spellStart"/>
      <w:r w:rsidRPr="00E73EF4">
        <w:rPr>
          <w:rFonts w:ascii="Times New Roman" w:hAnsi="Times New Roman" w:cs="Times New Roman"/>
          <w:sz w:val="24"/>
          <w:szCs w:val="24"/>
        </w:rPr>
        <w:t>ddPCR</w:t>
      </w:r>
      <w:proofErr w:type="spellEnd"/>
      <w:r w:rsidRPr="00E73EF4">
        <w:rPr>
          <w:rFonts w:ascii="Times New Roman" w:hAnsi="Times New Roman" w:cs="Times New Roman"/>
          <w:sz w:val="24"/>
          <w:szCs w:val="24"/>
        </w:rPr>
        <w:t xml:space="preserve"> </w:t>
      </w:r>
      <w:proofErr w:type="spellStart"/>
      <w:r w:rsidRPr="00E73EF4">
        <w:rPr>
          <w:rFonts w:ascii="Times New Roman" w:hAnsi="Times New Roman" w:cs="Times New Roman"/>
          <w:sz w:val="24"/>
          <w:szCs w:val="24"/>
        </w:rPr>
        <w:t>Supermix</w:t>
      </w:r>
      <w:proofErr w:type="spellEnd"/>
      <w:r w:rsidRPr="00E73EF4">
        <w:rPr>
          <w:rFonts w:ascii="Times New Roman" w:hAnsi="Times New Roman" w:cs="Times New Roman"/>
          <w:sz w:val="24"/>
          <w:szCs w:val="24"/>
        </w:rPr>
        <w:t xml:space="preserve"> for probes (Bio-Rad), 1</w:t>
      </w:r>
      <w:r w:rsidR="009C5322" w:rsidRPr="00E73EF4">
        <w:rPr>
          <w:rFonts w:ascii="Times New Roman" w:hAnsi="Times New Roman" w:cs="Times New Roman"/>
          <w:sz w:val="24"/>
          <w:szCs w:val="24"/>
        </w:rPr>
        <w:t xml:space="preserve"> </w:t>
      </w:r>
      <w:proofErr w:type="spellStart"/>
      <w:r w:rsidRPr="00E73EF4">
        <w:rPr>
          <w:rFonts w:ascii="Times New Roman" w:hAnsi="Times New Roman" w:cs="Times New Roman"/>
          <w:sz w:val="24"/>
          <w:szCs w:val="24"/>
        </w:rPr>
        <w:t>μL</w:t>
      </w:r>
      <w:proofErr w:type="spellEnd"/>
      <w:r w:rsidRPr="00E73EF4">
        <w:rPr>
          <w:rFonts w:ascii="Times New Roman" w:hAnsi="Times New Roman" w:cs="Times New Roman"/>
          <w:sz w:val="24"/>
          <w:szCs w:val="24"/>
        </w:rPr>
        <w:t xml:space="preserve"> of primer-probe mix (prepared earlier), 1</w:t>
      </w:r>
      <w:r w:rsidR="009C5322" w:rsidRPr="00E73EF4">
        <w:rPr>
          <w:rFonts w:ascii="Times New Roman" w:hAnsi="Times New Roman" w:cs="Times New Roman"/>
          <w:sz w:val="24"/>
          <w:szCs w:val="24"/>
        </w:rPr>
        <w:t xml:space="preserve"> </w:t>
      </w:r>
      <w:proofErr w:type="spellStart"/>
      <w:r w:rsidRPr="00E73EF4">
        <w:rPr>
          <w:rFonts w:ascii="Times New Roman" w:hAnsi="Times New Roman" w:cs="Times New Roman"/>
          <w:sz w:val="24"/>
          <w:szCs w:val="24"/>
        </w:rPr>
        <w:t>μL</w:t>
      </w:r>
      <w:proofErr w:type="spellEnd"/>
      <w:r w:rsidRPr="00E73EF4">
        <w:rPr>
          <w:rFonts w:ascii="Times New Roman" w:hAnsi="Times New Roman" w:cs="Times New Roman"/>
          <w:sz w:val="24"/>
          <w:szCs w:val="24"/>
        </w:rPr>
        <w:t xml:space="preserve"> of dH</w:t>
      </w:r>
      <w:r w:rsidRPr="00E73EF4">
        <w:rPr>
          <w:rFonts w:ascii="Times New Roman" w:hAnsi="Times New Roman" w:cs="Times New Roman"/>
          <w:sz w:val="24"/>
          <w:szCs w:val="24"/>
          <w:vertAlign w:val="subscript"/>
        </w:rPr>
        <w:t>2</w:t>
      </w:r>
      <w:r w:rsidRPr="00E73EF4">
        <w:rPr>
          <w:rFonts w:ascii="Times New Roman" w:hAnsi="Times New Roman" w:cs="Times New Roman"/>
          <w:sz w:val="24"/>
          <w:szCs w:val="24"/>
        </w:rPr>
        <w:t>O, and 8</w:t>
      </w:r>
      <w:r w:rsidR="009C5322" w:rsidRPr="00E73EF4">
        <w:rPr>
          <w:rFonts w:ascii="Times New Roman" w:hAnsi="Times New Roman" w:cs="Times New Roman"/>
          <w:sz w:val="24"/>
          <w:szCs w:val="24"/>
        </w:rPr>
        <w:t xml:space="preserve"> </w:t>
      </w:r>
      <w:proofErr w:type="spellStart"/>
      <w:r w:rsidRPr="00E73EF4">
        <w:rPr>
          <w:rFonts w:ascii="Times New Roman" w:hAnsi="Times New Roman" w:cs="Times New Roman"/>
          <w:sz w:val="24"/>
          <w:szCs w:val="24"/>
        </w:rPr>
        <w:t>μL</w:t>
      </w:r>
      <w:proofErr w:type="spellEnd"/>
      <w:r w:rsidRPr="00E73EF4">
        <w:rPr>
          <w:rFonts w:ascii="Times New Roman" w:hAnsi="Times New Roman" w:cs="Times New Roman"/>
          <w:sz w:val="24"/>
          <w:szCs w:val="24"/>
        </w:rPr>
        <w:t xml:space="preserve"> of DNA to a final reaction volume of 20</w:t>
      </w:r>
      <w:r w:rsidR="009C5322" w:rsidRPr="00E73EF4">
        <w:rPr>
          <w:rFonts w:ascii="Times New Roman" w:hAnsi="Times New Roman" w:cs="Times New Roman"/>
          <w:sz w:val="24"/>
          <w:szCs w:val="24"/>
        </w:rPr>
        <w:t xml:space="preserve"> </w:t>
      </w:r>
      <w:proofErr w:type="spellStart"/>
      <w:r w:rsidRPr="00E73EF4">
        <w:rPr>
          <w:rFonts w:ascii="Times New Roman" w:hAnsi="Times New Roman" w:cs="Times New Roman"/>
          <w:sz w:val="24"/>
          <w:szCs w:val="24"/>
        </w:rPr>
        <w:t>μL</w:t>
      </w:r>
      <w:proofErr w:type="spellEnd"/>
      <w:r w:rsidRPr="00E73EF4">
        <w:rPr>
          <w:rFonts w:ascii="Times New Roman" w:hAnsi="Times New Roman" w:cs="Times New Roman"/>
          <w:sz w:val="24"/>
          <w:szCs w:val="24"/>
        </w:rPr>
        <w:t xml:space="preserve">. The entire reaction mixture was loaded into one of eight sample wells of a plastic microfluidic cartridge (Bio-Rad), </w:t>
      </w:r>
      <w:r w:rsidRPr="00E73EF4">
        <w:rPr>
          <w:rFonts w:ascii="Times New Roman" w:hAnsi="Times New Roman" w:cs="Times New Roman"/>
          <w:sz w:val="24"/>
          <w:szCs w:val="24"/>
        </w:rPr>
        <w:lastRenderedPageBreak/>
        <w:t>70</w:t>
      </w:r>
      <w:r w:rsidR="009C5322" w:rsidRPr="00E73EF4">
        <w:rPr>
          <w:rFonts w:ascii="Times New Roman" w:hAnsi="Times New Roman" w:cs="Times New Roman"/>
          <w:sz w:val="24"/>
          <w:szCs w:val="24"/>
        </w:rPr>
        <w:t xml:space="preserve"> </w:t>
      </w:r>
      <w:proofErr w:type="spellStart"/>
      <w:r w:rsidRPr="00E73EF4">
        <w:rPr>
          <w:rFonts w:ascii="Times New Roman" w:hAnsi="Times New Roman" w:cs="Times New Roman"/>
          <w:sz w:val="24"/>
          <w:szCs w:val="24"/>
        </w:rPr>
        <w:t>μL</w:t>
      </w:r>
      <w:proofErr w:type="spellEnd"/>
      <w:r w:rsidRPr="00E73EF4">
        <w:rPr>
          <w:rFonts w:ascii="Times New Roman" w:hAnsi="Times New Roman" w:cs="Times New Roman"/>
          <w:sz w:val="24"/>
          <w:szCs w:val="24"/>
        </w:rPr>
        <w:t xml:space="preserve"> of droplet generation oil (Bio-Rad) was loaded into the corresponding oil reservoir (all eight positions in the cartridge wer</w:t>
      </w:r>
      <w:r w:rsidR="000D70BF" w:rsidRPr="00E73EF4">
        <w:rPr>
          <w:rFonts w:ascii="Times New Roman" w:hAnsi="Times New Roman" w:cs="Times New Roman"/>
          <w:sz w:val="24"/>
          <w:szCs w:val="24"/>
        </w:rPr>
        <w:t>e filled) and placed in the d</w:t>
      </w:r>
      <w:r w:rsidRPr="00E73EF4">
        <w:rPr>
          <w:rFonts w:ascii="Times New Roman" w:hAnsi="Times New Roman" w:cs="Times New Roman"/>
          <w:sz w:val="24"/>
          <w:szCs w:val="24"/>
        </w:rPr>
        <w:t>roplet generator (Bio-Rad). The droplets generated from each sample were transferred to a 96-well standard profile 0.2</w:t>
      </w:r>
      <w:r w:rsidR="009C5322" w:rsidRPr="00E73EF4">
        <w:rPr>
          <w:rFonts w:ascii="Times New Roman" w:hAnsi="Times New Roman" w:cs="Times New Roman"/>
          <w:sz w:val="24"/>
          <w:szCs w:val="24"/>
        </w:rPr>
        <w:t xml:space="preserve"> </w:t>
      </w:r>
      <w:r w:rsidRPr="00E73EF4">
        <w:rPr>
          <w:rFonts w:ascii="Times New Roman" w:hAnsi="Times New Roman" w:cs="Times New Roman"/>
          <w:sz w:val="24"/>
          <w:szCs w:val="24"/>
        </w:rPr>
        <w:t>mL PCR plate (Eppendorf) and pipetting by aspirating and dispensing the 90</w:t>
      </w:r>
      <w:r w:rsidR="009C5322" w:rsidRPr="00E73EF4">
        <w:rPr>
          <w:rFonts w:ascii="Times New Roman" w:hAnsi="Times New Roman" w:cs="Times New Roman"/>
          <w:sz w:val="24"/>
          <w:szCs w:val="24"/>
        </w:rPr>
        <w:t xml:space="preserve"> </w:t>
      </w:r>
      <w:r w:rsidRPr="00E73EF4">
        <w:rPr>
          <w:rFonts w:ascii="Times New Roman" w:hAnsi="Times New Roman" w:cs="Times New Roman"/>
          <w:sz w:val="24"/>
          <w:szCs w:val="24"/>
        </w:rPr>
        <w:t xml:space="preserve">µL volume over a 8 second duration in order to avoid damaging the emulsion. The plate was sealed with easy pierce foil seal. PCR reactions were performed using the following cycle conditions: 95°C denaturation for 10 min, followed by 40 cycles of 94°C for 30 s and 58°C for 60 s, 1 cycle of 98°C for 10 min. After amplification, the plate was placed in the droplet reader, which analysed each droplet individually using </w:t>
      </w:r>
      <w:r w:rsidR="000D70BF" w:rsidRPr="00E73EF4">
        <w:rPr>
          <w:rFonts w:ascii="Times New Roman" w:hAnsi="Times New Roman" w:cs="Times New Roman"/>
          <w:sz w:val="24"/>
          <w:szCs w:val="24"/>
        </w:rPr>
        <w:t xml:space="preserve">a </w:t>
      </w:r>
      <w:r w:rsidRPr="00E73EF4">
        <w:rPr>
          <w:rFonts w:ascii="Times New Roman" w:hAnsi="Times New Roman" w:cs="Times New Roman"/>
          <w:sz w:val="24"/>
          <w:szCs w:val="24"/>
        </w:rPr>
        <w:t xml:space="preserve">two-colour </w:t>
      </w:r>
      <w:r w:rsidR="000D70BF" w:rsidRPr="00E73EF4">
        <w:rPr>
          <w:rFonts w:ascii="Times New Roman" w:hAnsi="Times New Roman" w:cs="Times New Roman"/>
          <w:sz w:val="24"/>
          <w:szCs w:val="24"/>
        </w:rPr>
        <w:t xml:space="preserve">optical </w:t>
      </w:r>
      <w:r w:rsidRPr="00E73EF4">
        <w:rPr>
          <w:rFonts w:ascii="Times New Roman" w:hAnsi="Times New Roman" w:cs="Times New Roman"/>
          <w:sz w:val="24"/>
          <w:szCs w:val="24"/>
        </w:rPr>
        <w:t>detection system (FAM and Yakima Yellow) and identified which droplets contain the respective target DNA sequences and which did not according to the fluorescence amplitude compared to a baseline identified by a known negative control performed simultaneously. Samples containing amplified product with bright fluorescence relative to the base line were considered as positive whereas droplets wit</w:t>
      </w:r>
      <w:r w:rsidR="000D70BF" w:rsidRPr="00E73EF4">
        <w:rPr>
          <w:rFonts w:ascii="Times New Roman" w:hAnsi="Times New Roman" w:cs="Times New Roman"/>
          <w:sz w:val="24"/>
          <w:szCs w:val="24"/>
        </w:rPr>
        <w:t>h little or no fluorescence formed the</w:t>
      </w:r>
      <w:r w:rsidRPr="00E73EF4">
        <w:rPr>
          <w:rFonts w:ascii="Times New Roman" w:hAnsi="Times New Roman" w:cs="Times New Roman"/>
          <w:sz w:val="24"/>
          <w:szCs w:val="24"/>
        </w:rPr>
        <w:t xml:space="preserve"> sample baseline were called negative. Data were analysed with</w:t>
      </w:r>
      <w:r w:rsidR="00B42B5F" w:rsidRPr="00E73EF4">
        <w:rPr>
          <w:rFonts w:ascii="Times New Roman" w:hAnsi="Times New Roman" w:cs="Times New Roman"/>
          <w:sz w:val="24"/>
          <w:szCs w:val="24"/>
        </w:rPr>
        <w:t xml:space="preserve"> </w:t>
      </w:r>
      <w:proofErr w:type="spellStart"/>
      <w:r w:rsidR="00B42B5F" w:rsidRPr="00E73EF4">
        <w:rPr>
          <w:rFonts w:ascii="Times New Roman" w:hAnsi="Times New Roman" w:cs="Times New Roman"/>
          <w:sz w:val="24"/>
          <w:szCs w:val="24"/>
        </w:rPr>
        <w:t>QuantaLife</w:t>
      </w:r>
      <w:proofErr w:type="spellEnd"/>
      <w:r w:rsidR="00B42B5F" w:rsidRPr="00E73EF4">
        <w:rPr>
          <w:rFonts w:ascii="Times New Roman" w:hAnsi="Times New Roman" w:cs="Times New Roman"/>
          <w:sz w:val="24"/>
          <w:szCs w:val="24"/>
        </w:rPr>
        <w:t xml:space="preserve">® analysis software </w:t>
      </w:r>
      <w:r w:rsidRPr="00E73EF4">
        <w:rPr>
          <w:rFonts w:ascii="Times New Roman" w:hAnsi="Times New Roman" w:cs="Times New Roman"/>
          <w:sz w:val="24"/>
          <w:szCs w:val="24"/>
        </w:rPr>
        <w:t>which calculated the fraction of positive droplets and fitted them to a Poisson distribution to determine the starting concentration of the target sequence in units of copies/µL input from the sample.</w:t>
      </w:r>
    </w:p>
    <w:p w14:paraId="2D49406D" w14:textId="77777777" w:rsidR="003066D2" w:rsidRPr="00E73EF4" w:rsidRDefault="003066D2" w:rsidP="003066D2">
      <w:pPr>
        <w:spacing w:line="480" w:lineRule="auto"/>
        <w:ind w:firstLine="720"/>
        <w:jc w:val="both"/>
        <w:rPr>
          <w:rFonts w:ascii="Times New Roman" w:eastAsia="Calibri" w:hAnsi="Times New Roman" w:cs="Times New Roman"/>
          <w:sz w:val="24"/>
          <w:szCs w:val="24"/>
        </w:rPr>
      </w:pPr>
      <w:r w:rsidRPr="00E73EF4">
        <w:rPr>
          <w:rFonts w:ascii="Times New Roman" w:hAnsi="Times New Roman" w:cs="Times New Roman"/>
          <w:b/>
          <w:bCs/>
          <w:sz w:val="24"/>
          <w:szCs w:val="24"/>
        </w:rPr>
        <w:t>Statistical analysis</w:t>
      </w:r>
      <w:r w:rsidRPr="00E73EF4">
        <w:rPr>
          <w:rFonts w:ascii="Times New Roman" w:eastAsia="Calibri" w:hAnsi="Times New Roman" w:cs="Times New Roman"/>
          <w:sz w:val="24"/>
          <w:szCs w:val="24"/>
        </w:rPr>
        <w:t xml:space="preserve"> </w:t>
      </w:r>
    </w:p>
    <w:p w14:paraId="192BEED6" w14:textId="0DB26B45" w:rsidR="0010488E" w:rsidRPr="00E73EF4" w:rsidRDefault="003066D2" w:rsidP="0010488E">
      <w:pPr>
        <w:spacing w:line="480" w:lineRule="auto"/>
        <w:ind w:firstLine="720"/>
        <w:jc w:val="both"/>
        <w:rPr>
          <w:rFonts w:ascii="Times New Roman" w:hAnsi="Times New Roman" w:cs="Times New Roman"/>
          <w:sz w:val="24"/>
          <w:szCs w:val="24"/>
        </w:rPr>
      </w:pPr>
      <w:r w:rsidRPr="00E73EF4">
        <w:rPr>
          <w:rFonts w:ascii="Times New Roman" w:eastAsia="Calibri" w:hAnsi="Times New Roman" w:cs="Times New Roman"/>
          <w:sz w:val="24"/>
          <w:szCs w:val="24"/>
          <w:lang w:val="en-US"/>
        </w:rPr>
        <w:t xml:space="preserve">Differences in phage titers or </w:t>
      </w:r>
      <w:proofErr w:type="spellStart"/>
      <w:r w:rsidRPr="00E73EF4">
        <w:rPr>
          <w:rFonts w:ascii="Times New Roman" w:eastAsia="Calibri" w:hAnsi="Times New Roman" w:cs="Times New Roman"/>
          <w:sz w:val="24"/>
          <w:szCs w:val="24"/>
          <w:lang w:val="en-US"/>
        </w:rPr>
        <w:t>transductants</w:t>
      </w:r>
      <w:proofErr w:type="spellEnd"/>
      <w:r w:rsidR="00A90154" w:rsidRPr="00E73EF4">
        <w:rPr>
          <w:rFonts w:ascii="Times New Roman" w:eastAsia="Calibri" w:hAnsi="Times New Roman" w:cs="Times New Roman"/>
          <w:sz w:val="24"/>
          <w:szCs w:val="24"/>
          <w:lang w:val="en-US"/>
        </w:rPr>
        <w:t>/mL</w:t>
      </w:r>
      <w:r w:rsidRPr="00E73EF4">
        <w:rPr>
          <w:rFonts w:ascii="Times New Roman" w:eastAsia="Calibri" w:hAnsi="Times New Roman" w:cs="Times New Roman"/>
          <w:sz w:val="24"/>
          <w:szCs w:val="24"/>
          <w:lang w:val="en-US"/>
        </w:rPr>
        <w:t xml:space="preserve"> were analyzed by unpaired two-tailed Student t test </w:t>
      </w:r>
      <w:r w:rsidRPr="00E73EF4">
        <w:rPr>
          <w:rFonts w:ascii="Times New Roman" w:eastAsia="Calibri" w:hAnsi="Times New Roman" w:cs="Times New Roman"/>
          <w:sz w:val="24"/>
          <w:szCs w:val="24"/>
        </w:rPr>
        <w:t>with Welch's correction</w:t>
      </w:r>
      <w:r w:rsidR="00B42B5F" w:rsidRPr="00E73EF4">
        <w:rPr>
          <w:rFonts w:ascii="Times New Roman" w:eastAsia="Calibri" w:hAnsi="Times New Roman" w:cs="Times New Roman"/>
          <w:sz w:val="24"/>
          <w:szCs w:val="24"/>
        </w:rPr>
        <w:t>.</w:t>
      </w:r>
      <w:r w:rsidRPr="00E73EF4">
        <w:rPr>
          <w:rFonts w:ascii="Times New Roman" w:eastAsia="Calibri" w:hAnsi="Times New Roman" w:cs="Times New Roman"/>
          <w:sz w:val="24"/>
          <w:szCs w:val="24"/>
          <w:lang w:val="en-US"/>
        </w:rPr>
        <w:t xml:space="preserve"> </w:t>
      </w:r>
      <w:r w:rsidR="00B42B5F" w:rsidRPr="00E73EF4">
        <w:rPr>
          <w:rFonts w:ascii="Times New Roman" w:hAnsi="Times New Roman" w:cs="Times New Roman"/>
          <w:sz w:val="24"/>
          <w:szCs w:val="24"/>
        </w:rPr>
        <w:t>V</w:t>
      </w:r>
      <w:r w:rsidRPr="00E73EF4">
        <w:rPr>
          <w:rFonts w:ascii="Times New Roman" w:hAnsi="Times New Roman" w:cs="Times New Roman"/>
          <w:sz w:val="24"/>
          <w:szCs w:val="24"/>
        </w:rPr>
        <w:t>ariation in copy number of the target genes per µL</w:t>
      </w:r>
      <w:r w:rsidR="00B42B5F" w:rsidRPr="00E73EF4">
        <w:rPr>
          <w:rFonts w:ascii="Times New Roman" w:hAnsi="Times New Roman" w:cs="Times New Roman"/>
          <w:sz w:val="24"/>
          <w:szCs w:val="24"/>
        </w:rPr>
        <w:t xml:space="preserve"> detected by </w:t>
      </w:r>
      <w:proofErr w:type="spellStart"/>
      <w:r w:rsidR="00B42B5F" w:rsidRPr="00E73EF4">
        <w:rPr>
          <w:rFonts w:ascii="Times New Roman" w:hAnsi="Times New Roman" w:cs="Times New Roman"/>
          <w:sz w:val="24"/>
          <w:szCs w:val="24"/>
        </w:rPr>
        <w:t>ddPCR</w:t>
      </w:r>
      <w:proofErr w:type="spellEnd"/>
      <w:r w:rsidR="00B42B5F" w:rsidRPr="00E73EF4">
        <w:rPr>
          <w:rFonts w:ascii="Times New Roman" w:hAnsi="Times New Roman" w:cs="Times New Roman"/>
          <w:sz w:val="24"/>
          <w:szCs w:val="24"/>
        </w:rPr>
        <w:t xml:space="preserve"> was</w:t>
      </w:r>
      <w:r w:rsidRPr="00E73EF4">
        <w:rPr>
          <w:rFonts w:ascii="Times New Roman" w:hAnsi="Times New Roman" w:cs="Times New Roman"/>
          <w:sz w:val="24"/>
          <w:szCs w:val="24"/>
        </w:rPr>
        <w:t xml:space="preserve"> analysed using two way ANOVA. P-values &lt;0.05 were considered statistically significant. Linear regression was applied to assess the correlation between the gene content of phage particles and </w:t>
      </w:r>
      <w:proofErr w:type="spellStart"/>
      <w:r w:rsidRPr="00E73EF4">
        <w:rPr>
          <w:rFonts w:ascii="Times New Roman" w:hAnsi="Times New Roman" w:cs="Times New Roman"/>
          <w:sz w:val="24"/>
          <w:szCs w:val="24"/>
        </w:rPr>
        <w:t>pfu</w:t>
      </w:r>
      <w:proofErr w:type="spellEnd"/>
      <w:r w:rsidRPr="00E73EF4">
        <w:rPr>
          <w:rFonts w:ascii="Times New Roman" w:hAnsi="Times New Roman" w:cs="Times New Roman"/>
          <w:sz w:val="24"/>
          <w:szCs w:val="24"/>
        </w:rPr>
        <w:t xml:space="preserve">/mL or number of </w:t>
      </w:r>
      <w:proofErr w:type="spellStart"/>
      <w:r w:rsidRPr="00E73EF4">
        <w:rPr>
          <w:rFonts w:ascii="Times New Roman" w:hAnsi="Times New Roman" w:cs="Times New Roman"/>
          <w:sz w:val="24"/>
          <w:szCs w:val="24"/>
        </w:rPr>
        <w:t>transductant</w:t>
      </w:r>
      <w:proofErr w:type="spellEnd"/>
      <w:r w:rsidRPr="00E73EF4">
        <w:rPr>
          <w:rFonts w:ascii="Times New Roman" w:hAnsi="Times New Roman" w:cs="Times New Roman"/>
          <w:sz w:val="24"/>
          <w:szCs w:val="24"/>
        </w:rPr>
        <w:t xml:space="preserve"> cells/</w:t>
      </w:r>
      <w:proofErr w:type="spellStart"/>
      <w:r w:rsidRPr="00E73EF4">
        <w:rPr>
          <w:rFonts w:ascii="Times New Roman" w:hAnsi="Times New Roman" w:cs="Times New Roman"/>
          <w:sz w:val="24"/>
          <w:szCs w:val="24"/>
        </w:rPr>
        <w:t>mL.</w:t>
      </w:r>
      <w:proofErr w:type="spellEnd"/>
      <w:r w:rsidR="0010488E" w:rsidRPr="00E73EF4">
        <w:rPr>
          <w:rFonts w:ascii="Times New Roman" w:hAnsi="Times New Roman" w:cs="Times New Roman"/>
          <w:b/>
          <w:sz w:val="24"/>
          <w:szCs w:val="24"/>
          <w:u w:val="single"/>
        </w:rPr>
        <w:br w:type="page"/>
      </w:r>
    </w:p>
    <w:p w14:paraId="7B4669C1" w14:textId="2069E2BB" w:rsidR="007D5C69" w:rsidRPr="00E73EF4" w:rsidRDefault="00851BC8" w:rsidP="00B6049E">
      <w:pPr>
        <w:spacing w:line="480" w:lineRule="auto"/>
        <w:ind w:firstLine="720"/>
        <w:jc w:val="both"/>
        <w:rPr>
          <w:rFonts w:ascii="Times New Roman" w:hAnsi="Times New Roman" w:cs="Times New Roman"/>
          <w:b/>
          <w:sz w:val="24"/>
          <w:szCs w:val="24"/>
          <w:u w:val="single"/>
        </w:rPr>
      </w:pPr>
      <w:r w:rsidRPr="00E73EF4">
        <w:rPr>
          <w:rFonts w:ascii="Times New Roman" w:hAnsi="Times New Roman" w:cs="Times New Roman"/>
          <w:b/>
          <w:sz w:val="24"/>
          <w:szCs w:val="24"/>
          <w:u w:val="single"/>
        </w:rPr>
        <w:lastRenderedPageBreak/>
        <w:t>Results</w:t>
      </w:r>
    </w:p>
    <w:p w14:paraId="57541151" w14:textId="0A97D5DB" w:rsidR="00514E4D" w:rsidRPr="00E73EF4" w:rsidRDefault="00514E4D" w:rsidP="00B6049E">
      <w:pPr>
        <w:spacing w:line="480" w:lineRule="auto"/>
        <w:ind w:firstLine="720"/>
        <w:jc w:val="both"/>
        <w:rPr>
          <w:rFonts w:ascii="Times New Roman" w:eastAsia="Calibri" w:hAnsi="Times New Roman" w:cs="Times New Roman"/>
          <w:b/>
          <w:sz w:val="24"/>
          <w:szCs w:val="24"/>
          <w:lang w:val="en-US"/>
        </w:rPr>
      </w:pPr>
      <w:r w:rsidRPr="00E73EF4">
        <w:rPr>
          <w:rFonts w:ascii="Times New Roman" w:eastAsia="Calibri" w:hAnsi="Times New Roman" w:cs="Times New Roman"/>
          <w:b/>
          <w:sz w:val="24"/>
          <w:szCs w:val="24"/>
          <w:lang w:val="en-US"/>
        </w:rPr>
        <w:t xml:space="preserve">Sub-inhibitory antibiotics induce transducing </w:t>
      </w:r>
      <w:r w:rsidR="009C26E1" w:rsidRPr="00E73EF4">
        <w:rPr>
          <w:rFonts w:ascii="Times New Roman" w:eastAsia="Calibri" w:hAnsi="Times New Roman" w:cs="Times New Roman"/>
          <w:b/>
          <w:sz w:val="24"/>
          <w:szCs w:val="24"/>
          <w:lang w:val="en-US"/>
        </w:rPr>
        <w:t xml:space="preserve">and lytic </w:t>
      </w:r>
      <w:r w:rsidRPr="00E73EF4">
        <w:rPr>
          <w:rFonts w:ascii="Times New Roman" w:eastAsia="Calibri" w:hAnsi="Times New Roman" w:cs="Times New Roman"/>
          <w:b/>
          <w:sz w:val="24"/>
          <w:szCs w:val="24"/>
          <w:lang w:val="en-US"/>
        </w:rPr>
        <w:t xml:space="preserve">particles in different </w:t>
      </w:r>
      <w:r w:rsidR="009C26E1" w:rsidRPr="00E73EF4">
        <w:rPr>
          <w:rFonts w:ascii="Times New Roman" w:eastAsia="Calibri" w:hAnsi="Times New Roman" w:cs="Times New Roman"/>
          <w:b/>
          <w:sz w:val="24"/>
          <w:szCs w:val="24"/>
          <w:lang w:val="en-US"/>
        </w:rPr>
        <w:t xml:space="preserve">quantities and </w:t>
      </w:r>
      <w:r w:rsidRPr="00E73EF4">
        <w:rPr>
          <w:rFonts w:ascii="Times New Roman" w:eastAsia="Calibri" w:hAnsi="Times New Roman" w:cs="Times New Roman"/>
          <w:b/>
          <w:sz w:val="24"/>
          <w:szCs w:val="24"/>
          <w:lang w:val="en-US"/>
        </w:rPr>
        <w:t xml:space="preserve">ratios. </w:t>
      </w:r>
    </w:p>
    <w:p w14:paraId="7810D257" w14:textId="1E6E5E34" w:rsidR="00024A14" w:rsidRPr="00E73EF4" w:rsidRDefault="00514E4D">
      <w:pPr>
        <w:spacing w:line="480" w:lineRule="auto"/>
        <w:ind w:firstLine="720"/>
        <w:jc w:val="both"/>
        <w:rPr>
          <w:rFonts w:ascii="Times New Roman" w:eastAsia="Calibri" w:hAnsi="Times New Roman" w:cs="Times New Roman"/>
          <w:sz w:val="24"/>
          <w:szCs w:val="24"/>
          <w:lang w:val="en-US"/>
        </w:rPr>
      </w:pPr>
      <w:r w:rsidRPr="00E73EF4">
        <w:rPr>
          <w:rFonts w:ascii="Times New Roman" w:eastAsia="Calibri" w:hAnsi="Times New Roman" w:cs="Times New Roman"/>
          <w:sz w:val="24"/>
          <w:szCs w:val="24"/>
          <w:lang w:val="en-US"/>
        </w:rPr>
        <w:t>Donor cell cultures exposed to sub-MIC of all the tested antibioti</w:t>
      </w:r>
      <w:r w:rsidR="003D6B88" w:rsidRPr="00E73EF4">
        <w:rPr>
          <w:rFonts w:ascii="Times New Roman" w:eastAsia="Calibri" w:hAnsi="Times New Roman" w:cs="Times New Roman"/>
          <w:sz w:val="24"/>
          <w:szCs w:val="24"/>
          <w:lang w:val="en-US"/>
        </w:rPr>
        <w:t>cs generated transducing phage</w:t>
      </w:r>
      <w:r w:rsidRPr="00E73EF4">
        <w:rPr>
          <w:rFonts w:ascii="Times New Roman" w:eastAsia="Calibri" w:hAnsi="Times New Roman" w:cs="Times New Roman"/>
          <w:sz w:val="24"/>
          <w:szCs w:val="24"/>
          <w:lang w:val="en-US"/>
        </w:rPr>
        <w:t xml:space="preserve"> capable of transferring the </w:t>
      </w:r>
      <w:proofErr w:type="spellStart"/>
      <w:r w:rsidRPr="00E73EF4">
        <w:rPr>
          <w:rFonts w:ascii="Times New Roman" w:eastAsia="Calibri" w:hAnsi="Times New Roman" w:cs="Times New Roman"/>
          <w:i/>
          <w:sz w:val="24"/>
          <w:szCs w:val="24"/>
          <w:lang w:val="en-US"/>
        </w:rPr>
        <w:t>erm</w:t>
      </w:r>
      <w:r w:rsidR="003075CB" w:rsidRPr="00E73EF4">
        <w:rPr>
          <w:rFonts w:ascii="Times New Roman" w:eastAsia="Calibri" w:hAnsi="Times New Roman" w:cs="Times New Roman"/>
          <w:i/>
          <w:sz w:val="24"/>
          <w:szCs w:val="24"/>
          <w:lang w:val="en-US"/>
        </w:rPr>
        <w:t>C</w:t>
      </w:r>
      <w:proofErr w:type="spellEnd"/>
      <w:r w:rsidRPr="00E73EF4">
        <w:rPr>
          <w:rFonts w:ascii="Times New Roman" w:eastAsia="Calibri" w:hAnsi="Times New Roman" w:cs="Times New Roman"/>
          <w:sz w:val="24"/>
          <w:szCs w:val="24"/>
          <w:lang w:val="en-US"/>
        </w:rPr>
        <w:t xml:space="preserve"> gene to recipient cells.  In contrast, donor cell cultures not exposed to antibiotics did not generate phage particles</w:t>
      </w:r>
      <w:r w:rsidR="004B4C4C" w:rsidRPr="00E73EF4">
        <w:rPr>
          <w:rFonts w:ascii="Times New Roman" w:eastAsia="Calibri" w:hAnsi="Times New Roman" w:cs="Times New Roman"/>
          <w:sz w:val="24"/>
          <w:szCs w:val="24"/>
          <w:lang w:val="en-US"/>
        </w:rPr>
        <w:t xml:space="preserve"> capable of transducing the </w:t>
      </w:r>
      <w:proofErr w:type="spellStart"/>
      <w:r w:rsidR="004B4C4C" w:rsidRPr="00E73EF4">
        <w:rPr>
          <w:rFonts w:ascii="Times New Roman" w:eastAsia="Calibri" w:hAnsi="Times New Roman" w:cs="Times New Roman"/>
          <w:i/>
          <w:sz w:val="24"/>
          <w:szCs w:val="24"/>
          <w:lang w:val="en-US"/>
        </w:rPr>
        <w:t>ermC</w:t>
      </w:r>
      <w:proofErr w:type="spellEnd"/>
      <w:r w:rsidRPr="00E73EF4">
        <w:rPr>
          <w:rFonts w:ascii="Times New Roman" w:eastAsia="Calibri" w:hAnsi="Times New Roman" w:cs="Times New Roman"/>
          <w:sz w:val="24"/>
          <w:szCs w:val="24"/>
          <w:lang w:val="en-US"/>
        </w:rPr>
        <w:t xml:space="preserve"> gene at detectable levels (Figure 1</w:t>
      </w:r>
      <w:r w:rsidR="004D5FEB" w:rsidRPr="00E73EF4">
        <w:rPr>
          <w:rFonts w:ascii="Times New Roman" w:eastAsia="Calibri" w:hAnsi="Times New Roman" w:cs="Times New Roman"/>
          <w:sz w:val="24"/>
          <w:szCs w:val="24"/>
          <w:lang w:val="en-US"/>
        </w:rPr>
        <w:t>a</w:t>
      </w:r>
      <w:r w:rsidRPr="00E73EF4">
        <w:rPr>
          <w:rFonts w:ascii="Times New Roman" w:eastAsia="Calibri" w:hAnsi="Times New Roman" w:cs="Times New Roman"/>
          <w:sz w:val="24"/>
          <w:szCs w:val="24"/>
          <w:lang w:val="en-US"/>
        </w:rPr>
        <w:t xml:space="preserve">). </w:t>
      </w:r>
      <w:r w:rsidR="00675CAD" w:rsidRPr="00E73EF4">
        <w:rPr>
          <w:rFonts w:ascii="Times New Roman" w:eastAsia="Calibri" w:hAnsi="Times New Roman" w:cs="Times New Roman"/>
          <w:sz w:val="24"/>
          <w:szCs w:val="24"/>
          <w:lang w:val="en-US"/>
        </w:rPr>
        <w:t xml:space="preserve">The lack of detectable </w:t>
      </w:r>
      <w:proofErr w:type="spellStart"/>
      <w:r w:rsidR="00675CAD" w:rsidRPr="00E73EF4">
        <w:rPr>
          <w:rFonts w:ascii="Times New Roman" w:eastAsia="Calibri" w:hAnsi="Times New Roman" w:cs="Times New Roman"/>
          <w:sz w:val="24"/>
          <w:szCs w:val="24"/>
          <w:lang w:val="en-US"/>
        </w:rPr>
        <w:t>transductants</w:t>
      </w:r>
      <w:proofErr w:type="spellEnd"/>
      <w:r w:rsidR="00675CAD" w:rsidRPr="00E73EF4">
        <w:rPr>
          <w:rFonts w:ascii="Times New Roman" w:eastAsia="Calibri" w:hAnsi="Times New Roman" w:cs="Times New Roman"/>
          <w:sz w:val="24"/>
          <w:szCs w:val="24"/>
          <w:lang w:val="en-US"/>
        </w:rPr>
        <w:t xml:space="preserve"> in unexposed control suggests that transduction needs to be stimulated, for instance by presence of antibiotic, or the number of </w:t>
      </w:r>
      <w:proofErr w:type="spellStart"/>
      <w:r w:rsidR="00675CAD" w:rsidRPr="00E73EF4">
        <w:rPr>
          <w:rFonts w:ascii="Times New Roman" w:eastAsia="Calibri" w:hAnsi="Times New Roman" w:cs="Times New Roman"/>
          <w:sz w:val="24"/>
          <w:szCs w:val="24"/>
          <w:lang w:val="en-US"/>
        </w:rPr>
        <w:t>transductants</w:t>
      </w:r>
      <w:proofErr w:type="spellEnd"/>
      <w:r w:rsidR="00675CAD" w:rsidRPr="00E73EF4">
        <w:rPr>
          <w:rFonts w:ascii="Times New Roman" w:eastAsia="Calibri" w:hAnsi="Times New Roman" w:cs="Times New Roman"/>
          <w:sz w:val="24"/>
          <w:szCs w:val="24"/>
          <w:lang w:val="en-US"/>
        </w:rPr>
        <w:t xml:space="preserve"> will be under the detection limit</w:t>
      </w:r>
      <w:r w:rsidR="00A074BA" w:rsidRPr="00E73EF4">
        <w:rPr>
          <w:rFonts w:ascii="Times New Roman" w:eastAsia="Calibri" w:hAnsi="Times New Roman" w:cs="Times New Roman"/>
          <w:sz w:val="24"/>
          <w:szCs w:val="24"/>
          <w:lang w:val="en-US"/>
        </w:rPr>
        <w:t xml:space="preserve"> of the assay</w:t>
      </w:r>
      <w:r w:rsidR="00675CAD" w:rsidRPr="00E73EF4">
        <w:rPr>
          <w:rFonts w:ascii="Times New Roman" w:eastAsia="Calibri" w:hAnsi="Times New Roman" w:cs="Times New Roman"/>
          <w:sz w:val="24"/>
          <w:szCs w:val="24"/>
          <w:lang w:val="en-US"/>
        </w:rPr>
        <w:t>.</w:t>
      </w:r>
      <w:r w:rsidR="00F81D69" w:rsidRPr="00E73EF4">
        <w:rPr>
          <w:rFonts w:ascii="Times New Roman" w:eastAsia="Calibri" w:hAnsi="Times New Roman" w:cs="Times New Roman"/>
          <w:sz w:val="24"/>
          <w:szCs w:val="24"/>
          <w:lang w:val="en-US"/>
        </w:rPr>
        <w:t xml:space="preserve">  The donor bacterium 19A was resistant to erythromycin, ampicillin, </w:t>
      </w:r>
      <w:proofErr w:type="spellStart"/>
      <w:r w:rsidR="00F81D69" w:rsidRPr="00E73EF4">
        <w:rPr>
          <w:rFonts w:ascii="Times New Roman" w:eastAsia="Calibri" w:hAnsi="Times New Roman" w:cs="Times New Roman"/>
          <w:sz w:val="24"/>
          <w:szCs w:val="24"/>
          <w:lang w:val="en-US"/>
        </w:rPr>
        <w:t>cefoxitin</w:t>
      </w:r>
      <w:proofErr w:type="spellEnd"/>
      <w:r w:rsidR="00F81D69" w:rsidRPr="00E73EF4">
        <w:rPr>
          <w:rFonts w:ascii="Times New Roman" w:eastAsia="Calibri" w:hAnsi="Times New Roman" w:cs="Times New Roman"/>
          <w:sz w:val="24"/>
          <w:szCs w:val="24"/>
          <w:lang w:val="en-US"/>
        </w:rPr>
        <w:t xml:space="preserve">, gentamicin and ciprofloxacin, but </w:t>
      </w:r>
      <w:r w:rsidR="00FD0A70" w:rsidRPr="00E73EF4">
        <w:rPr>
          <w:rFonts w:ascii="Times New Roman" w:eastAsia="Calibri" w:hAnsi="Times New Roman" w:cs="Times New Roman"/>
          <w:sz w:val="24"/>
          <w:szCs w:val="24"/>
          <w:lang w:val="en-US"/>
        </w:rPr>
        <w:t xml:space="preserve">exposure to </w:t>
      </w:r>
      <w:r w:rsidR="00F81D69" w:rsidRPr="00E73EF4">
        <w:rPr>
          <w:rFonts w:ascii="Times New Roman" w:eastAsia="Calibri" w:hAnsi="Times New Roman" w:cs="Times New Roman"/>
          <w:sz w:val="24"/>
          <w:szCs w:val="24"/>
          <w:lang w:val="en-US"/>
        </w:rPr>
        <w:t>these antibiotics did not correlate with increased transduction (Fig 1a).</w:t>
      </w:r>
    </w:p>
    <w:p w14:paraId="38624413" w14:textId="20AC85F5" w:rsidR="00514E4D" w:rsidRPr="00E73EF4" w:rsidRDefault="003D6B88">
      <w:pPr>
        <w:spacing w:line="480" w:lineRule="auto"/>
        <w:ind w:firstLine="720"/>
        <w:jc w:val="both"/>
        <w:rPr>
          <w:rFonts w:ascii="Times New Roman" w:eastAsia="Calibri" w:hAnsi="Times New Roman" w:cs="Times New Roman"/>
          <w:sz w:val="24"/>
          <w:szCs w:val="24"/>
          <w:lang w:val="en-US"/>
        </w:rPr>
      </w:pPr>
      <w:r w:rsidRPr="00E73EF4">
        <w:rPr>
          <w:rFonts w:ascii="Times New Roman" w:eastAsia="Calibri" w:hAnsi="Times New Roman" w:cs="Times New Roman"/>
          <w:sz w:val="24"/>
          <w:szCs w:val="24"/>
          <w:lang w:val="en-US"/>
        </w:rPr>
        <w:t xml:space="preserve">In the absence of antibiotics, lytic phage was produced. However, sub-MIC </w:t>
      </w:r>
      <w:r w:rsidR="00A074BA" w:rsidRPr="00E73EF4">
        <w:rPr>
          <w:rFonts w:ascii="Times New Roman" w:eastAsia="Calibri" w:hAnsi="Times New Roman" w:cs="Times New Roman"/>
          <w:sz w:val="24"/>
          <w:szCs w:val="24"/>
          <w:lang w:val="en-US"/>
        </w:rPr>
        <w:t xml:space="preserve">concentrations </w:t>
      </w:r>
      <w:r w:rsidRPr="00E73EF4">
        <w:rPr>
          <w:rFonts w:ascii="Times New Roman" w:eastAsia="Calibri" w:hAnsi="Times New Roman" w:cs="Times New Roman"/>
          <w:sz w:val="24"/>
          <w:szCs w:val="24"/>
          <w:lang w:val="en-US"/>
        </w:rPr>
        <w:t>of all the tested antibiotics induced higher levels of lytic phage (Figure 1</w:t>
      </w:r>
      <w:r w:rsidR="004D5FEB" w:rsidRPr="00E73EF4">
        <w:rPr>
          <w:rFonts w:ascii="Times New Roman" w:eastAsia="Calibri" w:hAnsi="Times New Roman" w:cs="Times New Roman"/>
          <w:sz w:val="24"/>
          <w:szCs w:val="24"/>
          <w:lang w:val="en-US"/>
        </w:rPr>
        <w:t>b</w:t>
      </w:r>
      <w:r w:rsidR="00B42B5F" w:rsidRPr="00E73EF4">
        <w:rPr>
          <w:rFonts w:ascii="Times New Roman" w:eastAsia="Calibri" w:hAnsi="Times New Roman" w:cs="Times New Roman"/>
          <w:sz w:val="24"/>
          <w:szCs w:val="24"/>
          <w:lang w:val="en-US"/>
        </w:rPr>
        <w:t xml:space="preserve">), </w:t>
      </w:r>
      <w:r w:rsidRPr="00E73EF4">
        <w:rPr>
          <w:rFonts w:ascii="Times New Roman" w:eastAsia="Calibri" w:hAnsi="Times New Roman" w:cs="Times New Roman"/>
          <w:sz w:val="24"/>
          <w:szCs w:val="24"/>
          <w:lang w:val="en-US"/>
        </w:rPr>
        <w:t xml:space="preserve">indicating </w:t>
      </w:r>
      <w:r w:rsidR="009C26E1" w:rsidRPr="00E73EF4">
        <w:rPr>
          <w:rFonts w:ascii="Times New Roman" w:eastAsia="Calibri" w:hAnsi="Times New Roman" w:cs="Times New Roman"/>
          <w:sz w:val="24"/>
          <w:szCs w:val="24"/>
          <w:lang w:val="en-US"/>
        </w:rPr>
        <w:t xml:space="preserve">antibiotic </w:t>
      </w:r>
      <w:r w:rsidRPr="00E73EF4">
        <w:rPr>
          <w:rFonts w:ascii="Times New Roman" w:eastAsia="Calibri" w:hAnsi="Times New Roman" w:cs="Times New Roman"/>
          <w:sz w:val="24"/>
          <w:szCs w:val="24"/>
          <w:lang w:val="en-US"/>
        </w:rPr>
        <w:t xml:space="preserve">stimulation </w:t>
      </w:r>
      <w:r w:rsidR="009C26E1" w:rsidRPr="00E73EF4">
        <w:rPr>
          <w:rFonts w:ascii="Times New Roman" w:eastAsia="Calibri" w:hAnsi="Times New Roman" w:cs="Times New Roman"/>
          <w:sz w:val="24"/>
          <w:szCs w:val="24"/>
          <w:lang w:val="en-US"/>
        </w:rPr>
        <w:t>enhances</w:t>
      </w:r>
      <w:r w:rsidRPr="00E73EF4">
        <w:rPr>
          <w:rFonts w:ascii="Times New Roman" w:eastAsia="Calibri" w:hAnsi="Times New Roman" w:cs="Times New Roman"/>
          <w:sz w:val="24"/>
          <w:szCs w:val="24"/>
          <w:lang w:val="en-US"/>
        </w:rPr>
        <w:t xml:space="preserve"> phage induction</w:t>
      </w:r>
      <w:r w:rsidR="009C26E1" w:rsidRPr="00E73EF4">
        <w:rPr>
          <w:rFonts w:ascii="Times New Roman" w:eastAsia="Calibri" w:hAnsi="Times New Roman" w:cs="Times New Roman"/>
          <w:sz w:val="24"/>
          <w:szCs w:val="24"/>
          <w:lang w:val="en-US"/>
        </w:rPr>
        <w:t xml:space="preserve"> and lytic phage production</w:t>
      </w:r>
      <w:r w:rsidRPr="00E73EF4">
        <w:rPr>
          <w:rFonts w:ascii="Times New Roman" w:eastAsia="Calibri" w:hAnsi="Times New Roman" w:cs="Times New Roman"/>
          <w:sz w:val="24"/>
          <w:szCs w:val="24"/>
          <w:lang w:val="en-US"/>
        </w:rPr>
        <w:t xml:space="preserve">. </w:t>
      </w:r>
      <w:r w:rsidR="009C26E1" w:rsidRPr="00E73EF4">
        <w:rPr>
          <w:rFonts w:ascii="Times New Roman" w:eastAsia="Calibri" w:hAnsi="Times New Roman" w:cs="Times New Roman"/>
          <w:sz w:val="24"/>
          <w:szCs w:val="24"/>
          <w:lang w:val="en-US"/>
        </w:rPr>
        <w:t xml:space="preserve">The </w:t>
      </w:r>
      <w:r w:rsidR="00A074BA" w:rsidRPr="00E73EF4">
        <w:rPr>
          <w:rFonts w:ascii="Times New Roman" w:eastAsia="Calibri" w:hAnsi="Times New Roman" w:cs="Times New Roman"/>
          <w:sz w:val="24"/>
          <w:szCs w:val="24"/>
          <w:lang w:val="en-US"/>
        </w:rPr>
        <w:t>phage preparations</w:t>
      </w:r>
      <w:r w:rsidRPr="00E73EF4">
        <w:rPr>
          <w:rFonts w:ascii="Times New Roman" w:eastAsia="Calibri" w:hAnsi="Times New Roman" w:cs="Times New Roman"/>
          <w:sz w:val="24"/>
          <w:szCs w:val="24"/>
          <w:lang w:val="en-US"/>
        </w:rPr>
        <w:t xml:space="preserve"> contained a mixture of phage particles</w:t>
      </w:r>
      <w:r w:rsidR="004B4C4C" w:rsidRPr="00E73EF4">
        <w:rPr>
          <w:rFonts w:ascii="Times New Roman" w:eastAsia="Calibri" w:hAnsi="Times New Roman" w:cs="Times New Roman"/>
          <w:sz w:val="24"/>
          <w:szCs w:val="24"/>
          <w:lang w:val="en-US"/>
        </w:rPr>
        <w:t xml:space="preserve">, </w:t>
      </w:r>
      <w:r w:rsidR="009C26E1" w:rsidRPr="00E73EF4">
        <w:rPr>
          <w:rFonts w:ascii="Times New Roman" w:eastAsia="Calibri" w:hAnsi="Times New Roman" w:cs="Times New Roman"/>
          <w:sz w:val="24"/>
          <w:szCs w:val="24"/>
          <w:lang w:val="en-US"/>
        </w:rPr>
        <w:t xml:space="preserve">including </w:t>
      </w:r>
      <w:r w:rsidR="004B4C4C" w:rsidRPr="00E73EF4">
        <w:rPr>
          <w:rFonts w:ascii="Times New Roman" w:eastAsia="Calibri" w:hAnsi="Times New Roman" w:cs="Times New Roman"/>
          <w:sz w:val="24"/>
          <w:szCs w:val="24"/>
          <w:lang w:val="en-US"/>
        </w:rPr>
        <w:t xml:space="preserve">some </w:t>
      </w:r>
      <w:r w:rsidR="00A074BA" w:rsidRPr="00E73EF4">
        <w:rPr>
          <w:rFonts w:ascii="Times New Roman" w:eastAsia="Calibri" w:hAnsi="Times New Roman" w:cs="Times New Roman"/>
          <w:sz w:val="24"/>
          <w:szCs w:val="24"/>
          <w:lang w:val="en-US"/>
        </w:rPr>
        <w:t xml:space="preserve">capable of </w:t>
      </w:r>
      <w:proofErr w:type="spellStart"/>
      <w:r w:rsidR="00A074BA" w:rsidRPr="00E73EF4">
        <w:rPr>
          <w:rFonts w:ascii="Times New Roman" w:eastAsia="Calibri" w:hAnsi="Times New Roman" w:cs="Times New Roman"/>
          <w:i/>
          <w:sz w:val="24"/>
          <w:szCs w:val="24"/>
          <w:lang w:val="en-US"/>
        </w:rPr>
        <w:t>ermC</w:t>
      </w:r>
      <w:proofErr w:type="spellEnd"/>
      <w:r w:rsidR="00A074BA" w:rsidRPr="00E73EF4">
        <w:rPr>
          <w:rFonts w:ascii="Times New Roman" w:eastAsia="Calibri" w:hAnsi="Times New Roman" w:cs="Times New Roman"/>
          <w:sz w:val="24"/>
          <w:szCs w:val="24"/>
          <w:lang w:val="en-US"/>
        </w:rPr>
        <w:t xml:space="preserve"> gene transfer</w:t>
      </w:r>
      <w:r w:rsidR="009C26E1" w:rsidRPr="00E73EF4">
        <w:rPr>
          <w:rFonts w:ascii="Times New Roman" w:eastAsia="Calibri" w:hAnsi="Times New Roman" w:cs="Times New Roman"/>
          <w:sz w:val="24"/>
          <w:szCs w:val="24"/>
          <w:lang w:val="en-US"/>
        </w:rPr>
        <w:t xml:space="preserve"> and others capable of </w:t>
      </w:r>
      <w:proofErr w:type="spellStart"/>
      <w:r w:rsidR="009C26E1" w:rsidRPr="00E73EF4">
        <w:rPr>
          <w:rFonts w:ascii="Times New Roman" w:eastAsia="Calibri" w:hAnsi="Times New Roman" w:cs="Times New Roman"/>
          <w:sz w:val="24"/>
          <w:szCs w:val="24"/>
          <w:lang w:val="en-US"/>
        </w:rPr>
        <w:t>lysis</w:t>
      </w:r>
      <w:proofErr w:type="spellEnd"/>
      <w:r w:rsidRPr="00E73EF4">
        <w:rPr>
          <w:rFonts w:ascii="Times New Roman" w:eastAsia="Calibri" w:hAnsi="Times New Roman" w:cs="Times New Roman"/>
          <w:sz w:val="24"/>
          <w:szCs w:val="24"/>
          <w:lang w:val="en-US"/>
        </w:rPr>
        <w:t xml:space="preserve">, and the ratio of these two particle types </w:t>
      </w:r>
      <w:r w:rsidR="009C26E1" w:rsidRPr="00E73EF4">
        <w:rPr>
          <w:rFonts w:ascii="Times New Roman" w:eastAsia="Calibri" w:hAnsi="Times New Roman" w:cs="Times New Roman"/>
          <w:sz w:val="24"/>
          <w:szCs w:val="24"/>
          <w:lang w:val="en-US"/>
        </w:rPr>
        <w:t>differed in response to each antibiotic</w:t>
      </w:r>
      <w:r w:rsidR="00B42B5F" w:rsidRPr="00E73EF4">
        <w:rPr>
          <w:rFonts w:ascii="Times New Roman" w:eastAsia="Calibri" w:hAnsi="Times New Roman" w:cs="Times New Roman"/>
          <w:sz w:val="24"/>
          <w:szCs w:val="24"/>
          <w:lang w:val="en-US"/>
        </w:rPr>
        <w:t xml:space="preserve"> </w:t>
      </w:r>
      <w:r w:rsidR="00B5227C" w:rsidRPr="00E73EF4">
        <w:rPr>
          <w:rFonts w:ascii="Times New Roman" w:eastAsia="Calibri" w:hAnsi="Times New Roman" w:cs="Times New Roman"/>
          <w:sz w:val="24"/>
          <w:szCs w:val="24"/>
          <w:lang w:val="en-US"/>
        </w:rPr>
        <w:t>(Figure 1</w:t>
      </w:r>
      <w:r w:rsidR="004D5FEB" w:rsidRPr="00E73EF4">
        <w:rPr>
          <w:rFonts w:ascii="Times New Roman" w:eastAsia="Calibri" w:hAnsi="Times New Roman" w:cs="Times New Roman"/>
          <w:sz w:val="24"/>
          <w:szCs w:val="24"/>
          <w:lang w:val="en-US"/>
        </w:rPr>
        <w:t>c</w:t>
      </w:r>
      <w:r w:rsidR="00B5227C" w:rsidRPr="00E73EF4">
        <w:rPr>
          <w:rFonts w:ascii="Times New Roman" w:eastAsia="Calibri" w:hAnsi="Times New Roman" w:cs="Times New Roman"/>
          <w:sz w:val="24"/>
          <w:szCs w:val="24"/>
          <w:lang w:val="en-US"/>
        </w:rPr>
        <w:t>)</w:t>
      </w:r>
      <w:r w:rsidRPr="00E73EF4">
        <w:rPr>
          <w:rFonts w:ascii="Times New Roman" w:eastAsia="Calibri" w:hAnsi="Times New Roman" w:cs="Times New Roman"/>
          <w:sz w:val="24"/>
          <w:szCs w:val="24"/>
          <w:lang w:val="en-US"/>
        </w:rPr>
        <w:t xml:space="preserve">.  Therefore, sub-inhibitory concentrations of </w:t>
      </w:r>
      <w:proofErr w:type="spellStart"/>
      <w:r w:rsidRPr="00E73EF4">
        <w:rPr>
          <w:rFonts w:ascii="Times New Roman" w:eastAsia="Calibri" w:hAnsi="Times New Roman" w:cs="Times New Roman"/>
          <w:sz w:val="24"/>
          <w:szCs w:val="24"/>
          <w:lang w:val="en-US"/>
        </w:rPr>
        <w:t>mupirocin</w:t>
      </w:r>
      <w:proofErr w:type="spellEnd"/>
      <w:r w:rsidR="00445A40" w:rsidRPr="00E73EF4">
        <w:rPr>
          <w:rFonts w:ascii="Times New Roman" w:eastAsia="Calibri" w:hAnsi="Times New Roman" w:cs="Times New Roman"/>
          <w:sz w:val="24"/>
          <w:szCs w:val="24"/>
          <w:lang w:val="en-US"/>
        </w:rPr>
        <w:t xml:space="preserve"> and</w:t>
      </w:r>
      <w:r w:rsidRPr="00E73EF4">
        <w:rPr>
          <w:rFonts w:ascii="Times New Roman" w:eastAsia="Calibri" w:hAnsi="Times New Roman" w:cs="Times New Roman"/>
          <w:sz w:val="24"/>
          <w:szCs w:val="24"/>
          <w:lang w:val="en-US"/>
        </w:rPr>
        <w:t xml:space="preserve"> </w:t>
      </w:r>
      <w:r w:rsidR="00A074BA" w:rsidRPr="00E73EF4">
        <w:rPr>
          <w:rFonts w:ascii="Times New Roman" w:eastAsia="Calibri" w:hAnsi="Times New Roman" w:cs="Times New Roman"/>
          <w:sz w:val="24"/>
          <w:szCs w:val="24"/>
          <w:lang w:val="en-US"/>
        </w:rPr>
        <w:t xml:space="preserve">erythromycin </w:t>
      </w:r>
      <w:r w:rsidR="009C26E1" w:rsidRPr="00E73EF4">
        <w:rPr>
          <w:rFonts w:ascii="Times New Roman" w:eastAsia="Calibri" w:hAnsi="Times New Roman" w:cs="Times New Roman"/>
          <w:sz w:val="24"/>
          <w:szCs w:val="24"/>
          <w:lang w:val="en-US"/>
        </w:rPr>
        <w:t xml:space="preserve">induced </w:t>
      </w:r>
      <w:r w:rsidR="00445A40" w:rsidRPr="00E73EF4">
        <w:rPr>
          <w:rFonts w:ascii="Times New Roman" w:eastAsia="Calibri" w:hAnsi="Times New Roman" w:cs="Times New Roman"/>
          <w:sz w:val="24"/>
          <w:szCs w:val="24"/>
          <w:lang w:val="en-US"/>
        </w:rPr>
        <w:t xml:space="preserve">the most </w:t>
      </w:r>
      <w:r w:rsidR="009C26E1" w:rsidRPr="00E73EF4">
        <w:rPr>
          <w:rFonts w:ascii="Times New Roman" w:eastAsia="Calibri" w:hAnsi="Times New Roman" w:cs="Times New Roman"/>
          <w:sz w:val="24"/>
          <w:szCs w:val="24"/>
          <w:lang w:val="en-US"/>
        </w:rPr>
        <w:t>AMR gene transfer</w:t>
      </w:r>
      <w:r w:rsidR="00A074BA" w:rsidRPr="00E73EF4">
        <w:rPr>
          <w:rFonts w:ascii="Times New Roman" w:eastAsia="Calibri" w:hAnsi="Times New Roman" w:cs="Times New Roman"/>
          <w:sz w:val="24"/>
          <w:szCs w:val="24"/>
          <w:lang w:val="en-US"/>
        </w:rPr>
        <w:t>, while ampicillin</w:t>
      </w:r>
      <w:r w:rsidR="00445A40" w:rsidRPr="00E73EF4">
        <w:rPr>
          <w:rFonts w:ascii="Times New Roman" w:eastAsia="Calibri" w:hAnsi="Times New Roman" w:cs="Times New Roman"/>
          <w:sz w:val="24"/>
          <w:szCs w:val="24"/>
          <w:lang w:val="en-US"/>
        </w:rPr>
        <w:t xml:space="preserve">, trimethoprim and erythromycin induced the most lytic phage. </w:t>
      </w:r>
      <w:r w:rsidR="00AE7075" w:rsidRPr="00E73EF4">
        <w:rPr>
          <w:rFonts w:ascii="Times New Roman" w:eastAsia="Calibri" w:hAnsi="Times New Roman" w:cs="Times New Roman"/>
          <w:sz w:val="24"/>
          <w:szCs w:val="24"/>
          <w:lang w:val="en-US"/>
        </w:rPr>
        <w:t xml:space="preserve"> The ratio of transducing phage to lytic phage was highest for </w:t>
      </w:r>
      <w:proofErr w:type="spellStart"/>
      <w:r w:rsidR="00AE7075" w:rsidRPr="00E73EF4">
        <w:rPr>
          <w:rFonts w:ascii="Times New Roman" w:eastAsia="Calibri" w:hAnsi="Times New Roman" w:cs="Times New Roman"/>
          <w:sz w:val="24"/>
          <w:szCs w:val="24"/>
          <w:lang w:val="en-US"/>
        </w:rPr>
        <w:t>mupirocin</w:t>
      </w:r>
      <w:proofErr w:type="spellEnd"/>
      <w:r w:rsidR="00AE7075" w:rsidRPr="00E73EF4">
        <w:rPr>
          <w:rFonts w:ascii="Times New Roman" w:eastAsia="Calibri" w:hAnsi="Times New Roman" w:cs="Times New Roman"/>
          <w:sz w:val="24"/>
          <w:szCs w:val="24"/>
          <w:lang w:val="en-US"/>
        </w:rPr>
        <w:t xml:space="preserve">, tetracycline, </w:t>
      </w:r>
      <w:r w:rsidR="00017927" w:rsidRPr="00E73EF4">
        <w:rPr>
          <w:rFonts w:ascii="Times New Roman" w:eastAsia="Calibri" w:hAnsi="Times New Roman" w:cs="Times New Roman"/>
          <w:sz w:val="24"/>
          <w:szCs w:val="24"/>
          <w:lang w:val="en-US"/>
        </w:rPr>
        <w:t xml:space="preserve">and </w:t>
      </w:r>
      <w:proofErr w:type="spellStart"/>
      <w:r w:rsidR="00AE7075" w:rsidRPr="00E73EF4">
        <w:rPr>
          <w:rFonts w:ascii="Times New Roman" w:eastAsia="Calibri" w:hAnsi="Times New Roman" w:cs="Times New Roman"/>
          <w:sz w:val="24"/>
          <w:szCs w:val="24"/>
          <w:lang w:val="en-US"/>
        </w:rPr>
        <w:t>novobiocin</w:t>
      </w:r>
      <w:proofErr w:type="spellEnd"/>
      <w:r w:rsidR="00AE7075" w:rsidRPr="00E73EF4">
        <w:rPr>
          <w:rFonts w:ascii="Times New Roman" w:eastAsia="Calibri" w:hAnsi="Times New Roman" w:cs="Times New Roman"/>
          <w:sz w:val="24"/>
          <w:szCs w:val="24"/>
          <w:lang w:val="en-US"/>
        </w:rPr>
        <w:t>, and lowest for erythromycin, ampicillin and trimethoprim</w:t>
      </w:r>
      <w:r w:rsidR="00017927" w:rsidRPr="00E73EF4">
        <w:rPr>
          <w:rFonts w:ascii="Times New Roman" w:eastAsia="Calibri" w:hAnsi="Times New Roman" w:cs="Times New Roman"/>
          <w:sz w:val="24"/>
          <w:szCs w:val="24"/>
          <w:lang w:val="en-US"/>
        </w:rPr>
        <w:t xml:space="preserve"> (</w:t>
      </w:r>
      <w:r w:rsidR="00D33DD4" w:rsidRPr="00E73EF4">
        <w:rPr>
          <w:rFonts w:ascii="Times New Roman" w:eastAsia="Calibri" w:hAnsi="Times New Roman" w:cs="Times New Roman"/>
          <w:sz w:val="24"/>
          <w:szCs w:val="24"/>
          <w:lang w:val="en-US"/>
        </w:rPr>
        <w:t xml:space="preserve">Supplementary </w:t>
      </w:r>
      <w:r w:rsidR="00017927" w:rsidRPr="00E73EF4">
        <w:rPr>
          <w:rFonts w:ascii="Times New Roman" w:eastAsia="Calibri" w:hAnsi="Times New Roman" w:cs="Times New Roman"/>
          <w:sz w:val="24"/>
          <w:szCs w:val="24"/>
          <w:lang w:val="en-US"/>
        </w:rPr>
        <w:t>Table S</w:t>
      </w:r>
      <w:r w:rsidR="00FD0A70" w:rsidRPr="00E73EF4">
        <w:rPr>
          <w:rFonts w:ascii="Times New Roman" w:eastAsia="Calibri" w:hAnsi="Times New Roman" w:cs="Times New Roman"/>
          <w:sz w:val="24"/>
          <w:szCs w:val="24"/>
          <w:lang w:val="en-US"/>
        </w:rPr>
        <w:t>4</w:t>
      </w:r>
      <w:r w:rsidR="00017927" w:rsidRPr="00E73EF4">
        <w:rPr>
          <w:rFonts w:ascii="Times New Roman" w:eastAsia="Calibri" w:hAnsi="Times New Roman" w:cs="Times New Roman"/>
          <w:sz w:val="24"/>
          <w:szCs w:val="24"/>
          <w:lang w:val="en-US"/>
        </w:rPr>
        <w:t>)</w:t>
      </w:r>
      <w:r w:rsidR="00AE7075" w:rsidRPr="00E73EF4">
        <w:rPr>
          <w:rFonts w:ascii="Times New Roman" w:eastAsia="Calibri" w:hAnsi="Times New Roman" w:cs="Times New Roman"/>
          <w:sz w:val="24"/>
          <w:szCs w:val="24"/>
          <w:lang w:val="en-US"/>
        </w:rPr>
        <w:t>.</w:t>
      </w:r>
    </w:p>
    <w:p w14:paraId="4F99303B" w14:textId="480CB328" w:rsidR="005D097E" w:rsidRPr="00E73EF4" w:rsidRDefault="003D6B88" w:rsidP="00483DFB">
      <w:pPr>
        <w:spacing w:line="480" w:lineRule="auto"/>
        <w:ind w:firstLine="720"/>
        <w:jc w:val="both"/>
        <w:rPr>
          <w:rFonts w:ascii="Times New Roman" w:eastAsia="Calibri" w:hAnsi="Times New Roman" w:cs="Times New Roman"/>
          <w:sz w:val="24"/>
          <w:szCs w:val="24"/>
          <w:lang w:val="en-US"/>
        </w:rPr>
      </w:pPr>
      <w:r w:rsidRPr="00E73EF4">
        <w:rPr>
          <w:rFonts w:ascii="Times New Roman" w:eastAsia="Calibri" w:hAnsi="Times New Roman" w:cs="Times New Roman"/>
          <w:sz w:val="24"/>
          <w:szCs w:val="24"/>
          <w:lang w:val="en-US"/>
        </w:rPr>
        <w:t xml:space="preserve">Stresses such as UV light are known to stimulate the SOS response and induce lytic and transducing phage particles.  To determine if this effect was </w:t>
      </w:r>
      <w:r w:rsidR="007E61B3" w:rsidRPr="00E73EF4">
        <w:rPr>
          <w:rFonts w:ascii="Times New Roman" w:eastAsia="Calibri" w:hAnsi="Times New Roman" w:cs="Times New Roman"/>
          <w:sz w:val="24"/>
          <w:szCs w:val="24"/>
          <w:lang w:val="en-US"/>
        </w:rPr>
        <w:t>synergistic or antagonistic</w:t>
      </w:r>
      <w:r w:rsidRPr="00E73EF4">
        <w:rPr>
          <w:rFonts w:ascii="Times New Roman" w:eastAsia="Calibri" w:hAnsi="Times New Roman" w:cs="Times New Roman"/>
          <w:sz w:val="24"/>
          <w:szCs w:val="24"/>
          <w:lang w:val="en-US"/>
        </w:rPr>
        <w:t xml:space="preserve"> with </w:t>
      </w:r>
      <w:r w:rsidRPr="00E73EF4">
        <w:rPr>
          <w:rFonts w:ascii="Times New Roman" w:eastAsia="Calibri" w:hAnsi="Times New Roman" w:cs="Times New Roman"/>
          <w:sz w:val="24"/>
          <w:szCs w:val="24"/>
          <w:lang w:val="en-US"/>
        </w:rPr>
        <w:lastRenderedPageBreak/>
        <w:t xml:space="preserve">sub-inhibitory antibiotics, the two stresses were combined.  UV light dramatically increased the transducing </w:t>
      </w:r>
      <w:r w:rsidR="00FF52D4" w:rsidRPr="00E73EF4">
        <w:rPr>
          <w:rFonts w:ascii="Times New Roman" w:eastAsia="Calibri" w:hAnsi="Times New Roman" w:cs="Times New Roman"/>
          <w:sz w:val="24"/>
          <w:szCs w:val="24"/>
          <w:lang w:val="en-US"/>
        </w:rPr>
        <w:t>potential</w:t>
      </w:r>
      <w:r w:rsidRPr="00E73EF4">
        <w:rPr>
          <w:rFonts w:ascii="Times New Roman" w:eastAsia="Calibri" w:hAnsi="Times New Roman" w:cs="Times New Roman"/>
          <w:sz w:val="24"/>
          <w:szCs w:val="24"/>
          <w:lang w:val="en-US"/>
        </w:rPr>
        <w:t xml:space="preserve"> when combined with </w:t>
      </w:r>
      <w:proofErr w:type="spellStart"/>
      <w:r w:rsidRPr="00E73EF4">
        <w:rPr>
          <w:rFonts w:ascii="Times New Roman" w:eastAsia="Calibri" w:hAnsi="Times New Roman" w:cs="Times New Roman"/>
          <w:sz w:val="24"/>
          <w:szCs w:val="24"/>
          <w:lang w:val="en-US"/>
        </w:rPr>
        <w:t>cefox</w:t>
      </w:r>
      <w:r w:rsidR="005D097E" w:rsidRPr="00E73EF4">
        <w:rPr>
          <w:rFonts w:ascii="Times New Roman" w:eastAsia="Calibri" w:hAnsi="Times New Roman" w:cs="Times New Roman"/>
          <w:sz w:val="24"/>
          <w:szCs w:val="24"/>
          <w:lang w:val="en-US"/>
        </w:rPr>
        <w:t>itin</w:t>
      </w:r>
      <w:proofErr w:type="spellEnd"/>
      <w:r w:rsidR="005D097E" w:rsidRPr="00E73EF4">
        <w:rPr>
          <w:rFonts w:ascii="Times New Roman" w:eastAsia="Calibri" w:hAnsi="Times New Roman" w:cs="Times New Roman"/>
          <w:sz w:val="24"/>
          <w:szCs w:val="24"/>
          <w:lang w:val="en-US"/>
        </w:rPr>
        <w:t xml:space="preserve"> or trimethoprim</w:t>
      </w:r>
      <w:r w:rsidR="00AE7075" w:rsidRPr="00E73EF4">
        <w:rPr>
          <w:rFonts w:ascii="Times New Roman" w:eastAsia="Calibri" w:hAnsi="Times New Roman" w:cs="Times New Roman"/>
          <w:sz w:val="24"/>
          <w:szCs w:val="24"/>
          <w:lang w:val="en-US"/>
        </w:rPr>
        <w:t xml:space="preserve"> (Figure 2a)</w:t>
      </w:r>
      <w:r w:rsidRPr="00E73EF4">
        <w:rPr>
          <w:rFonts w:ascii="Times New Roman" w:eastAsia="Calibri" w:hAnsi="Times New Roman" w:cs="Times New Roman"/>
          <w:sz w:val="24"/>
          <w:szCs w:val="24"/>
          <w:lang w:val="en-US"/>
        </w:rPr>
        <w:t>.</w:t>
      </w:r>
      <w:r w:rsidR="007A1D34" w:rsidRPr="00E73EF4">
        <w:rPr>
          <w:rFonts w:ascii="Times New Roman" w:eastAsia="Calibri" w:hAnsi="Times New Roman" w:cs="Times New Roman"/>
          <w:sz w:val="24"/>
          <w:szCs w:val="24"/>
          <w:lang w:val="en-US"/>
        </w:rPr>
        <w:t xml:space="preserve"> </w:t>
      </w:r>
      <w:r w:rsidR="005D097E" w:rsidRPr="00E73EF4">
        <w:rPr>
          <w:rFonts w:ascii="Times New Roman" w:eastAsia="Calibri" w:hAnsi="Times New Roman" w:cs="Times New Roman"/>
          <w:sz w:val="24"/>
          <w:szCs w:val="24"/>
          <w:lang w:val="en-US"/>
        </w:rPr>
        <w:t xml:space="preserve"> </w:t>
      </w:r>
      <w:r w:rsidR="00AE7075" w:rsidRPr="00E73EF4">
        <w:rPr>
          <w:rFonts w:ascii="Times New Roman" w:eastAsia="Calibri" w:hAnsi="Times New Roman" w:cs="Times New Roman"/>
          <w:sz w:val="24"/>
          <w:szCs w:val="24"/>
          <w:lang w:val="en-US"/>
        </w:rPr>
        <w:t>In contrast, t</w:t>
      </w:r>
      <w:r w:rsidR="005D097E" w:rsidRPr="00E73EF4">
        <w:rPr>
          <w:rFonts w:ascii="Times New Roman" w:eastAsia="Calibri" w:hAnsi="Times New Roman" w:cs="Times New Roman"/>
          <w:sz w:val="24"/>
          <w:szCs w:val="24"/>
          <w:lang w:val="en-US"/>
        </w:rPr>
        <w:t xml:space="preserve">etracycline, </w:t>
      </w:r>
      <w:proofErr w:type="spellStart"/>
      <w:r w:rsidR="005D097E" w:rsidRPr="00E73EF4">
        <w:rPr>
          <w:rFonts w:ascii="Times New Roman" w:eastAsia="Calibri" w:hAnsi="Times New Roman" w:cs="Times New Roman"/>
          <w:sz w:val="24"/>
          <w:szCs w:val="24"/>
          <w:lang w:val="en-US"/>
        </w:rPr>
        <w:t>novobiocin</w:t>
      </w:r>
      <w:proofErr w:type="spellEnd"/>
      <w:r w:rsidR="005D097E" w:rsidRPr="00E73EF4">
        <w:rPr>
          <w:rFonts w:ascii="Times New Roman" w:eastAsia="Calibri" w:hAnsi="Times New Roman" w:cs="Times New Roman"/>
          <w:sz w:val="24"/>
          <w:szCs w:val="24"/>
          <w:lang w:val="en-US"/>
        </w:rPr>
        <w:t xml:space="preserve"> and gentamicin </w:t>
      </w:r>
      <w:r w:rsidR="00C31508" w:rsidRPr="00E73EF4">
        <w:rPr>
          <w:rFonts w:ascii="Times New Roman" w:eastAsia="Calibri" w:hAnsi="Times New Roman" w:cs="Times New Roman"/>
          <w:sz w:val="24"/>
          <w:szCs w:val="24"/>
          <w:lang w:val="en-US"/>
        </w:rPr>
        <w:t>inhibited</w:t>
      </w:r>
      <w:r w:rsidR="005D097E" w:rsidRPr="00E73EF4">
        <w:rPr>
          <w:rFonts w:ascii="Times New Roman" w:eastAsia="Calibri" w:hAnsi="Times New Roman" w:cs="Times New Roman"/>
          <w:sz w:val="24"/>
          <w:szCs w:val="24"/>
          <w:lang w:val="en-US"/>
        </w:rPr>
        <w:t xml:space="preserve"> the effect of UV light on transduction (Figure 2</w:t>
      </w:r>
      <w:r w:rsidR="004D5FEB" w:rsidRPr="00E73EF4">
        <w:rPr>
          <w:rFonts w:ascii="Times New Roman" w:eastAsia="Calibri" w:hAnsi="Times New Roman" w:cs="Times New Roman"/>
          <w:sz w:val="24"/>
          <w:szCs w:val="24"/>
          <w:lang w:val="en-US"/>
        </w:rPr>
        <w:t>a</w:t>
      </w:r>
      <w:r w:rsidR="005D097E" w:rsidRPr="00E73EF4">
        <w:rPr>
          <w:rFonts w:ascii="Times New Roman" w:eastAsia="Calibri" w:hAnsi="Times New Roman" w:cs="Times New Roman"/>
          <w:sz w:val="24"/>
          <w:szCs w:val="24"/>
          <w:lang w:val="en-US"/>
        </w:rPr>
        <w:t xml:space="preserve">). </w:t>
      </w:r>
      <w:r w:rsidR="007A1D34" w:rsidRPr="00E73EF4">
        <w:rPr>
          <w:rFonts w:ascii="Times New Roman" w:eastAsia="Calibri" w:hAnsi="Times New Roman" w:cs="Times New Roman"/>
          <w:sz w:val="24"/>
          <w:szCs w:val="24"/>
          <w:lang w:val="en-US"/>
        </w:rPr>
        <w:t xml:space="preserve"> UV </w:t>
      </w:r>
      <w:r w:rsidR="005D097E" w:rsidRPr="00E73EF4">
        <w:rPr>
          <w:rFonts w:ascii="Times New Roman" w:eastAsia="Calibri" w:hAnsi="Times New Roman" w:cs="Times New Roman"/>
          <w:sz w:val="24"/>
          <w:szCs w:val="24"/>
          <w:lang w:val="en-US"/>
        </w:rPr>
        <w:t>light</w:t>
      </w:r>
      <w:r w:rsidR="007A1D34" w:rsidRPr="00E73EF4">
        <w:rPr>
          <w:rFonts w:ascii="Times New Roman" w:eastAsia="Calibri" w:hAnsi="Times New Roman" w:cs="Times New Roman"/>
          <w:sz w:val="24"/>
          <w:szCs w:val="24"/>
          <w:lang w:val="en-US"/>
        </w:rPr>
        <w:t xml:space="preserve"> increased lytic phage particles</w:t>
      </w:r>
      <w:r w:rsidR="00FC323F" w:rsidRPr="00E73EF4">
        <w:rPr>
          <w:rFonts w:ascii="Times New Roman" w:eastAsia="Calibri" w:hAnsi="Times New Roman" w:cs="Times New Roman"/>
          <w:sz w:val="24"/>
          <w:szCs w:val="24"/>
          <w:lang w:val="en-US"/>
        </w:rPr>
        <w:t>, and this was increased</w:t>
      </w:r>
      <w:r w:rsidR="007A1D34" w:rsidRPr="00E73EF4">
        <w:rPr>
          <w:rFonts w:ascii="Times New Roman" w:eastAsia="Calibri" w:hAnsi="Times New Roman" w:cs="Times New Roman"/>
          <w:sz w:val="24"/>
          <w:szCs w:val="24"/>
          <w:lang w:val="en-US"/>
        </w:rPr>
        <w:t xml:space="preserve"> when combined with</w:t>
      </w:r>
      <w:r w:rsidR="00AE7075" w:rsidRPr="00E73EF4">
        <w:rPr>
          <w:rFonts w:ascii="Times New Roman" w:eastAsia="Calibri" w:hAnsi="Times New Roman" w:cs="Times New Roman"/>
          <w:sz w:val="24"/>
          <w:szCs w:val="24"/>
          <w:lang w:val="en-US"/>
        </w:rPr>
        <w:t xml:space="preserve"> </w:t>
      </w:r>
      <w:proofErr w:type="spellStart"/>
      <w:r w:rsidR="00AE7075" w:rsidRPr="00E73EF4">
        <w:rPr>
          <w:rFonts w:ascii="Times New Roman" w:eastAsia="Calibri" w:hAnsi="Times New Roman" w:cs="Times New Roman"/>
          <w:sz w:val="24"/>
          <w:szCs w:val="24"/>
          <w:lang w:val="en-US"/>
        </w:rPr>
        <w:t>cefoxitin</w:t>
      </w:r>
      <w:proofErr w:type="spellEnd"/>
      <w:r w:rsidR="00AE7075" w:rsidRPr="00E73EF4">
        <w:rPr>
          <w:rFonts w:ascii="Times New Roman" w:eastAsia="Calibri" w:hAnsi="Times New Roman" w:cs="Times New Roman"/>
          <w:sz w:val="24"/>
          <w:szCs w:val="24"/>
          <w:lang w:val="en-US"/>
        </w:rPr>
        <w:t>, trimethoprim, erythromycin, ampicillin and ciprofloxacin</w:t>
      </w:r>
      <w:r w:rsidR="00FC323F" w:rsidRPr="00E73EF4">
        <w:rPr>
          <w:rFonts w:ascii="Times New Roman" w:eastAsia="Calibri" w:hAnsi="Times New Roman" w:cs="Times New Roman"/>
          <w:sz w:val="24"/>
          <w:szCs w:val="24"/>
          <w:lang w:val="en-US"/>
        </w:rPr>
        <w:t xml:space="preserve"> (Figure 2b). </w:t>
      </w:r>
      <w:r w:rsidR="0007019E" w:rsidRPr="00E73EF4">
        <w:rPr>
          <w:rFonts w:ascii="Times New Roman" w:eastAsia="Calibri" w:hAnsi="Times New Roman" w:cs="Times New Roman"/>
          <w:sz w:val="24"/>
          <w:szCs w:val="24"/>
          <w:lang w:val="en-US"/>
        </w:rPr>
        <w:t>Tetracycline</w:t>
      </w:r>
      <w:r w:rsidR="00FC323F" w:rsidRPr="00E73EF4">
        <w:rPr>
          <w:rFonts w:ascii="Times New Roman" w:eastAsia="Calibri" w:hAnsi="Times New Roman" w:cs="Times New Roman"/>
          <w:sz w:val="24"/>
          <w:szCs w:val="24"/>
          <w:lang w:val="en-US"/>
        </w:rPr>
        <w:t xml:space="preserve"> and </w:t>
      </w:r>
      <w:proofErr w:type="spellStart"/>
      <w:r w:rsidR="00FC323F" w:rsidRPr="00E73EF4">
        <w:rPr>
          <w:rFonts w:ascii="Times New Roman" w:eastAsia="Calibri" w:hAnsi="Times New Roman" w:cs="Times New Roman"/>
          <w:sz w:val="24"/>
          <w:szCs w:val="24"/>
          <w:lang w:val="en-US"/>
        </w:rPr>
        <w:t>mupirocin</w:t>
      </w:r>
      <w:proofErr w:type="spellEnd"/>
      <w:r w:rsidR="00FC323F" w:rsidRPr="00E73EF4">
        <w:rPr>
          <w:rFonts w:ascii="Times New Roman" w:eastAsia="Calibri" w:hAnsi="Times New Roman" w:cs="Times New Roman"/>
          <w:sz w:val="24"/>
          <w:szCs w:val="24"/>
          <w:lang w:val="en-US"/>
        </w:rPr>
        <w:t xml:space="preserve"> blocked the induction</w:t>
      </w:r>
      <w:r w:rsidR="00B42B5F" w:rsidRPr="00E73EF4">
        <w:rPr>
          <w:rFonts w:ascii="Times New Roman" w:eastAsia="Calibri" w:hAnsi="Times New Roman" w:cs="Times New Roman"/>
          <w:sz w:val="24"/>
          <w:szCs w:val="24"/>
          <w:lang w:val="en-US"/>
        </w:rPr>
        <w:t xml:space="preserve"> of lytic particles by UV light</w:t>
      </w:r>
      <w:r w:rsidR="00FC323F" w:rsidRPr="00E73EF4">
        <w:rPr>
          <w:rFonts w:ascii="Times New Roman" w:eastAsia="Calibri" w:hAnsi="Times New Roman" w:cs="Times New Roman"/>
          <w:sz w:val="24"/>
          <w:szCs w:val="24"/>
          <w:lang w:val="en-US"/>
        </w:rPr>
        <w:t xml:space="preserve"> </w:t>
      </w:r>
      <w:r w:rsidR="007A1D34" w:rsidRPr="00E73EF4">
        <w:rPr>
          <w:rFonts w:ascii="Times New Roman" w:eastAsia="Calibri" w:hAnsi="Times New Roman" w:cs="Times New Roman"/>
          <w:sz w:val="24"/>
          <w:szCs w:val="24"/>
          <w:lang w:val="en-US"/>
        </w:rPr>
        <w:t>(Figure 2</w:t>
      </w:r>
      <w:r w:rsidR="004D5FEB" w:rsidRPr="00E73EF4">
        <w:rPr>
          <w:rFonts w:ascii="Times New Roman" w:eastAsia="Calibri" w:hAnsi="Times New Roman" w:cs="Times New Roman"/>
          <w:sz w:val="24"/>
          <w:szCs w:val="24"/>
          <w:lang w:val="en-US"/>
        </w:rPr>
        <w:t>b</w:t>
      </w:r>
      <w:r w:rsidR="007A1D34" w:rsidRPr="00E73EF4">
        <w:rPr>
          <w:rFonts w:ascii="Times New Roman" w:eastAsia="Calibri" w:hAnsi="Times New Roman" w:cs="Times New Roman"/>
          <w:sz w:val="24"/>
          <w:szCs w:val="24"/>
          <w:lang w:val="en-US"/>
        </w:rPr>
        <w:t xml:space="preserve">).  </w:t>
      </w:r>
      <w:r w:rsidR="003066D2" w:rsidRPr="00E73EF4">
        <w:rPr>
          <w:rFonts w:ascii="Times New Roman" w:eastAsia="Calibri" w:hAnsi="Times New Roman" w:cs="Times New Roman"/>
          <w:sz w:val="24"/>
          <w:szCs w:val="24"/>
          <w:lang w:val="en-US"/>
        </w:rPr>
        <w:t>UV light increased lytic phage partic</w:t>
      </w:r>
      <w:r w:rsidR="0015475D" w:rsidRPr="00E73EF4">
        <w:rPr>
          <w:rFonts w:ascii="Times New Roman" w:eastAsia="Calibri" w:hAnsi="Times New Roman" w:cs="Times New Roman"/>
          <w:sz w:val="24"/>
          <w:szCs w:val="24"/>
          <w:lang w:val="en-US"/>
        </w:rPr>
        <w:t xml:space="preserve">les when combined with most of </w:t>
      </w:r>
      <w:r w:rsidR="003066D2" w:rsidRPr="00E73EF4">
        <w:rPr>
          <w:rFonts w:ascii="Times New Roman" w:eastAsia="Calibri" w:hAnsi="Times New Roman" w:cs="Times New Roman"/>
          <w:sz w:val="24"/>
          <w:szCs w:val="24"/>
          <w:lang w:val="en-US"/>
        </w:rPr>
        <w:t xml:space="preserve">antibiotics, but also decreased when combined with </w:t>
      </w:r>
      <w:proofErr w:type="spellStart"/>
      <w:r w:rsidR="003066D2" w:rsidRPr="00E73EF4">
        <w:rPr>
          <w:rFonts w:ascii="Times New Roman" w:eastAsia="Calibri" w:hAnsi="Times New Roman" w:cs="Times New Roman"/>
          <w:sz w:val="24"/>
          <w:szCs w:val="24"/>
          <w:lang w:val="en-US"/>
        </w:rPr>
        <w:t>mupirocin</w:t>
      </w:r>
      <w:proofErr w:type="spellEnd"/>
      <w:r w:rsidR="003066D2" w:rsidRPr="00E73EF4">
        <w:rPr>
          <w:rFonts w:ascii="Times New Roman" w:eastAsia="Calibri" w:hAnsi="Times New Roman" w:cs="Times New Roman"/>
          <w:sz w:val="24"/>
          <w:szCs w:val="24"/>
          <w:lang w:val="en-US"/>
        </w:rPr>
        <w:t xml:space="preserve"> or tetracycline (Figure 2b).  </w:t>
      </w:r>
      <w:r w:rsidR="00FF52D4" w:rsidRPr="00E73EF4">
        <w:rPr>
          <w:rFonts w:ascii="Times New Roman" w:eastAsia="Calibri" w:hAnsi="Times New Roman" w:cs="Times New Roman"/>
          <w:sz w:val="24"/>
          <w:szCs w:val="24"/>
          <w:lang w:val="en-US"/>
        </w:rPr>
        <w:t xml:space="preserve">UV light increased </w:t>
      </w:r>
      <w:r w:rsidR="00330D57" w:rsidRPr="00E73EF4">
        <w:rPr>
          <w:rFonts w:ascii="Times New Roman" w:eastAsia="Calibri" w:hAnsi="Times New Roman" w:cs="Times New Roman"/>
          <w:sz w:val="24"/>
          <w:szCs w:val="24"/>
          <w:lang w:val="en-US"/>
        </w:rPr>
        <w:t xml:space="preserve">or decreased </w:t>
      </w:r>
      <w:r w:rsidR="00FF52D4" w:rsidRPr="00E73EF4">
        <w:rPr>
          <w:rFonts w:ascii="Times New Roman" w:eastAsia="Calibri" w:hAnsi="Times New Roman" w:cs="Times New Roman"/>
          <w:sz w:val="24"/>
          <w:szCs w:val="24"/>
          <w:lang w:val="en-US"/>
        </w:rPr>
        <w:t>the total concentration of phage particles, such that t</w:t>
      </w:r>
      <w:r w:rsidR="007A1D34" w:rsidRPr="00E73EF4">
        <w:rPr>
          <w:rFonts w:ascii="Times New Roman" w:eastAsia="Calibri" w:hAnsi="Times New Roman" w:cs="Times New Roman"/>
          <w:sz w:val="24"/>
          <w:szCs w:val="24"/>
          <w:lang w:val="en-US"/>
        </w:rPr>
        <w:t>he ratio of transducing and lytic phage particles was</w:t>
      </w:r>
      <w:r w:rsidR="00FF52D4" w:rsidRPr="00E73EF4">
        <w:rPr>
          <w:rFonts w:ascii="Times New Roman" w:eastAsia="Calibri" w:hAnsi="Times New Roman" w:cs="Times New Roman"/>
          <w:sz w:val="24"/>
          <w:szCs w:val="24"/>
          <w:lang w:val="en-US"/>
        </w:rPr>
        <w:t xml:space="preserve"> </w:t>
      </w:r>
      <w:r w:rsidR="00330D57" w:rsidRPr="00E73EF4">
        <w:rPr>
          <w:rFonts w:ascii="Times New Roman" w:eastAsia="Calibri" w:hAnsi="Times New Roman" w:cs="Times New Roman"/>
          <w:sz w:val="24"/>
          <w:szCs w:val="24"/>
          <w:lang w:val="en-US"/>
        </w:rPr>
        <w:t xml:space="preserve">relatively </w:t>
      </w:r>
      <w:r w:rsidR="007A1D34" w:rsidRPr="00E73EF4">
        <w:rPr>
          <w:rFonts w:ascii="Times New Roman" w:eastAsia="Calibri" w:hAnsi="Times New Roman" w:cs="Times New Roman"/>
          <w:sz w:val="24"/>
          <w:szCs w:val="24"/>
          <w:lang w:val="en-US"/>
        </w:rPr>
        <w:t>conserved in the different lysates (Figure 2</w:t>
      </w:r>
      <w:r w:rsidR="004D5FEB" w:rsidRPr="00E73EF4">
        <w:rPr>
          <w:rFonts w:ascii="Times New Roman" w:eastAsia="Calibri" w:hAnsi="Times New Roman" w:cs="Times New Roman"/>
          <w:sz w:val="24"/>
          <w:szCs w:val="24"/>
          <w:lang w:val="en-US"/>
        </w:rPr>
        <w:t>c</w:t>
      </w:r>
      <w:r w:rsidR="007A1D34" w:rsidRPr="00E73EF4">
        <w:rPr>
          <w:rFonts w:ascii="Times New Roman" w:eastAsia="Calibri" w:hAnsi="Times New Roman" w:cs="Times New Roman"/>
          <w:sz w:val="24"/>
          <w:szCs w:val="24"/>
          <w:lang w:val="en-US"/>
        </w:rPr>
        <w:t>)</w:t>
      </w:r>
      <w:r w:rsidR="00AE7075" w:rsidRPr="00E73EF4">
        <w:rPr>
          <w:rFonts w:ascii="Times New Roman" w:eastAsia="Calibri" w:hAnsi="Times New Roman" w:cs="Times New Roman"/>
          <w:sz w:val="24"/>
          <w:szCs w:val="24"/>
          <w:lang w:val="en-US"/>
        </w:rPr>
        <w:t xml:space="preserve">. </w:t>
      </w:r>
      <w:r w:rsidR="005D097E" w:rsidRPr="00E73EF4">
        <w:rPr>
          <w:rFonts w:ascii="Times New Roman" w:eastAsia="Calibri" w:hAnsi="Times New Roman" w:cs="Times New Roman"/>
          <w:sz w:val="24"/>
          <w:szCs w:val="24"/>
          <w:lang w:val="en-US"/>
        </w:rPr>
        <w:t xml:space="preserve"> </w:t>
      </w:r>
      <w:r w:rsidR="007A1D34" w:rsidRPr="00E73EF4">
        <w:rPr>
          <w:rFonts w:ascii="Times New Roman" w:eastAsia="Calibri" w:hAnsi="Times New Roman" w:cs="Times New Roman"/>
          <w:sz w:val="24"/>
          <w:szCs w:val="24"/>
          <w:lang w:val="en-US"/>
        </w:rPr>
        <w:t xml:space="preserve">The data indicates that UV light </w:t>
      </w:r>
      <w:r w:rsidR="00330D57" w:rsidRPr="00E73EF4">
        <w:rPr>
          <w:rFonts w:ascii="Times New Roman" w:eastAsia="Calibri" w:hAnsi="Times New Roman" w:cs="Times New Roman"/>
          <w:sz w:val="24"/>
          <w:szCs w:val="24"/>
          <w:lang w:val="en-US"/>
        </w:rPr>
        <w:t xml:space="preserve">acts independently of antibiotics to affect total phage particle number.  </w:t>
      </w:r>
      <w:r w:rsidR="007A1D34" w:rsidRPr="00E73EF4">
        <w:rPr>
          <w:rFonts w:ascii="Times New Roman" w:eastAsia="Calibri" w:hAnsi="Times New Roman" w:cs="Times New Roman"/>
          <w:sz w:val="24"/>
          <w:szCs w:val="24"/>
          <w:lang w:val="en-US"/>
        </w:rPr>
        <w:t xml:space="preserve">  </w:t>
      </w:r>
    </w:p>
    <w:p w14:paraId="42DC35F4" w14:textId="01DA0F26" w:rsidR="005D097E" w:rsidRPr="00E73EF4" w:rsidRDefault="00BD6ACD">
      <w:pPr>
        <w:spacing w:line="480" w:lineRule="auto"/>
        <w:ind w:firstLine="720"/>
        <w:jc w:val="both"/>
        <w:rPr>
          <w:rFonts w:ascii="Times New Roman" w:eastAsia="Calibri" w:hAnsi="Times New Roman" w:cs="Times New Roman"/>
          <w:b/>
          <w:sz w:val="24"/>
          <w:szCs w:val="24"/>
          <w:lang w:val="en-US"/>
        </w:rPr>
      </w:pPr>
      <w:r w:rsidRPr="00E73EF4">
        <w:rPr>
          <w:rFonts w:ascii="Times New Roman" w:eastAsia="Calibri" w:hAnsi="Times New Roman" w:cs="Times New Roman"/>
          <w:b/>
          <w:sz w:val="24"/>
          <w:szCs w:val="24"/>
          <w:lang w:val="en-US"/>
        </w:rPr>
        <w:t xml:space="preserve">Reduction of AMR gene transfer by </w:t>
      </w:r>
      <w:r w:rsidR="005D097E" w:rsidRPr="00E73EF4">
        <w:rPr>
          <w:rFonts w:ascii="Times New Roman" w:eastAsia="Calibri" w:hAnsi="Times New Roman" w:cs="Times New Roman"/>
          <w:b/>
          <w:sz w:val="24"/>
          <w:szCs w:val="24"/>
          <w:lang w:val="en-US"/>
        </w:rPr>
        <w:t xml:space="preserve">sub-inhibitory antibiotics </w:t>
      </w:r>
    </w:p>
    <w:p w14:paraId="150EA869" w14:textId="394CECF8" w:rsidR="005D097E" w:rsidRPr="00E73EF4" w:rsidRDefault="00A73CCC" w:rsidP="00B6049E">
      <w:pPr>
        <w:autoSpaceDE w:val="0"/>
        <w:autoSpaceDN w:val="0"/>
        <w:adjustRightInd w:val="0"/>
        <w:spacing w:line="480" w:lineRule="auto"/>
        <w:ind w:firstLine="720"/>
        <w:jc w:val="both"/>
        <w:rPr>
          <w:rFonts w:ascii="Times New Roman" w:eastAsia="Calibri" w:hAnsi="Times New Roman" w:cs="Times New Roman"/>
          <w:sz w:val="24"/>
          <w:szCs w:val="24"/>
          <w:lang w:val="en-US"/>
        </w:rPr>
      </w:pPr>
      <w:proofErr w:type="spellStart"/>
      <w:r w:rsidRPr="00E73EF4">
        <w:rPr>
          <w:rFonts w:ascii="Times New Roman" w:eastAsia="Calibri" w:hAnsi="Times New Roman" w:cs="Times New Roman"/>
          <w:sz w:val="24"/>
          <w:szCs w:val="24"/>
          <w:lang w:val="en-US"/>
        </w:rPr>
        <w:t>Novobiocin</w:t>
      </w:r>
      <w:proofErr w:type="spellEnd"/>
      <w:r w:rsidRPr="00E73EF4">
        <w:rPr>
          <w:rFonts w:ascii="Times New Roman" w:eastAsia="Calibri" w:hAnsi="Times New Roman" w:cs="Times New Roman"/>
          <w:sz w:val="24"/>
          <w:szCs w:val="24"/>
          <w:lang w:val="en-US"/>
        </w:rPr>
        <w:t xml:space="preserve"> and gentamicin </w:t>
      </w:r>
      <w:r w:rsidR="00330D57" w:rsidRPr="00E73EF4">
        <w:rPr>
          <w:rFonts w:ascii="Times New Roman" w:eastAsia="Calibri" w:hAnsi="Times New Roman" w:cs="Times New Roman"/>
          <w:sz w:val="24"/>
          <w:szCs w:val="24"/>
          <w:lang w:val="en-US"/>
        </w:rPr>
        <w:t xml:space="preserve">were two antibiotics that </w:t>
      </w:r>
      <w:r w:rsidRPr="00E73EF4">
        <w:rPr>
          <w:rFonts w:ascii="Times New Roman" w:eastAsia="Calibri" w:hAnsi="Times New Roman" w:cs="Times New Roman"/>
          <w:sz w:val="24"/>
          <w:szCs w:val="24"/>
          <w:lang w:val="en-US"/>
        </w:rPr>
        <w:t>reduced transducing particles induced by UV light (Fig</w:t>
      </w:r>
      <w:r w:rsidR="0007019E" w:rsidRPr="00E73EF4">
        <w:rPr>
          <w:rFonts w:ascii="Times New Roman" w:eastAsia="Calibri" w:hAnsi="Times New Roman" w:cs="Times New Roman"/>
          <w:sz w:val="24"/>
          <w:szCs w:val="24"/>
          <w:lang w:val="en-US"/>
        </w:rPr>
        <w:t>ure</w:t>
      </w:r>
      <w:r w:rsidRPr="00E73EF4">
        <w:rPr>
          <w:rFonts w:ascii="Times New Roman" w:eastAsia="Calibri" w:hAnsi="Times New Roman" w:cs="Times New Roman"/>
          <w:sz w:val="24"/>
          <w:szCs w:val="24"/>
          <w:lang w:val="en-US"/>
        </w:rPr>
        <w:t xml:space="preserve"> 2A) and were further tested </w:t>
      </w:r>
      <w:r w:rsidR="005D097E" w:rsidRPr="00E73EF4">
        <w:rPr>
          <w:rFonts w:ascii="Times New Roman" w:eastAsia="Calibri" w:hAnsi="Times New Roman" w:cs="Times New Roman"/>
          <w:sz w:val="24"/>
          <w:szCs w:val="24"/>
          <w:lang w:val="en-US"/>
        </w:rPr>
        <w:t xml:space="preserve">for their ability to inhibit phage particle induction </w:t>
      </w:r>
      <w:r w:rsidRPr="00E73EF4">
        <w:rPr>
          <w:rFonts w:ascii="Times New Roman" w:eastAsia="Calibri" w:hAnsi="Times New Roman" w:cs="Times New Roman"/>
          <w:sz w:val="24"/>
          <w:szCs w:val="24"/>
          <w:lang w:val="en-US"/>
        </w:rPr>
        <w:t xml:space="preserve">when combined with other </w:t>
      </w:r>
      <w:r w:rsidR="005D097E" w:rsidRPr="00E73EF4">
        <w:rPr>
          <w:rFonts w:ascii="Times New Roman" w:eastAsia="Calibri" w:hAnsi="Times New Roman" w:cs="Times New Roman"/>
          <w:sz w:val="24"/>
          <w:szCs w:val="24"/>
          <w:lang w:val="en-US"/>
        </w:rPr>
        <w:t>sub-inhibitory antibiotics.</w:t>
      </w:r>
      <w:r w:rsidR="00466A17" w:rsidRPr="00E73EF4">
        <w:rPr>
          <w:rFonts w:ascii="Times New Roman" w:eastAsia="Calibri" w:hAnsi="Times New Roman" w:cs="Times New Roman"/>
          <w:sz w:val="24"/>
          <w:szCs w:val="24"/>
          <w:lang w:val="en-US"/>
        </w:rPr>
        <w:t xml:space="preserve"> Gentamicin reduced transduction of </w:t>
      </w:r>
      <w:proofErr w:type="spellStart"/>
      <w:r w:rsidR="00466A17" w:rsidRPr="00E73EF4">
        <w:rPr>
          <w:rFonts w:ascii="Times New Roman" w:eastAsia="Calibri" w:hAnsi="Times New Roman" w:cs="Times New Roman"/>
          <w:i/>
          <w:sz w:val="24"/>
          <w:szCs w:val="24"/>
          <w:lang w:val="en-US"/>
        </w:rPr>
        <w:t>erm</w:t>
      </w:r>
      <w:r w:rsidR="006D3118" w:rsidRPr="00E73EF4">
        <w:rPr>
          <w:rFonts w:ascii="Times New Roman" w:eastAsia="Calibri" w:hAnsi="Times New Roman" w:cs="Times New Roman"/>
          <w:i/>
          <w:sz w:val="24"/>
          <w:szCs w:val="24"/>
          <w:lang w:val="en-US"/>
        </w:rPr>
        <w:t>C</w:t>
      </w:r>
      <w:proofErr w:type="spellEnd"/>
      <w:r w:rsidR="00466A17" w:rsidRPr="00E73EF4">
        <w:rPr>
          <w:rFonts w:ascii="Times New Roman" w:eastAsia="Calibri" w:hAnsi="Times New Roman" w:cs="Times New Roman"/>
          <w:sz w:val="24"/>
          <w:szCs w:val="24"/>
          <w:lang w:val="en-US"/>
        </w:rPr>
        <w:t xml:space="preserve"> i</w:t>
      </w:r>
      <w:r w:rsidR="00B42B5F" w:rsidRPr="00E73EF4">
        <w:rPr>
          <w:rFonts w:ascii="Times New Roman" w:eastAsia="Calibri" w:hAnsi="Times New Roman" w:cs="Times New Roman"/>
          <w:sz w:val="24"/>
          <w:szCs w:val="24"/>
          <w:lang w:val="en-US"/>
        </w:rPr>
        <w:t xml:space="preserve">n combination with </w:t>
      </w:r>
      <w:proofErr w:type="spellStart"/>
      <w:r w:rsidR="00B42B5F" w:rsidRPr="00E73EF4">
        <w:rPr>
          <w:rFonts w:ascii="Times New Roman" w:eastAsia="Calibri" w:hAnsi="Times New Roman" w:cs="Times New Roman"/>
          <w:sz w:val="24"/>
          <w:szCs w:val="24"/>
          <w:lang w:val="en-US"/>
        </w:rPr>
        <w:t>mupirocin</w:t>
      </w:r>
      <w:proofErr w:type="spellEnd"/>
      <w:r w:rsidR="00B42B5F" w:rsidRPr="00E73EF4">
        <w:rPr>
          <w:rFonts w:ascii="Times New Roman" w:eastAsia="Calibri" w:hAnsi="Times New Roman" w:cs="Times New Roman"/>
          <w:sz w:val="24"/>
          <w:szCs w:val="24"/>
          <w:lang w:val="en-US"/>
        </w:rPr>
        <w:t xml:space="preserve"> or</w:t>
      </w:r>
      <w:r w:rsidR="00466A17" w:rsidRPr="00E73EF4">
        <w:rPr>
          <w:rFonts w:ascii="Times New Roman" w:eastAsia="Calibri" w:hAnsi="Times New Roman" w:cs="Times New Roman"/>
          <w:sz w:val="24"/>
          <w:szCs w:val="24"/>
          <w:lang w:val="en-US"/>
        </w:rPr>
        <w:t xml:space="preserve"> ciprofloxacin (Figure 3</w:t>
      </w:r>
      <w:r w:rsidR="00330D57" w:rsidRPr="00E73EF4">
        <w:rPr>
          <w:rFonts w:ascii="Times New Roman" w:eastAsia="Calibri" w:hAnsi="Times New Roman" w:cs="Times New Roman"/>
          <w:sz w:val="24"/>
          <w:szCs w:val="24"/>
          <w:lang w:val="en-US"/>
        </w:rPr>
        <w:t>a</w:t>
      </w:r>
      <w:r w:rsidR="00466A17" w:rsidRPr="00E73EF4">
        <w:rPr>
          <w:rFonts w:ascii="Times New Roman" w:eastAsia="Calibri" w:hAnsi="Times New Roman" w:cs="Times New Roman"/>
          <w:sz w:val="24"/>
          <w:szCs w:val="24"/>
          <w:lang w:val="en-US"/>
        </w:rPr>
        <w:t xml:space="preserve">).  </w:t>
      </w:r>
      <w:r w:rsidR="00D667DD" w:rsidRPr="00E73EF4">
        <w:rPr>
          <w:rFonts w:ascii="Times New Roman" w:eastAsia="Calibri" w:hAnsi="Times New Roman" w:cs="Times New Roman"/>
          <w:sz w:val="24"/>
          <w:szCs w:val="24"/>
          <w:lang w:val="en-US"/>
        </w:rPr>
        <w:t xml:space="preserve">In combination with other antibiotics, </w:t>
      </w:r>
      <w:proofErr w:type="spellStart"/>
      <w:r w:rsidR="00D667DD" w:rsidRPr="00E73EF4">
        <w:rPr>
          <w:rFonts w:ascii="Times New Roman" w:eastAsia="Calibri" w:hAnsi="Times New Roman" w:cs="Times New Roman"/>
          <w:sz w:val="24"/>
          <w:szCs w:val="24"/>
          <w:lang w:val="en-US"/>
        </w:rPr>
        <w:t>n</w:t>
      </w:r>
      <w:r w:rsidR="00330D57" w:rsidRPr="00E73EF4">
        <w:rPr>
          <w:rFonts w:ascii="Times New Roman" w:eastAsia="Calibri" w:hAnsi="Times New Roman" w:cs="Times New Roman"/>
          <w:sz w:val="24"/>
          <w:szCs w:val="24"/>
          <w:lang w:val="en-US"/>
        </w:rPr>
        <w:t>ovobiocin</w:t>
      </w:r>
      <w:proofErr w:type="spellEnd"/>
      <w:r w:rsidR="00330D57" w:rsidRPr="00E73EF4">
        <w:rPr>
          <w:rFonts w:ascii="Times New Roman" w:eastAsia="Calibri" w:hAnsi="Times New Roman" w:cs="Times New Roman"/>
          <w:sz w:val="24"/>
          <w:szCs w:val="24"/>
          <w:lang w:val="en-US"/>
        </w:rPr>
        <w:t xml:space="preserve"> did not reduce transduction of </w:t>
      </w:r>
      <w:proofErr w:type="spellStart"/>
      <w:r w:rsidR="00330D57" w:rsidRPr="00E73EF4">
        <w:rPr>
          <w:rFonts w:ascii="Times New Roman" w:eastAsia="Calibri" w:hAnsi="Times New Roman" w:cs="Times New Roman"/>
          <w:i/>
          <w:sz w:val="24"/>
          <w:szCs w:val="24"/>
          <w:lang w:val="en-US"/>
        </w:rPr>
        <w:t>ermC</w:t>
      </w:r>
      <w:proofErr w:type="spellEnd"/>
      <w:r w:rsidR="00330D57" w:rsidRPr="00E73EF4">
        <w:rPr>
          <w:rFonts w:ascii="Times New Roman" w:eastAsia="Calibri" w:hAnsi="Times New Roman" w:cs="Times New Roman"/>
          <w:sz w:val="24"/>
          <w:szCs w:val="24"/>
          <w:lang w:val="en-US"/>
        </w:rPr>
        <w:t xml:space="preserve"> (Figure 3a), although it did reduce lytic phage (Supplementary Figure 1).  </w:t>
      </w:r>
      <w:r w:rsidR="00466A17" w:rsidRPr="00E73EF4">
        <w:rPr>
          <w:rFonts w:ascii="Times New Roman" w:eastAsia="Calibri" w:hAnsi="Times New Roman" w:cs="Times New Roman"/>
          <w:sz w:val="24"/>
          <w:szCs w:val="24"/>
          <w:lang w:val="en-US"/>
        </w:rPr>
        <w:t xml:space="preserve">In contrast, both </w:t>
      </w:r>
      <w:proofErr w:type="spellStart"/>
      <w:r w:rsidR="00466A17" w:rsidRPr="00E73EF4">
        <w:rPr>
          <w:rFonts w:ascii="Times New Roman" w:eastAsia="Calibri" w:hAnsi="Times New Roman" w:cs="Times New Roman"/>
          <w:sz w:val="24"/>
          <w:szCs w:val="24"/>
          <w:lang w:val="en-US"/>
        </w:rPr>
        <w:t>novobiocin</w:t>
      </w:r>
      <w:proofErr w:type="spellEnd"/>
      <w:r w:rsidR="00466A17" w:rsidRPr="00E73EF4">
        <w:rPr>
          <w:rFonts w:ascii="Times New Roman" w:eastAsia="Calibri" w:hAnsi="Times New Roman" w:cs="Times New Roman"/>
          <w:sz w:val="24"/>
          <w:szCs w:val="24"/>
          <w:lang w:val="en-US"/>
        </w:rPr>
        <w:t xml:space="preserve"> and gentamicin very effectively reduced </w:t>
      </w:r>
      <w:r w:rsidR="00F40613" w:rsidRPr="00E73EF4">
        <w:rPr>
          <w:rFonts w:ascii="Times New Roman" w:eastAsia="Calibri" w:hAnsi="Times New Roman" w:cs="Times New Roman"/>
          <w:sz w:val="24"/>
          <w:szCs w:val="24"/>
          <w:lang w:val="en-US"/>
        </w:rPr>
        <w:t xml:space="preserve">the high level </w:t>
      </w:r>
      <w:r w:rsidR="00466A17" w:rsidRPr="00E73EF4">
        <w:rPr>
          <w:rFonts w:ascii="Times New Roman" w:eastAsia="Calibri" w:hAnsi="Times New Roman" w:cs="Times New Roman"/>
          <w:sz w:val="24"/>
          <w:szCs w:val="24"/>
          <w:lang w:val="en-US"/>
        </w:rPr>
        <w:t xml:space="preserve">UV induced transduction in the presence of trimethoprim or </w:t>
      </w:r>
      <w:proofErr w:type="spellStart"/>
      <w:r w:rsidR="00C657F3" w:rsidRPr="00E73EF4">
        <w:rPr>
          <w:rFonts w:ascii="Times New Roman" w:eastAsia="Calibri" w:hAnsi="Times New Roman" w:cs="Times New Roman"/>
          <w:sz w:val="24"/>
          <w:szCs w:val="24"/>
          <w:lang w:val="en-US"/>
        </w:rPr>
        <w:t>cefoxitin</w:t>
      </w:r>
      <w:proofErr w:type="spellEnd"/>
      <w:r w:rsidR="00466A17" w:rsidRPr="00E73EF4">
        <w:rPr>
          <w:rFonts w:ascii="Times New Roman" w:eastAsia="Calibri" w:hAnsi="Times New Roman" w:cs="Times New Roman"/>
          <w:sz w:val="24"/>
          <w:szCs w:val="24"/>
          <w:lang w:val="en-US"/>
        </w:rPr>
        <w:t xml:space="preserve"> (Figure 3</w:t>
      </w:r>
      <w:r w:rsidR="004D5FEB" w:rsidRPr="00E73EF4">
        <w:rPr>
          <w:rFonts w:ascii="Times New Roman" w:eastAsia="Calibri" w:hAnsi="Times New Roman" w:cs="Times New Roman"/>
          <w:sz w:val="24"/>
          <w:szCs w:val="24"/>
          <w:lang w:val="en-US"/>
        </w:rPr>
        <w:t>c</w:t>
      </w:r>
      <w:r w:rsidR="00466A17" w:rsidRPr="00E73EF4">
        <w:rPr>
          <w:rFonts w:ascii="Times New Roman" w:eastAsia="Calibri" w:hAnsi="Times New Roman" w:cs="Times New Roman"/>
          <w:sz w:val="24"/>
          <w:szCs w:val="24"/>
          <w:lang w:val="en-US"/>
        </w:rPr>
        <w:t>, 3</w:t>
      </w:r>
      <w:r w:rsidR="004D5FEB" w:rsidRPr="00E73EF4">
        <w:rPr>
          <w:rFonts w:ascii="Times New Roman" w:eastAsia="Calibri" w:hAnsi="Times New Roman" w:cs="Times New Roman"/>
          <w:sz w:val="24"/>
          <w:szCs w:val="24"/>
          <w:lang w:val="en-US"/>
        </w:rPr>
        <w:t>d</w:t>
      </w:r>
      <w:r w:rsidR="00466A17" w:rsidRPr="00E73EF4">
        <w:rPr>
          <w:rFonts w:ascii="Times New Roman" w:eastAsia="Calibri" w:hAnsi="Times New Roman" w:cs="Times New Roman"/>
          <w:sz w:val="24"/>
          <w:szCs w:val="24"/>
          <w:lang w:val="en-US"/>
        </w:rPr>
        <w:t>)</w:t>
      </w:r>
      <w:r w:rsidR="00330D57" w:rsidRPr="00E73EF4">
        <w:rPr>
          <w:rFonts w:ascii="Times New Roman" w:eastAsia="Calibri" w:hAnsi="Times New Roman" w:cs="Times New Roman"/>
          <w:sz w:val="24"/>
          <w:szCs w:val="24"/>
          <w:lang w:val="en-US"/>
        </w:rPr>
        <w:t xml:space="preserve">, as well as reducing the effects </w:t>
      </w:r>
      <w:r w:rsidR="00B42B5F" w:rsidRPr="00E73EF4">
        <w:rPr>
          <w:rFonts w:ascii="Times New Roman" w:eastAsia="Calibri" w:hAnsi="Times New Roman" w:cs="Times New Roman"/>
          <w:sz w:val="24"/>
          <w:szCs w:val="24"/>
          <w:lang w:val="en-US"/>
        </w:rPr>
        <w:t>of ampicillin, ciprofloxacin or</w:t>
      </w:r>
      <w:r w:rsidR="00330D57" w:rsidRPr="00E73EF4">
        <w:rPr>
          <w:rFonts w:ascii="Times New Roman" w:eastAsia="Calibri" w:hAnsi="Times New Roman" w:cs="Times New Roman"/>
          <w:sz w:val="24"/>
          <w:szCs w:val="24"/>
          <w:lang w:val="en-US"/>
        </w:rPr>
        <w:t xml:space="preserve"> </w:t>
      </w:r>
      <w:proofErr w:type="spellStart"/>
      <w:r w:rsidR="00330D57" w:rsidRPr="00E73EF4">
        <w:rPr>
          <w:rFonts w:ascii="Times New Roman" w:eastAsia="Calibri" w:hAnsi="Times New Roman" w:cs="Times New Roman"/>
          <w:sz w:val="24"/>
          <w:szCs w:val="24"/>
          <w:lang w:val="en-US"/>
        </w:rPr>
        <w:t>mupirocin</w:t>
      </w:r>
      <w:proofErr w:type="spellEnd"/>
      <w:r w:rsidR="00330D57" w:rsidRPr="00E73EF4">
        <w:rPr>
          <w:rFonts w:ascii="Times New Roman" w:eastAsia="Calibri" w:hAnsi="Times New Roman" w:cs="Times New Roman"/>
          <w:sz w:val="24"/>
          <w:szCs w:val="24"/>
          <w:lang w:val="en-US"/>
        </w:rPr>
        <w:t>.</w:t>
      </w:r>
    </w:p>
    <w:p w14:paraId="0A29F0EE" w14:textId="433A3DB8" w:rsidR="00140AB5" w:rsidRPr="00E73EF4" w:rsidRDefault="004D5FEB" w:rsidP="00B6049E">
      <w:pPr>
        <w:spacing w:line="480" w:lineRule="auto"/>
        <w:ind w:firstLine="720"/>
        <w:jc w:val="both"/>
        <w:rPr>
          <w:rFonts w:ascii="Times New Roman" w:eastAsia="Calibri" w:hAnsi="Times New Roman" w:cs="Times New Roman"/>
          <w:b/>
          <w:sz w:val="24"/>
          <w:szCs w:val="24"/>
          <w:lang w:val="en-US"/>
        </w:rPr>
      </w:pPr>
      <w:r w:rsidRPr="00E73EF4">
        <w:rPr>
          <w:rFonts w:ascii="Times New Roman" w:eastAsia="Calibri" w:hAnsi="Times New Roman" w:cs="Times New Roman"/>
          <w:b/>
          <w:sz w:val="24"/>
          <w:szCs w:val="24"/>
          <w:lang w:val="en-US"/>
        </w:rPr>
        <w:t>The DNA content of p</w:t>
      </w:r>
      <w:r w:rsidR="00714F21" w:rsidRPr="00E73EF4">
        <w:rPr>
          <w:rFonts w:ascii="Times New Roman" w:eastAsia="Calibri" w:hAnsi="Times New Roman" w:cs="Times New Roman"/>
          <w:b/>
          <w:sz w:val="24"/>
          <w:szCs w:val="24"/>
          <w:lang w:val="en-US"/>
        </w:rPr>
        <w:t>hage particle</w:t>
      </w:r>
      <w:r w:rsidRPr="00E73EF4">
        <w:rPr>
          <w:rFonts w:ascii="Times New Roman" w:eastAsia="Calibri" w:hAnsi="Times New Roman" w:cs="Times New Roman"/>
          <w:b/>
          <w:sz w:val="24"/>
          <w:szCs w:val="24"/>
          <w:lang w:val="en-US"/>
        </w:rPr>
        <w:t>s</w:t>
      </w:r>
      <w:r w:rsidR="00714F21" w:rsidRPr="00E73EF4">
        <w:rPr>
          <w:rFonts w:ascii="Times New Roman" w:eastAsia="Calibri" w:hAnsi="Times New Roman" w:cs="Times New Roman"/>
          <w:b/>
          <w:sz w:val="24"/>
          <w:szCs w:val="24"/>
          <w:lang w:val="en-US"/>
        </w:rPr>
        <w:t xml:space="preserve"> </w:t>
      </w:r>
      <w:r w:rsidR="004B4C4C" w:rsidRPr="00E73EF4">
        <w:rPr>
          <w:rFonts w:ascii="Times New Roman" w:eastAsia="Calibri" w:hAnsi="Times New Roman" w:cs="Times New Roman"/>
          <w:b/>
          <w:sz w:val="24"/>
          <w:szCs w:val="24"/>
          <w:lang w:val="en-US"/>
        </w:rPr>
        <w:t xml:space="preserve">correlates with transducing and lytic </w:t>
      </w:r>
      <w:r w:rsidRPr="00E73EF4">
        <w:rPr>
          <w:rFonts w:ascii="Times New Roman" w:eastAsia="Calibri" w:hAnsi="Times New Roman" w:cs="Times New Roman"/>
          <w:b/>
          <w:sz w:val="24"/>
          <w:szCs w:val="24"/>
          <w:lang w:val="en-US"/>
        </w:rPr>
        <w:t>activity</w:t>
      </w:r>
    </w:p>
    <w:p w14:paraId="060C81A7" w14:textId="02415B2E" w:rsidR="004B4C4C" w:rsidRPr="00E73EF4" w:rsidRDefault="004D5FEB" w:rsidP="00B6049E">
      <w:pPr>
        <w:spacing w:line="480" w:lineRule="auto"/>
        <w:ind w:firstLine="720"/>
        <w:contextualSpacing/>
        <w:jc w:val="both"/>
        <w:rPr>
          <w:rFonts w:ascii="Times New Roman" w:eastAsia="Calibri" w:hAnsi="Times New Roman" w:cs="Times New Roman"/>
          <w:sz w:val="24"/>
          <w:szCs w:val="24"/>
          <w:lang w:val="en-US"/>
        </w:rPr>
      </w:pPr>
      <w:r w:rsidRPr="00E73EF4">
        <w:rPr>
          <w:rFonts w:ascii="Times New Roman" w:eastAsia="Calibri" w:hAnsi="Times New Roman" w:cs="Times New Roman"/>
          <w:sz w:val="24"/>
          <w:szCs w:val="24"/>
          <w:lang w:val="en-US"/>
        </w:rPr>
        <w:t xml:space="preserve">Phage preparations exposed to either trimethoprim or ciprofloxacin, with or without UV light were compared and the concentration of </w:t>
      </w:r>
      <w:proofErr w:type="spellStart"/>
      <w:r w:rsidRPr="00E73EF4">
        <w:rPr>
          <w:rFonts w:ascii="Times New Roman" w:eastAsia="Calibri" w:hAnsi="Times New Roman" w:cs="Times New Roman"/>
          <w:i/>
          <w:sz w:val="24"/>
          <w:szCs w:val="24"/>
          <w:lang w:val="en-US"/>
        </w:rPr>
        <w:t>ermC</w:t>
      </w:r>
      <w:proofErr w:type="spellEnd"/>
      <w:r w:rsidRPr="00E73EF4">
        <w:rPr>
          <w:rFonts w:ascii="Times New Roman" w:eastAsia="Calibri" w:hAnsi="Times New Roman" w:cs="Times New Roman"/>
          <w:i/>
          <w:sz w:val="24"/>
          <w:szCs w:val="24"/>
          <w:lang w:val="en-US"/>
        </w:rPr>
        <w:t xml:space="preserve">, </w:t>
      </w:r>
      <w:proofErr w:type="spellStart"/>
      <w:r w:rsidRPr="00E73EF4">
        <w:rPr>
          <w:rFonts w:ascii="Times New Roman" w:eastAsia="Calibri" w:hAnsi="Times New Roman" w:cs="Times New Roman"/>
          <w:i/>
          <w:sz w:val="24"/>
          <w:szCs w:val="24"/>
          <w:lang w:val="en-US"/>
        </w:rPr>
        <w:t>nuc</w:t>
      </w:r>
      <w:proofErr w:type="spellEnd"/>
      <w:r w:rsidRPr="00E73EF4">
        <w:rPr>
          <w:rFonts w:ascii="Times New Roman" w:eastAsia="Calibri" w:hAnsi="Times New Roman" w:cs="Times New Roman"/>
          <w:i/>
          <w:sz w:val="24"/>
          <w:szCs w:val="24"/>
          <w:lang w:val="en-US"/>
        </w:rPr>
        <w:t xml:space="preserve">, </w:t>
      </w:r>
      <w:r w:rsidR="0007019E" w:rsidRPr="00E73EF4">
        <w:rPr>
          <w:rFonts w:ascii="Times New Roman" w:hAnsi="Times New Roman" w:cs="Times New Roman"/>
          <w:sz w:val="24"/>
          <w:szCs w:val="24"/>
        </w:rPr>
        <w:t>Φ1</w:t>
      </w:r>
      <w:proofErr w:type="spellStart"/>
      <w:r w:rsidRPr="00E73EF4">
        <w:rPr>
          <w:rFonts w:ascii="Times New Roman" w:eastAsia="Calibri" w:hAnsi="Times New Roman" w:cs="Times New Roman"/>
          <w:i/>
          <w:sz w:val="24"/>
          <w:szCs w:val="24"/>
          <w:lang w:val="en-US"/>
        </w:rPr>
        <w:t>int</w:t>
      </w:r>
      <w:proofErr w:type="spellEnd"/>
      <w:r w:rsidRPr="00E73EF4">
        <w:rPr>
          <w:rFonts w:ascii="Times New Roman" w:eastAsia="Calibri" w:hAnsi="Times New Roman" w:cs="Times New Roman"/>
          <w:sz w:val="24"/>
          <w:szCs w:val="24"/>
          <w:lang w:val="en-US"/>
        </w:rPr>
        <w:t xml:space="preserve"> and </w:t>
      </w:r>
      <w:r w:rsidR="0007019E" w:rsidRPr="00E73EF4">
        <w:rPr>
          <w:rFonts w:ascii="Times New Roman" w:hAnsi="Times New Roman" w:cs="Times New Roman"/>
          <w:sz w:val="24"/>
          <w:szCs w:val="24"/>
        </w:rPr>
        <w:t>Φ2</w:t>
      </w:r>
      <w:proofErr w:type="spellStart"/>
      <w:r w:rsidRPr="00E73EF4">
        <w:rPr>
          <w:rFonts w:ascii="Times New Roman" w:eastAsia="Calibri" w:hAnsi="Times New Roman" w:cs="Times New Roman"/>
          <w:i/>
          <w:sz w:val="24"/>
          <w:szCs w:val="24"/>
          <w:lang w:val="en-US"/>
        </w:rPr>
        <w:t>int</w:t>
      </w:r>
      <w:proofErr w:type="spellEnd"/>
      <w:r w:rsidRPr="00E73EF4">
        <w:rPr>
          <w:rFonts w:ascii="Times New Roman" w:eastAsia="Calibri" w:hAnsi="Times New Roman" w:cs="Times New Roman"/>
          <w:sz w:val="24"/>
          <w:szCs w:val="24"/>
          <w:lang w:val="en-US"/>
        </w:rPr>
        <w:t xml:space="preserve"> in the purified </w:t>
      </w:r>
      <w:r w:rsidRPr="00E73EF4">
        <w:rPr>
          <w:rFonts w:ascii="Times New Roman" w:eastAsia="Calibri" w:hAnsi="Times New Roman" w:cs="Times New Roman"/>
          <w:sz w:val="24"/>
          <w:szCs w:val="24"/>
          <w:lang w:val="en-US"/>
        </w:rPr>
        <w:lastRenderedPageBreak/>
        <w:t xml:space="preserve">phage particles measured by </w:t>
      </w:r>
      <w:proofErr w:type="spellStart"/>
      <w:r w:rsidR="004B4C4C" w:rsidRPr="00E73EF4">
        <w:rPr>
          <w:rFonts w:ascii="Times New Roman" w:eastAsia="Calibri" w:hAnsi="Times New Roman" w:cs="Times New Roman"/>
          <w:sz w:val="24"/>
          <w:szCs w:val="24"/>
          <w:lang w:val="en-US"/>
        </w:rPr>
        <w:t>ddPCR</w:t>
      </w:r>
      <w:proofErr w:type="spellEnd"/>
      <w:r w:rsidR="001541A0" w:rsidRPr="00E73EF4">
        <w:rPr>
          <w:rFonts w:ascii="Times New Roman" w:eastAsia="Calibri" w:hAnsi="Times New Roman" w:cs="Times New Roman"/>
          <w:sz w:val="24"/>
          <w:szCs w:val="24"/>
          <w:lang w:val="en-US"/>
        </w:rPr>
        <w:t xml:space="preserve"> (Fig 4a)</w:t>
      </w:r>
      <w:r w:rsidRPr="00E73EF4">
        <w:rPr>
          <w:rFonts w:ascii="Times New Roman" w:eastAsia="Calibri" w:hAnsi="Times New Roman" w:cs="Times New Roman"/>
          <w:sz w:val="24"/>
          <w:szCs w:val="24"/>
          <w:lang w:val="en-US"/>
        </w:rPr>
        <w:t xml:space="preserve">.  </w:t>
      </w:r>
      <w:r w:rsidR="004B4C4C" w:rsidRPr="00E73EF4">
        <w:rPr>
          <w:rFonts w:ascii="Times New Roman" w:eastAsia="Calibri" w:hAnsi="Times New Roman" w:cs="Times New Roman"/>
          <w:sz w:val="24"/>
          <w:szCs w:val="24"/>
          <w:lang w:val="en-US"/>
        </w:rPr>
        <w:t xml:space="preserve">There was correlation between copy number of </w:t>
      </w:r>
      <w:proofErr w:type="spellStart"/>
      <w:r w:rsidR="004B4C4C" w:rsidRPr="00E73EF4">
        <w:rPr>
          <w:rFonts w:ascii="Times New Roman" w:eastAsia="Calibri" w:hAnsi="Times New Roman" w:cs="Times New Roman"/>
          <w:i/>
          <w:sz w:val="24"/>
          <w:szCs w:val="24"/>
          <w:lang w:val="en-US"/>
        </w:rPr>
        <w:t>ermC</w:t>
      </w:r>
      <w:proofErr w:type="spellEnd"/>
      <w:r w:rsidR="004B4C4C" w:rsidRPr="00E73EF4">
        <w:rPr>
          <w:rFonts w:ascii="Times New Roman" w:eastAsia="Calibri" w:hAnsi="Times New Roman" w:cs="Times New Roman"/>
          <w:sz w:val="24"/>
          <w:szCs w:val="24"/>
          <w:lang w:val="en-US"/>
        </w:rPr>
        <w:t xml:space="preserve"> and the transducing ability of the lysate</w:t>
      </w:r>
      <w:r w:rsidR="001541A0" w:rsidRPr="00E73EF4">
        <w:rPr>
          <w:rFonts w:ascii="Times New Roman" w:eastAsia="Calibri" w:hAnsi="Times New Roman" w:cs="Times New Roman"/>
          <w:sz w:val="24"/>
          <w:szCs w:val="24"/>
          <w:lang w:val="en-US"/>
        </w:rPr>
        <w:t xml:space="preserve"> (Figure 4b) and correlation between </w:t>
      </w:r>
      <w:r w:rsidR="00296BE3" w:rsidRPr="00E73EF4">
        <w:rPr>
          <w:rFonts w:ascii="Times New Roman" w:eastAsia="Calibri" w:hAnsi="Times New Roman" w:cs="Times New Roman"/>
          <w:sz w:val="24"/>
          <w:szCs w:val="24"/>
          <w:lang w:val="en-US"/>
        </w:rPr>
        <w:t xml:space="preserve">the copy number of </w:t>
      </w:r>
      <w:r w:rsidR="0007019E" w:rsidRPr="00E73EF4">
        <w:rPr>
          <w:rFonts w:ascii="Times New Roman" w:hAnsi="Times New Roman" w:cs="Times New Roman"/>
          <w:sz w:val="24"/>
          <w:szCs w:val="24"/>
        </w:rPr>
        <w:t>Φ1</w:t>
      </w:r>
      <w:proofErr w:type="spellStart"/>
      <w:r w:rsidR="001541A0" w:rsidRPr="00E73EF4">
        <w:rPr>
          <w:rFonts w:ascii="Times New Roman" w:eastAsia="Calibri" w:hAnsi="Times New Roman" w:cs="Times New Roman"/>
          <w:i/>
          <w:sz w:val="24"/>
          <w:szCs w:val="24"/>
          <w:lang w:val="en-US"/>
        </w:rPr>
        <w:t>int</w:t>
      </w:r>
      <w:proofErr w:type="spellEnd"/>
      <w:r w:rsidR="001541A0" w:rsidRPr="00E73EF4">
        <w:rPr>
          <w:rFonts w:ascii="Times New Roman" w:eastAsia="Calibri" w:hAnsi="Times New Roman" w:cs="Times New Roman"/>
          <w:sz w:val="24"/>
          <w:szCs w:val="24"/>
          <w:lang w:val="en-US"/>
        </w:rPr>
        <w:t xml:space="preserve"> </w:t>
      </w:r>
      <w:r w:rsidR="00296BE3" w:rsidRPr="00E73EF4">
        <w:rPr>
          <w:rFonts w:ascii="Times New Roman" w:eastAsia="Calibri" w:hAnsi="Times New Roman" w:cs="Times New Roman"/>
          <w:sz w:val="24"/>
          <w:szCs w:val="24"/>
          <w:lang w:val="en-US"/>
        </w:rPr>
        <w:t xml:space="preserve">and </w:t>
      </w:r>
      <w:r w:rsidR="0007019E" w:rsidRPr="00E73EF4">
        <w:rPr>
          <w:rFonts w:ascii="Times New Roman" w:hAnsi="Times New Roman" w:cs="Times New Roman"/>
          <w:sz w:val="24"/>
          <w:szCs w:val="24"/>
        </w:rPr>
        <w:t>Φ2</w:t>
      </w:r>
      <w:proofErr w:type="spellStart"/>
      <w:r w:rsidR="001541A0" w:rsidRPr="00E73EF4">
        <w:rPr>
          <w:rFonts w:ascii="Times New Roman" w:eastAsia="Calibri" w:hAnsi="Times New Roman" w:cs="Times New Roman"/>
          <w:i/>
          <w:sz w:val="24"/>
          <w:szCs w:val="24"/>
          <w:lang w:val="en-US"/>
        </w:rPr>
        <w:t>int</w:t>
      </w:r>
      <w:proofErr w:type="spellEnd"/>
      <w:r w:rsidR="001541A0" w:rsidRPr="00E73EF4">
        <w:rPr>
          <w:rFonts w:ascii="Times New Roman" w:eastAsia="Calibri" w:hAnsi="Times New Roman" w:cs="Times New Roman"/>
          <w:sz w:val="24"/>
          <w:szCs w:val="24"/>
          <w:lang w:val="en-US"/>
        </w:rPr>
        <w:t xml:space="preserve"> </w:t>
      </w:r>
      <w:r w:rsidR="00296BE3" w:rsidRPr="00E73EF4">
        <w:rPr>
          <w:rFonts w:ascii="Times New Roman" w:eastAsia="Calibri" w:hAnsi="Times New Roman" w:cs="Times New Roman"/>
          <w:sz w:val="24"/>
          <w:szCs w:val="24"/>
          <w:lang w:val="en-US"/>
        </w:rPr>
        <w:t>genes and the lytic activity of the lysate (Figure 4</w:t>
      </w:r>
      <w:r w:rsidR="009255BB" w:rsidRPr="00E73EF4">
        <w:rPr>
          <w:rFonts w:ascii="Times New Roman" w:eastAsia="Calibri" w:hAnsi="Times New Roman" w:cs="Times New Roman"/>
          <w:sz w:val="24"/>
          <w:szCs w:val="24"/>
          <w:lang w:val="en-US"/>
        </w:rPr>
        <w:t>c</w:t>
      </w:r>
      <w:r w:rsidR="00296BE3" w:rsidRPr="00E73EF4">
        <w:rPr>
          <w:rFonts w:ascii="Times New Roman" w:eastAsia="Calibri" w:hAnsi="Times New Roman" w:cs="Times New Roman"/>
          <w:sz w:val="24"/>
          <w:szCs w:val="24"/>
          <w:lang w:val="en-US"/>
        </w:rPr>
        <w:t xml:space="preserve">).  </w:t>
      </w:r>
      <w:r w:rsidR="009255BB" w:rsidRPr="00E73EF4">
        <w:rPr>
          <w:rFonts w:ascii="Times New Roman" w:eastAsia="Calibri" w:hAnsi="Times New Roman" w:cs="Times New Roman"/>
          <w:sz w:val="24"/>
          <w:szCs w:val="24"/>
          <w:lang w:val="en-US"/>
        </w:rPr>
        <w:t xml:space="preserve">The data </w:t>
      </w:r>
      <w:r w:rsidR="00296BE3" w:rsidRPr="00E73EF4">
        <w:rPr>
          <w:rFonts w:ascii="Times New Roman" w:eastAsia="Calibri" w:hAnsi="Times New Roman" w:cs="Times New Roman"/>
          <w:sz w:val="24"/>
          <w:szCs w:val="24"/>
          <w:lang w:val="en-US"/>
        </w:rPr>
        <w:t>indicates the packaging step</w:t>
      </w:r>
      <w:r w:rsidR="009255BB" w:rsidRPr="00E73EF4">
        <w:rPr>
          <w:rFonts w:ascii="Times New Roman" w:eastAsia="Calibri" w:hAnsi="Times New Roman" w:cs="Times New Roman"/>
          <w:sz w:val="24"/>
          <w:szCs w:val="24"/>
          <w:lang w:val="en-US"/>
        </w:rPr>
        <w:t xml:space="preserve"> which determines </w:t>
      </w:r>
      <w:r w:rsidR="00114595" w:rsidRPr="00E73EF4">
        <w:rPr>
          <w:rFonts w:ascii="Times New Roman" w:eastAsia="Calibri" w:hAnsi="Times New Roman" w:cs="Times New Roman"/>
          <w:sz w:val="24"/>
          <w:szCs w:val="24"/>
          <w:lang w:val="en-US"/>
        </w:rPr>
        <w:t>which</w:t>
      </w:r>
      <w:r w:rsidR="009255BB" w:rsidRPr="00E73EF4">
        <w:rPr>
          <w:rFonts w:ascii="Times New Roman" w:eastAsia="Calibri" w:hAnsi="Times New Roman" w:cs="Times New Roman"/>
          <w:sz w:val="24"/>
          <w:szCs w:val="24"/>
          <w:lang w:val="en-US"/>
        </w:rPr>
        <w:t xml:space="preserve"> DNA </w:t>
      </w:r>
      <w:r w:rsidR="00114595" w:rsidRPr="00E73EF4">
        <w:rPr>
          <w:rFonts w:ascii="Times New Roman" w:eastAsia="Calibri" w:hAnsi="Times New Roman" w:cs="Times New Roman"/>
          <w:sz w:val="24"/>
          <w:szCs w:val="24"/>
          <w:lang w:val="en-US"/>
        </w:rPr>
        <w:t xml:space="preserve">sequences are incorporated into the </w:t>
      </w:r>
      <w:r w:rsidR="00296BE3" w:rsidRPr="00E73EF4">
        <w:rPr>
          <w:rFonts w:ascii="Times New Roman" w:eastAsia="Calibri" w:hAnsi="Times New Roman" w:cs="Times New Roman"/>
          <w:sz w:val="24"/>
          <w:szCs w:val="24"/>
          <w:lang w:val="en-US"/>
        </w:rPr>
        <w:t xml:space="preserve">phage particle plays a key role in determining the resultant transducing and lytic activity of the </w:t>
      </w:r>
      <w:r w:rsidR="00114595" w:rsidRPr="00E73EF4">
        <w:rPr>
          <w:rFonts w:ascii="Times New Roman" w:eastAsia="Calibri" w:hAnsi="Times New Roman" w:cs="Times New Roman"/>
          <w:sz w:val="24"/>
          <w:szCs w:val="24"/>
          <w:lang w:val="en-US"/>
        </w:rPr>
        <w:t>phage preparations</w:t>
      </w:r>
      <w:r w:rsidR="00296BE3" w:rsidRPr="00E73EF4">
        <w:rPr>
          <w:rFonts w:ascii="Times New Roman" w:eastAsia="Calibri" w:hAnsi="Times New Roman" w:cs="Times New Roman"/>
          <w:sz w:val="24"/>
          <w:szCs w:val="24"/>
          <w:lang w:val="en-US"/>
        </w:rPr>
        <w:t xml:space="preserve">.  </w:t>
      </w:r>
    </w:p>
    <w:p w14:paraId="4B6E583E" w14:textId="572BC52D" w:rsidR="00EF2C9A" w:rsidRPr="00E73EF4" w:rsidRDefault="00EF2C9A" w:rsidP="00B6049E">
      <w:pPr>
        <w:spacing w:line="480" w:lineRule="auto"/>
        <w:ind w:firstLine="720"/>
        <w:contextualSpacing/>
        <w:jc w:val="both"/>
        <w:rPr>
          <w:rFonts w:ascii="Times New Roman" w:eastAsia="Calibri" w:hAnsi="Times New Roman" w:cs="Times New Roman"/>
          <w:bCs/>
          <w:sz w:val="24"/>
          <w:szCs w:val="24"/>
        </w:rPr>
      </w:pPr>
      <w:r w:rsidRPr="00E73EF4">
        <w:rPr>
          <w:rStyle w:val="text"/>
          <w:rFonts w:ascii="Times New Roman" w:hAnsi="Times New Roman" w:cs="Times New Roman"/>
          <w:bCs/>
          <w:sz w:val="24"/>
          <w:szCs w:val="24"/>
        </w:rPr>
        <w:t xml:space="preserve">There was no statistically significant difference in the copy number of </w:t>
      </w:r>
      <w:proofErr w:type="spellStart"/>
      <w:r w:rsidRPr="00E73EF4">
        <w:rPr>
          <w:rStyle w:val="text"/>
          <w:rFonts w:ascii="Times New Roman" w:hAnsi="Times New Roman" w:cs="Times New Roman"/>
          <w:bCs/>
          <w:i/>
          <w:sz w:val="24"/>
          <w:szCs w:val="24"/>
        </w:rPr>
        <w:t>nuc</w:t>
      </w:r>
      <w:proofErr w:type="spellEnd"/>
      <w:r w:rsidRPr="00E73EF4">
        <w:rPr>
          <w:rStyle w:val="text"/>
          <w:rFonts w:ascii="Times New Roman" w:hAnsi="Times New Roman" w:cs="Times New Roman"/>
          <w:bCs/>
          <w:sz w:val="24"/>
          <w:szCs w:val="24"/>
        </w:rPr>
        <w:t xml:space="preserve"> gene between phage lysates but it was significantly lower compared to the copy number of the </w:t>
      </w:r>
      <w:proofErr w:type="spellStart"/>
      <w:r w:rsidRPr="00E73EF4">
        <w:rPr>
          <w:rStyle w:val="text"/>
          <w:rFonts w:ascii="Times New Roman" w:hAnsi="Times New Roman" w:cs="Times New Roman"/>
          <w:bCs/>
          <w:i/>
          <w:sz w:val="24"/>
          <w:szCs w:val="24"/>
        </w:rPr>
        <w:t>ermC</w:t>
      </w:r>
      <w:proofErr w:type="spellEnd"/>
      <w:r w:rsidRPr="00E73EF4">
        <w:rPr>
          <w:rStyle w:val="text"/>
          <w:rFonts w:ascii="Times New Roman" w:hAnsi="Times New Roman" w:cs="Times New Roman"/>
          <w:bCs/>
          <w:sz w:val="24"/>
          <w:szCs w:val="24"/>
        </w:rPr>
        <w:t xml:space="preserve"> gene (p&lt;0.01) and </w:t>
      </w:r>
      <w:proofErr w:type="spellStart"/>
      <w:r w:rsidR="009255BB" w:rsidRPr="00E73EF4">
        <w:rPr>
          <w:rStyle w:val="text"/>
          <w:rFonts w:ascii="Times New Roman" w:hAnsi="Times New Roman" w:cs="Times New Roman"/>
          <w:bCs/>
          <w:sz w:val="24"/>
          <w:szCs w:val="24"/>
        </w:rPr>
        <w:t>integrase</w:t>
      </w:r>
      <w:proofErr w:type="spellEnd"/>
      <w:r w:rsidR="009255BB" w:rsidRPr="00E73EF4">
        <w:rPr>
          <w:rStyle w:val="text"/>
          <w:rFonts w:ascii="Times New Roman" w:hAnsi="Times New Roman" w:cs="Times New Roman"/>
          <w:bCs/>
          <w:sz w:val="24"/>
          <w:szCs w:val="24"/>
        </w:rPr>
        <w:t xml:space="preserve"> genes</w:t>
      </w:r>
      <w:r w:rsidR="00114595" w:rsidRPr="00E73EF4">
        <w:rPr>
          <w:rStyle w:val="text"/>
          <w:rFonts w:ascii="Times New Roman" w:hAnsi="Times New Roman" w:cs="Times New Roman"/>
          <w:bCs/>
          <w:sz w:val="24"/>
          <w:szCs w:val="24"/>
        </w:rPr>
        <w:t xml:space="preserve"> </w:t>
      </w:r>
      <w:r w:rsidRPr="00E73EF4">
        <w:rPr>
          <w:rStyle w:val="text"/>
          <w:rFonts w:ascii="Times New Roman" w:hAnsi="Times New Roman" w:cs="Times New Roman"/>
          <w:bCs/>
          <w:sz w:val="24"/>
          <w:szCs w:val="24"/>
        </w:rPr>
        <w:t>in all samples (p&lt;0.001) (Fig.</w:t>
      </w:r>
      <w:r w:rsidR="00CB173B" w:rsidRPr="00E73EF4">
        <w:rPr>
          <w:rStyle w:val="text"/>
          <w:rFonts w:ascii="Times New Roman" w:hAnsi="Times New Roman" w:cs="Times New Roman"/>
          <w:bCs/>
          <w:sz w:val="24"/>
          <w:szCs w:val="24"/>
        </w:rPr>
        <w:t>4a</w:t>
      </w:r>
      <w:r w:rsidRPr="00E73EF4">
        <w:rPr>
          <w:rStyle w:val="text"/>
          <w:rFonts w:ascii="Times New Roman" w:hAnsi="Times New Roman" w:cs="Times New Roman"/>
          <w:bCs/>
          <w:sz w:val="24"/>
          <w:szCs w:val="24"/>
        </w:rPr>
        <w:t>). This result indicate</w:t>
      </w:r>
      <w:r w:rsidR="009255BB" w:rsidRPr="00E73EF4">
        <w:rPr>
          <w:rStyle w:val="text"/>
          <w:rFonts w:ascii="Times New Roman" w:hAnsi="Times New Roman" w:cs="Times New Roman"/>
          <w:bCs/>
          <w:sz w:val="24"/>
          <w:szCs w:val="24"/>
        </w:rPr>
        <w:t>s</w:t>
      </w:r>
      <w:r w:rsidRPr="00E73EF4">
        <w:rPr>
          <w:rStyle w:val="text"/>
          <w:rFonts w:ascii="Times New Roman" w:hAnsi="Times New Roman" w:cs="Times New Roman"/>
          <w:bCs/>
          <w:sz w:val="24"/>
          <w:szCs w:val="24"/>
        </w:rPr>
        <w:t xml:space="preserve"> that induced phage </w:t>
      </w:r>
      <w:r w:rsidR="009255BB" w:rsidRPr="00E73EF4">
        <w:rPr>
          <w:rStyle w:val="text"/>
          <w:rFonts w:ascii="Times New Roman" w:hAnsi="Times New Roman" w:cs="Times New Roman"/>
          <w:bCs/>
          <w:sz w:val="24"/>
          <w:szCs w:val="24"/>
        </w:rPr>
        <w:t xml:space="preserve">particles </w:t>
      </w:r>
      <w:r w:rsidRPr="00E73EF4">
        <w:rPr>
          <w:rStyle w:val="text"/>
          <w:rFonts w:ascii="Times New Roman" w:hAnsi="Times New Roman" w:cs="Times New Roman"/>
          <w:bCs/>
          <w:sz w:val="24"/>
          <w:szCs w:val="24"/>
        </w:rPr>
        <w:t>package genes loca</w:t>
      </w:r>
      <w:r w:rsidR="009255BB" w:rsidRPr="00E73EF4">
        <w:rPr>
          <w:rStyle w:val="text"/>
          <w:rFonts w:ascii="Times New Roman" w:hAnsi="Times New Roman" w:cs="Times New Roman"/>
          <w:bCs/>
          <w:sz w:val="24"/>
          <w:szCs w:val="24"/>
        </w:rPr>
        <w:t>ted</w:t>
      </w:r>
      <w:r w:rsidRPr="00E73EF4">
        <w:rPr>
          <w:rStyle w:val="text"/>
          <w:rFonts w:ascii="Times New Roman" w:hAnsi="Times New Roman" w:cs="Times New Roman"/>
          <w:bCs/>
          <w:sz w:val="24"/>
          <w:szCs w:val="24"/>
        </w:rPr>
        <w:t xml:space="preserve"> </w:t>
      </w:r>
      <w:r w:rsidR="009255BB" w:rsidRPr="00E73EF4">
        <w:rPr>
          <w:rStyle w:val="text"/>
          <w:rFonts w:ascii="Times New Roman" w:hAnsi="Times New Roman" w:cs="Times New Roman"/>
          <w:bCs/>
          <w:sz w:val="24"/>
          <w:szCs w:val="24"/>
        </w:rPr>
        <w:t>on</w:t>
      </w:r>
      <w:r w:rsidRPr="00E73EF4">
        <w:rPr>
          <w:rStyle w:val="text"/>
          <w:rFonts w:ascii="Times New Roman" w:hAnsi="Times New Roman" w:cs="Times New Roman"/>
          <w:bCs/>
          <w:sz w:val="24"/>
          <w:szCs w:val="24"/>
        </w:rPr>
        <w:t xml:space="preserve"> the core genome </w:t>
      </w:r>
      <w:r w:rsidR="00114595" w:rsidRPr="00E73EF4">
        <w:rPr>
          <w:rStyle w:val="text"/>
          <w:rFonts w:ascii="Times New Roman" w:hAnsi="Times New Roman" w:cs="Times New Roman"/>
          <w:bCs/>
          <w:sz w:val="24"/>
          <w:szCs w:val="24"/>
        </w:rPr>
        <w:t>at</w:t>
      </w:r>
      <w:r w:rsidRPr="00E73EF4">
        <w:rPr>
          <w:rStyle w:val="text"/>
          <w:rFonts w:ascii="Times New Roman" w:hAnsi="Times New Roman" w:cs="Times New Roman"/>
          <w:bCs/>
          <w:sz w:val="24"/>
          <w:szCs w:val="24"/>
        </w:rPr>
        <w:t xml:space="preserve"> lower frequency </w:t>
      </w:r>
      <w:r w:rsidR="009255BB" w:rsidRPr="00E73EF4">
        <w:rPr>
          <w:rStyle w:val="text"/>
          <w:rFonts w:ascii="Times New Roman" w:hAnsi="Times New Roman" w:cs="Times New Roman"/>
          <w:bCs/>
          <w:sz w:val="24"/>
          <w:szCs w:val="24"/>
        </w:rPr>
        <w:t xml:space="preserve">than phage and the </w:t>
      </w:r>
      <w:proofErr w:type="gramStart"/>
      <w:r w:rsidR="009255BB" w:rsidRPr="00E73EF4">
        <w:rPr>
          <w:rStyle w:val="text"/>
          <w:rFonts w:ascii="Times New Roman" w:hAnsi="Times New Roman" w:cs="Times New Roman"/>
          <w:bCs/>
          <w:sz w:val="24"/>
          <w:szCs w:val="24"/>
        </w:rPr>
        <w:t xml:space="preserve">plasmid </w:t>
      </w:r>
      <w:r w:rsidRPr="00E73EF4">
        <w:rPr>
          <w:rStyle w:val="text"/>
          <w:rFonts w:ascii="Times New Roman" w:hAnsi="Times New Roman" w:cs="Times New Roman"/>
          <w:bCs/>
          <w:sz w:val="24"/>
          <w:szCs w:val="24"/>
        </w:rPr>
        <w:t xml:space="preserve"> </w:t>
      </w:r>
      <w:proofErr w:type="spellStart"/>
      <w:r w:rsidRPr="00E73EF4">
        <w:rPr>
          <w:rStyle w:val="text"/>
          <w:rFonts w:ascii="Times New Roman" w:hAnsi="Times New Roman" w:cs="Times New Roman"/>
          <w:bCs/>
          <w:i/>
          <w:sz w:val="24"/>
          <w:szCs w:val="24"/>
        </w:rPr>
        <w:t>ermC</w:t>
      </w:r>
      <w:proofErr w:type="spellEnd"/>
      <w:proofErr w:type="gramEnd"/>
      <w:r w:rsidRPr="00E73EF4">
        <w:rPr>
          <w:rStyle w:val="text"/>
          <w:rFonts w:ascii="Times New Roman" w:hAnsi="Times New Roman" w:cs="Times New Roman"/>
          <w:bCs/>
          <w:sz w:val="24"/>
          <w:szCs w:val="24"/>
        </w:rPr>
        <w:t xml:space="preserve"> gene</w:t>
      </w:r>
      <w:r w:rsidR="009255BB" w:rsidRPr="00E73EF4">
        <w:rPr>
          <w:rStyle w:val="text"/>
          <w:rFonts w:ascii="Times New Roman" w:hAnsi="Times New Roman" w:cs="Times New Roman"/>
          <w:bCs/>
          <w:sz w:val="24"/>
          <w:szCs w:val="24"/>
        </w:rPr>
        <w:t>s</w:t>
      </w:r>
      <w:r w:rsidRPr="00E73EF4">
        <w:rPr>
          <w:rStyle w:val="text"/>
          <w:rFonts w:ascii="Times New Roman" w:hAnsi="Times New Roman" w:cs="Times New Roman"/>
          <w:bCs/>
          <w:sz w:val="24"/>
          <w:szCs w:val="24"/>
        </w:rPr>
        <w:t xml:space="preserve">. </w:t>
      </w:r>
      <w:r w:rsidRPr="00E73EF4">
        <w:rPr>
          <w:rFonts w:ascii="Times New Roman" w:eastAsia="Calibri" w:hAnsi="Times New Roman" w:cs="Times New Roman"/>
          <w:bCs/>
          <w:sz w:val="24"/>
          <w:szCs w:val="24"/>
        </w:rPr>
        <w:t xml:space="preserve"> </w:t>
      </w:r>
    </w:p>
    <w:p w14:paraId="14A5C71F" w14:textId="77777777" w:rsidR="002F4D00" w:rsidRPr="00E73EF4" w:rsidRDefault="00B6049E" w:rsidP="00B6049E">
      <w:pPr>
        <w:spacing w:line="480" w:lineRule="auto"/>
        <w:ind w:firstLine="720"/>
        <w:jc w:val="both"/>
        <w:rPr>
          <w:rStyle w:val="text"/>
          <w:rFonts w:ascii="Times New Roman" w:hAnsi="Times New Roman" w:cs="Times New Roman"/>
          <w:b/>
          <w:bCs/>
          <w:sz w:val="24"/>
          <w:szCs w:val="24"/>
          <w:u w:val="single"/>
        </w:rPr>
      </w:pPr>
      <w:r w:rsidRPr="00E73EF4">
        <w:rPr>
          <w:rStyle w:val="text"/>
          <w:rFonts w:ascii="Times New Roman" w:hAnsi="Times New Roman" w:cs="Times New Roman"/>
          <w:b/>
          <w:bCs/>
          <w:sz w:val="24"/>
          <w:szCs w:val="24"/>
          <w:u w:val="single"/>
        </w:rPr>
        <w:t>Discussion</w:t>
      </w:r>
    </w:p>
    <w:p w14:paraId="36D4BF89" w14:textId="2C4B0055" w:rsidR="002F4D00" w:rsidRPr="00E73EF4" w:rsidRDefault="006637AD" w:rsidP="006637AD">
      <w:pPr>
        <w:spacing w:line="480" w:lineRule="auto"/>
        <w:ind w:firstLine="720"/>
        <w:contextualSpacing/>
        <w:jc w:val="both"/>
        <w:rPr>
          <w:rStyle w:val="text"/>
          <w:rFonts w:ascii="Times New Roman" w:eastAsia="Times New Roman" w:hAnsi="Times New Roman" w:cs="Times New Roman"/>
          <w:sz w:val="24"/>
          <w:szCs w:val="24"/>
          <w:lang w:val="en-US" w:eastAsia="en-GB"/>
        </w:rPr>
      </w:pPr>
      <w:r w:rsidRPr="00E73EF4">
        <w:rPr>
          <w:rStyle w:val="text"/>
          <w:rFonts w:ascii="Times New Roman" w:eastAsia="Times New Roman" w:hAnsi="Times New Roman" w:cs="Times New Roman"/>
          <w:sz w:val="24"/>
          <w:szCs w:val="24"/>
          <w:lang w:val="en-US" w:eastAsia="en-GB"/>
        </w:rPr>
        <w:t>This s</w:t>
      </w:r>
      <w:r w:rsidR="00483DFB" w:rsidRPr="00E73EF4">
        <w:rPr>
          <w:rStyle w:val="text"/>
          <w:rFonts w:ascii="Times New Roman" w:eastAsia="Times New Roman" w:hAnsi="Times New Roman" w:cs="Times New Roman"/>
          <w:sz w:val="24"/>
          <w:szCs w:val="24"/>
          <w:lang w:val="en-US" w:eastAsia="en-GB"/>
        </w:rPr>
        <w:t>tudy shows</w:t>
      </w:r>
      <w:r w:rsidRPr="00E73EF4">
        <w:rPr>
          <w:rStyle w:val="text"/>
          <w:rFonts w:ascii="Times New Roman" w:eastAsia="Times New Roman" w:hAnsi="Times New Roman" w:cs="Times New Roman"/>
          <w:sz w:val="24"/>
          <w:szCs w:val="24"/>
          <w:lang w:val="en-US" w:eastAsia="en-GB"/>
        </w:rPr>
        <w:t xml:space="preserve"> sub-MIC </w:t>
      </w:r>
      <w:r w:rsidR="00483DFB" w:rsidRPr="00E73EF4">
        <w:rPr>
          <w:rStyle w:val="text"/>
          <w:rFonts w:ascii="Times New Roman" w:eastAsia="Times New Roman" w:hAnsi="Times New Roman" w:cs="Times New Roman"/>
          <w:sz w:val="24"/>
          <w:szCs w:val="24"/>
          <w:lang w:val="en-US" w:eastAsia="en-GB"/>
        </w:rPr>
        <w:t xml:space="preserve">concentrations </w:t>
      </w:r>
      <w:r w:rsidRPr="00E73EF4">
        <w:rPr>
          <w:rStyle w:val="text"/>
          <w:rFonts w:ascii="Times New Roman" w:eastAsia="Times New Roman" w:hAnsi="Times New Roman" w:cs="Times New Roman"/>
          <w:sz w:val="24"/>
          <w:szCs w:val="24"/>
          <w:lang w:val="en-US" w:eastAsia="en-GB"/>
        </w:rPr>
        <w:t>of</w:t>
      </w:r>
      <w:r w:rsidR="00B45A22" w:rsidRPr="00E73EF4">
        <w:rPr>
          <w:rStyle w:val="text"/>
          <w:rFonts w:ascii="Times New Roman" w:eastAsia="Times New Roman" w:hAnsi="Times New Roman" w:cs="Times New Roman"/>
          <w:sz w:val="24"/>
          <w:szCs w:val="24"/>
          <w:lang w:val="en-US" w:eastAsia="en-GB"/>
        </w:rPr>
        <w:t xml:space="preserve"> a range of</w:t>
      </w:r>
      <w:r w:rsidRPr="00E73EF4">
        <w:rPr>
          <w:rStyle w:val="text"/>
          <w:rFonts w:ascii="Times New Roman" w:eastAsia="Times New Roman" w:hAnsi="Times New Roman" w:cs="Times New Roman"/>
          <w:sz w:val="24"/>
          <w:szCs w:val="24"/>
          <w:lang w:val="en-US" w:eastAsia="en-GB"/>
        </w:rPr>
        <w:t xml:space="preserve"> antibiotics can stimulate the </w:t>
      </w:r>
      <w:r w:rsidR="00B42B5F" w:rsidRPr="00E73EF4">
        <w:rPr>
          <w:rStyle w:val="text"/>
          <w:rFonts w:ascii="Times New Roman" w:eastAsia="Times New Roman" w:hAnsi="Times New Roman" w:cs="Times New Roman"/>
          <w:sz w:val="24"/>
          <w:szCs w:val="24"/>
          <w:lang w:val="en-US" w:eastAsia="en-GB"/>
        </w:rPr>
        <w:t>trans</w:t>
      </w:r>
      <w:r w:rsidR="00483DFB" w:rsidRPr="00E73EF4">
        <w:rPr>
          <w:rStyle w:val="text"/>
          <w:rFonts w:ascii="Times New Roman" w:eastAsia="Times New Roman" w:hAnsi="Times New Roman" w:cs="Times New Roman"/>
          <w:sz w:val="24"/>
          <w:szCs w:val="24"/>
          <w:lang w:val="en-US" w:eastAsia="en-GB"/>
        </w:rPr>
        <w:t>fer of resistance genes between</w:t>
      </w:r>
      <w:r w:rsidRPr="00E73EF4">
        <w:rPr>
          <w:rStyle w:val="text"/>
          <w:rFonts w:ascii="Times New Roman" w:eastAsia="Times New Roman" w:hAnsi="Times New Roman" w:cs="Times New Roman"/>
          <w:sz w:val="24"/>
          <w:szCs w:val="24"/>
          <w:lang w:val="en-US" w:eastAsia="en-GB"/>
        </w:rPr>
        <w:t xml:space="preserve"> MRSA strains isolated from </w:t>
      </w:r>
      <w:r w:rsidR="00483DFB" w:rsidRPr="00E73EF4">
        <w:rPr>
          <w:rStyle w:val="text"/>
          <w:rFonts w:ascii="Times New Roman" w:eastAsia="Times New Roman" w:hAnsi="Times New Roman" w:cs="Times New Roman"/>
          <w:sz w:val="24"/>
          <w:szCs w:val="24"/>
          <w:lang w:val="en-US" w:eastAsia="en-GB"/>
        </w:rPr>
        <w:t xml:space="preserve">human </w:t>
      </w:r>
      <w:r w:rsidRPr="00E73EF4">
        <w:rPr>
          <w:rStyle w:val="text"/>
          <w:rFonts w:ascii="Times New Roman" w:eastAsia="Times New Roman" w:hAnsi="Times New Roman" w:cs="Times New Roman"/>
          <w:sz w:val="24"/>
          <w:szCs w:val="24"/>
          <w:lang w:val="en-US" w:eastAsia="en-GB"/>
        </w:rPr>
        <w:t xml:space="preserve">carriers, as well as </w:t>
      </w:r>
      <w:r w:rsidR="00114595" w:rsidRPr="00E73EF4">
        <w:rPr>
          <w:rStyle w:val="text"/>
          <w:rFonts w:ascii="Times New Roman" w:eastAsia="Times New Roman" w:hAnsi="Times New Roman" w:cs="Times New Roman"/>
          <w:sz w:val="24"/>
          <w:szCs w:val="24"/>
          <w:lang w:val="en-US" w:eastAsia="en-GB"/>
        </w:rPr>
        <w:t xml:space="preserve">the </w:t>
      </w:r>
      <w:r w:rsidR="00B42B5F" w:rsidRPr="00E73EF4">
        <w:rPr>
          <w:rStyle w:val="text"/>
          <w:rFonts w:ascii="Times New Roman" w:eastAsia="Times New Roman" w:hAnsi="Times New Roman" w:cs="Times New Roman"/>
          <w:sz w:val="24"/>
          <w:szCs w:val="24"/>
          <w:lang w:val="en-US" w:eastAsia="en-GB"/>
        </w:rPr>
        <w:t>induction of lytic phage</w:t>
      </w:r>
      <w:r w:rsidRPr="00E73EF4">
        <w:rPr>
          <w:rStyle w:val="text"/>
          <w:rFonts w:ascii="Times New Roman" w:eastAsia="Times New Roman" w:hAnsi="Times New Roman" w:cs="Times New Roman"/>
          <w:sz w:val="24"/>
          <w:szCs w:val="24"/>
          <w:lang w:val="en-US" w:eastAsia="en-GB"/>
        </w:rPr>
        <w:t xml:space="preserve">. </w:t>
      </w:r>
      <w:r w:rsidR="00B45A22" w:rsidRPr="00E73EF4">
        <w:rPr>
          <w:rStyle w:val="text"/>
          <w:rFonts w:ascii="Times New Roman" w:eastAsia="Times New Roman" w:hAnsi="Times New Roman" w:cs="Times New Roman"/>
          <w:sz w:val="24"/>
          <w:szCs w:val="24"/>
          <w:lang w:val="en-US" w:eastAsia="en-GB"/>
        </w:rPr>
        <w:t xml:space="preserve">The natural habitat of MRSA is the nares and mucous membranes of high risk patients, including those in frequent contact with healthcare and antimicrobial usage. Recent studies have indicated that MRSA colonized patients often carry populations that vary in their carriage of AMR genes, likely due to generalized transduction, including sub-populations </w:t>
      </w:r>
      <w:r w:rsidR="00B42B5F" w:rsidRPr="00E73EF4">
        <w:rPr>
          <w:rStyle w:val="text"/>
          <w:rFonts w:ascii="Times New Roman" w:eastAsia="Times New Roman" w:hAnsi="Times New Roman" w:cs="Times New Roman"/>
          <w:sz w:val="24"/>
          <w:szCs w:val="24"/>
          <w:lang w:val="en-US" w:eastAsia="en-GB"/>
        </w:rPr>
        <w:t xml:space="preserve">of highly resistant isolates </w:t>
      </w:r>
      <w:r w:rsidR="00B45A22" w:rsidRPr="00E73EF4">
        <w:rPr>
          <w:rStyle w:val="text"/>
          <w:rFonts w:ascii="Times New Roman" w:eastAsia="Times New Roman" w:hAnsi="Times New Roman" w:cs="Times New Roman"/>
          <w:sz w:val="24"/>
          <w:szCs w:val="24"/>
          <w:lang w:val="en-US" w:eastAsia="en-GB"/>
        </w:rPr>
        <w:t xml:space="preserve">that are not routinely detected and may act as a reservoir for AMR gene spread. </w:t>
      </w:r>
    </w:p>
    <w:p w14:paraId="55E4ACE2" w14:textId="77777777" w:rsidR="00D83E91" w:rsidRPr="00E73EF4" w:rsidRDefault="00B45A22" w:rsidP="00F27905">
      <w:pPr>
        <w:pStyle w:val="PlainText"/>
        <w:spacing w:after="160" w:line="480" w:lineRule="auto"/>
        <w:ind w:firstLine="720"/>
        <w:jc w:val="both"/>
        <w:rPr>
          <w:rFonts w:ascii="Times New Roman" w:eastAsia="Calibri" w:hAnsi="Times New Roman" w:cs="Times New Roman"/>
          <w:sz w:val="24"/>
          <w:szCs w:val="24"/>
        </w:rPr>
      </w:pPr>
      <w:r w:rsidRPr="00E73EF4">
        <w:rPr>
          <w:rFonts w:ascii="Times New Roman" w:eastAsia="Calibri" w:hAnsi="Times New Roman" w:cs="Times New Roman"/>
          <w:sz w:val="24"/>
          <w:szCs w:val="24"/>
        </w:rPr>
        <w:t xml:space="preserve">Each antibiotic tested in this study had a unique effect on the number of phage particles induced and the ratio of transducing to lytic phage particles.  This could be explained by their differing mechanisms of action, although variations between </w:t>
      </w:r>
      <w:r w:rsidR="00B229D3" w:rsidRPr="00E73EF4">
        <w:rPr>
          <w:rFonts w:ascii="Times New Roman" w:eastAsia="Calibri" w:hAnsi="Times New Roman" w:cs="Times New Roman"/>
          <w:sz w:val="24"/>
          <w:szCs w:val="24"/>
        </w:rPr>
        <w:t>β</w:t>
      </w:r>
      <w:r w:rsidRPr="00E73EF4">
        <w:rPr>
          <w:rFonts w:ascii="Times New Roman" w:eastAsia="Calibri" w:hAnsi="Times New Roman" w:cs="Times New Roman"/>
          <w:sz w:val="24"/>
          <w:szCs w:val="24"/>
        </w:rPr>
        <w:t xml:space="preserve">-lactams such as ampicillin and </w:t>
      </w:r>
      <w:proofErr w:type="spellStart"/>
      <w:r w:rsidRPr="00E73EF4">
        <w:rPr>
          <w:rFonts w:ascii="Times New Roman" w:eastAsia="Calibri" w:hAnsi="Times New Roman" w:cs="Times New Roman"/>
          <w:sz w:val="24"/>
          <w:szCs w:val="24"/>
        </w:rPr>
        <w:t>cefoxitin</w:t>
      </w:r>
      <w:proofErr w:type="spellEnd"/>
      <w:r w:rsidRPr="00E73EF4">
        <w:rPr>
          <w:rFonts w:ascii="Times New Roman" w:eastAsia="Calibri" w:hAnsi="Times New Roman" w:cs="Times New Roman"/>
          <w:sz w:val="24"/>
          <w:szCs w:val="24"/>
        </w:rPr>
        <w:t xml:space="preserve"> were seen.  Importantly, all antibiotics induced AMR transfer.  </w:t>
      </w:r>
    </w:p>
    <w:p w14:paraId="732BE6E6" w14:textId="159BC24D" w:rsidR="00B45A22" w:rsidRPr="00E73EF4" w:rsidRDefault="00D83E91" w:rsidP="00BA3578">
      <w:pPr>
        <w:pStyle w:val="PlainText"/>
        <w:spacing w:after="160" w:line="480" w:lineRule="auto"/>
        <w:jc w:val="both"/>
        <w:rPr>
          <w:rFonts w:ascii="Times New Roman" w:hAnsi="Times New Roman" w:cs="Times New Roman"/>
          <w:sz w:val="24"/>
          <w:szCs w:val="24"/>
        </w:rPr>
      </w:pPr>
      <w:r w:rsidRPr="00E73EF4">
        <w:rPr>
          <w:rFonts w:ascii="Times New Roman" w:eastAsia="Calibri" w:hAnsi="Times New Roman" w:cs="Times New Roman"/>
          <w:sz w:val="24"/>
          <w:szCs w:val="24"/>
        </w:rPr>
        <w:lastRenderedPageBreak/>
        <w:tab/>
      </w:r>
      <w:r w:rsidR="00A1401C" w:rsidRPr="00E73EF4">
        <w:rPr>
          <w:rFonts w:ascii="Times New Roman" w:eastAsia="Calibri" w:hAnsi="Times New Roman" w:cs="Times New Roman"/>
          <w:sz w:val="24"/>
          <w:szCs w:val="24"/>
        </w:rPr>
        <w:t>Gene transfer</w:t>
      </w:r>
      <w:r w:rsidR="00A73A8D" w:rsidRPr="00E73EF4">
        <w:rPr>
          <w:rFonts w:ascii="Times New Roman" w:eastAsia="Calibri" w:hAnsi="Times New Roman" w:cs="Times New Roman"/>
          <w:sz w:val="24"/>
          <w:szCs w:val="24"/>
        </w:rPr>
        <w:t xml:space="preserve"> occurs because d</w:t>
      </w:r>
      <w:r w:rsidR="00A73A8D" w:rsidRPr="00E73EF4">
        <w:rPr>
          <w:rFonts w:ascii="Times New Roman" w:hAnsi="Times New Roman" w:cs="Times New Roman"/>
          <w:sz w:val="24"/>
          <w:szCs w:val="24"/>
        </w:rPr>
        <w:t>uring phage induction, copies of the phage genome excise from the bacterial chromosome and new phage particles are made. While most particles package phage DNA, sometimes sections of chromosomal or plasmid DNA are packaged during phage assembly. These phage particles have the facility to attach to bacteria and inject the packaged DNA. Small plasmids</w:t>
      </w:r>
      <w:r w:rsidR="00A1401C" w:rsidRPr="00E73EF4">
        <w:rPr>
          <w:rFonts w:ascii="Times New Roman" w:hAnsi="Times New Roman" w:cs="Times New Roman"/>
          <w:sz w:val="24"/>
          <w:szCs w:val="24"/>
        </w:rPr>
        <w:t xml:space="preserve"> such as those encoding AMR genes</w:t>
      </w:r>
      <w:r w:rsidR="00A73A8D" w:rsidRPr="00E73EF4">
        <w:rPr>
          <w:rFonts w:ascii="Times New Roman" w:hAnsi="Times New Roman" w:cs="Times New Roman"/>
          <w:sz w:val="24"/>
          <w:szCs w:val="24"/>
        </w:rPr>
        <w:t xml:space="preserve"> can be transduced on their own and these replicate as plasmids in the transduced recipient.</w:t>
      </w:r>
    </w:p>
    <w:p w14:paraId="0ABA1AB5" w14:textId="2BC604F5" w:rsidR="00004DD2" w:rsidRPr="00E73EF4" w:rsidRDefault="001D2DE1" w:rsidP="00B02875">
      <w:pPr>
        <w:spacing w:line="480" w:lineRule="auto"/>
        <w:ind w:firstLine="720"/>
        <w:jc w:val="both"/>
        <w:rPr>
          <w:rFonts w:ascii="Times New Roman" w:eastAsia="Calibri" w:hAnsi="Times New Roman" w:cs="Times New Roman"/>
          <w:sz w:val="24"/>
          <w:szCs w:val="24"/>
          <w:lang w:val="en-US"/>
        </w:rPr>
      </w:pPr>
      <w:r w:rsidRPr="00E73EF4">
        <w:rPr>
          <w:rFonts w:ascii="Times New Roman" w:eastAsia="Calibri" w:hAnsi="Times New Roman" w:cs="Times New Roman"/>
          <w:sz w:val="24"/>
          <w:szCs w:val="24"/>
          <w:lang w:val="en-US"/>
        </w:rPr>
        <w:t xml:space="preserve">As phages are currently considered the main agents of HGT in </w:t>
      </w:r>
      <w:r w:rsidRPr="00E73EF4">
        <w:rPr>
          <w:rFonts w:ascii="Times New Roman" w:eastAsia="Calibri" w:hAnsi="Times New Roman" w:cs="Times New Roman"/>
          <w:i/>
          <w:sz w:val="24"/>
          <w:szCs w:val="24"/>
          <w:lang w:val="en-US"/>
        </w:rPr>
        <w:t xml:space="preserve">S. </w:t>
      </w:r>
      <w:proofErr w:type="spellStart"/>
      <w:r w:rsidRPr="00E73EF4">
        <w:rPr>
          <w:rFonts w:ascii="Times New Roman" w:eastAsia="Calibri" w:hAnsi="Times New Roman" w:cs="Times New Roman"/>
          <w:i/>
          <w:sz w:val="24"/>
          <w:szCs w:val="24"/>
          <w:lang w:val="en-US"/>
        </w:rPr>
        <w:t>aureus</w:t>
      </w:r>
      <w:proofErr w:type="spellEnd"/>
      <w:r w:rsidR="00B42B5F" w:rsidRPr="00E73EF4">
        <w:rPr>
          <w:rFonts w:ascii="Times New Roman" w:eastAsia="Calibri" w:hAnsi="Times New Roman" w:cs="Times New Roman"/>
          <w:sz w:val="24"/>
          <w:szCs w:val="24"/>
          <w:lang w:val="en-US"/>
        </w:rPr>
        <w:t xml:space="preserve"> and </w:t>
      </w:r>
      <w:r w:rsidRPr="00E73EF4">
        <w:rPr>
          <w:rFonts w:ascii="Times New Roman" w:eastAsia="Calibri" w:hAnsi="Times New Roman" w:cs="Times New Roman"/>
          <w:sz w:val="24"/>
          <w:szCs w:val="24"/>
          <w:lang w:val="en-US"/>
        </w:rPr>
        <w:t>MRSA</w:t>
      </w:r>
      <w:proofErr w:type="gramStart"/>
      <w:r w:rsidR="008C08A0" w:rsidRPr="00E73EF4">
        <w:rPr>
          <w:rFonts w:ascii="Times New Roman" w:eastAsia="Calibri" w:hAnsi="Times New Roman" w:cs="Times New Roman"/>
          <w:sz w:val="24"/>
          <w:szCs w:val="24"/>
          <w:lang w:val="en-US"/>
        </w:rPr>
        <w:t>,</w:t>
      </w:r>
      <w:r w:rsidR="008C08A0" w:rsidRPr="00E73EF4">
        <w:rPr>
          <w:rFonts w:ascii="Times New Roman" w:eastAsia="Calibri" w:hAnsi="Times New Roman" w:cs="Times New Roman"/>
          <w:sz w:val="24"/>
          <w:szCs w:val="24"/>
          <w:vertAlign w:val="superscript"/>
          <w:lang w:val="en-US"/>
        </w:rPr>
        <w:t>1</w:t>
      </w:r>
      <w:proofErr w:type="gramEnd"/>
      <w:r w:rsidRPr="00E73EF4">
        <w:rPr>
          <w:rFonts w:ascii="Times New Roman" w:eastAsia="Calibri" w:hAnsi="Times New Roman" w:cs="Times New Roman"/>
          <w:sz w:val="24"/>
          <w:szCs w:val="24"/>
          <w:lang w:val="en-US"/>
        </w:rPr>
        <w:t xml:space="preserve"> and the number of prescribed antibiotics to hospitalized patients increases every year,</w:t>
      </w:r>
      <w:r w:rsidR="008C08A0" w:rsidRPr="00E73EF4">
        <w:rPr>
          <w:rFonts w:ascii="Times New Roman" w:eastAsia="Calibri" w:hAnsi="Times New Roman" w:cs="Times New Roman"/>
          <w:sz w:val="24"/>
          <w:szCs w:val="24"/>
          <w:vertAlign w:val="superscript"/>
          <w:lang w:val="en-US"/>
        </w:rPr>
        <w:t>3</w:t>
      </w:r>
      <w:r w:rsidRPr="00E73EF4">
        <w:rPr>
          <w:rFonts w:ascii="Times New Roman" w:eastAsia="Calibri" w:hAnsi="Times New Roman" w:cs="Times New Roman"/>
          <w:sz w:val="24"/>
          <w:szCs w:val="24"/>
          <w:lang w:val="en-US"/>
        </w:rPr>
        <w:t xml:space="preserve"> the enhanced induction of potential vectors of resistance determinants could further increase the genetic exchange between MRSA strains and lead to the evolution of increasingly resistant strains. As </w:t>
      </w:r>
      <w:r w:rsidR="009A1A8C" w:rsidRPr="00E73EF4">
        <w:rPr>
          <w:rFonts w:ascii="Times New Roman" w:eastAsia="Calibri" w:hAnsi="Times New Roman" w:cs="Times New Roman"/>
          <w:sz w:val="24"/>
          <w:szCs w:val="24"/>
          <w:lang w:val="en-US"/>
        </w:rPr>
        <w:t xml:space="preserve">we showed that </w:t>
      </w:r>
      <w:r w:rsidRPr="00E73EF4">
        <w:rPr>
          <w:rFonts w:ascii="Times New Roman" w:eastAsia="Calibri" w:hAnsi="Times New Roman" w:cs="Times New Roman"/>
          <w:sz w:val="24"/>
          <w:szCs w:val="24"/>
          <w:lang w:val="en-US"/>
        </w:rPr>
        <w:t>antibiotic inducible phages are capable of effective transduction this could possibly explain why HA-MRSA clones in the UK have successively acquired resistance to more antibiotics during the last decade.</w:t>
      </w:r>
      <w:r w:rsidR="008C08A0" w:rsidRPr="00E73EF4">
        <w:rPr>
          <w:rFonts w:ascii="Times New Roman" w:eastAsia="Calibri" w:hAnsi="Times New Roman" w:cs="Times New Roman"/>
          <w:sz w:val="24"/>
          <w:szCs w:val="24"/>
          <w:vertAlign w:val="superscript"/>
          <w:lang w:val="en-US"/>
        </w:rPr>
        <w:t>14</w:t>
      </w:r>
      <w:r w:rsidRPr="00E73EF4">
        <w:rPr>
          <w:rFonts w:ascii="Times New Roman" w:eastAsia="Calibri" w:hAnsi="Times New Roman" w:cs="Times New Roman"/>
          <w:sz w:val="24"/>
          <w:szCs w:val="24"/>
          <w:lang w:val="en-US"/>
        </w:rPr>
        <w:t xml:space="preserve"> </w:t>
      </w:r>
      <w:proofErr w:type="gramStart"/>
      <w:r w:rsidRPr="00E73EF4">
        <w:rPr>
          <w:rFonts w:ascii="Times New Roman" w:eastAsia="Calibri" w:hAnsi="Times New Roman" w:cs="Times New Roman"/>
          <w:sz w:val="24"/>
          <w:szCs w:val="24"/>
          <w:lang w:val="en-US"/>
        </w:rPr>
        <w:t>The</w:t>
      </w:r>
      <w:proofErr w:type="gramEnd"/>
      <w:r w:rsidRPr="00E73EF4">
        <w:rPr>
          <w:rFonts w:ascii="Times New Roman" w:eastAsia="Calibri" w:hAnsi="Times New Roman" w:cs="Times New Roman"/>
          <w:sz w:val="24"/>
          <w:szCs w:val="24"/>
          <w:lang w:val="en-US"/>
        </w:rPr>
        <w:t xml:space="preserve"> results obtained in this study seem to support this hypothesis. Consequently, it appears that in addition to their beneficial properties, antibiotics could have collateral effects on colonizing bacteria, conceivably by enhancing the chance to survive during host colonization. Of further concern, is the fact that phage lysates are known to be stable for many years in the laboratory. Indeed, </w:t>
      </w:r>
      <w:r w:rsidR="00E707EA" w:rsidRPr="00E73EF4">
        <w:rPr>
          <w:rFonts w:ascii="Times New Roman" w:eastAsia="Calibri" w:hAnsi="Times New Roman" w:cs="Times New Roman"/>
          <w:sz w:val="24"/>
          <w:szCs w:val="24"/>
          <w:lang w:val="en-US"/>
        </w:rPr>
        <w:t xml:space="preserve">host </w:t>
      </w:r>
      <w:r w:rsidRPr="00E73EF4">
        <w:rPr>
          <w:rFonts w:ascii="Times New Roman" w:eastAsia="Calibri" w:hAnsi="Times New Roman" w:cs="Times New Roman"/>
          <w:sz w:val="24"/>
          <w:szCs w:val="24"/>
          <w:lang w:val="en-US"/>
        </w:rPr>
        <w:t xml:space="preserve">bacterial DNA encapsulated within a phage head is well protected from </w:t>
      </w:r>
      <w:proofErr w:type="spellStart"/>
      <w:r w:rsidRPr="00E73EF4">
        <w:rPr>
          <w:rFonts w:ascii="Times New Roman" w:eastAsia="Calibri" w:hAnsi="Times New Roman" w:cs="Times New Roman"/>
          <w:sz w:val="24"/>
          <w:szCs w:val="24"/>
          <w:lang w:val="en-US"/>
        </w:rPr>
        <w:t>unfavourable</w:t>
      </w:r>
      <w:proofErr w:type="spellEnd"/>
      <w:r w:rsidRPr="00E73EF4">
        <w:rPr>
          <w:rFonts w:ascii="Times New Roman" w:eastAsia="Calibri" w:hAnsi="Times New Roman" w:cs="Times New Roman"/>
          <w:sz w:val="24"/>
          <w:szCs w:val="24"/>
          <w:lang w:val="en-US"/>
        </w:rPr>
        <w:t xml:space="preserve"> environmental conditions, for instance attack from nucleases, and can therefore survive until a suitable recipient appears.</w:t>
      </w:r>
      <w:r w:rsidR="00F71237" w:rsidRPr="00E73EF4">
        <w:rPr>
          <w:rFonts w:ascii="Times New Roman" w:eastAsia="Calibri" w:hAnsi="Times New Roman" w:cs="Times New Roman"/>
          <w:sz w:val="24"/>
          <w:szCs w:val="24"/>
          <w:vertAlign w:val="superscript"/>
          <w:lang w:val="en-US"/>
        </w:rPr>
        <w:t>2</w:t>
      </w:r>
      <w:r w:rsidR="00845CE5" w:rsidRPr="00E73EF4">
        <w:rPr>
          <w:rFonts w:ascii="Times New Roman" w:eastAsia="Calibri" w:hAnsi="Times New Roman" w:cs="Times New Roman"/>
          <w:sz w:val="24"/>
          <w:szCs w:val="24"/>
          <w:vertAlign w:val="superscript"/>
          <w:lang w:val="en-US"/>
        </w:rPr>
        <w:t>6</w:t>
      </w:r>
    </w:p>
    <w:p w14:paraId="211849DB" w14:textId="45383C71" w:rsidR="00B02875" w:rsidRPr="00E73EF4" w:rsidRDefault="00B02875" w:rsidP="00B02875">
      <w:pPr>
        <w:spacing w:after="0" w:line="480" w:lineRule="auto"/>
        <w:ind w:firstLine="720"/>
        <w:jc w:val="both"/>
        <w:rPr>
          <w:rFonts w:ascii="Times New Roman" w:hAnsi="Times New Roman" w:cs="Times New Roman"/>
          <w:sz w:val="24"/>
          <w:szCs w:val="24"/>
        </w:rPr>
      </w:pPr>
      <w:proofErr w:type="spellStart"/>
      <w:r w:rsidRPr="00E73EF4">
        <w:rPr>
          <w:rFonts w:ascii="Times New Roman" w:hAnsi="Times New Roman" w:cs="Times New Roman"/>
          <w:sz w:val="24"/>
          <w:szCs w:val="24"/>
        </w:rPr>
        <w:t>Mupirocin</w:t>
      </w:r>
      <w:proofErr w:type="spellEnd"/>
      <w:r w:rsidRPr="00E73EF4">
        <w:rPr>
          <w:rFonts w:ascii="Times New Roman" w:hAnsi="Times New Roman" w:cs="Times New Roman"/>
          <w:sz w:val="24"/>
          <w:szCs w:val="24"/>
        </w:rPr>
        <w:t xml:space="preserve"> exposure induced the highest concentration of particles capable of transduction of </w:t>
      </w:r>
      <w:proofErr w:type="spellStart"/>
      <w:r w:rsidRPr="00E73EF4">
        <w:rPr>
          <w:rFonts w:ascii="Times New Roman" w:hAnsi="Times New Roman" w:cs="Times New Roman"/>
          <w:i/>
          <w:sz w:val="24"/>
          <w:szCs w:val="24"/>
        </w:rPr>
        <w:t>ermC</w:t>
      </w:r>
      <w:proofErr w:type="spellEnd"/>
      <w:r w:rsidRPr="00E73EF4">
        <w:rPr>
          <w:rFonts w:ascii="Times New Roman" w:hAnsi="Times New Roman" w:cs="Times New Roman"/>
          <w:sz w:val="24"/>
          <w:szCs w:val="24"/>
        </w:rPr>
        <w:t xml:space="preserve"> but low levels of lytic phage in the MRSA CC22 </w:t>
      </w:r>
      <w:proofErr w:type="spellStart"/>
      <w:r w:rsidRPr="00E73EF4">
        <w:rPr>
          <w:rFonts w:ascii="Times New Roman" w:hAnsi="Times New Roman" w:cs="Times New Roman"/>
          <w:sz w:val="24"/>
          <w:szCs w:val="24"/>
        </w:rPr>
        <w:t>SCC</w:t>
      </w:r>
      <w:r w:rsidRPr="00E73EF4">
        <w:rPr>
          <w:rFonts w:ascii="Times New Roman" w:hAnsi="Times New Roman" w:cs="Times New Roman"/>
          <w:i/>
          <w:sz w:val="24"/>
          <w:szCs w:val="24"/>
        </w:rPr>
        <w:t>mecIV</w:t>
      </w:r>
      <w:proofErr w:type="spellEnd"/>
      <w:r w:rsidRPr="00E73EF4">
        <w:rPr>
          <w:rFonts w:ascii="Times New Roman" w:hAnsi="Times New Roman" w:cs="Times New Roman"/>
          <w:sz w:val="24"/>
          <w:szCs w:val="24"/>
        </w:rPr>
        <w:t xml:space="preserve"> isolate</w:t>
      </w:r>
      <w:r w:rsidR="00F71237" w:rsidRPr="00E73EF4">
        <w:rPr>
          <w:rFonts w:ascii="Times New Roman" w:hAnsi="Times New Roman" w:cs="Times New Roman"/>
          <w:sz w:val="24"/>
          <w:szCs w:val="24"/>
        </w:rPr>
        <w:t xml:space="preserve"> (Figure 1)</w:t>
      </w:r>
      <w:r w:rsidRPr="00E73EF4">
        <w:rPr>
          <w:rFonts w:ascii="Times New Roman" w:hAnsi="Times New Roman" w:cs="Times New Roman"/>
          <w:sz w:val="24"/>
          <w:szCs w:val="24"/>
        </w:rPr>
        <w:t>.  This clonal type accounts for 75% of HA-MRSA in the UK</w:t>
      </w:r>
      <w:r w:rsidRPr="00E73EF4">
        <w:rPr>
          <w:rFonts w:ascii="Times New Roman" w:hAnsi="Times New Roman" w:cs="Times New Roman"/>
          <w:sz w:val="24"/>
          <w:szCs w:val="24"/>
          <w:vertAlign w:val="superscript"/>
        </w:rPr>
        <w:t>14</w:t>
      </w:r>
      <w:r w:rsidRPr="00E73EF4">
        <w:rPr>
          <w:rFonts w:ascii="Times New Roman" w:hAnsi="Times New Roman" w:cs="Times New Roman"/>
          <w:sz w:val="24"/>
          <w:szCs w:val="24"/>
        </w:rPr>
        <w:t xml:space="preserve">.  At admission to hospital, all patients in the UK are screened for MRSA in the nares, and those found to be positive are decolonised with </w:t>
      </w:r>
      <w:proofErr w:type="spellStart"/>
      <w:r w:rsidRPr="00E73EF4">
        <w:rPr>
          <w:rFonts w:ascii="Times New Roman" w:hAnsi="Times New Roman" w:cs="Times New Roman"/>
          <w:sz w:val="24"/>
          <w:szCs w:val="24"/>
        </w:rPr>
        <w:t>mupirocin</w:t>
      </w:r>
      <w:proofErr w:type="spellEnd"/>
      <w:r w:rsidRPr="00E73EF4">
        <w:rPr>
          <w:rFonts w:ascii="Times New Roman" w:hAnsi="Times New Roman" w:cs="Times New Roman"/>
          <w:sz w:val="24"/>
          <w:szCs w:val="24"/>
        </w:rPr>
        <w:t xml:space="preserve"> ointment and </w:t>
      </w:r>
      <w:proofErr w:type="spellStart"/>
      <w:r w:rsidRPr="00E73EF4">
        <w:rPr>
          <w:rFonts w:ascii="Times New Roman" w:hAnsi="Times New Roman" w:cs="Times New Roman"/>
          <w:sz w:val="24"/>
          <w:szCs w:val="24"/>
        </w:rPr>
        <w:t>chlorhexidine</w:t>
      </w:r>
      <w:proofErr w:type="spellEnd"/>
      <w:r w:rsidRPr="00E73EF4">
        <w:rPr>
          <w:rFonts w:ascii="Times New Roman" w:hAnsi="Times New Roman" w:cs="Times New Roman"/>
          <w:sz w:val="24"/>
          <w:szCs w:val="24"/>
        </w:rPr>
        <w:t xml:space="preserve"> </w:t>
      </w:r>
      <w:proofErr w:type="spellStart"/>
      <w:r w:rsidRPr="00E73EF4">
        <w:rPr>
          <w:rFonts w:ascii="Times New Roman" w:hAnsi="Times New Roman" w:cs="Times New Roman"/>
          <w:sz w:val="24"/>
          <w:szCs w:val="24"/>
        </w:rPr>
        <w:t>bodywash</w:t>
      </w:r>
      <w:proofErr w:type="spellEnd"/>
      <w:r w:rsidRPr="00E73EF4">
        <w:rPr>
          <w:rFonts w:ascii="Times New Roman" w:hAnsi="Times New Roman" w:cs="Times New Roman"/>
          <w:sz w:val="24"/>
          <w:szCs w:val="24"/>
        </w:rPr>
        <w:t xml:space="preserve">.  Therefore, </w:t>
      </w:r>
      <w:proofErr w:type="spellStart"/>
      <w:r w:rsidRPr="00E73EF4">
        <w:rPr>
          <w:rFonts w:ascii="Times New Roman" w:hAnsi="Times New Roman" w:cs="Times New Roman"/>
          <w:sz w:val="24"/>
          <w:szCs w:val="24"/>
        </w:rPr>
        <w:lastRenderedPageBreak/>
        <w:t>mupirocin</w:t>
      </w:r>
      <w:proofErr w:type="spellEnd"/>
      <w:r w:rsidRPr="00E73EF4">
        <w:rPr>
          <w:rFonts w:ascii="Times New Roman" w:hAnsi="Times New Roman" w:cs="Times New Roman"/>
          <w:sz w:val="24"/>
          <w:szCs w:val="24"/>
        </w:rPr>
        <w:t xml:space="preserve"> is likely the most prevalent antimicrobial that MRSA CC22 </w:t>
      </w:r>
      <w:proofErr w:type="spellStart"/>
      <w:r w:rsidRPr="00E73EF4">
        <w:rPr>
          <w:rFonts w:ascii="Times New Roman" w:hAnsi="Times New Roman" w:cs="Times New Roman"/>
          <w:sz w:val="24"/>
          <w:szCs w:val="24"/>
        </w:rPr>
        <w:t>SCC</w:t>
      </w:r>
      <w:r w:rsidRPr="00E73EF4">
        <w:rPr>
          <w:rFonts w:ascii="Times New Roman" w:hAnsi="Times New Roman" w:cs="Times New Roman"/>
          <w:i/>
          <w:sz w:val="24"/>
          <w:szCs w:val="24"/>
        </w:rPr>
        <w:t>mecIV</w:t>
      </w:r>
      <w:proofErr w:type="spellEnd"/>
      <w:r w:rsidRPr="00E73EF4">
        <w:rPr>
          <w:rFonts w:ascii="Times New Roman" w:hAnsi="Times New Roman" w:cs="Times New Roman"/>
          <w:i/>
          <w:sz w:val="24"/>
          <w:szCs w:val="24"/>
        </w:rPr>
        <w:t xml:space="preserve"> </w:t>
      </w:r>
      <w:r w:rsidRPr="00E73EF4">
        <w:rPr>
          <w:rFonts w:ascii="Times New Roman" w:hAnsi="Times New Roman" w:cs="Times New Roman"/>
          <w:sz w:val="24"/>
          <w:szCs w:val="24"/>
        </w:rPr>
        <w:t xml:space="preserve">populations in their natural habitat are exposed to.  Despite exposure, phenotypic </w:t>
      </w:r>
      <w:proofErr w:type="spellStart"/>
      <w:r w:rsidRPr="00E73EF4">
        <w:rPr>
          <w:rFonts w:ascii="Times New Roman" w:hAnsi="Times New Roman" w:cs="Times New Roman"/>
          <w:sz w:val="24"/>
          <w:szCs w:val="24"/>
        </w:rPr>
        <w:t>mupirocin</w:t>
      </w:r>
      <w:proofErr w:type="spellEnd"/>
      <w:r w:rsidRPr="00E73EF4">
        <w:rPr>
          <w:rFonts w:ascii="Times New Roman" w:hAnsi="Times New Roman" w:cs="Times New Roman"/>
          <w:sz w:val="24"/>
          <w:szCs w:val="24"/>
        </w:rPr>
        <w:t xml:space="preserve"> resistance is rare</w:t>
      </w:r>
      <w:r w:rsidRPr="00E73EF4">
        <w:rPr>
          <w:rFonts w:ascii="Times New Roman" w:hAnsi="Times New Roman" w:cs="Times New Roman"/>
          <w:sz w:val="24"/>
          <w:szCs w:val="24"/>
          <w:vertAlign w:val="superscript"/>
        </w:rPr>
        <w:t>14</w:t>
      </w:r>
      <w:r w:rsidRPr="00E73EF4">
        <w:rPr>
          <w:rFonts w:ascii="Times New Roman" w:hAnsi="Times New Roman" w:cs="Times New Roman"/>
          <w:sz w:val="24"/>
          <w:szCs w:val="24"/>
        </w:rPr>
        <w:t xml:space="preserve">.  </w:t>
      </w:r>
      <w:proofErr w:type="spellStart"/>
      <w:r w:rsidRPr="00E73EF4">
        <w:rPr>
          <w:rFonts w:ascii="Times New Roman" w:hAnsi="Times New Roman" w:cs="Times New Roman"/>
          <w:sz w:val="24"/>
          <w:szCs w:val="24"/>
        </w:rPr>
        <w:t>Mupirocin</w:t>
      </w:r>
      <w:proofErr w:type="spellEnd"/>
      <w:r w:rsidRPr="00E73EF4">
        <w:rPr>
          <w:rFonts w:ascii="Times New Roman" w:hAnsi="Times New Roman" w:cs="Times New Roman"/>
          <w:sz w:val="24"/>
          <w:szCs w:val="24"/>
        </w:rPr>
        <w:t xml:space="preserve"> is effective at decreasing MRSA load in the nares but re</w:t>
      </w:r>
      <w:r w:rsidR="00483DFB" w:rsidRPr="00E73EF4">
        <w:rPr>
          <w:rFonts w:ascii="Times New Roman" w:hAnsi="Times New Roman" w:cs="Times New Roman"/>
          <w:sz w:val="24"/>
          <w:szCs w:val="24"/>
        </w:rPr>
        <w:t>-</w:t>
      </w:r>
      <w:r w:rsidRPr="00E73EF4">
        <w:rPr>
          <w:rFonts w:ascii="Times New Roman" w:hAnsi="Times New Roman" w:cs="Times New Roman"/>
          <w:sz w:val="24"/>
          <w:szCs w:val="24"/>
        </w:rPr>
        <w:t xml:space="preserve">colonisation </w:t>
      </w:r>
      <w:r w:rsidR="00A1401C" w:rsidRPr="00E73EF4">
        <w:rPr>
          <w:rFonts w:ascii="Times New Roman" w:hAnsi="Times New Roman" w:cs="Times New Roman"/>
          <w:sz w:val="24"/>
          <w:szCs w:val="24"/>
        </w:rPr>
        <w:t xml:space="preserve">with the same strain </w:t>
      </w:r>
      <w:r w:rsidRPr="00E73EF4">
        <w:rPr>
          <w:rFonts w:ascii="Times New Roman" w:hAnsi="Times New Roman" w:cs="Times New Roman"/>
          <w:sz w:val="24"/>
          <w:szCs w:val="24"/>
        </w:rPr>
        <w:t>after a period of weeks i</w:t>
      </w:r>
      <w:r w:rsidR="00F71237" w:rsidRPr="00E73EF4">
        <w:rPr>
          <w:rFonts w:ascii="Times New Roman" w:hAnsi="Times New Roman" w:cs="Times New Roman"/>
          <w:sz w:val="24"/>
          <w:szCs w:val="24"/>
        </w:rPr>
        <w:t>s common</w:t>
      </w:r>
      <w:r w:rsidR="00D47C61" w:rsidRPr="00E73EF4">
        <w:rPr>
          <w:rFonts w:ascii="Times New Roman" w:hAnsi="Times New Roman" w:cs="Times New Roman"/>
          <w:sz w:val="24"/>
          <w:szCs w:val="24"/>
          <w:vertAlign w:val="superscript"/>
        </w:rPr>
        <w:t>2</w:t>
      </w:r>
      <w:r w:rsidR="00225219" w:rsidRPr="00E73EF4">
        <w:rPr>
          <w:rFonts w:ascii="Times New Roman" w:hAnsi="Times New Roman" w:cs="Times New Roman"/>
          <w:sz w:val="24"/>
          <w:szCs w:val="24"/>
          <w:vertAlign w:val="superscript"/>
        </w:rPr>
        <w:t>7</w:t>
      </w:r>
      <w:r w:rsidRPr="00E73EF4">
        <w:rPr>
          <w:rFonts w:ascii="Times New Roman" w:hAnsi="Times New Roman" w:cs="Times New Roman"/>
          <w:sz w:val="24"/>
          <w:szCs w:val="24"/>
        </w:rPr>
        <w:t>, suggesting a minor population of MRSA are maintained in the nose after</w:t>
      </w:r>
      <w:r w:rsidR="00F71237" w:rsidRPr="00E73EF4">
        <w:rPr>
          <w:rFonts w:ascii="Times New Roman" w:hAnsi="Times New Roman" w:cs="Times New Roman"/>
          <w:sz w:val="24"/>
          <w:szCs w:val="24"/>
        </w:rPr>
        <w:t xml:space="preserve"> treatment </w:t>
      </w:r>
      <w:r w:rsidR="00483DFB" w:rsidRPr="00E73EF4">
        <w:rPr>
          <w:rFonts w:ascii="Times New Roman" w:hAnsi="Times New Roman" w:cs="Times New Roman"/>
          <w:sz w:val="24"/>
          <w:szCs w:val="24"/>
        </w:rPr>
        <w:t xml:space="preserve">and </w:t>
      </w:r>
      <w:r w:rsidR="00F71237" w:rsidRPr="00E73EF4">
        <w:rPr>
          <w:rFonts w:ascii="Times New Roman" w:hAnsi="Times New Roman" w:cs="Times New Roman"/>
          <w:sz w:val="24"/>
          <w:szCs w:val="24"/>
        </w:rPr>
        <w:t xml:space="preserve">when </w:t>
      </w:r>
      <w:proofErr w:type="spellStart"/>
      <w:r w:rsidR="00F71237" w:rsidRPr="00E73EF4">
        <w:rPr>
          <w:rFonts w:ascii="Times New Roman" w:hAnsi="Times New Roman" w:cs="Times New Roman"/>
          <w:sz w:val="24"/>
          <w:szCs w:val="24"/>
        </w:rPr>
        <w:t>mupirocin</w:t>
      </w:r>
      <w:proofErr w:type="spellEnd"/>
      <w:r w:rsidR="00F71237" w:rsidRPr="00E73EF4">
        <w:rPr>
          <w:rFonts w:ascii="Times New Roman" w:hAnsi="Times New Roman" w:cs="Times New Roman"/>
          <w:sz w:val="24"/>
          <w:szCs w:val="24"/>
        </w:rPr>
        <w:t xml:space="preserve"> levels have declined</w:t>
      </w:r>
      <w:r w:rsidRPr="00E73EF4">
        <w:rPr>
          <w:rFonts w:ascii="Times New Roman" w:hAnsi="Times New Roman" w:cs="Times New Roman"/>
          <w:sz w:val="24"/>
          <w:szCs w:val="24"/>
        </w:rPr>
        <w:t xml:space="preserve">.  We speculate that MRSA populations recovering after decolonisation may have a selective advantage if they can spread genes horizontally and adapt while minimizing risk of death due to phage </w:t>
      </w:r>
      <w:proofErr w:type="spellStart"/>
      <w:r w:rsidRPr="00E73EF4">
        <w:rPr>
          <w:rFonts w:ascii="Times New Roman" w:hAnsi="Times New Roman" w:cs="Times New Roman"/>
          <w:sz w:val="24"/>
          <w:szCs w:val="24"/>
        </w:rPr>
        <w:t>lysis</w:t>
      </w:r>
      <w:proofErr w:type="spellEnd"/>
      <w:r w:rsidRPr="00E73EF4">
        <w:rPr>
          <w:rFonts w:ascii="Times New Roman" w:hAnsi="Times New Roman" w:cs="Times New Roman"/>
          <w:sz w:val="24"/>
          <w:szCs w:val="24"/>
        </w:rPr>
        <w:t xml:space="preserve">.  </w:t>
      </w:r>
    </w:p>
    <w:p w14:paraId="44351E9F" w14:textId="0DE28167" w:rsidR="00B02875" w:rsidRPr="00E73EF4" w:rsidRDefault="00B02875" w:rsidP="00B02875">
      <w:pPr>
        <w:spacing w:line="480" w:lineRule="auto"/>
        <w:ind w:firstLine="720"/>
        <w:jc w:val="both"/>
        <w:rPr>
          <w:rFonts w:ascii="Times New Roman" w:eastAsia="Calibri" w:hAnsi="Times New Roman" w:cs="Times New Roman"/>
          <w:sz w:val="24"/>
          <w:szCs w:val="24"/>
        </w:rPr>
      </w:pPr>
      <w:r w:rsidRPr="00E73EF4">
        <w:rPr>
          <w:rFonts w:ascii="Times New Roman" w:eastAsia="Calibri" w:hAnsi="Times New Roman" w:cs="Times New Roman"/>
          <w:sz w:val="24"/>
          <w:szCs w:val="24"/>
        </w:rPr>
        <w:t>In laboratory strains, antibiotics and UV light are known to activate the SOS response</w:t>
      </w:r>
      <w:r w:rsidR="00225219" w:rsidRPr="00E73EF4">
        <w:rPr>
          <w:rFonts w:ascii="Times New Roman" w:eastAsia="Calibri" w:hAnsi="Times New Roman" w:cs="Times New Roman"/>
          <w:sz w:val="24"/>
          <w:szCs w:val="24"/>
          <w:vertAlign w:val="superscript"/>
        </w:rPr>
        <w:t>8</w:t>
      </w:r>
      <w:proofErr w:type="gramStart"/>
      <w:r w:rsidR="00225219" w:rsidRPr="00E73EF4">
        <w:rPr>
          <w:rFonts w:ascii="Times New Roman" w:eastAsia="Calibri" w:hAnsi="Times New Roman" w:cs="Times New Roman"/>
          <w:sz w:val="24"/>
          <w:szCs w:val="24"/>
          <w:vertAlign w:val="superscript"/>
        </w:rPr>
        <w:t>,</w:t>
      </w:r>
      <w:r w:rsidRPr="00E73EF4">
        <w:rPr>
          <w:rFonts w:ascii="Times New Roman" w:eastAsia="Calibri" w:hAnsi="Times New Roman" w:cs="Times New Roman"/>
          <w:sz w:val="24"/>
          <w:szCs w:val="24"/>
          <w:vertAlign w:val="superscript"/>
        </w:rPr>
        <w:t>9,</w:t>
      </w:r>
      <w:r w:rsidR="00D47C61" w:rsidRPr="00E73EF4">
        <w:rPr>
          <w:rFonts w:ascii="Times New Roman" w:eastAsia="Calibri" w:hAnsi="Times New Roman" w:cs="Times New Roman"/>
          <w:sz w:val="24"/>
          <w:szCs w:val="24"/>
          <w:vertAlign w:val="superscript"/>
        </w:rPr>
        <w:t>2</w:t>
      </w:r>
      <w:r w:rsidR="00225219" w:rsidRPr="00E73EF4">
        <w:rPr>
          <w:rFonts w:ascii="Times New Roman" w:eastAsia="Calibri" w:hAnsi="Times New Roman" w:cs="Times New Roman"/>
          <w:sz w:val="24"/>
          <w:szCs w:val="24"/>
          <w:vertAlign w:val="superscript"/>
        </w:rPr>
        <w:t>8</w:t>
      </w:r>
      <w:r w:rsidRPr="00E73EF4">
        <w:rPr>
          <w:rFonts w:ascii="Times New Roman" w:eastAsia="Calibri" w:hAnsi="Times New Roman" w:cs="Times New Roman"/>
          <w:sz w:val="24"/>
          <w:szCs w:val="24"/>
          <w:vertAlign w:val="superscript"/>
        </w:rPr>
        <w:t>,</w:t>
      </w:r>
      <w:r w:rsidR="00225219" w:rsidRPr="00E73EF4">
        <w:rPr>
          <w:rFonts w:ascii="Times New Roman" w:eastAsia="Calibri" w:hAnsi="Times New Roman" w:cs="Times New Roman"/>
          <w:sz w:val="24"/>
          <w:szCs w:val="24"/>
          <w:vertAlign w:val="superscript"/>
        </w:rPr>
        <w:t>29</w:t>
      </w:r>
      <w:proofErr w:type="gramEnd"/>
      <w:r w:rsidRPr="00E73EF4">
        <w:rPr>
          <w:rFonts w:ascii="Times New Roman" w:eastAsia="Calibri" w:hAnsi="Times New Roman" w:cs="Times New Roman"/>
          <w:sz w:val="24"/>
          <w:szCs w:val="24"/>
          <w:lang w:val="en-US"/>
        </w:rPr>
        <w:t xml:space="preserve"> </w:t>
      </w:r>
      <w:r w:rsidRPr="00E73EF4">
        <w:rPr>
          <w:rFonts w:ascii="Times New Roman" w:eastAsia="Calibri" w:hAnsi="Times New Roman" w:cs="Times New Roman"/>
          <w:sz w:val="24"/>
          <w:szCs w:val="24"/>
        </w:rPr>
        <w:t xml:space="preserve">and  trigger staphylococcal </w:t>
      </w:r>
      <w:proofErr w:type="spellStart"/>
      <w:r w:rsidRPr="00E73EF4">
        <w:rPr>
          <w:rFonts w:ascii="Times New Roman" w:eastAsia="Calibri" w:hAnsi="Times New Roman" w:cs="Times New Roman"/>
          <w:sz w:val="24"/>
          <w:szCs w:val="24"/>
        </w:rPr>
        <w:t>prophage</w:t>
      </w:r>
      <w:proofErr w:type="spellEnd"/>
      <w:r w:rsidRPr="00E73EF4">
        <w:rPr>
          <w:rFonts w:ascii="Times New Roman" w:eastAsia="Calibri" w:hAnsi="Times New Roman" w:cs="Times New Roman"/>
          <w:sz w:val="24"/>
          <w:szCs w:val="24"/>
        </w:rPr>
        <w:t xml:space="preserve"> induction, and subsequently the replication and high-frequency transfer of the staphylococcal pathogenicity islands.</w:t>
      </w:r>
      <w:r w:rsidR="00D47C61" w:rsidRPr="00E73EF4">
        <w:rPr>
          <w:rFonts w:ascii="Times New Roman" w:eastAsia="Calibri" w:hAnsi="Times New Roman" w:cs="Times New Roman"/>
          <w:sz w:val="24"/>
          <w:szCs w:val="24"/>
          <w:vertAlign w:val="superscript"/>
        </w:rPr>
        <w:t>2</w:t>
      </w:r>
      <w:r w:rsidR="00225219" w:rsidRPr="00E73EF4">
        <w:rPr>
          <w:rFonts w:ascii="Times New Roman" w:eastAsia="Calibri" w:hAnsi="Times New Roman" w:cs="Times New Roman"/>
          <w:sz w:val="24"/>
          <w:szCs w:val="24"/>
          <w:vertAlign w:val="superscript"/>
        </w:rPr>
        <w:t>3</w:t>
      </w:r>
      <w:r w:rsidR="00D47C61" w:rsidRPr="00E73EF4">
        <w:rPr>
          <w:rFonts w:ascii="Times New Roman" w:eastAsia="Calibri" w:hAnsi="Times New Roman" w:cs="Times New Roman"/>
          <w:sz w:val="24"/>
          <w:szCs w:val="24"/>
          <w:vertAlign w:val="superscript"/>
        </w:rPr>
        <w:t>,3</w:t>
      </w:r>
      <w:r w:rsidR="00225219" w:rsidRPr="00E73EF4">
        <w:rPr>
          <w:rFonts w:ascii="Times New Roman" w:eastAsia="Calibri" w:hAnsi="Times New Roman" w:cs="Times New Roman"/>
          <w:sz w:val="24"/>
          <w:szCs w:val="24"/>
          <w:vertAlign w:val="superscript"/>
        </w:rPr>
        <w:t>0</w:t>
      </w:r>
      <w:r w:rsidRPr="00E73EF4">
        <w:rPr>
          <w:rFonts w:ascii="Times New Roman" w:eastAsia="Calibri" w:hAnsi="Times New Roman" w:cs="Times New Roman"/>
          <w:sz w:val="24"/>
          <w:szCs w:val="24"/>
        </w:rPr>
        <w:t xml:space="preserve">  Our data shows that UV light dramatically induced phage particle production in the presence of some antibiotics, but only increased AMR gene transfer in the presence of </w:t>
      </w:r>
      <w:proofErr w:type="spellStart"/>
      <w:r w:rsidRPr="00E73EF4">
        <w:rPr>
          <w:rFonts w:ascii="Times New Roman" w:eastAsia="Calibri" w:hAnsi="Times New Roman" w:cs="Times New Roman"/>
          <w:sz w:val="24"/>
          <w:szCs w:val="24"/>
        </w:rPr>
        <w:t>cefoxitin</w:t>
      </w:r>
      <w:proofErr w:type="spellEnd"/>
      <w:r w:rsidRPr="00E73EF4">
        <w:rPr>
          <w:rFonts w:ascii="Times New Roman" w:eastAsia="Calibri" w:hAnsi="Times New Roman" w:cs="Times New Roman"/>
          <w:sz w:val="24"/>
          <w:szCs w:val="24"/>
        </w:rPr>
        <w:t xml:space="preserve"> and trimethoprim. Indeed the complex and variable response of each antibiotic, when combined with UV light, showed that the factors controlling phage induction and AMR gene transfer will not be ascribable to simply an SOS response.</w:t>
      </w:r>
    </w:p>
    <w:p w14:paraId="163618FF" w14:textId="77BCB044" w:rsidR="00030FED" w:rsidRPr="00E73EF4" w:rsidRDefault="00F54B56" w:rsidP="0057322C">
      <w:pPr>
        <w:spacing w:line="480" w:lineRule="auto"/>
        <w:ind w:firstLine="720"/>
        <w:jc w:val="both"/>
        <w:rPr>
          <w:rFonts w:ascii="Times New Roman" w:eastAsia="Calibri" w:hAnsi="Times New Roman" w:cs="Times New Roman"/>
          <w:sz w:val="24"/>
          <w:szCs w:val="24"/>
        </w:rPr>
      </w:pPr>
      <w:r w:rsidRPr="00E73EF4">
        <w:rPr>
          <w:rFonts w:ascii="Times New Roman" w:eastAsia="Calibri" w:hAnsi="Times New Roman" w:cs="Times New Roman"/>
          <w:sz w:val="24"/>
          <w:szCs w:val="24"/>
        </w:rPr>
        <w:t xml:space="preserve">Gentamicin and </w:t>
      </w:r>
      <w:proofErr w:type="spellStart"/>
      <w:r w:rsidRPr="00E73EF4">
        <w:rPr>
          <w:rFonts w:ascii="Times New Roman" w:eastAsia="Calibri" w:hAnsi="Times New Roman" w:cs="Times New Roman"/>
          <w:sz w:val="24"/>
          <w:szCs w:val="24"/>
        </w:rPr>
        <w:t>novobiocin</w:t>
      </w:r>
      <w:proofErr w:type="spellEnd"/>
      <w:r w:rsidRPr="00E73EF4">
        <w:rPr>
          <w:rFonts w:ascii="Times New Roman" w:eastAsia="Calibri" w:hAnsi="Times New Roman" w:cs="Times New Roman"/>
          <w:sz w:val="24"/>
          <w:szCs w:val="24"/>
        </w:rPr>
        <w:t xml:space="preserve"> both </w:t>
      </w:r>
      <w:r w:rsidR="00030FED" w:rsidRPr="00E73EF4">
        <w:rPr>
          <w:rFonts w:ascii="Times New Roman" w:eastAsia="Calibri" w:hAnsi="Times New Roman" w:cs="Times New Roman"/>
          <w:sz w:val="24"/>
          <w:szCs w:val="24"/>
        </w:rPr>
        <w:t>dramatically reduced UV-</w:t>
      </w:r>
      <w:r w:rsidRPr="00E73EF4">
        <w:rPr>
          <w:rFonts w:ascii="Times New Roman" w:eastAsia="Calibri" w:hAnsi="Times New Roman" w:cs="Times New Roman"/>
          <w:sz w:val="24"/>
          <w:szCs w:val="24"/>
        </w:rPr>
        <w:t xml:space="preserve">induced </w:t>
      </w:r>
      <w:r w:rsidR="00030FED" w:rsidRPr="00E73EF4">
        <w:rPr>
          <w:rFonts w:ascii="Times New Roman" w:eastAsia="Calibri" w:hAnsi="Times New Roman" w:cs="Times New Roman"/>
          <w:sz w:val="24"/>
          <w:szCs w:val="24"/>
        </w:rPr>
        <w:t xml:space="preserve">AMR gene transfer.  Gentamicin also reduced ciprofloxacin and </w:t>
      </w:r>
      <w:proofErr w:type="spellStart"/>
      <w:r w:rsidR="00030FED" w:rsidRPr="00E73EF4">
        <w:rPr>
          <w:rFonts w:ascii="Times New Roman" w:eastAsia="Calibri" w:hAnsi="Times New Roman" w:cs="Times New Roman"/>
          <w:sz w:val="24"/>
          <w:szCs w:val="24"/>
        </w:rPr>
        <w:t>mupirocin</w:t>
      </w:r>
      <w:proofErr w:type="spellEnd"/>
      <w:r w:rsidR="00030FED" w:rsidRPr="00E73EF4">
        <w:rPr>
          <w:rFonts w:ascii="Times New Roman" w:eastAsia="Calibri" w:hAnsi="Times New Roman" w:cs="Times New Roman"/>
          <w:sz w:val="24"/>
          <w:szCs w:val="24"/>
        </w:rPr>
        <w:t xml:space="preserve"> induced AMR gene transfer (Figure 3</w:t>
      </w:r>
      <w:r w:rsidR="00CB173B" w:rsidRPr="00E73EF4">
        <w:rPr>
          <w:rFonts w:ascii="Times New Roman" w:eastAsia="Calibri" w:hAnsi="Times New Roman" w:cs="Times New Roman"/>
          <w:sz w:val="24"/>
          <w:szCs w:val="24"/>
        </w:rPr>
        <w:t>a</w:t>
      </w:r>
      <w:r w:rsidR="00B02875" w:rsidRPr="00E73EF4">
        <w:rPr>
          <w:rFonts w:ascii="Times New Roman" w:eastAsia="Calibri" w:hAnsi="Times New Roman" w:cs="Times New Roman"/>
          <w:sz w:val="24"/>
          <w:szCs w:val="24"/>
        </w:rPr>
        <w:t>)</w:t>
      </w:r>
      <w:r w:rsidR="00030FED" w:rsidRPr="00E73EF4">
        <w:rPr>
          <w:rFonts w:ascii="Times New Roman" w:eastAsia="Calibri" w:hAnsi="Times New Roman" w:cs="Times New Roman"/>
          <w:sz w:val="24"/>
          <w:szCs w:val="24"/>
        </w:rPr>
        <w:t xml:space="preserve">. Ciprofloxacin is not used for treating MRSA infections, but </w:t>
      </w:r>
      <w:r w:rsidR="00E707EA" w:rsidRPr="00E73EF4">
        <w:rPr>
          <w:rFonts w:ascii="Times New Roman" w:eastAsia="Calibri" w:hAnsi="Times New Roman" w:cs="Times New Roman"/>
          <w:sz w:val="24"/>
          <w:szCs w:val="24"/>
        </w:rPr>
        <w:t xml:space="preserve">HA-MRSA are typically resistant and </w:t>
      </w:r>
      <w:r w:rsidR="00030FED" w:rsidRPr="00E73EF4">
        <w:rPr>
          <w:rFonts w:ascii="Times New Roman" w:eastAsia="Calibri" w:hAnsi="Times New Roman" w:cs="Times New Roman"/>
          <w:sz w:val="24"/>
          <w:szCs w:val="24"/>
        </w:rPr>
        <w:t xml:space="preserve">a decline in hospital prescribing has been associated with a decline in nosocomial MRSA incidence in the UK, including of the MRSA CC22 </w:t>
      </w:r>
      <w:proofErr w:type="spellStart"/>
      <w:r w:rsidR="00030FED" w:rsidRPr="00E73EF4">
        <w:rPr>
          <w:rFonts w:ascii="Times New Roman" w:eastAsia="Calibri" w:hAnsi="Times New Roman" w:cs="Times New Roman"/>
          <w:sz w:val="24"/>
          <w:szCs w:val="24"/>
        </w:rPr>
        <w:t>SCC</w:t>
      </w:r>
      <w:r w:rsidR="00030FED" w:rsidRPr="00E73EF4">
        <w:rPr>
          <w:rFonts w:ascii="Times New Roman" w:eastAsia="Calibri" w:hAnsi="Times New Roman" w:cs="Times New Roman"/>
          <w:i/>
          <w:sz w:val="24"/>
          <w:szCs w:val="24"/>
        </w:rPr>
        <w:t>mecIV</w:t>
      </w:r>
      <w:proofErr w:type="spellEnd"/>
      <w:r w:rsidR="00030FED" w:rsidRPr="00E73EF4">
        <w:rPr>
          <w:rFonts w:ascii="Times New Roman" w:eastAsia="Calibri" w:hAnsi="Times New Roman" w:cs="Times New Roman"/>
          <w:sz w:val="24"/>
          <w:szCs w:val="24"/>
        </w:rPr>
        <w:t xml:space="preserve"> clone</w:t>
      </w:r>
      <w:r w:rsidR="007855C4" w:rsidRPr="00E73EF4">
        <w:rPr>
          <w:rFonts w:ascii="Times New Roman" w:eastAsia="Calibri" w:hAnsi="Times New Roman" w:cs="Times New Roman"/>
          <w:sz w:val="24"/>
          <w:szCs w:val="24"/>
          <w:vertAlign w:val="superscript"/>
        </w:rPr>
        <w:t>14</w:t>
      </w:r>
      <w:r w:rsidR="00030FED" w:rsidRPr="00E73EF4">
        <w:rPr>
          <w:rFonts w:ascii="Times New Roman" w:eastAsia="Calibri" w:hAnsi="Times New Roman" w:cs="Times New Roman"/>
          <w:sz w:val="24"/>
          <w:szCs w:val="24"/>
        </w:rPr>
        <w:t xml:space="preserve">. </w:t>
      </w:r>
      <w:r w:rsidR="00B90DE5" w:rsidRPr="00E73EF4">
        <w:rPr>
          <w:rFonts w:ascii="Times New Roman" w:eastAsia="Calibri" w:hAnsi="Times New Roman" w:cs="Times New Roman"/>
          <w:sz w:val="24"/>
          <w:szCs w:val="24"/>
        </w:rPr>
        <w:t>Gentamicin is used routinely in surgical prophylaxis in the UK, and may have a benefit in reducing AMR gene transfer amongst clinical isolates.</w:t>
      </w:r>
      <w:r w:rsidR="00030FED" w:rsidRPr="00E73EF4">
        <w:rPr>
          <w:rFonts w:ascii="Times New Roman" w:eastAsia="Calibri" w:hAnsi="Times New Roman" w:cs="Times New Roman"/>
          <w:sz w:val="24"/>
          <w:szCs w:val="24"/>
        </w:rPr>
        <w:t xml:space="preserve"> Antibiot</w:t>
      </w:r>
      <w:r w:rsidR="00B02875" w:rsidRPr="00E73EF4">
        <w:rPr>
          <w:rFonts w:ascii="Times New Roman" w:eastAsia="Calibri" w:hAnsi="Times New Roman" w:cs="Times New Roman"/>
          <w:sz w:val="24"/>
          <w:szCs w:val="24"/>
        </w:rPr>
        <w:t>ic combinations in patients may impact</w:t>
      </w:r>
      <w:r w:rsidR="00030FED" w:rsidRPr="00E73EF4">
        <w:rPr>
          <w:rFonts w:ascii="Times New Roman" w:eastAsia="Calibri" w:hAnsi="Times New Roman" w:cs="Times New Roman"/>
          <w:sz w:val="24"/>
          <w:szCs w:val="24"/>
        </w:rPr>
        <w:t xml:space="preserve"> on colonizing and evolving MRSA populations.</w:t>
      </w:r>
    </w:p>
    <w:p w14:paraId="3ABFE2C1" w14:textId="5FE369E7" w:rsidR="00F54B56" w:rsidRPr="00E73EF4" w:rsidRDefault="00030FED" w:rsidP="007855C4">
      <w:pPr>
        <w:spacing w:line="480" w:lineRule="auto"/>
        <w:ind w:firstLine="720"/>
        <w:jc w:val="both"/>
        <w:rPr>
          <w:rFonts w:ascii="Times New Roman" w:eastAsia="Calibri" w:hAnsi="Times New Roman" w:cs="Times New Roman"/>
          <w:sz w:val="24"/>
          <w:szCs w:val="24"/>
        </w:rPr>
      </w:pPr>
      <w:proofErr w:type="spellStart"/>
      <w:r w:rsidRPr="00E73EF4">
        <w:rPr>
          <w:rFonts w:ascii="Times New Roman" w:eastAsia="Calibri" w:hAnsi="Times New Roman" w:cs="Times New Roman"/>
          <w:sz w:val="24"/>
          <w:szCs w:val="24"/>
        </w:rPr>
        <w:lastRenderedPageBreak/>
        <w:t>Novobiocin</w:t>
      </w:r>
      <w:proofErr w:type="spellEnd"/>
      <w:r w:rsidRPr="00E73EF4">
        <w:rPr>
          <w:rFonts w:ascii="Times New Roman" w:eastAsia="Calibri" w:hAnsi="Times New Roman" w:cs="Times New Roman"/>
          <w:sz w:val="24"/>
          <w:szCs w:val="24"/>
        </w:rPr>
        <w:t xml:space="preserve"> is not widely used in human medicine as an antibiotic, but has previously been </w:t>
      </w:r>
      <w:r w:rsidR="00ED6118" w:rsidRPr="00E73EF4">
        <w:rPr>
          <w:rFonts w:ascii="Times New Roman" w:eastAsia="Calibri" w:hAnsi="Times New Roman" w:cs="Times New Roman"/>
          <w:sz w:val="24"/>
          <w:szCs w:val="24"/>
        </w:rPr>
        <w:t xml:space="preserve">shown to reduce the </w:t>
      </w:r>
      <w:r w:rsidR="00346178" w:rsidRPr="00E73EF4">
        <w:rPr>
          <w:rFonts w:ascii="Times New Roman" w:eastAsia="Calibri" w:hAnsi="Times New Roman" w:cs="Times New Roman"/>
          <w:sz w:val="24"/>
          <w:szCs w:val="24"/>
        </w:rPr>
        <w:t>SOS response induced by ciprofloxacin, decreas</w:t>
      </w:r>
      <w:r w:rsidR="00DE0FF7" w:rsidRPr="00E73EF4">
        <w:rPr>
          <w:rFonts w:ascii="Times New Roman" w:eastAsia="Calibri" w:hAnsi="Times New Roman" w:cs="Times New Roman"/>
          <w:sz w:val="24"/>
          <w:szCs w:val="24"/>
        </w:rPr>
        <w:t>ing</w:t>
      </w:r>
      <w:r w:rsidR="00346178" w:rsidRPr="00E73EF4">
        <w:rPr>
          <w:rFonts w:ascii="Times New Roman" w:eastAsia="Calibri" w:hAnsi="Times New Roman" w:cs="Times New Roman"/>
          <w:sz w:val="24"/>
          <w:szCs w:val="24"/>
        </w:rPr>
        <w:t xml:space="preserve"> the number of induced </w:t>
      </w:r>
      <w:proofErr w:type="spellStart"/>
      <w:r w:rsidR="00346178" w:rsidRPr="00E73EF4">
        <w:rPr>
          <w:rFonts w:ascii="Times New Roman" w:eastAsia="Calibri" w:hAnsi="Times New Roman" w:cs="Times New Roman"/>
          <w:sz w:val="24"/>
          <w:szCs w:val="24"/>
        </w:rPr>
        <w:t>phages</w:t>
      </w:r>
      <w:proofErr w:type="spellEnd"/>
      <w:r w:rsidR="00346178" w:rsidRPr="00E73EF4">
        <w:rPr>
          <w:rFonts w:ascii="Times New Roman" w:eastAsia="Calibri" w:hAnsi="Times New Roman" w:cs="Times New Roman"/>
          <w:sz w:val="24"/>
          <w:szCs w:val="24"/>
        </w:rPr>
        <w:t xml:space="preserve"> and </w:t>
      </w:r>
      <w:r w:rsidR="00011CAD" w:rsidRPr="00E73EF4">
        <w:rPr>
          <w:rFonts w:ascii="Times New Roman" w:eastAsia="Calibri" w:hAnsi="Times New Roman" w:cs="Times New Roman"/>
          <w:sz w:val="24"/>
          <w:szCs w:val="24"/>
        </w:rPr>
        <w:t>potentially</w:t>
      </w:r>
      <w:r w:rsidR="00346178" w:rsidRPr="00E73EF4">
        <w:rPr>
          <w:rFonts w:ascii="Times New Roman" w:eastAsia="Calibri" w:hAnsi="Times New Roman" w:cs="Times New Roman"/>
          <w:sz w:val="24"/>
          <w:szCs w:val="24"/>
        </w:rPr>
        <w:t xml:space="preserve"> </w:t>
      </w:r>
      <w:r w:rsidR="00DE0FF7" w:rsidRPr="00E73EF4">
        <w:rPr>
          <w:rFonts w:ascii="Times New Roman" w:eastAsia="Calibri" w:hAnsi="Times New Roman" w:cs="Times New Roman"/>
          <w:sz w:val="24"/>
          <w:szCs w:val="24"/>
        </w:rPr>
        <w:t xml:space="preserve">reducing </w:t>
      </w:r>
      <w:r w:rsidR="00346178" w:rsidRPr="00E73EF4">
        <w:rPr>
          <w:rFonts w:ascii="Times New Roman" w:eastAsia="Calibri" w:hAnsi="Times New Roman" w:cs="Times New Roman"/>
          <w:sz w:val="24"/>
          <w:szCs w:val="24"/>
        </w:rPr>
        <w:t>gene transfer.</w:t>
      </w:r>
      <w:r w:rsidR="00D47C61" w:rsidRPr="00E73EF4">
        <w:rPr>
          <w:rFonts w:ascii="Times New Roman" w:eastAsia="Calibri" w:hAnsi="Times New Roman" w:cs="Times New Roman"/>
          <w:sz w:val="24"/>
          <w:szCs w:val="24"/>
          <w:vertAlign w:val="superscript"/>
        </w:rPr>
        <w:t>3</w:t>
      </w:r>
      <w:r w:rsidR="00225219" w:rsidRPr="00E73EF4">
        <w:rPr>
          <w:rFonts w:ascii="Times New Roman" w:eastAsia="Calibri" w:hAnsi="Times New Roman" w:cs="Times New Roman"/>
          <w:sz w:val="24"/>
          <w:szCs w:val="24"/>
          <w:vertAlign w:val="superscript"/>
        </w:rPr>
        <w:t>1</w:t>
      </w:r>
      <w:r w:rsidR="00346178" w:rsidRPr="00E73EF4">
        <w:rPr>
          <w:rFonts w:ascii="Times New Roman" w:eastAsia="Calibri" w:hAnsi="Times New Roman" w:cs="Times New Roman"/>
          <w:sz w:val="24"/>
          <w:szCs w:val="24"/>
        </w:rPr>
        <w:t xml:space="preserve"> </w:t>
      </w:r>
      <w:r w:rsidR="009A112E" w:rsidRPr="00E73EF4">
        <w:rPr>
          <w:rFonts w:ascii="Times New Roman" w:eastAsia="Calibri" w:hAnsi="Times New Roman" w:cs="Times New Roman"/>
          <w:sz w:val="24"/>
          <w:szCs w:val="24"/>
        </w:rPr>
        <w:t xml:space="preserve">In this study, </w:t>
      </w:r>
      <w:proofErr w:type="spellStart"/>
      <w:r w:rsidR="00DE0FF7" w:rsidRPr="00E73EF4">
        <w:rPr>
          <w:rFonts w:ascii="Times New Roman" w:eastAsia="Calibri" w:hAnsi="Times New Roman" w:cs="Times New Roman"/>
          <w:sz w:val="24"/>
          <w:szCs w:val="24"/>
        </w:rPr>
        <w:t>novobiocin</w:t>
      </w:r>
      <w:proofErr w:type="spellEnd"/>
      <w:r w:rsidR="00DE0FF7" w:rsidRPr="00E73EF4">
        <w:rPr>
          <w:rFonts w:ascii="Times New Roman" w:eastAsia="Calibri" w:hAnsi="Times New Roman" w:cs="Times New Roman"/>
          <w:sz w:val="24"/>
          <w:szCs w:val="24"/>
        </w:rPr>
        <w:t xml:space="preserve"> reduced </w:t>
      </w:r>
      <w:r w:rsidR="009A112E" w:rsidRPr="00E73EF4">
        <w:rPr>
          <w:rFonts w:ascii="Times New Roman" w:eastAsia="Calibri" w:hAnsi="Times New Roman" w:cs="Times New Roman"/>
          <w:sz w:val="24"/>
          <w:szCs w:val="24"/>
        </w:rPr>
        <w:t xml:space="preserve">AMR gene </w:t>
      </w:r>
      <w:r w:rsidR="00DE0FF7" w:rsidRPr="00E73EF4">
        <w:rPr>
          <w:rFonts w:ascii="Times New Roman" w:eastAsia="Calibri" w:hAnsi="Times New Roman" w:cs="Times New Roman"/>
          <w:sz w:val="24"/>
          <w:szCs w:val="24"/>
        </w:rPr>
        <w:t xml:space="preserve">transfer induced by the combination of ciprofloxacin and UV-light.  Schroder et al utilized the </w:t>
      </w:r>
      <w:r w:rsidR="00DE0FF7" w:rsidRPr="00E73EF4">
        <w:rPr>
          <w:rFonts w:ascii="Times New Roman" w:eastAsia="Calibri" w:hAnsi="Times New Roman" w:cs="Times New Roman"/>
          <w:i/>
          <w:sz w:val="24"/>
          <w:szCs w:val="24"/>
        </w:rPr>
        <w:t xml:space="preserve">S. </w:t>
      </w:r>
      <w:proofErr w:type="spellStart"/>
      <w:r w:rsidR="00DE0FF7" w:rsidRPr="00E73EF4">
        <w:rPr>
          <w:rFonts w:ascii="Times New Roman" w:eastAsia="Calibri" w:hAnsi="Times New Roman" w:cs="Times New Roman"/>
          <w:i/>
          <w:sz w:val="24"/>
          <w:szCs w:val="24"/>
        </w:rPr>
        <w:t>aureus</w:t>
      </w:r>
      <w:proofErr w:type="spellEnd"/>
      <w:r w:rsidR="00DE0FF7" w:rsidRPr="00E73EF4">
        <w:rPr>
          <w:rFonts w:ascii="Times New Roman" w:eastAsia="Calibri" w:hAnsi="Times New Roman" w:cs="Times New Roman"/>
          <w:sz w:val="24"/>
          <w:szCs w:val="24"/>
        </w:rPr>
        <w:t xml:space="preserve"> laboratory isolate NCTC8325 derived from strains circulating in the 1950s for their studies</w:t>
      </w:r>
      <w:r w:rsidR="009A112E" w:rsidRPr="00E73EF4">
        <w:rPr>
          <w:rFonts w:ascii="Times New Roman" w:eastAsia="Calibri" w:hAnsi="Times New Roman" w:cs="Times New Roman"/>
          <w:sz w:val="24"/>
          <w:szCs w:val="24"/>
        </w:rPr>
        <w:t xml:space="preserve"> and moved a chromosomal marker</w:t>
      </w:r>
      <w:r w:rsidR="00DE0FF7" w:rsidRPr="00E73EF4">
        <w:rPr>
          <w:rFonts w:ascii="Times New Roman" w:eastAsia="Calibri" w:hAnsi="Times New Roman" w:cs="Times New Roman"/>
          <w:sz w:val="24"/>
          <w:szCs w:val="24"/>
        </w:rPr>
        <w:t>, while we chose to investigate a contemporary nosocomial multi-drug resistant MRSA in hospitals</w:t>
      </w:r>
      <w:r w:rsidR="009A112E" w:rsidRPr="00E73EF4">
        <w:rPr>
          <w:rFonts w:ascii="Times New Roman" w:eastAsia="Calibri" w:hAnsi="Times New Roman" w:cs="Times New Roman"/>
          <w:sz w:val="24"/>
          <w:szCs w:val="24"/>
        </w:rPr>
        <w:t xml:space="preserve"> and moved a plasmid marker</w:t>
      </w:r>
      <w:r w:rsidR="001D5460" w:rsidRPr="00E73EF4">
        <w:rPr>
          <w:rFonts w:ascii="Times New Roman" w:eastAsia="Calibri" w:hAnsi="Times New Roman" w:cs="Times New Roman"/>
          <w:sz w:val="24"/>
          <w:szCs w:val="24"/>
        </w:rPr>
        <w:t xml:space="preserve">. </w:t>
      </w:r>
      <w:r w:rsidR="00DE0FF7" w:rsidRPr="00E73EF4">
        <w:rPr>
          <w:rFonts w:ascii="Times New Roman" w:eastAsia="Calibri" w:hAnsi="Times New Roman" w:cs="Times New Roman"/>
          <w:sz w:val="24"/>
          <w:szCs w:val="24"/>
        </w:rPr>
        <w:t xml:space="preserve"> </w:t>
      </w:r>
      <w:r w:rsidR="00216694" w:rsidRPr="00E73EF4">
        <w:rPr>
          <w:rFonts w:ascii="Times New Roman" w:eastAsia="Calibri" w:hAnsi="Times New Roman" w:cs="Times New Roman"/>
          <w:sz w:val="24"/>
          <w:szCs w:val="24"/>
        </w:rPr>
        <w:t xml:space="preserve">Recently evolving </w:t>
      </w:r>
      <w:r w:rsidR="001D5460" w:rsidRPr="00E73EF4">
        <w:rPr>
          <w:rFonts w:ascii="Times New Roman" w:eastAsia="Calibri" w:hAnsi="Times New Roman" w:cs="Times New Roman"/>
          <w:sz w:val="24"/>
          <w:szCs w:val="24"/>
        </w:rPr>
        <w:t>MRSA</w:t>
      </w:r>
      <w:r w:rsidR="00DE0FF7" w:rsidRPr="00E73EF4">
        <w:rPr>
          <w:rFonts w:ascii="Times New Roman" w:eastAsia="Calibri" w:hAnsi="Times New Roman" w:cs="Times New Roman"/>
          <w:sz w:val="24"/>
          <w:szCs w:val="24"/>
        </w:rPr>
        <w:t xml:space="preserve"> strains have likely adapted to exposure to a range of antibiotics. </w:t>
      </w:r>
    </w:p>
    <w:p w14:paraId="63208961" w14:textId="1379C397" w:rsidR="00140AB5" w:rsidRPr="00E73EF4" w:rsidRDefault="00400D9A" w:rsidP="00F71237">
      <w:pPr>
        <w:spacing w:line="480" w:lineRule="auto"/>
        <w:ind w:firstLine="720"/>
        <w:jc w:val="both"/>
        <w:rPr>
          <w:rFonts w:ascii="Times New Roman" w:eastAsia="Calibri" w:hAnsi="Times New Roman" w:cs="Times New Roman"/>
          <w:sz w:val="24"/>
          <w:szCs w:val="24"/>
          <w:lang w:val="en-US"/>
        </w:rPr>
      </w:pPr>
      <w:r w:rsidRPr="00E73EF4">
        <w:rPr>
          <w:rFonts w:ascii="Times New Roman" w:eastAsia="Calibri" w:hAnsi="Times New Roman" w:cs="Times New Roman"/>
          <w:sz w:val="24"/>
          <w:szCs w:val="24"/>
          <w:lang w:val="en-US"/>
        </w:rPr>
        <w:t xml:space="preserve">It was expected that </w:t>
      </w:r>
      <w:r w:rsidR="00DE0FF7" w:rsidRPr="00E73EF4">
        <w:rPr>
          <w:rFonts w:ascii="Times New Roman" w:eastAsia="Calibri" w:hAnsi="Times New Roman" w:cs="Times New Roman"/>
          <w:sz w:val="24"/>
          <w:szCs w:val="24"/>
          <w:lang w:val="en-US"/>
        </w:rPr>
        <w:t xml:space="preserve">lytic phage </w:t>
      </w:r>
      <w:r w:rsidRPr="00E73EF4">
        <w:rPr>
          <w:rFonts w:ascii="Times New Roman" w:eastAsia="Calibri" w:hAnsi="Times New Roman" w:cs="Times New Roman"/>
          <w:sz w:val="24"/>
          <w:szCs w:val="24"/>
          <w:lang w:val="en-US"/>
        </w:rPr>
        <w:t>induction would be correlated wit</w:t>
      </w:r>
      <w:r w:rsidR="001D2DE1" w:rsidRPr="00E73EF4">
        <w:rPr>
          <w:rFonts w:ascii="Times New Roman" w:eastAsia="Calibri" w:hAnsi="Times New Roman" w:cs="Times New Roman"/>
          <w:sz w:val="24"/>
          <w:szCs w:val="24"/>
          <w:lang w:val="en-US"/>
        </w:rPr>
        <w:t xml:space="preserve">h </w:t>
      </w:r>
      <w:r w:rsidR="00DE0FF7" w:rsidRPr="00E73EF4">
        <w:rPr>
          <w:rFonts w:ascii="Times New Roman" w:eastAsia="Calibri" w:hAnsi="Times New Roman" w:cs="Times New Roman"/>
          <w:sz w:val="24"/>
          <w:szCs w:val="24"/>
          <w:lang w:val="en-US"/>
        </w:rPr>
        <w:t xml:space="preserve">phage particles capable of </w:t>
      </w:r>
      <w:r w:rsidR="001D2DE1" w:rsidRPr="00E73EF4">
        <w:rPr>
          <w:rFonts w:ascii="Times New Roman" w:eastAsia="Calibri" w:hAnsi="Times New Roman" w:cs="Times New Roman"/>
          <w:sz w:val="24"/>
          <w:szCs w:val="24"/>
          <w:lang w:val="en-US"/>
        </w:rPr>
        <w:t>transduc</w:t>
      </w:r>
      <w:r w:rsidR="00DE0FF7" w:rsidRPr="00E73EF4">
        <w:rPr>
          <w:rFonts w:ascii="Times New Roman" w:eastAsia="Calibri" w:hAnsi="Times New Roman" w:cs="Times New Roman"/>
          <w:sz w:val="24"/>
          <w:szCs w:val="24"/>
          <w:lang w:val="en-US"/>
        </w:rPr>
        <w:t>ing AMR genes</w:t>
      </w:r>
      <w:r w:rsidR="0086373D" w:rsidRPr="00E73EF4">
        <w:rPr>
          <w:rFonts w:ascii="Times New Roman" w:eastAsia="Calibri" w:hAnsi="Times New Roman" w:cs="Times New Roman"/>
          <w:sz w:val="24"/>
          <w:szCs w:val="24"/>
          <w:lang w:val="en-US"/>
        </w:rPr>
        <w:t xml:space="preserve">, and indeed gene transfer frequency is often expressed as a ratio of </w:t>
      </w:r>
      <w:proofErr w:type="spellStart"/>
      <w:r w:rsidR="0086373D" w:rsidRPr="00E73EF4">
        <w:rPr>
          <w:rFonts w:ascii="Times New Roman" w:eastAsia="Calibri" w:hAnsi="Times New Roman" w:cs="Times New Roman"/>
          <w:sz w:val="24"/>
          <w:szCs w:val="24"/>
          <w:lang w:val="en-US"/>
        </w:rPr>
        <w:t>transductants</w:t>
      </w:r>
      <w:proofErr w:type="spellEnd"/>
      <w:r w:rsidR="0086373D" w:rsidRPr="00E73EF4">
        <w:rPr>
          <w:rFonts w:ascii="Times New Roman" w:eastAsia="Calibri" w:hAnsi="Times New Roman" w:cs="Times New Roman"/>
          <w:sz w:val="24"/>
          <w:szCs w:val="24"/>
          <w:lang w:val="en-US"/>
        </w:rPr>
        <w:t xml:space="preserve"> to plaque forming units</w:t>
      </w:r>
      <w:r w:rsidR="001D2DE1" w:rsidRPr="00E73EF4">
        <w:rPr>
          <w:rFonts w:ascii="Times New Roman" w:eastAsia="Calibri" w:hAnsi="Times New Roman" w:cs="Times New Roman"/>
          <w:sz w:val="24"/>
          <w:szCs w:val="24"/>
          <w:lang w:val="en-US"/>
        </w:rPr>
        <w:t>.</w:t>
      </w:r>
      <w:r w:rsidR="00D47C61" w:rsidRPr="00E73EF4">
        <w:rPr>
          <w:rFonts w:ascii="Times New Roman" w:eastAsia="Calibri" w:hAnsi="Times New Roman" w:cs="Times New Roman"/>
          <w:sz w:val="24"/>
          <w:szCs w:val="24"/>
          <w:vertAlign w:val="superscript"/>
          <w:lang w:val="en-US"/>
        </w:rPr>
        <w:t>3</w:t>
      </w:r>
      <w:r w:rsidR="00225219" w:rsidRPr="00E73EF4">
        <w:rPr>
          <w:rFonts w:ascii="Times New Roman" w:eastAsia="Calibri" w:hAnsi="Times New Roman" w:cs="Times New Roman"/>
          <w:sz w:val="24"/>
          <w:szCs w:val="24"/>
          <w:vertAlign w:val="superscript"/>
          <w:lang w:val="en-US"/>
        </w:rPr>
        <w:t>2</w:t>
      </w:r>
      <w:r w:rsidR="00DE0FF7" w:rsidRPr="00E73EF4">
        <w:rPr>
          <w:rFonts w:ascii="Times New Roman" w:eastAsia="Calibri" w:hAnsi="Times New Roman" w:cs="Times New Roman"/>
          <w:sz w:val="24"/>
          <w:szCs w:val="24"/>
          <w:lang w:val="en-US"/>
        </w:rPr>
        <w:t xml:space="preserve"> Su</w:t>
      </w:r>
      <w:r w:rsidR="00986F3D" w:rsidRPr="00E73EF4">
        <w:rPr>
          <w:rFonts w:ascii="Times New Roman" w:eastAsia="Calibri" w:hAnsi="Times New Roman" w:cs="Times New Roman"/>
          <w:sz w:val="24"/>
          <w:szCs w:val="24"/>
          <w:lang w:val="en-US"/>
        </w:rPr>
        <w:t>r</w:t>
      </w:r>
      <w:r w:rsidR="00DE0FF7" w:rsidRPr="00E73EF4">
        <w:rPr>
          <w:rFonts w:ascii="Times New Roman" w:eastAsia="Calibri" w:hAnsi="Times New Roman" w:cs="Times New Roman"/>
          <w:sz w:val="24"/>
          <w:szCs w:val="24"/>
          <w:lang w:val="en-US"/>
        </w:rPr>
        <w:t>prisingly</w:t>
      </w:r>
      <w:r w:rsidRPr="00E73EF4">
        <w:rPr>
          <w:rFonts w:ascii="Times New Roman" w:eastAsia="Calibri" w:hAnsi="Times New Roman" w:cs="Times New Roman"/>
          <w:sz w:val="24"/>
          <w:szCs w:val="24"/>
          <w:lang w:val="en-US"/>
        </w:rPr>
        <w:t xml:space="preserve">, </w:t>
      </w:r>
      <w:r w:rsidR="0086373D" w:rsidRPr="00E73EF4">
        <w:rPr>
          <w:rFonts w:ascii="Times New Roman" w:eastAsia="Calibri" w:hAnsi="Times New Roman" w:cs="Times New Roman"/>
          <w:sz w:val="24"/>
          <w:szCs w:val="24"/>
          <w:lang w:val="en-US"/>
        </w:rPr>
        <w:t>our</w:t>
      </w:r>
      <w:r w:rsidRPr="00E73EF4">
        <w:rPr>
          <w:rFonts w:ascii="Times New Roman" w:eastAsia="Calibri" w:hAnsi="Times New Roman" w:cs="Times New Roman"/>
          <w:sz w:val="24"/>
          <w:szCs w:val="24"/>
          <w:lang w:val="en-US"/>
        </w:rPr>
        <w:t xml:space="preserve"> comparison of inducing and transducing ability of lysates generated by antibiotic exposure revealed no</w:t>
      </w:r>
      <w:r w:rsidR="001D2DE1" w:rsidRPr="00E73EF4">
        <w:rPr>
          <w:rFonts w:ascii="Times New Roman" w:eastAsia="Calibri" w:hAnsi="Times New Roman" w:cs="Times New Roman"/>
          <w:sz w:val="24"/>
          <w:szCs w:val="24"/>
          <w:lang w:val="en-US"/>
        </w:rPr>
        <w:t xml:space="preserve"> correlation</w:t>
      </w:r>
      <w:r w:rsidR="00F54B56" w:rsidRPr="00E73EF4">
        <w:rPr>
          <w:rFonts w:ascii="Times New Roman" w:eastAsia="Calibri" w:hAnsi="Times New Roman" w:cs="Times New Roman"/>
          <w:sz w:val="24"/>
          <w:szCs w:val="24"/>
          <w:lang w:val="en-US"/>
        </w:rPr>
        <w:t xml:space="preserve"> (Figure 1c)</w:t>
      </w:r>
      <w:r w:rsidR="001D2DE1" w:rsidRPr="00E73EF4">
        <w:rPr>
          <w:rFonts w:ascii="Times New Roman" w:eastAsia="Calibri" w:hAnsi="Times New Roman" w:cs="Times New Roman"/>
          <w:sz w:val="24"/>
          <w:szCs w:val="24"/>
          <w:lang w:val="en-US"/>
        </w:rPr>
        <w:t xml:space="preserve">. </w:t>
      </w:r>
      <w:r w:rsidR="008F58EE" w:rsidRPr="00E73EF4">
        <w:rPr>
          <w:rFonts w:ascii="Times New Roman" w:eastAsia="Calibri" w:hAnsi="Times New Roman" w:cs="Times New Roman"/>
          <w:sz w:val="24"/>
          <w:szCs w:val="24"/>
          <w:lang w:val="en-US"/>
        </w:rPr>
        <w:t>The</w:t>
      </w:r>
      <w:r w:rsidR="0086373D" w:rsidRPr="00E73EF4">
        <w:rPr>
          <w:rFonts w:ascii="Times New Roman" w:eastAsia="Calibri" w:hAnsi="Times New Roman" w:cs="Times New Roman"/>
          <w:sz w:val="24"/>
          <w:szCs w:val="24"/>
          <w:lang w:val="en-US"/>
        </w:rPr>
        <w:t xml:space="preserve">refore, </w:t>
      </w:r>
      <w:r w:rsidR="008F58EE" w:rsidRPr="00E73EF4">
        <w:rPr>
          <w:rFonts w:ascii="Times New Roman" w:eastAsia="Calibri" w:hAnsi="Times New Roman" w:cs="Times New Roman"/>
          <w:sz w:val="24"/>
          <w:szCs w:val="24"/>
          <w:lang w:val="en-US"/>
        </w:rPr>
        <w:t xml:space="preserve">the ratio of virulent and transducing particles formed after </w:t>
      </w:r>
      <w:r w:rsidR="001D2DE1" w:rsidRPr="00E73EF4">
        <w:rPr>
          <w:rFonts w:ascii="Times New Roman" w:eastAsia="Calibri" w:hAnsi="Times New Roman" w:cs="Times New Roman"/>
          <w:sz w:val="24"/>
          <w:szCs w:val="24"/>
          <w:lang w:val="en-US"/>
        </w:rPr>
        <w:t xml:space="preserve">exposure to each </w:t>
      </w:r>
      <w:r w:rsidR="00C44C0C" w:rsidRPr="00E73EF4">
        <w:rPr>
          <w:rFonts w:ascii="Times New Roman" w:eastAsia="Calibri" w:hAnsi="Times New Roman" w:cs="Times New Roman"/>
          <w:sz w:val="24"/>
          <w:szCs w:val="24"/>
          <w:lang w:val="en-US"/>
        </w:rPr>
        <w:t xml:space="preserve">antibiotic </w:t>
      </w:r>
      <w:r w:rsidR="001D2DE1" w:rsidRPr="00E73EF4">
        <w:rPr>
          <w:rFonts w:ascii="Times New Roman" w:eastAsia="Calibri" w:hAnsi="Times New Roman" w:cs="Times New Roman"/>
          <w:sz w:val="24"/>
          <w:szCs w:val="24"/>
          <w:lang w:val="en-US"/>
        </w:rPr>
        <w:t>varied</w:t>
      </w:r>
      <w:r w:rsidR="008F58EE" w:rsidRPr="00E73EF4">
        <w:rPr>
          <w:rFonts w:ascii="Times New Roman" w:eastAsia="Calibri" w:hAnsi="Times New Roman" w:cs="Times New Roman"/>
          <w:sz w:val="24"/>
          <w:szCs w:val="24"/>
          <w:lang w:val="en-US"/>
        </w:rPr>
        <w:t xml:space="preserve">. </w:t>
      </w:r>
      <w:r w:rsidR="0086373D" w:rsidRPr="00E73EF4">
        <w:rPr>
          <w:rFonts w:ascii="Times New Roman" w:eastAsia="Calibri" w:hAnsi="Times New Roman" w:cs="Times New Roman"/>
          <w:sz w:val="24"/>
          <w:szCs w:val="24"/>
          <w:lang w:val="en-US"/>
        </w:rPr>
        <w:t xml:space="preserve"> To investigate if this was associated with the DNA content of the phage particles, we used a new technology, droplet digital PCR.  This acts like a traditional PCR reaction with fluorescent tags</w:t>
      </w:r>
      <w:r w:rsidR="008A18E3" w:rsidRPr="00E73EF4">
        <w:rPr>
          <w:rFonts w:ascii="Times New Roman" w:eastAsia="Calibri" w:hAnsi="Times New Roman" w:cs="Times New Roman"/>
          <w:sz w:val="24"/>
          <w:szCs w:val="24"/>
          <w:lang w:val="en-US"/>
        </w:rPr>
        <w:t xml:space="preserve"> FAM and Yakima Yellow</w:t>
      </w:r>
      <w:r w:rsidR="0086373D" w:rsidRPr="00E73EF4">
        <w:rPr>
          <w:rFonts w:ascii="Times New Roman" w:eastAsia="Calibri" w:hAnsi="Times New Roman" w:cs="Times New Roman"/>
          <w:sz w:val="24"/>
          <w:szCs w:val="24"/>
          <w:lang w:val="en-US"/>
        </w:rPr>
        <w:t xml:space="preserve">, however, each reaction mixture is </w:t>
      </w:r>
      <w:proofErr w:type="spellStart"/>
      <w:r w:rsidR="0086373D" w:rsidRPr="00E73EF4">
        <w:rPr>
          <w:rFonts w:ascii="Times New Roman" w:eastAsia="Calibri" w:hAnsi="Times New Roman" w:cs="Times New Roman"/>
          <w:sz w:val="24"/>
          <w:szCs w:val="24"/>
          <w:lang w:val="en-US"/>
        </w:rPr>
        <w:t>vortexed</w:t>
      </w:r>
      <w:proofErr w:type="spellEnd"/>
      <w:r w:rsidR="0086373D" w:rsidRPr="00E73EF4">
        <w:rPr>
          <w:rFonts w:ascii="Times New Roman" w:eastAsia="Calibri" w:hAnsi="Times New Roman" w:cs="Times New Roman"/>
          <w:sz w:val="24"/>
          <w:szCs w:val="24"/>
          <w:lang w:val="en-US"/>
        </w:rPr>
        <w:t xml:space="preserve"> into thousands of micelles, and the fluorescent output measured by </w:t>
      </w:r>
      <w:r w:rsidR="007855C4" w:rsidRPr="00E73EF4">
        <w:rPr>
          <w:rFonts w:ascii="Times New Roman" w:eastAsia="Calibri" w:hAnsi="Times New Roman" w:cs="Times New Roman"/>
          <w:sz w:val="24"/>
          <w:szCs w:val="24"/>
          <w:lang w:val="en-US"/>
        </w:rPr>
        <w:t xml:space="preserve">streaming individual droplets past a two </w:t>
      </w:r>
      <w:proofErr w:type="spellStart"/>
      <w:r w:rsidR="007855C4" w:rsidRPr="00E73EF4">
        <w:rPr>
          <w:rFonts w:ascii="Times New Roman" w:eastAsia="Calibri" w:hAnsi="Times New Roman" w:cs="Times New Roman"/>
          <w:sz w:val="24"/>
          <w:szCs w:val="24"/>
          <w:lang w:val="en-US"/>
        </w:rPr>
        <w:t>colour</w:t>
      </w:r>
      <w:proofErr w:type="spellEnd"/>
      <w:r w:rsidR="007855C4" w:rsidRPr="00E73EF4">
        <w:rPr>
          <w:rFonts w:ascii="Times New Roman" w:eastAsia="Calibri" w:hAnsi="Times New Roman" w:cs="Times New Roman"/>
          <w:sz w:val="24"/>
          <w:szCs w:val="24"/>
          <w:lang w:val="en-US"/>
        </w:rPr>
        <w:t xml:space="preserve"> optical detection system</w:t>
      </w:r>
      <w:r w:rsidR="0086373D" w:rsidRPr="00E73EF4">
        <w:rPr>
          <w:rFonts w:ascii="Times New Roman" w:eastAsia="Calibri" w:hAnsi="Times New Roman" w:cs="Times New Roman"/>
          <w:sz w:val="24"/>
          <w:szCs w:val="24"/>
          <w:lang w:val="en-US"/>
        </w:rPr>
        <w:t xml:space="preserve">.  Using a mathematical algorithm, the concentration of each gene in the purified phage particle DNA can be measured.  This approach was able to show a good correlation between gene content and phenotypic activity of the phage preparation.  </w:t>
      </w:r>
      <w:r w:rsidR="002A519B" w:rsidRPr="00E73EF4">
        <w:rPr>
          <w:rFonts w:ascii="Times New Roman" w:eastAsia="Calibri" w:hAnsi="Times New Roman" w:cs="Times New Roman"/>
          <w:sz w:val="24"/>
          <w:szCs w:val="24"/>
          <w:lang w:val="en-US"/>
        </w:rPr>
        <w:t xml:space="preserve">It also confirmed that the </w:t>
      </w:r>
      <w:proofErr w:type="spellStart"/>
      <w:r w:rsidR="002A519B" w:rsidRPr="00E73EF4">
        <w:rPr>
          <w:rFonts w:ascii="Times New Roman" w:eastAsia="Calibri" w:hAnsi="Times New Roman" w:cs="Times New Roman"/>
          <w:i/>
          <w:sz w:val="24"/>
          <w:szCs w:val="24"/>
          <w:lang w:val="en-US"/>
        </w:rPr>
        <w:t>ermC</w:t>
      </w:r>
      <w:proofErr w:type="spellEnd"/>
      <w:r w:rsidR="002A519B" w:rsidRPr="00E73EF4">
        <w:rPr>
          <w:rFonts w:ascii="Times New Roman" w:eastAsia="Calibri" w:hAnsi="Times New Roman" w:cs="Times New Roman"/>
          <w:sz w:val="24"/>
          <w:szCs w:val="24"/>
          <w:lang w:val="en-US"/>
        </w:rPr>
        <w:t xml:space="preserve"> carried on a plasmid is packaged at higher frequency than a chromosomal marker (</w:t>
      </w:r>
      <w:proofErr w:type="spellStart"/>
      <w:r w:rsidR="002A519B" w:rsidRPr="00E73EF4">
        <w:rPr>
          <w:rFonts w:ascii="Times New Roman" w:eastAsia="Calibri" w:hAnsi="Times New Roman" w:cs="Times New Roman"/>
          <w:i/>
          <w:sz w:val="24"/>
          <w:szCs w:val="24"/>
          <w:lang w:val="en-US"/>
        </w:rPr>
        <w:t>nuc</w:t>
      </w:r>
      <w:proofErr w:type="spellEnd"/>
      <w:r w:rsidR="002A519B" w:rsidRPr="00E73EF4">
        <w:rPr>
          <w:rFonts w:ascii="Times New Roman" w:eastAsia="Calibri" w:hAnsi="Times New Roman" w:cs="Times New Roman"/>
          <w:sz w:val="24"/>
          <w:szCs w:val="24"/>
          <w:lang w:val="en-US"/>
        </w:rPr>
        <w:t xml:space="preserve">) and at lower frequency that phage DNA. </w:t>
      </w:r>
      <w:r w:rsidR="00A1401C" w:rsidRPr="00E73EF4">
        <w:rPr>
          <w:rFonts w:ascii="Times New Roman" w:eastAsia="Calibri" w:hAnsi="Times New Roman" w:cs="Times New Roman"/>
          <w:sz w:val="24"/>
          <w:szCs w:val="24"/>
          <w:lang w:val="en-US"/>
        </w:rPr>
        <w:t xml:space="preserve">This is likely to be due in part to the relative copy number of these genes in the host cell. </w:t>
      </w:r>
      <w:r w:rsidR="002A519B" w:rsidRPr="00E73EF4">
        <w:rPr>
          <w:rFonts w:ascii="Times New Roman" w:eastAsia="Calibri" w:hAnsi="Times New Roman" w:cs="Times New Roman"/>
          <w:sz w:val="24"/>
          <w:szCs w:val="24"/>
          <w:lang w:val="en-US"/>
        </w:rPr>
        <w:t xml:space="preserve"> Importantly, it confirmed that differences in AMR gene transfer correlated with different </w:t>
      </w:r>
      <w:r w:rsidR="002A519B" w:rsidRPr="00E73EF4">
        <w:rPr>
          <w:rFonts w:ascii="Times New Roman" w:eastAsia="Calibri" w:hAnsi="Times New Roman" w:cs="Times New Roman"/>
          <w:sz w:val="24"/>
          <w:szCs w:val="24"/>
          <w:lang w:val="en-US"/>
        </w:rPr>
        <w:lastRenderedPageBreak/>
        <w:t xml:space="preserve">concentrations of </w:t>
      </w:r>
      <w:proofErr w:type="spellStart"/>
      <w:r w:rsidR="002A519B" w:rsidRPr="00E73EF4">
        <w:rPr>
          <w:rFonts w:ascii="Times New Roman" w:eastAsia="Calibri" w:hAnsi="Times New Roman" w:cs="Times New Roman"/>
          <w:i/>
          <w:sz w:val="24"/>
          <w:szCs w:val="24"/>
          <w:lang w:val="en-US"/>
        </w:rPr>
        <w:t>ermC</w:t>
      </w:r>
      <w:proofErr w:type="spellEnd"/>
      <w:r w:rsidR="002A519B" w:rsidRPr="00E73EF4">
        <w:rPr>
          <w:rFonts w:ascii="Times New Roman" w:eastAsia="Calibri" w:hAnsi="Times New Roman" w:cs="Times New Roman"/>
          <w:sz w:val="24"/>
          <w:szCs w:val="24"/>
          <w:lang w:val="en-US"/>
        </w:rPr>
        <w:t xml:space="preserve"> gene copy number in phage preparations (Figure </w:t>
      </w:r>
      <w:r w:rsidR="002510DE" w:rsidRPr="00E73EF4">
        <w:rPr>
          <w:rFonts w:ascii="Times New Roman" w:eastAsia="Calibri" w:hAnsi="Times New Roman" w:cs="Times New Roman"/>
          <w:sz w:val="24"/>
          <w:szCs w:val="24"/>
          <w:lang w:val="en-US"/>
        </w:rPr>
        <w:t>4</w:t>
      </w:r>
      <w:r w:rsidR="002A519B" w:rsidRPr="00E73EF4">
        <w:rPr>
          <w:rFonts w:ascii="Times New Roman" w:eastAsia="Calibri" w:hAnsi="Times New Roman" w:cs="Times New Roman"/>
          <w:sz w:val="24"/>
          <w:szCs w:val="24"/>
          <w:lang w:val="en-US"/>
        </w:rPr>
        <w:t>a, b</w:t>
      </w:r>
      <w:r w:rsidR="00614985" w:rsidRPr="00E73EF4">
        <w:rPr>
          <w:rFonts w:ascii="Times New Roman" w:eastAsia="Calibri" w:hAnsi="Times New Roman" w:cs="Times New Roman"/>
          <w:sz w:val="24"/>
          <w:szCs w:val="24"/>
          <w:lang w:val="en-US"/>
        </w:rPr>
        <w:t>; Supplementary Figure S2</w:t>
      </w:r>
      <w:r w:rsidR="002A519B" w:rsidRPr="00E73EF4">
        <w:rPr>
          <w:rFonts w:ascii="Times New Roman" w:eastAsia="Calibri" w:hAnsi="Times New Roman" w:cs="Times New Roman"/>
          <w:sz w:val="24"/>
          <w:szCs w:val="24"/>
          <w:lang w:val="en-US"/>
        </w:rPr>
        <w:t>).  DNA is packaged into phage particles via the terminus protein</w:t>
      </w:r>
      <w:r w:rsidR="00D47C61" w:rsidRPr="00E73EF4">
        <w:rPr>
          <w:rFonts w:ascii="Times New Roman" w:eastAsia="Calibri" w:hAnsi="Times New Roman" w:cs="Times New Roman"/>
          <w:sz w:val="24"/>
          <w:szCs w:val="24"/>
          <w:vertAlign w:val="superscript"/>
          <w:lang w:val="en-US"/>
        </w:rPr>
        <w:t>12</w:t>
      </w:r>
      <w:proofErr w:type="gramStart"/>
      <w:r w:rsidR="00D47C61" w:rsidRPr="00E73EF4">
        <w:rPr>
          <w:rFonts w:ascii="Times New Roman" w:eastAsia="Calibri" w:hAnsi="Times New Roman" w:cs="Times New Roman"/>
          <w:sz w:val="24"/>
          <w:szCs w:val="24"/>
          <w:vertAlign w:val="superscript"/>
          <w:lang w:val="en-US"/>
        </w:rPr>
        <w:t>,3</w:t>
      </w:r>
      <w:r w:rsidR="00225219" w:rsidRPr="00E73EF4">
        <w:rPr>
          <w:rFonts w:ascii="Times New Roman" w:eastAsia="Calibri" w:hAnsi="Times New Roman" w:cs="Times New Roman"/>
          <w:sz w:val="24"/>
          <w:szCs w:val="24"/>
          <w:vertAlign w:val="superscript"/>
          <w:lang w:val="en-US"/>
        </w:rPr>
        <w:t>3</w:t>
      </w:r>
      <w:proofErr w:type="gramEnd"/>
      <w:r w:rsidR="00EB5295" w:rsidRPr="00E73EF4">
        <w:rPr>
          <w:rFonts w:ascii="Times New Roman" w:eastAsia="Calibri" w:hAnsi="Times New Roman" w:cs="Times New Roman"/>
          <w:sz w:val="24"/>
          <w:szCs w:val="24"/>
          <w:vertAlign w:val="superscript"/>
          <w:lang w:val="en-US"/>
        </w:rPr>
        <w:t xml:space="preserve"> </w:t>
      </w:r>
      <w:r w:rsidR="002A519B" w:rsidRPr="00E73EF4">
        <w:rPr>
          <w:rFonts w:ascii="Times New Roman" w:eastAsia="Calibri" w:hAnsi="Times New Roman" w:cs="Times New Roman"/>
          <w:sz w:val="24"/>
          <w:szCs w:val="24"/>
          <w:lang w:val="en-US"/>
        </w:rPr>
        <w:t>which attaches to DNA and guides it into the newly assembled phage particle through the tail structure and into the phage head.  If antibiotics influence this step, it could be at the level of DNA replication or through specific interaction with the packaging process.</w:t>
      </w:r>
      <w:r w:rsidR="00F71237" w:rsidRPr="00E73EF4">
        <w:rPr>
          <w:rFonts w:ascii="Times New Roman" w:eastAsia="Calibri" w:hAnsi="Times New Roman" w:cs="Times New Roman"/>
          <w:sz w:val="24"/>
          <w:szCs w:val="24"/>
          <w:lang w:val="en-US"/>
        </w:rPr>
        <w:t xml:space="preserve">  </w:t>
      </w:r>
    </w:p>
    <w:p w14:paraId="5A574CA5" w14:textId="1ADE47E9" w:rsidR="00B90DE5" w:rsidRPr="00E73EF4" w:rsidRDefault="00B90DE5" w:rsidP="00A96742">
      <w:pPr>
        <w:spacing w:line="480" w:lineRule="auto"/>
        <w:ind w:firstLine="720"/>
        <w:jc w:val="both"/>
        <w:rPr>
          <w:rFonts w:ascii="Times New Roman" w:eastAsia="Calibri" w:hAnsi="Times New Roman" w:cs="Times New Roman"/>
          <w:sz w:val="24"/>
          <w:szCs w:val="24"/>
        </w:rPr>
      </w:pPr>
      <w:r w:rsidRPr="00E73EF4">
        <w:rPr>
          <w:rFonts w:ascii="Times New Roman" w:eastAsia="Calibri" w:hAnsi="Times New Roman" w:cs="Times New Roman"/>
          <w:sz w:val="24"/>
          <w:szCs w:val="24"/>
        </w:rPr>
        <w:t xml:space="preserve">The varying ratios of lytic and transducing particles detected was unexpected. </w:t>
      </w:r>
      <w:r w:rsidR="005C069A" w:rsidRPr="00E73EF4">
        <w:rPr>
          <w:rFonts w:ascii="Times New Roman" w:eastAsia="Calibri" w:hAnsi="Times New Roman" w:cs="Times New Roman"/>
          <w:sz w:val="24"/>
          <w:szCs w:val="24"/>
        </w:rPr>
        <w:t xml:space="preserve">Our data also shows that different phage may be induced by different antibiotics.  </w:t>
      </w:r>
      <w:r w:rsidR="00714029" w:rsidRPr="00E73EF4">
        <w:rPr>
          <w:rFonts w:ascii="Times New Roman" w:eastAsia="Calibri" w:hAnsi="Times New Roman" w:cs="Times New Roman"/>
          <w:sz w:val="24"/>
          <w:szCs w:val="24"/>
        </w:rPr>
        <w:t xml:space="preserve">During </w:t>
      </w:r>
      <w:r w:rsidRPr="00E73EF4">
        <w:rPr>
          <w:rFonts w:ascii="Times New Roman" w:eastAsia="Calibri" w:hAnsi="Times New Roman" w:cs="Times New Roman"/>
          <w:sz w:val="24"/>
          <w:szCs w:val="24"/>
        </w:rPr>
        <w:t>colonization with</w:t>
      </w:r>
      <w:r w:rsidR="00714029" w:rsidRPr="00E73EF4">
        <w:rPr>
          <w:rFonts w:ascii="Times New Roman" w:eastAsia="Calibri" w:hAnsi="Times New Roman" w:cs="Times New Roman"/>
          <w:sz w:val="24"/>
          <w:szCs w:val="24"/>
        </w:rPr>
        <w:t xml:space="preserve"> variant populations</w:t>
      </w:r>
      <w:r w:rsidRPr="00E73EF4">
        <w:rPr>
          <w:rFonts w:ascii="Times New Roman" w:eastAsia="Calibri" w:hAnsi="Times New Roman" w:cs="Times New Roman"/>
          <w:sz w:val="24"/>
          <w:szCs w:val="24"/>
        </w:rPr>
        <w:t xml:space="preserve"> of MRSA</w:t>
      </w:r>
      <w:r w:rsidR="00714029" w:rsidRPr="00E73EF4">
        <w:rPr>
          <w:rFonts w:ascii="Times New Roman" w:eastAsia="Calibri" w:hAnsi="Times New Roman" w:cs="Times New Roman"/>
          <w:sz w:val="24"/>
          <w:szCs w:val="24"/>
        </w:rPr>
        <w:t xml:space="preserve"> differing in AMR genes</w:t>
      </w:r>
      <w:r w:rsidRPr="00E73EF4">
        <w:rPr>
          <w:rFonts w:ascii="Times New Roman" w:eastAsia="Calibri" w:hAnsi="Times New Roman" w:cs="Times New Roman"/>
          <w:sz w:val="24"/>
          <w:szCs w:val="24"/>
        </w:rPr>
        <w:t>, there may be an advantage to the</w:t>
      </w:r>
      <w:r w:rsidR="00714029" w:rsidRPr="00E73EF4">
        <w:rPr>
          <w:rFonts w:ascii="Times New Roman" w:eastAsia="Calibri" w:hAnsi="Times New Roman" w:cs="Times New Roman"/>
          <w:sz w:val="24"/>
          <w:szCs w:val="24"/>
        </w:rPr>
        <w:t xml:space="preserve"> bacteria</w:t>
      </w:r>
      <w:r w:rsidRPr="00E73EF4">
        <w:rPr>
          <w:rFonts w:ascii="Times New Roman" w:eastAsia="Calibri" w:hAnsi="Times New Roman" w:cs="Times New Roman"/>
          <w:sz w:val="24"/>
          <w:szCs w:val="24"/>
        </w:rPr>
        <w:t xml:space="preserve"> that can transfer and receive DNA while at the same time lowering the risk of lytic death.</w:t>
      </w:r>
      <w:r w:rsidR="00714029" w:rsidRPr="00E73EF4">
        <w:rPr>
          <w:rFonts w:ascii="Times New Roman" w:eastAsia="Calibri" w:hAnsi="Times New Roman" w:cs="Times New Roman"/>
          <w:sz w:val="24"/>
          <w:szCs w:val="24"/>
        </w:rPr>
        <w:t xml:space="preserve">  Exposure to sub-inhibitory concentrations of antimicrobials might be an appropriate signal to enhance gene exchange. </w:t>
      </w:r>
      <w:r w:rsidR="005C069A" w:rsidRPr="00E73EF4">
        <w:rPr>
          <w:rFonts w:ascii="Times New Roman" w:eastAsia="Calibri" w:hAnsi="Times New Roman" w:cs="Times New Roman"/>
          <w:sz w:val="24"/>
          <w:szCs w:val="24"/>
        </w:rPr>
        <w:t xml:space="preserve"> </w:t>
      </w:r>
      <w:proofErr w:type="spellStart"/>
      <w:r w:rsidR="005C069A" w:rsidRPr="00E73EF4">
        <w:rPr>
          <w:rFonts w:ascii="Times New Roman" w:eastAsia="Calibri" w:hAnsi="Times New Roman" w:cs="Times New Roman"/>
          <w:sz w:val="24"/>
          <w:szCs w:val="24"/>
        </w:rPr>
        <w:t>Futhermore</w:t>
      </w:r>
      <w:proofErr w:type="spellEnd"/>
      <w:r w:rsidR="005C069A" w:rsidRPr="00E73EF4">
        <w:rPr>
          <w:rFonts w:ascii="Times New Roman" w:eastAsia="Calibri" w:hAnsi="Times New Roman" w:cs="Times New Roman"/>
          <w:sz w:val="24"/>
          <w:szCs w:val="24"/>
        </w:rPr>
        <w:t>, the response of resistant bacteria to high levels of antibiotic that are sub-inhibitory has generally not been explored.</w:t>
      </w:r>
      <w:r w:rsidR="00714029" w:rsidRPr="00E73EF4">
        <w:rPr>
          <w:rFonts w:ascii="Times New Roman" w:eastAsia="Calibri" w:hAnsi="Times New Roman" w:cs="Times New Roman"/>
          <w:sz w:val="24"/>
          <w:szCs w:val="24"/>
        </w:rPr>
        <w:t xml:space="preserve"> </w:t>
      </w:r>
      <w:r w:rsidR="0007019E" w:rsidRPr="00E73EF4">
        <w:rPr>
          <w:rFonts w:ascii="Times New Roman" w:eastAsia="Calibri" w:hAnsi="Times New Roman" w:cs="Times New Roman"/>
          <w:sz w:val="24"/>
          <w:szCs w:val="24"/>
        </w:rPr>
        <w:t>Further</w:t>
      </w:r>
      <w:r w:rsidR="00714029" w:rsidRPr="00E73EF4">
        <w:rPr>
          <w:rFonts w:ascii="Times New Roman" w:eastAsia="Calibri" w:hAnsi="Times New Roman" w:cs="Times New Roman"/>
          <w:sz w:val="24"/>
          <w:szCs w:val="24"/>
        </w:rPr>
        <w:t xml:space="preserve"> work on the mechanisms controlling this transfer is warranted</w:t>
      </w:r>
      <w:r w:rsidR="00A1401C" w:rsidRPr="00E73EF4">
        <w:rPr>
          <w:rFonts w:ascii="Times New Roman" w:eastAsia="Calibri" w:hAnsi="Times New Roman" w:cs="Times New Roman"/>
          <w:sz w:val="24"/>
          <w:szCs w:val="24"/>
        </w:rPr>
        <w:t xml:space="preserve">, and </w:t>
      </w:r>
      <w:r w:rsidR="00A1401C" w:rsidRPr="00E73EF4">
        <w:rPr>
          <w:rFonts w:ascii="Times New Roman" w:eastAsia="Calibri" w:hAnsi="Times New Roman" w:cs="Times New Roman"/>
          <w:sz w:val="24"/>
          <w:szCs w:val="24"/>
          <w:lang w:val="en-US"/>
        </w:rPr>
        <w:t>to identify which phage are preferentially induced and by which antibiotics.</w:t>
      </w:r>
    </w:p>
    <w:p w14:paraId="1892D457" w14:textId="48D87E93" w:rsidR="00623FAB" w:rsidRPr="00E73EF4" w:rsidRDefault="005F7D19" w:rsidP="00623FAB">
      <w:pPr>
        <w:spacing w:line="480" w:lineRule="auto"/>
        <w:ind w:firstLine="720"/>
        <w:jc w:val="both"/>
        <w:rPr>
          <w:rFonts w:ascii="Times New Roman" w:eastAsia="Calibri" w:hAnsi="Times New Roman" w:cs="Times New Roman"/>
          <w:sz w:val="24"/>
          <w:szCs w:val="24"/>
        </w:rPr>
      </w:pPr>
      <w:r w:rsidRPr="00E73EF4">
        <w:rPr>
          <w:rFonts w:ascii="Times New Roman" w:eastAsia="Calibri" w:hAnsi="Times New Roman" w:cs="Times New Roman"/>
          <w:sz w:val="24"/>
          <w:szCs w:val="24"/>
        </w:rPr>
        <w:t xml:space="preserve">This study has limitations. </w:t>
      </w:r>
      <w:r w:rsidR="00E707EA" w:rsidRPr="00E73EF4">
        <w:rPr>
          <w:rFonts w:ascii="Times New Roman" w:eastAsia="Calibri" w:hAnsi="Times New Roman" w:cs="Times New Roman"/>
          <w:sz w:val="24"/>
          <w:szCs w:val="24"/>
        </w:rPr>
        <w:t>O</w:t>
      </w:r>
      <w:r w:rsidR="00A96742" w:rsidRPr="00E73EF4">
        <w:rPr>
          <w:rFonts w:ascii="Times New Roman" w:eastAsia="Calibri" w:hAnsi="Times New Roman" w:cs="Times New Roman"/>
          <w:sz w:val="24"/>
          <w:szCs w:val="24"/>
        </w:rPr>
        <w:t xml:space="preserve">nly one selected resistance gene, </w:t>
      </w:r>
      <w:proofErr w:type="spellStart"/>
      <w:r w:rsidR="00A96742" w:rsidRPr="00E73EF4">
        <w:rPr>
          <w:rFonts w:ascii="Times New Roman" w:eastAsia="Calibri" w:hAnsi="Times New Roman" w:cs="Times New Roman"/>
          <w:i/>
          <w:sz w:val="24"/>
          <w:szCs w:val="24"/>
        </w:rPr>
        <w:t>ermC</w:t>
      </w:r>
      <w:proofErr w:type="spellEnd"/>
      <w:r w:rsidR="00E707EA" w:rsidRPr="00E73EF4">
        <w:rPr>
          <w:rFonts w:ascii="Times New Roman" w:eastAsia="Calibri" w:hAnsi="Times New Roman" w:cs="Times New Roman"/>
          <w:sz w:val="24"/>
          <w:szCs w:val="24"/>
        </w:rPr>
        <w:t xml:space="preserve">, was tested, and other AMR genes and MRSA isolates </w:t>
      </w:r>
      <w:r w:rsidR="0007019E" w:rsidRPr="00E73EF4">
        <w:rPr>
          <w:rFonts w:ascii="Times New Roman" w:eastAsia="Calibri" w:hAnsi="Times New Roman" w:cs="Times New Roman"/>
          <w:sz w:val="24"/>
          <w:szCs w:val="24"/>
        </w:rPr>
        <w:t>may transduce</w:t>
      </w:r>
      <w:r w:rsidR="00A96742" w:rsidRPr="00E73EF4">
        <w:rPr>
          <w:rFonts w:ascii="Times New Roman" w:eastAsia="Calibri" w:hAnsi="Times New Roman" w:cs="Times New Roman"/>
          <w:sz w:val="24"/>
          <w:szCs w:val="24"/>
        </w:rPr>
        <w:t xml:space="preserve"> with</w:t>
      </w:r>
      <w:r w:rsidR="00E707EA" w:rsidRPr="00E73EF4">
        <w:rPr>
          <w:rFonts w:ascii="Times New Roman" w:eastAsia="Calibri" w:hAnsi="Times New Roman" w:cs="Times New Roman"/>
          <w:sz w:val="24"/>
          <w:szCs w:val="24"/>
        </w:rPr>
        <w:t xml:space="preserve"> differing</w:t>
      </w:r>
      <w:r w:rsidR="00A96742" w:rsidRPr="00E73EF4">
        <w:rPr>
          <w:rFonts w:ascii="Times New Roman" w:eastAsia="Calibri" w:hAnsi="Times New Roman" w:cs="Times New Roman"/>
          <w:sz w:val="24"/>
          <w:szCs w:val="24"/>
        </w:rPr>
        <w:t xml:space="preserve"> frequency. </w:t>
      </w:r>
      <w:r w:rsidR="00E707EA" w:rsidRPr="00E73EF4">
        <w:rPr>
          <w:rFonts w:ascii="Times New Roman" w:eastAsia="Calibri" w:hAnsi="Times New Roman" w:cs="Times New Roman"/>
          <w:sz w:val="24"/>
          <w:szCs w:val="24"/>
        </w:rPr>
        <w:t xml:space="preserve">Similarly, the phage carried in MRSA 19A </w:t>
      </w:r>
      <w:r w:rsidR="00B90DE5" w:rsidRPr="00E73EF4">
        <w:rPr>
          <w:rFonts w:ascii="Times New Roman" w:eastAsia="Calibri" w:hAnsi="Times New Roman" w:cs="Times New Roman"/>
          <w:sz w:val="24"/>
          <w:szCs w:val="24"/>
        </w:rPr>
        <w:t xml:space="preserve">may respond to antibiotics and UV light differently to phage carried by other </w:t>
      </w:r>
      <w:r w:rsidR="00B90DE5" w:rsidRPr="00E73EF4">
        <w:rPr>
          <w:rFonts w:ascii="Times New Roman" w:eastAsia="Calibri" w:hAnsi="Times New Roman" w:cs="Times New Roman"/>
          <w:i/>
          <w:sz w:val="24"/>
          <w:szCs w:val="24"/>
        </w:rPr>
        <w:t xml:space="preserve">S. </w:t>
      </w:r>
      <w:proofErr w:type="spellStart"/>
      <w:r w:rsidR="00B90DE5" w:rsidRPr="00E73EF4">
        <w:rPr>
          <w:rFonts w:ascii="Times New Roman" w:eastAsia="Calibri" w:hAnsi="Times New Roman" w:cs="Times New Roman"/>
          <w:i/>
          <w:sz w:val="24"/>
          <w:szCs w:val="24"/>
        </w:rPr>
        <w:t>aureus</w:t>
      </w:r>
      <w:proofErr w:type="spellEnd"/>
      <w:r w:rsidR="00B90DE5" w:rsidRPr="00E73EF4">
        <w:rPr>
          <w:rFonts w:ascii="Times New Roman" w:eastAsia="Calibri" w:hAnsi="Times New Roman" w:cs="Times New Roman"/>
          <w:sz w:val="24"/>
          <w:szCs w:val="24"/>
        </w:rPr>
        <w:t xml:space="preserve">. Other elements such as </w:t>
      </w:r>
      <w:proofErr w:type="spellStart"/>
      <w:r w:rsidR="00B90DE5" w:rsidRPr="00E73EF4">
        <w:rPr>
          <w:rFonts w:ascii="Times New Roman" w:eastAsia="Calibri" w:hAnsi="Times New Roman" w:cs="Times New Roman"/>
          <w:sz w:val="24"/>
          <w:szCs w:val="24"/>
        </w:rPr>
        <w:t>SaPIs</w:t>
      </w:r>
      <w:proofErr w:type="spellEnd"/>
      <w:r w:rsidR="00B90DE5" w:rsidRPr="00E73EF4">
        <w:rPr>
          <w:rFonts w:ascii="Times New Roman" w:eastAsia="Calibri" w:hAnsi="Times New Roman" w:cs="Times New Roman"/>
          <w:sz w:val="24"/>
          <w:szCs w:val="24"/>
        </w:rPr>
        <w:t xml:space="preserve"> may also interfere with induction.</w:t>
      </w:r>
      <w:r w:rsidR="00D47C61" w:rsidRPr="00E73EF4">
        <w:rPr>
          <w:rFonts w:ascii="Times New Roman" w:eastAsia="Calibri" w:hAnsi="Times New Roman" w:cs="Times New Roman"/>
          <w:sz w:val="24"/>
          <w:szCs w:val="24"/>
          <w:vertAlign w:val="superscript"/>
        </w:rPr>
        <w:t>3</w:t>
      </w:r>
      <w:r w:rsidR="00225219" w:rsidRPr="00E73EF4">
        <w:rPr>
          <w:rFonts w:ascii="Times New Roman" w:eastAsia="Calibri" w:hAnsi="Times New Roman" w:cs="Times New Roman"/>
          <w:sz w:val="24"/>
          <w:szCs w:val="24"/>
          <w:vertAlign w:val="superscript"/>
        </w:rPr>
        <w:t>4</w:t>
      </w:r>
      <w:r w:rsidR="00B90DE5" w:rsidRPr="00E73EF4">
        <w:rPr>
          <w:rFonts w:ascii="Times New Roman" w:eastAsia="Calibri" w:hAnsi="Times New Roman" w:cs="Times New Roman"/>
          <w:sz w:val="24"/>
          <w:szCs w:val="24"/>
        </w:rPr>
        <w:t xml:space="preserve"> </w:t>
      </w:r>
      <w:proofErr w:type="gramStart"/>
      <w:r w:rsidR="00B90DE5" w:rsidRPr="00E73EF4">
        <w:rPr>
          <w:rFonts w:ascii="Times New Roman" w:eastAsia="Calibri" w:hAnsi="Times New Roman" w:cs="Times New Roman"/>
          <w:sz w:val="24"/>
          <w:szCs w:val="24"/>
        </w:rPr>
        <w:t>The</w:t>
      </w:r>
      <w:proofErr w:type="gramEnd"/>
      <w:r w:rsidR="00B90DE5" w:rsidRPr="00E73EF4">
        <w:rPr>
          <w:rFonts w:ascii="Times New Roman" w:eastAsia="Calibri" w:hAnsi="Times New Roman" w:cs="Times New Roman"/>
          <w:sz w:val="24"/>
          <w:szCs w:val="24"/>
        </w:rPr>
        <w:t xml:space="preserve"> resistance profile of MRSA 19A is typical for HA-MRSA, but resistance gene carriage is likely to also interfere with response to antimicrobials.</w:t>
      </w:r>
    </w:p>
    <w:p w14:paraId="53E8D7B5" w14:textId="760982B5" w:rsidR="00623FAB" w:rsidRPr="00E73EF4" w:rsidRDefault="00623FAB" w:rsidP="006B2935">
      <w:pPr>
        <w:spacing w:line="480" w:lineRule="auto"/>
        <w:ind w:firstLine="720"/>
        <w:jc w:val="both"/>
        <w:rPr>
          <w:rFonts w:ascii="Times New Roman" w:eastAsia="Calibri" w:hAnsi="Times New Roman" w:cs="Times New Roman"/>
          <w:sz w:val="24"/>
          <w:szCs w:val="24"/>
        </w:rPr>
      </w:pPr>
      <w:r w:rsidRPr="00E73EF4">
        <w:rPr>
          <w:rFonts w:ascii="Times New Roman" w:eastAsia="Calibri" w:hAnsi="Times New Roman" w:cs="Times New Roman"/>
          <w:sz w:val="24"/>
          <w:szCs w:val="24"/>
        </w:rPr>
        <w:t xml:space="preserve">In conclusion this study </w:t>
      </w:r>
      <w:r w:rsidR="002A519B" w:rsidRPr="00E73EF4">
        <w:rPr>
          <w:rFonts w:ascii="Times New Roman" w:eastAsia="Calibri" w:hAnsi="Times New Roman" w:cs="Times New Roman"/>
          <w:sz w:val="24"/>
          <w:szCs w:val="24"/>
        </w:rPr>
        <w:t>shows</w:t>
      </w:r>
      <w:r w:rsidRPr="00E73EF4">
        <w:rPr>
          <w:rFonts w:ascii="Times New Roman" w:eastAsia="Calibri" w:hAnsi="Times New Roman" w:cs="Times New Roman"/>
          <w:sz w:val="24"/>
          <w:szCs w:val="24"/>
        </w:rPr>
        <w:t xml:space="preserve"> that</w:t>
      </w:r>
      <w:r w:rsidR="006B2935" w:rsidRPr="00E73EF4">
        <w:rPr>
          <w:rFonts w:ascii="Times New Roman" w:eastAsia="Calibri" w:hAnsi="Times New Roman" w:cs="Times New Roman"/>
          <w:sz w:val="24"/>
          <w:szCs w:val="24"/>
        </w:rPr>
        <w:t xml:space="preserve"> </w:t>
      </w:r>
      <w:r w:rsidR="00E63391" w:rsidRPr="00E73EF4">
        <w:rPr>
          <w:rFonts w:ascii="Times New Roman" w:eastAsia="Calibri" w:hAnsi="Times New Roman" w:cs="Times New Roman"/>
          <w:sz w:val="24"/>
          <w:szCs w:val="24"/>
          <w:lang w:val="en-US"/>
        </w:rPr>
        <w:t>antibiotics</w:t>
      </w:r>
      <w:r w:rsidR="006B2935" w:rsidRPr="00E73EF4">
        <w:rPr>
          <w:rFonts w:ascii="Times New Roman" w:eastAsia="Calibri" w:hAnsi="Times New Roman" w:cs="Times New Roman"/>
          <w:sz w:val="24"/>
          <w:szCs w:val="24"/>
          <w:lang w:val="en-US"/>
        </w:rPr>
        <w:t xml:space="preserve"> </w:t>
      </w:r>
      <w:r w:rsidR="002A519B" w:rsidRPr="00E73EF4">
        <w:rPr>
          <w:rFonts w:ascii="Times New Roman" w:eastAsia="Calibri" w:hAnsi="Times New Roman" w:cs="Times New Roman"/>
          <w:sz w:val="24"/>
          <w:szCs w:val="24"/>
          <w:lang w:val="en-US"/>
        </w:rPr>
        <w:t xml:space="preserve">used clinically can increase </w:t>
      </w:r>
      <w:r w:rsidR="006B2935" w:rsidRPr="00E73EF4">
        <w:rPr>
          <w:rFonts w:ascii="Times New Roman" w:eastAsia="Calibri" w:hAnsi="Times New Roman" w:cs="Times New Roman"/>
          <w:sz w:val="24"/>
          <w:szCs w:val="24"/>
          <w:lang w:val="en-US"/>
        </w:rPr>
        <w:t xml:space="preserve">phage mobilization and </w:t>
      </w:r>
      <w:r w:rsidR="002A519B" w:rsidRPr="00E73EF4">
        <w:rPr>
          <w:rFonts w:ascii="Times New Roman" w:eastAsia="Calibri" w:hAnsi="Times New Roman" w:cs="Times New Roman"/>
          <w:sz w:val="24"/>
          <w:szCs w:val="24"/>
          <w:lang w:val="en-US"/>
        </w:rPr>
        <w:t>the</w:t>
      </w:r>
      <w:r w:rsidR="006B2935" w:rsidRPr="00E73EF4">
        <w:rPr>
          <w:rFonts w:ascii="Times New Roman" w:eastAsia="Calibri" w:hAnsi="Times New Roman" w:cs="Times New Roman"/>
          <w:sz w:val="24"/>
          <w:szCs w:val="24"/>
          <w:lang w:val="en-US"/>
        </w:rPr>
        <w:t xml:space="preserve"> transduction of </w:t>
      </w:r>
      <w:r w:rsidR="006A12C4" w:rsidRPr="00E73EF4">
        <w:rPr>
          <w:rFonts w:ascii="Times New Roman" w:eastAsia="Calibri" w:hAnsi="Times New Roman" w:cs="Times New Roman"/>
          <w:sz w:val="24"/>
          <w:szCs w:val="24"/>
          <w:lang w:val="en-US"/>
        </w:rPr>
        <w:t>AMR</w:t>
      </w:r>
      <w:r w:rsidR="006B2935" w:rsidRPr="00E73EF4">
        <w:rPr>
          <w:rFonts w:ascii="Times New Roman" w:eastAsia="Calibri" w:hAnsi="Times New Roman" w:cs="Times New Roman"/>
          <w:sz w:val="24"/>
          <w:szCs w:val="24"/>
          <w:lang w:val="en-US"/>
        </w:rPr>
        <w:t xml:space="preserve"> genes </w:t>
      </w:r>
      <w:r w:rsidR="002A519B" w:rsidRPr="00E73EF4">
        <w:rPr>
          <w:rFonts w:ascii="Times New Roman" w:eastAsia="Calibri" w:hAnsi="Times New Roman" w:cs="Times New Roman"/>
          <w:sz w:val="24"/>
          <w:szCs w:val="24"/>
          <w:lang w:val="en-US"/>
        </w:rPr>
        <w:t>between</w:t>
      </w:r>
      <w:r w:rsidR="006B2935" w:rsidRPr="00E73EF4">
        <w:rPr>
          <w:rFonts w:ascii="Times New Roman" w:eastAsia="Calibri" w:hAnsi="Times New Roman" w:cs="Times New Roman"/>
          <w:sz w:val="24"/>
          <w:szCs w:val="24"/>
          <w:lang w:val="en-US"/>
        </w:rPr>
        <w:t xml:space="preserve"> </w:t>
      </w:r>
      <w:r w:rsidR="002A519B" w:rsidRPr="00E73EF4">
        <w:rPr>
          <w:rFonts w:ascii="Times New Roman" w:eastAsia="Calibri" w:hAnsi="Times New Roman" w:cs="Times New Roman"/>
          <w:sz w:val="24"/>
          <w:szCs w:val="24"/>
          <w:lang w:val="en-US"/>
        </w:rPr>
        <w:t xml:space="preserve">clinical </w:t>
      </w:r>
      <w:r w:rsidR="006B2935" w:rsidRPr="00E73EF4">
        <w:rPr>
          <w:rFonts w:ascii="Times New Roman" w:eastAsia="Calibri" w:hAnsi="Times New Roman" w:cs="Times New Roman"/>
          <w:sz w:val="24"/>
          <w:szCs w:val="24"/>
          <w:lang w:val="en-US"/>
        </w:rPr>
        <w:t xml:space="preserve">MRSA. </w:t>
      </w:r>
      <w:r w:rsidR="002A519B" w:rsidRPr="00E73EF4">
        <w:rPr>
          <w:rFonts w:ascii="Times New Roman" w:eastAsia="Calibri" w:hAnsi="Times New Roman" w:cs="Times New Roman"/>
          <w:sz w:val="24"/>
          <w:szCs w:val="24"/>
          <w:lang w:val="en-US"/>
        </w:rPr>
        <w:t>A</w:t>
      </w:r>
      <w:r w:rsidR="006B2935" w:rsidRPr="00E73EF4">
        <w:rPr>
          <w:rFonts w:ascii="Times New Roman" w:eastAsia="Calibri" w:hAnsi="Times New Roman" w:cs="Times New Roman"/>
          <w:sz w:val="24"/>
          <w:szCs w:val="24"/>
          <w:lang w:val="en-US"/>
        </w:rPr>
        <w:t xml:space="preserve">ll tested antibiotics induced </w:t>
      </w:r>
      <w:r w:rsidR="00ED6118" w:rsidRPr="00E73EF4">
        <w:rPr>
          <w:rFonts w:ascii="Times New Roman" w:eastAsia="Calibri" w:hAnsi="Times New Roman" w:cs="Times New Roman"/>
          <w:sz w:val="24"/>
          <w:szCs w:val="24"/>
          <w:lang w:val="en-US"/>
        </w:rPr>
        <w:t xml:space="preserve">lytic </w:t>
      </w:r>
      <w:r w:rsidR="006B2935" w:rsidRPr="00E73EF4">
        <w:rPr>
          <w:rFonts w:ascii="Times New Roman" w:eastAsia="Calibri" w:hAnsi="Times New Roman" w:cs="Times New Roman"/>
          <w:sz w:val="24"/>
          <w:szCs w:val="24"/>
          <w:lang w:val="en-US"/>
        </w:rPr>
        <w:t>phages</w:t>
      </w:r>
      <w:r w:rsidR="00ED6118" w:rsidRPr="00E73EF4">
        <w:rPr>
          <w:rFonts w:ascii="Times New Roman" w:eastAsia="Calibri" w:hAnsi="Times New Roman" w:cs="Times New Roman"/>
          <w:sz w:val="24"/>
          <w:szCs w:val="24"/>
          <w:lang w:val="en-US"/>
        </w:rPr>
        <w:t xml:space="preserve"> and transducing phages</w:t>
      </w:r>
      <w:r w:rsidR="006B2935" w:rsidRPr="00E73EF4">
        <w:rPr>
          <w:rFonts w:ascii="Times New Roman" w:eastAsia="Calibri" w:hAnsi="Times New Roman" w:cs="Times New Roman"/>
          <w:sz w:val="24"/>
          <w:szCs w:val="24"/>
          <w:lang w:val="en-US"/>
        </w:rPr>
        <w:t xml:space="preserve">, however the </w:t>
      </w:r>
      <w:r w:rsidR="00ED6118" w:rsidRPr="00E73EF4">
        <w:rPr>
          <w:rFonts w:ascii="Times New Roman" w:eastAsia="Calibri" w:hAnsi="Times New Roman" w:cs="Times New Roman"/>
          <w:sz w:val="24"/>
          <w:szCs w:val="24"/>
          <w:lang w:val="en-US"/>
        </w:rPr>
        <w:t xml:space="preserve">ratio </w:t>
      </w:r>
      <w:r w:rsidR="006B2935" w:rsidRPr="00E73EF4">
        <w:rPr>
          <w:rFonts w:ascii="Times New Roman" w:eastAsia="Calibri" w:hAnsi="Times New Roman" w:cs="Times New Roman"/>
          <w:sz w:val="24"/>
          <w:szCs w:val="24"/>
          <w:lang w:val="en-US"/>
        </w:rPr>
        <w:t xml:space="preserve">differed for each antibiotic or </w:t>
      </w:r>
      <w:r w:rsidR="006B2935" w:rsidRPr="00E73EF4">
        <w:rPr>
          <w:rFonts w:ascii="Times New Roman" w:eastAsia="Calibri" w:hAnsi="Times New Roman" w:cs="Times New Roman"/>
          <w:sz w:val="24"/>
          <w:szCs w:val="24"/>
          <w:lang w:val="en-US"/>
        </w:rPr>
        <w:lastRenderedPageBreak/>
        <w:t>combi</w:t>
      </w:r>
      <w:r w:rsidR="007855C4" w:rsidRPr="00E73EF4">
        <w:rPr>
          <w:rFonts w:ascii="Times New Roman" w:eastAsia="Calibri" w:hAnsi="Times New Roman" w:cs="Times New Roman"/>
          <w:sz w:val="24"/>
          <w:szCs w:val="24"/>
          <w:lang w:val="en-US"/>
        </w:rPr>
        <w:t>nation antibiotic with UV light</w:t>
      </w:r>
      <w:r w:rsidR="00ED6118" w:rsidRPr="00E73EF4">
        <w:rPr>
          <w:rFonts w:ascii="Times New Roman" w:eastAsia="Calibri" w:hAnsi="Times New Roman" w:cs="Times New Roman"/>
          <w:sz w:val="24"/>
          <w:szCs w:val="24"/>
          <w:lang w:val="en-US"/>
        </w:rPr>
        <w:t xml:space="preserve">, likely due to alterations in the packaging of DNA in the donor cell into the assembling phage particles. </w:t>
      </w:r>
    </w:p>
    <w:p w14:paraId="26A82D3F" w14:textId="77777777" w:rsidR="00F91776" w:rsidRPr="00E73EF4" w:rsidRDefault="00F91776" w:rsidP="00F91776">
      <w:pPr>
        <w:spacing w:line="480" w:lineRule="auto"/>
        <w:ind w:firstLine="720"/>
        <w:jc w:val="both"/>
        <w:rPr>
          <w:rFonts w:ascii="Times New Roman" w:hAnsi="Times New Roman" w:cs="Times New Roman"/>
          <w:b/>
          <w:sz w:val="24"/>
          <w:szCs w:val="24"/>
        </w:rPr>
      </w:pPr>
      <w:r w:rsidRPr="00E73EF4">
        <w:rPr>
          <w:rFonts w:ascii="Times New Roman" w:hAnsi="Times New Roman" w:cs="Times New Roman"/>
          <w:b/>
          <w:sz w:val="24"/>
          <w:szCs w:val="24"/>
        </w:rPr>
        <w:t>Acknowledgements</w:t>
      </w:r>
    </w:p>
    <w:p w14:paraId="7E9ED6DA" w14:textId="2A1CA406" w:rsidR="007855C4" w:rsidRPr="00E73EF4" w:rsidRDefault="000660E6" w:rsidP="00F91776">
      <w:pPr>
        <w:spacing w:line="480" w:lineRule="auto"/>
        <w:ind w:firstLine="720"/>
        <w:jc w:val="both"/>
        <w:rPr>
          <w:rFonts w:ascii="Times New Roman" w:hAnsi="Times New Roman" w:cs="Times New Roman"/>
          <w:sz w:val="24"/>
          <w:szCs w:val="24"/>
        </w:rPr>
      </w:pPr>
      <w:r w:rsidRPr="00E73EF4">
        <w:rPr>
          <w:rFonts w:ascii="Times New Roman" w:hAnsi="Times New Roman" w:cs="Times New Roman"/>
          <w:sz w:val="24"/>
          <w:szCs w:val="24"/>
        </w:rPr>
        <w:t xml:space="preserve">We thank Alex McCarthy and Patrick Houston for </w:t>
      </w:r>
      <w:r w:rsidR="007855C4" w:rsidRPr="00E73EF4">
        <w:rPr>
          <w:rFonts w:ascii="Times New Roman" w:hAnsi="Times New Roman" w:cs="Times New Roman"/>
          <w:sz w:val="24"/>
          <w:szCs w:val="24"/>
        </w:rPr>
        <w:t>technical advice</w:t>
      </w:r>
      <w:r w:rsidRPr="00E73EF4">
        <w:rPr>
          <w:rFonts w:ascii="Times New Roman" w:hAnsi="Times New Roman" w:cs="Times New Roman"/>
          <w:sz w:val="24"/>
          <w:szCs w:val="24"/>
        </w:rPr>
        <w:t>.</w:t>
      </w:r>
      <w:r w:rsidRPr="00E73EF4">
        <w:t xml:space="preserve"> </w:t>
      </w:r>
      <w:r w:rsidR="005178B7" w:rsidRPr="00E73EF4">
        <w:t xml:space="preserve"> </w:t>
      </w:r>
      <w:r w:rsidR="005178B7" w:rsidRPr="00E73EF4">
        <w:rPr>
          <w:rFonts w:ascii="Times New Roman" w:hAnsi="Times New Roman" w:cs="Times New Roman"/>
          <w:sz w:val="24"/>
          <w:szCs w:val="24"/>
        </w:rPr>
        <w:t xml:space="preserve">Preliminary data was presented at Viruses of Microbes 2016 </w:t>
      </w:r>
      <w:r w:rsidR="00225219" w:rsidRPr="00E73EF4">
        <w:rPr>
          <w:rFonts w:ascii="Times New Roman" w:hAnsi="Times New Roman" w:cs="Times New Roman"/>
          <w:sz w:val="24"/>
          <w:szCs w:val="24"/>
        </w:rPr>
        <w:t xml:space="preserve">in </w:t>
      </w:r>
      <w:r w:rsidR="005178B7" w:rsidRPr="00E73EF4">
        <w:rPr>
          <w:rFonts w:ascii="Times New Roman" w:hAnsi="Times New Roman" w:cs="Times New Roman"/>
          <w:sz w:val="24"/>
          <w:szCs w:val="24"/>
        </w:rPr>
        <w:t xml:space="preserve">Liverpool, abstract </w:t>
      </w:r>
      <w:r w:rsidR="005178B7" w:rsidRPr="00E73EF4">
        <w:rPr>
          <w:rFonts w:ascii="Times New Roman" w:eastAsia="Times New Roman" w:hAnsi="Times New Roman" w:cs="Times New Roman"/>
          <w:sz w:val="24"/>
          <w:szCs w:val="24"/>
        </w:rPr>
        <w:t xml:space="preserve">T02-IvT-05, and </w:t>
      </w:r>
      <w:r w:rsidR="00225219" w:rsidRPr="00E73EF4">
        <w:rPr>
          <w:rFonts w:ascii="Times New Roman" w:eastAsia="Times New Roman" w:hAnsi="Times New Roman" w:cs="Times New Roman"/>
          <w:sz w:val="24"/>
          <w:szCs w:val="24"/>
        </w:rPr>
        <w:t xml:space="preserve">a plenary talk at </w:t>
      </w:r>
      <w:r w:rsidR="005178B7" w:rsidRPr="00E73EF4">
        <w:rPr>
          <w:rFonts w:ascii="Times New Roman" w:eastAsia="Times New Roman" w:hAnsi="Times New Roman" w:cs="Times New Roman"/>
          <w:sz w:val="24"/>
          <w:szCs w:val="24"/>
        </w:rPr>
        <w:t xml:space="preserve">the International Symposium of Staphylococci and </w:t>
      </w:r>
      <w:proofErr w:type="spellStart"/>
      <w:r w:rsidR="005178B7" w:rsidRPr="00E73EF4">
        <w:rPr>
          <w:rFonts w:ascii="Times New Roman" w:eastAsia="Times New Roman" w:hAnsi="Times New Roman" w:cs="Times New Roman"/>
          <w:sz w:val="24"/>
          <w:szCs w:val="24"/>
        </w:rPr>
        <w:t>Staphylocccal</w:t>
      </w:r>
      <w:proofErr w:type="spellEnd"/>
      <w:r w:rsidR="005178B7" w:rsidRPr="00E73EF4">
        <w:rPr>
          <w:rFonts w:ascii="Times New Roman" w:eastAsia="Times New Roman" w:hAnsi="Times New Roman" w:cs="Times New Roman"/>
          <w:sz w:val="24"/>
          <w:szCs w:val="24"/>
        </w:rPr>
        <w:t xml:space="preserve"> Infection</w:t>
      </w:r>
      <w:r w:rsidR="00225219" w:rsidRPr="00E73EF4">
        <w:rPr>
          <w:rFonts w:ascii="Times New Roman" w:eastAsia="Times New Roman" w:hAnsi="Times New Roman" w:cs="Times New Roman"/>
          <w:sz w:val="24"/>
          <w:szCs w:val="24"/>
        </w:rPr>
        <w:t xml:space="preserve"> 2016 in Seoul.</w:t>
      </w:r>
    </w:p>
    <w:p w14:paraId="54E7063F" w14:textId="2EA55EE9" w:rsidR="00F91776" w:rsidRPr="00E73EF4" w:rsidRDefault="00F91776" w:rsidP="00F91776">
      <w:pPr>
        <w:spacing w:line="480" w:lineRule="auto"/>
        <w:ind w:firstLine="720"/>
        <w:jc w:val="both"/>
        <w:rPr>
          <w:rFonts w:ascii="Times New Roman" w:hAnsi="Times New Roman" w:cs="Times New Roman"/>
          <w:b/>
          <w:sz w:val="24"/>
          <w:szCs w:val="24"/>
        </w:rPr>
      </w:pPr>
      <w:r w:rsidRPr="00E73EF4">
        <w:rPr>
          <w:rFonts w:ascii="Times New Roman" w:hAnsi="Times New Roman" w:cs="Times New Roman"/>
          <w:b/>
          <w:sz w:val="24"/>
          <w:szCs w:val="24"/>
        </w:rPr>
        <w:t>Funding</w:t>
      </w:r>
    </w:p>
    <w:p w14:paraId="738B0F30" w14:textId="2A24BAAF" w:rsidR="00F91776" w:rsidRPr="00E73EF4" w:rsidRDefault="00F91776" w:rsidP="00EB1DCA">
      <w:pPr>
        <w:spacing w:line="480" w:lineRule="auto"/>
        <w:ind w:firstLine="720"/>
        <w:jc w:val="both"/>
        <w:rPr>
          <w:rFonts w:ascii="Times New Roman" w:hAnsi="Times New Roman" w:cs="Times New Roman"/>
          <w:sz w:val="24"/>
          <w:szCs w:val="24"/>
        </w:rPr>
      </w:pPr>
      <w:r w:rsidRPr="00E73EF4">
        <w:rPr>
          <w:rFonts w:ascii="Times New Roman" w:hAnsi="Times New Roman" w:cs="Times New Roman"/>
          <w:sz w:val="24"/>
          <w:szCs w:val="24"/>
        </w:rPr>
        <w:t>This work was supported by a studentship from the Medical Research Council (G0900205) and by St George’s, University of London.</w:t>
      </w:r>
    </w:p>
    <w:p w14:paraId="38D2A1F1" w14:textId="77777777" w:rsidR="00F91776" w:rsidRPr="00E73EF4" w:rsidRDefault="00F91776" w:rsidP="00F91776">
      <w:pPr>
        <w:spacing w:line="480" w:lineRule="auto"/>
        <w:ind w:firstLine="720"/>
        <w:jc w:val="both"/>
        <w:rPr>
          <w:rFonts w:ascii="Times New Roman" w:hAnsi="Times New Roman" w:cs="Times New Roman"/>
          <w:b/>
          <w:sz w:val="24"/>
          <w:szCs w:val="24"/>
        </w:rPr>
      </w:pPr>
      <w:r w:rsidRPr="00E73EF4">
        <w:rPr>
          <w:rFonts w:ascii="Times New Roman" w:hAnsi="Times New Roman" w:cs="Times New Roman"/>
          <w:b/>
          <w:sz w:val="24"/>
          <w:szCs w:val="24"/>
        </w:rPr>
        <w:t>Transparency declarations</w:t>
      </w:r>
    </w:p>
    <w:p w14:paraId="039B7DFC" w14:textId="3A0247D7" w:rsidR="00F91776" w:rsidRPr="00E73EF4" w:rsidRDefault="00714029" w:rsidP="00F91776">
      <w:pPr>
        <w:spacing w:line="480" w:lineRule="auto"/>
        <w:ind w:firstLine="720"/>
        <w:jc w:val="both"/>
        <w:rPr>
          <w:rFonts w:ascii="Times New Roman" w:hAnsi="Times New Roman" w:cs="Times New Roman"/>
          <w:sz w:val="24"/>
          <w:szCs w:val="24"/>
        </w:rPr>
      </w:pPr>
      <w:r w:rsidRPr="00E73EF4">
        <w:rPr>
          <w:rFonts w:ascii="Times New Roman" w:hAnsi="Times New Roman" w:cs="Times New Roman"/>
          <w:sz w:val="24"/>
          <w:szCs w:val="24"/>
        </w:rPr>
        <w:t>N</w:t>
      </w:r>
      <w:r w:rsidR="00F91776" w:rsidRPr="00E73EF4">
        <w:rPr>
          <w:rFonts w:ascii="Times New Roman" w:hAnsi="Times New Roman" w:cs="Times New Roman"/>
          <w:sz w:val="24"/>
          <w:szCs w:val="24"/>
        </w:rPr>
        <w:t xml:space="preserve">othing to declare. </w:t>
      </w:r>
    </w:p>
    <w:p w14:paraId="7F3CE171" w14:textId="77777777" w:rsidR="00F91776" w:rsidRPr="00E73EF4" w:rsidRDefault="00F91776" w:rsidP="00F91776">
      <w:pPr>
        <w:spacing w:line="480" w:lineRule="auto"/>
        <w:ind w:firstLine="720"/>
        <w:jc w:val="both"/>
        <w:rPr>
          <w:rFonts w:ascii="Times New Roman" w:hAnsi="Times New Roman" w:cs="Times New Roman"/>
          <w:b/>
          <w:sz w:val="24"/>
          <w:szCs w:val="24"/>
          <w:u w:val="single"/>
        </w:rPr>
      </w:pPr>
      <w:r w:rsidRPr="00E73EF4">
        <w:rPr>
          <w:rFonts w:ascii="Times New Roman" w:hAnsi="Times New Roman" w:cs="Times New Roman"/>
          <w:b/>
          <w:sz w:val="24"/>
          <w:szCs w:val="24"/>
          <w:u w:val="single"/>
        </w:rPr>
        <w:t>References</w:t>
      </w:r>
    </w:p>
    <w:p w14:paraId="645480F2" w14:textId="77777777" w:rsidR="00692B4E" w:rsidRPr="00E73EF4" w:rsidRDefault="00692B4E" w:rsidP="00692B4E">
      <w:pPr>
        <w:pStyle w:val="ListParagraph"/>
        <w:numPr>
          <w:ilvl w:val="0"/>
          <w:numId w:val="4"/>
        </w:numPr>
        <w:spacing w:line="480" w:lineRule="auto"/>
        <w:jc w:val="both"/>
        <w:rPr>
          <w:rFonts w:ascii="Times New Roman" w:eastAsia="Calibri" w:hAnsi="Times New Roman" w:cs="Times New Roman"/>
          <w:sz w:val="24"/>
          <w:szCs w:val="24"/>
        </w:rPr>
      </w:pPr>
      <w:r w:rsidRPr="00E73EF4">
        <w:rPr>
          <w:rFonts w:ascii="Times New Roman" w:eastAsia="Calibri" w:hAnsi="Times New Roman" w:cs="Times New Roman"/>
          <w:sz w:val="24"/>
          <w:szCs w:val="24"/>
        </w:rPr>
        <w:t xml:space="preserve">Lindsay JA. Staphylococcus </w:t>
      </w:r>
      <w:proofErr w:type="spellStart"/>
      <w:r w:rsidRPr="00E73EF4">
        <w:rPr>
          <w:rFonts w:ascii="Times New Roman" w:eastAsia="Calibri" w:hAnsi="Times New Roman" w:cs="Times New Roman"/>
          <w:sz w:val="24"/>
          <w:szCs w:val="24"/>
        </w:rPr>
        <w:t>aureus</w:t>
      </w:r>
      <w:proofErr w:type="spellEnd"/>
      <w:r w:rsidRPr="00E73EF4">
        <w:rPr>
          <w:rFonts w:ascii="Times New Roman" w:eastAsia="Calibri" w:hAnsi="Times New Roman" w:cs="Times New Roman"/>
          <w:sz w:val="24"/>
          <w:szCs w:val="24"/>
        </w:rPr>
        <w:t xml:space="preserve"> genomics and the impact of horizontal gene transfer. </w:t>
      </w:r>
      <w:proofErr w:type="spellStart"/>
      <w:r w:rsidRPr="00E73EF4">
        <w:rPr>
          <w:rFonts w:ascii="Times New Roman" w:eastAsia="Calibri" w:hAnsi="Times New Roman" w:cs="Times New Roman"/>
          <w:i/>
          <w:sz w:val="24"/>
          <w:szCs w:val="24"/>
        </w:rPr>
        <w:t>Int</w:t>
      </w:r>
      <w:proofErr w:type="spellEnd"/>
      <w:r w:rsidRPr="00E73EF4">
        <w:rPr>
          <w:rFonts w:ascii="Times New Roman" w:eastAsia="Calibri" w:hAnsi="Times New Roman" w:cs="Times New Roman"/>
          <w:i/>
          <w:sz w:val="24"/>
          <w:szCs w:val="24"/>
        </w:rPr>
        <w:t xml:space="preserve"> J Med </w:t>
      </w:r>
      <w:proofErr w:type="spellStart"/>
      <w:r w:rsidRPr="00E73EF4">
        <w:rPr>
          <w:rFonts w:ascii="Times New Roman" w:eastAsia="Calibri" w:hAnsi="Times New Roman" w:cs="Times New Roman"/>
          <w:i/>
          <w:sz w:val="24"/>
          <w:szCs w:val="24"/>
        </w:rPr>
        <w:t>Microbiol</w:t>
      </w:r>
      <w:proofErr w:type="spellEnd"/>
      <w:r w:rsidRPr="00E73EF4">
        <w:rPr>
          <w:rFonts w:ascii="Times New Roman" w:eastAsia="Calibri" w:hAnsi="Times New Roman" w:cs="Times New Roman"/>
          <w:sz w:val="24"/>
          <w:szCs w:val="24"/>
        </w:rPr>
        <w:t xml:space="preserve"> 2014; </w:t>
      </w:r>
      <w:r w:rsidRPr="00E73EF4">
        <w:rPr>
          <w:rFonts w:ascii="Times New Roman" w:eastAsia="Calibri" w:hAnsi="Times New Roman" w:cs="Times New Roman"/>
          <w:b/>
          <w:sz w:val="24"/>
          <w:szCs w:val="24"/>
        </w:rPr>
        <w:t>2</w:t>
      </w:r>
      <w:r w:rsidRPr="00E73EF4">
        <w:rPr>
          <w:rFonts w:ascii="Times New Roman" w:eastAsia="Calibri" w:hAnsi="Times New Roman" w:cs="Times New Roman"/>
          <w:sz w:val="24"/>
          <w:szCs w:val="24"/>
        </w:rPr>
        <w:t>: 103-9.</w:t>
      </w:r>
    </w:p>
    <w:p w14:paraId="18E3B85B" w14:textId="77777777" w:rsidR="00692B4E" w:rsidRPr="00E73EF4" w:rsidRDefault="00692B4E" w:rsidP="00692B4E">
      <w:pPr>
        <w:pStyle w:val="ListParagraph"/>
        <w:numPr>
          <w:ilvl w:val="0"/>
          <w:numId w:val="4"/>
        </w:numPr>
        <w:spacing w:line="480" w:lineRule="auto"/>
        <w:jc w:val="both"/>
        <w:rPr>
          <w:rFonts w:ascii="Times New Roman" w:eastAsia="Calibri" w:hAnsi="Times New Roman" w:cs="Times New Roman"/>
          <w:sz w:val="24"/>
          <w:szCs w:val="24"/>
        </w:rPr>
      </w:pPr>
      <w:proofErr w:type="spellStart"/>
      <w:r w:rsidRPr="00E73EF4">
        <w:rPr>
          <w:rFonts w:ascii="Times New Roman" w:eastAsia="Calibri" w:hAnsi="Times New Roman" w:cs="Times New Roman"/>
          <w:sz w:val="24"/>
          <w:szCs w:val="24"/>
        </w:rPr>
        <w:t>Kluytmans</w:t>
      </w:r>
      <w:proofErr w:type="spellEnd"/>
      <w:r w:rsidRPr="00E73EF4">
        <w:rPr>
          <w:rFonts w:ascii="Times New Roman" w:eastAsia="Calibri" w:hAnsi="Times New Roman" w:cs="Times New Roman"/>
          <w:sz w:val="24"/>
          <w:szCs w:val="24"/>
        </w:rPr>
        <w:t xml:space="preserve"> J, van </w:t>
      </w:r>
      <w:proofErr w:type="spellStart"/>
      <w:r w:rsidRPr="00E73EF4">
        <w:rPr>
          <w:rFonts w:ascii="Times New Roman" w:eastAsia="Calibri" w:hAnsi="Times New Roman" w:cs="Times New Roman"/>
          <w:sz w:val="24"/>
          <w:szCs w:val="24"/>
        </w:rPr>
        <w:t>Belkum</w:t>
      </w:r>
      <w:proofErr w:type="spellEnd"/>
      <w:r w:rsidRPr="00E73EF4">
        <w:rPr>
          <w:rFonts w:ascii="Times New Roman" w:eastAsia="Calibri" w:hAnsi="Times New Roman" w:cs="Times New Roman"/>
          <w:sz w:val="24"/>
          <w:szCs w:val="24"/>
        </w:rPr>
        <w:t xml:space="preserve"> A, </w:t>
      </w:r>
      <w:proofErr w:type="spellStart"/>
      <w:r w:rsidRPr="00E73EF4">
        <w:rPr>
          <w:rFonts w:ascii="Times New Roman" w:eastAsia="Calibri" w:hAnsi="Times New Roman" w:cs="Times New Roman"/>
          <w:sz w:val="24"/>
          <w:szCs w:val="24"/>
        </w:rPr>
        <w:t>Verbrugh</w:t>
      </w:r>
      <w:proofErr w:type="spellEnd"/>
      <w:r w:rsidRPr="00E73EF4">
        <w:rPr>
          <w:rFonts w:ascii="Times New Roman" w:eastAsia="Calibri" w:hAnsi="Times New Roman" w:cs="Times New Roman"/>
          <w:sz w:val="24"/>
          <w:szCs w:val="24"/>
        </w:rPr>
        <w:t xml:space="preserve">, H. Nasal carriage of Staphylococcus </w:t>
      </w:r>
      <w:proofErr w:type="spellStart"/>
      <w:r w:rsidRPr="00E73EF4">
        <w:rPr>
          <w:rFonts w:ascii="Times New Roman" w:eastAsia="Calibri" w:hAnsi="Times New Roman" w:cs="Times New Roman"/>
          <w:sz w:val="24"/>
          <w:szCs w:val="24"/>
        </w:rPr>
        <w:t>aureus</w:t>
      </w:r>
      <w:proofErr w:type="spellEnd"/>
      <w:r w:rsidRPr="00E73EF4">
        <w:rPr>
          <w:rFonts w:ascii="Times New Roman" w:eastAsia="Calibri" w:hAnsi="Times New Roman" w:cs="Times New Roman"/>
          <w:sz w:val="24"/>
          <w:szCs w:val="24"/>
        </w:rPr>
        <w:t xml:space="preserve">: epidemiology, underlying mechanisms, and associated risks. </w:t>
      </w:r>
      <w:proofErr w:type="spellStart"/>
      <w:r w:rsidRPr="00E73EF4">
        <w:rPr>
          <w:rFonts w:ascii="Times New Roman" w:eastAsia="Calibri" w:hAnsi="Times New Roman" w:cs="Times New Roman"/>
          <w:i/>
          <w:sz w:val="24"/>
          <w:szCs w:val="24"/>
        </w:rPr>
        <w:t>Clin</w:t>
      </w:r>
      <w:proofErr w:type="spellEnd"/>
      <w:r w:rsidRPr="00E73EF4">
        <w:rPr>
          <w:rFonts w:ascii="Times New Roman" w:eastAsia="Calibri" w:hAnsi="Times New Roman" w:cs="Times New Roman"/>
          <w:i/>
          <w:sz w:val="24"/>
          <w:szCs w:val="24"/>
        </w:rPr>
        <w:t xml:space="preserve"> </w:t>
      </w:r>
      <w:proofErr w:type="spellStart"/>
      <w:r w:rsidRPr="00E73EF4">
        <w:rPr>
          <w:rFonts w:ascii="Times New Roman" w:eastAsia="Calibri" w:hAnsi="Times New Roman" w:cs="Times New Roman"/>
          <w:i/>
          <w:sz w:val="24"/>
          <w:szCs w:val="24"/>
        </w:rPr>
        <w:t>Microbiol</w:t>
      </w:r>
      <w:proofErr w:type="spellEnd"/>
      <w:r w:rsidRPr="00E73EF4">
        <w:rPr>
          <w:rFonts w:ascii="Times New Roman" w:eastAsia="Calibri" w:hAnsi="Times New Roman" w:cs="Times New Roman"/>
          <w:i/>
          <w:sz w:val="24"/>
          <w:szCs w:val="24"/>
        </w:rPr>
        <w:t xml:space="preserve"> Rev</w:t>
      </w:r>
      <w:r w:rsidRPr="00E73EF4">
        <w:rPr>
          <w:rFonts w:ascii="Times New Roman" w:eastAsia="Calibri" w:hAnsi="Times New Roman" w:cs="Times New Roman"/>
          <w:sz w:val="24"/>
          <w:szCs w:val="24"/>
        </w:rPr>
        <w:t xml:space="preserve"> 1997; </w:t>
      </w:r>
      <w:r w:rsidRPr="00E73EF4">
        <w:rPr>
          <w:rFonts w:ascii="Times New Roman" w:eastAsia="Calibri" w:hAnsi="Times New Roman" w:cs="Times New Roman"/>
          <w:b/>
          <w:sz w:val="24"/>
          <w:szCs w:val="24"/>
        </w:rPr>
        <w:t>10</w:t>
      </w:r>
      <w:r w:rsidRPr="00E73EF4">
        <w:rPr>
          <w:rFonts w:ascii="Times New Roman" w:eastAsia="Calibri" w:hAnsi="Times New Roman" w:cs="Times New Roman"/>
          <w:sz w:val="24"/>
          <w:szCs w:val="24"/>
        </w:rPr>
        <w:t>: 505-20.</w:t>
      </w:r>
    </w:p>
    <w:p w14:paraId="0BABB9ED" w14:textId="01A0A66E" w:rsidR="005178B7" w:rsidRPr="00E73EF4" w:rsidRDefault="00692B4E" w:rsidP="005178B7">
      <w:pPr>
        <w:pStyle w:val="ListParagraph"/>
        <w:numPr>
          <w:ilvl w:val="0"/>
          <w:numId w:val="4"/>
        </w:numPr>
        <w:spacing w:line="480" w:lineRule="auto"/>
        <w:jc w:val="both"/>
        <w:rPr>
          <w:rFonts w:ascii="Times New Roman" w:eastAsia="Calibri" w:hAnsi="Times New Roman" w:cs="Times New Roman"/>
          <w:sz w:val="24"/>
          <w:szCs w:val="24"/>
        </w:rPr>
      </w:pPr>
      <w:r w:rsidRPr="00E73EF4">
        <w:rPr>
          <w:rFonts w:ascii="Times New Roman" w:eastAsia="Calibri" w:hAnsi="Times New Roman" w:cs="Times New Roman"/>
          <w:sz w:val="24"/>
          <w:szCs w:val="24"/>
        </w:rPr>
        <w:t xml:space="preserve">European Centre for Disease Prevention and Control (ECDC). </w:t>
      </w:r>
      <w:r w:rsidRPr="00E73EF4">
        <w:rPr>
          <w:rFonts w:ascii="Times New Roman" w:eastAsia="Calibri" w:hAnsi="Times New Roman" w:cs="Times New Roman"/>
          <w:i/>
          <w:sz w:val="24"/>
          <w:szCs w:val="24"/>
        </w:rPr>
        <w:t>Summary of the latest data on antibiotic consumption in the European Union. Nov 201</w:t>
      </w:r>
      <w:r w:rsidR="005178B7" w:rsidRPr="00E73EF4">
        <w:rPr>
          <w:rFonts w:ascii="Times New Roman" w:eastAsia="Calibri" w:hAnsi="Times New Roman" w:cs="Times New Roman"/>
          <w:i/>
          <w:sz w:val="24"/>
          <w:szCs w:val="24"/>
        </w:rPr>
        <w:t>5</w:t>
      </w:r>
      <w:r w:rsidRPr="00E73EF4">
        <w:rPr>
          <w:rFonts w:ascii="Times New Roman" w:eastAsia="Calibri" w:hAnsi="Times New Roman" w:cs="Times New Roman"/>
          <w:i/>
          <w:sz w:val="24"/>
          <w:szCs w:val="24"/>
        </w:rPr>
        <w:t>.</w:t>
      </w:r>
      <w:r w:rsidRPr="00E73EF4">
        <w:rPr>
          <w:rFonts w:ascii="Times New Roman" w:eastAsia="Calibri" w:hAnsi="Times New Roman" w:cs="Times New Roman"/>
          <w:sz w:val="24"/>
          <w:szCs w:val="24"/>
        </w:rPr>
        <w:t xml:space="preserve"> </w:t>
      </w:r>
      <w:r w:rsidR="005178B7" w:rsidRPr="00E73EF4">
        <w:rPr>
          <w:rFonts w:ascii="Times New Roman" w:eastAsia="Calibri" w:hAnsi="Times New Roman" w:cs="Times New Roman"/>
          <w:sz w:val="24"/>
          <w:szCs w:val="24"/>
        </w:rPr>
        <w:t>http://ecdc.europa.eu/en/eaad/antibiotics-news/Documents/antimicrobial-consumption-ESAC-Net-summary-2015.pdf</w:t>
      </w:r>
    </w:p>
    <w:p w14:paraId="4FA6BD98" w14:textId="77777777" w:rsidR="00692B4E" w:rsidRPr="00E73EF4" w:rsidRDefault="00692B4E" w:rsidP="00692B4E">
      <w:pPr>
        <w:pStyle w:val="ListParagraph"/>
        <w:numPr>
          <w:ilvl w:val="0"/>
          <w:numId w:val="4"/>
        </w:numPr>
        <w:spacing w:line="480" w:lineRule="auto"/>
        <w:jc w:val="both"/>
        <w:rPr>
          <w:rFonts w:ascii="Times New Roman" w:eastAsia="Calibri" w:hAnsi="Times New Roman" w:cs="Times New Roman"/>
          <w:sz w:val="24"/>
          <w:szCs w:val="24"/>
        </w:rPr>
      </w:pPr>
      <w:r w:rsidRPr="00E73EF4">
        <w:rPr>
          <w:rFonts w:ascii="Times New Roman" w:eastAsia="Calibri" w:hAnsi="Times New Roman" w:cs="Times New Roman"/>
          <w:sz w:val="24"/>
          <w:szCs w:val="24"/>
        </w:rPr>
        <w:lastRenderedPageBreak/>
        <w:t xml:space="preserve">McCarthy AJ, Breathnach, AS Lindsay JA. Detection of Mobile-Genetic-Element Variation between Colonizing and Infecting Hospital-Associated Methicillin-Resistant Staphylococcus </w:t>
      </w:r>
      <w:proofErr w:type="spellStart"/>
      <w:r w:rsidRPr="00E73EF4">
        <w:rPr>
          <w:rFonts w:ascii="Times New Roman" w:eastAsia="Calibri" w:hAnsi="Times New Roman" w:cs="Times New Roman"/>
          <w:sz w:val="24"/>
          <w:szCs w:val="24"/>
        </w:rPr>
        <w:t>aureus</w:t>
      </w:r>
      <w:proofErr w:type="spellEnd"/>
      <w:r w:rsidRPr="00E73EF4">
        <w:rPr>
          <w:rFonts w:ascii="Times New Roman" w:eastAsia="Calibri" w:hAnsi="Times New Roman" w:cs="Times New Roman"/>
          <w:sz w:val="24"/>
          <w:szCs w:val="24"/>
        </w:rPr>
        <w:t xml:space="preserve"> Isolates. </w:t>
      </w:r>
      <w:r w:rsidRPr="00E73EF4">
        <w:rPr>
          <w:rFonts w:ascii="Times New Roman" w:eastAsia="Calibri" w:hAnsi="Times New Roman" w:cs="Times New Roman"/>
          <w:i/>
          <w:sz w:val="24"/>
          <w:szCs w:val="24"/>
        </w:rPr>
        <w:t xml:space="preserve">J </w:t>
      </w:r>
      <w:proofErr w:type="spellStart"/>
      <w:r w:rsidRPr="00E73EF4">
        <w:rPr>
          <w:rFonts w:ascii="Times New Roman" w:eastAsia="Calibri" w:hAnsi="Times New Roman" w:cs="Times New Roman"/>
          <w:i/>
          <w:sz w:val="24"/>
          <w:szCs w:val="24"/>
        </w:rPr>
        <w:t>Clin</w:t>
      </w:r>
      <w:proofErr w:type="spellEnd"/>
      <w:r w:rsidRPr="00E73EF4">
        <w:rPr>
          <w:rFonts w:ascii="Times New Roman" w:eastAsia="Calibri" w:hAnsi="Times New Roman" w:cs="Times New Roman"/>
          <w:i/>
          <w:sz w:val="24"/>
          <w:szCs w:val="24"/>
        </w:rPr>
        <w:t xml:space="preserve"> </w:t>
      </w:r>
      <w:proofErr w:type="spellStart"/>
      <w:r w:rsidRPr="00E73EF4">
        <w:rPr>
          <w:rFonts w:ascii="Times New Roman" w:eastAsia="Calibri" w:hAnsi="Times New Roman" w:cs="Times New Roman"/>
          <w:i/>
          <w:sz w:val="24"/>
          <w:szCs w:val="24"/>
        </w:rPr>
        <w:t>Microbiol</w:t>
      </w:r>
      <w:proofErr w:type="spellEnd"/>
      <w:r w:rsidRPr="00E73EF4">
        <w:rPr>
          <w:rFonts w:ascii="Times New Roman" w:eastAsia="Calibri" w:hAnsi="Times New Roman" w:cs="Times New Roman"/>
          <w:sz w:val="24"/>
          <w:szCs w:val="24"/>
        </w:rPr>
        <w:t xml:space="preserve"> 2012; </w:t>
      </w:r>
      <w:r w:rsidRPr="00E73EF4">
        <w:rPr>
          <w:rFonts w:ascii="Times New Roman" w:eastAsia="Calibri" w:hAnsi="Times New Roman" w:cs="Times New Roman"/>
          <w:b/>
          <w:sz w:val="24"/>
          <w:szCs w:val="24"/>
        </w:rPr>
        <w:t>50</w:t>
      </w:r>
      <w:r w:rsidRPr="00E73EF4">
        <w:rPr>
          <w:rFonts w:ascii="Times New Roman" w:eastAsia="Calibri" w:hAnsi="Times New Roman" w:cs="Times New Roman"/>
          <w:sz w:val="24"/>
          <w:szCs w:val="24"/>
        </w:rPr>
        <w:t>: 1073-75.</w:t>
      </w:r>
    </w:p>
    <w:p w14:paraId="4AC4505A" w14:textId="77777777" w:rsidR="00692B4E" w:rsidRPr="00E73EF4" w:rsidRDefault="00692B4E" w:rsidP="00692B4E">
      <w:pPr>
        <w:pStyle w:val="ListParagraph"/>
        <w:numPr>
          <w:ilvl w:val="0"/>
          <w:numId w:val="4"/>
        </w:numPr>
        <w:spacing w:line="480" w:lineRule="auto"/>
        <w:jc w:val="both"/>
        <w:rPr>
          <w:rFonts w:ascii="Times New Roman" w:eastAsia="Calibri" w:hAnsi="Times New Roman" w:cs="Times New Roman"/>
          <w:sz w:val="24"/>
          <w:szCs w:val="24"/>
        </w:rPr>
      </w:pPr>
      <w:r w:rsidRPr="00E73EF4">
        <w:rPr>
          <w:rFonts w:ascii="Times New Roman" w:eastAsia="Calibri" w:hAnsi="Times New Roman" w:cs="Times New Roman"/>
          <w:sz w:val="24"/>
          <w:szCs w:val="24"/>
        </w:rPr>
        <w:t xml:space="preserve">McCarthy AJ, Witney AA, Lindsay JA. Staphylococcus </w:t>
      </w:r>
      <w:proofErr w:type="spellStart"/>
      <w:r w:rsidRPr="00E73EF4">
        <w:rPr>
          <w:rFonts w:ascii="Times New Roman" w:eastAsia="Calibri" w:hAnsi="Times New Roman" w:cs="Times New Roman"/>
          <w:sz w:val="24"/>
          <w:szCs w:val="24"/>
        </w:rPr>
        <w:t>aureus</w:t>
      </w:r>
      <w:proofErr w:type="spellEnd"/>
      <w:r w:rsidRPr="00E73EF4">
        <w:rPr>
          <w:rFonts w:ascii="Times New Roman" w:eastAsia="Calibri" w:hAnsi="Times New Roman" w:cs="Times New Roman"/>
          <w:sz w:val="24"/>
          <w:szCs w:val="24"/>
        </w:rPr>
        <w:t xml:space="preserve"> temperate bacteriophage: carriage and horizontal gene transfer is lineage associated. </w:t>
      </w:r>
      <w:r w:rsidRPr="00E73EF4">
        <w:rPr>
          <w:rFonts w:ascii="Times New Roman" w:eastAsia="Calibri" w:hAnsi="Times New Roman" w:cs="Times New Roman"/>
          <w:i/>
          <w:sz w:val="24"/>
          <w:szCs w:val="24"/>
        </w:rPr>
        <w:t xml:space="preserve">Front Cell Infect </w:t>
      </w:r>
      <w:proofErr w:type="spellStart"/>
      <w:proofErr w:type="gramStart"/>
      <w:r w:rsidRPr="00E73EF4">
        <w:rPr>
          <w:rFonts w:ascii="Times New Roman" w:eastAsia="Calibri" w:hAnsi="Times New Roman" w:cs="Times New Roman"/>
          <w:i/>
          <w:sz w:val="24"/>
          <w:szCs w:val="24"/>
        </w:rPr>
        <w:t>Microbiol</w:t>
      </w:r>
      <w:proofErr w:type="spellEnd"/>
      <w:r w:rsidRPr="00E73EF4">
        <w:rPr>
          <w:rFonts w:ascii="Times New Roman" w:eastAsia="Calibri" w:hAnsi="Times New Roman" w:cs="Times New Roman"/>
          <w:sz w:val="24"/>
          <w:szCs w:val="24"/>
        </w:rPr>
        <w:t xml:space="preserve">  2012</w:t>
      </w:r>
      <w:proofErr w:type="gramEnd"/>
      <w:r w:rsidRPr="00E73EF4">
        <w:rPr>
          <w:rFonts w:ascii="Times New Roman" w:eastAsia="Calibri" w:hAnsi="Times New Roman" w:cs="Times New Roman"/>
          <w:sz w:val="24"/>
          <w:szCs w:val="24"/>
        </w:rPr>
        <w:t xml:space="preserve">; </w:t>
      </w:r>
      <w:r w:rsidRPr="00E73EF4">
        <w:rPr>
          <w:rFonts w:ascii="Times New Roman" w:eastAsia="Calibri" w:hAnsi="Times New Roman" w:cs="Times New Roman"/>
          <w:b/>
          <w:sz w:val="24"/>
          <w:szCs w:val="24"/>
        </w:rPr>
        <w:t>8</w:t>
      </w:r>
      <w:r w:rsidRPr="00E73EF4">
        <w:rPr>
          <w:rFonts w:ascii="Times New Roman" w:eastAsia="Calibri" w:hAnsi="Times New Roman" w:cs="Times New Roman"/>
          <w:sz w:val="24"/>
          <w:szCs w:val="24"/>
        </w:rPr>
        <w:t>: 2-6.</w:t>
      </w:r>
    </w:p>
    <w:p w14:paraId="684B6841" w14:textId="77777777" w:rsidR="00692B4E" w:rsidRPr="00E73EF4" w:rsidRDefault="00692B4E" w:rsidP="00692B4E">
      <w:pPr>
        <w:pStyle w:val="ListParagraph"/>
        <w:numPr>
          <w:ilvl w:val="0"/>
          <w:numId w:val="4"/>
        </w:numPr>
        <w:spacing w:line="480" w:lineRule="auto"/>
        <w:jc w:val="both"/>
        <w:rPr>
          <w:rFonts w:ascii="Times New Roman" w:eastAsia="Calibri" w:hAnsi="Times New Roman" w:cs="Times New Roman"/>
          <w:sz w:val="24"/>
          <w:szCs w:val="24"/>
        </w:rPr>
      </w:pPr>
      <w:proofErr w:type="spellStart"/>
      <w:r w:rsidRPr="00E73EF4">
        <w:rPr>
          <w:rFonts w:ascii="Times New Roman" w:eastAsia="Calibri" w:hAnsi="Times New Roman" w:cs="Times New Roman"/>
          <w:sz w:val="24"/>
          <w:szCs w:val="24"/>
        </w:rPr>
        <w:t>Morikawa</w:t>
      </w:r>
      <w:proofErr w:type="spellEnd"/>
      <w:r w:rsidRPr="00E73EF4">
        <w:rPr>
          <w:rFonts w:ascii="Times New Roman" w:eastAsia="Calibri" w:hAnsi="Times New Roman" w:cs="Times New Roman"/>
          <w:sz w:val="24"/>
          <w:szCs w:val="24"/>
        </w:rPr>
        <w:t xml:space="preserve"> K, </w:t>
      </w:r>
      <w:proofErr w:type="spellStart"/>
      <w:r w:rsidRPr="00E73EF4">
        <w:rPr>
          <w:rFonts w:ascii="Times New Roman" w:eastAsia="Calibri" w:hAnsi="Times New Roman" w:cs="Times New Roman"/>
          <w:sz w:val="24"/>
          <w:szCs w:val="24"/>
        </w:rPr>
        <w:t>Takemura</w:t>
      </w:r>
      <w:proofErr w:type="spellEnd"/>
      <w:r w:rsidRPr="00E73EF4">
        <w:rPr>
          <w:rFonts w:ascii="Times New Roman" w:eastAsia="Calibri" w:hAnsi="Times New Roman" w:cs="Times New Roman"/>
          <w:sz w:val="24"/>
          <w:szCs w:val="24"/>
        </w:rPr>
        <w:t xml:space="preserve"> AJ, </w:t>
      </w:r>
      <w:proofErr w:type="spellStart"/>
      <w:r w:rsidRPr="00E73EF4">
        <w:rPr>
          <w:rFonts w:ascii="Times New Roman" w:eastAsia="Calibri" w:hAnsi="Times New Roman" w:cs="Times New Roman"/>
          <w:sz w:val="24"/>
          <w:szCs w:val="24"/>
        </w:rPr>
        <w:t>Inose</w:t>
      </w:r>
      <w:proofErr w:type="spellEnd"/>
      <w:r w:rsidRPr="00E73EF4">
        <w:rPr>
          <w:rFonts w:ascii="Times New Roman" w:eastAsia="Calibri" w:hAnsi="Times New Roman" w:cs="Times New Roman"/>
          <w:sz w:val="24"/>
          <w:szCs w:val="24"/>
        </w:rPr>
        <w:t xml:space="preserve"> Y </w:t>
      </w:r>
      <w:r w:rsidRPr="00E73EF4">
        <w:rPr>
          <w:rFonts w:ascii="Times New Roman" w:eastAsia="Calibri" w:hAnsi="Times New Roman" w:cs="Times New Roman"/>
          <w:i/>
          <w:sz w:val="24"/>
          <w:szCs w:val="24"/>
        </w:rPr>
        <w:t>et al</w:t>
      </w:r>
      <w:r w:rsidRPr="00E73EF4">
        <w:rPr>
          <w:rFonts w:ascii="Times New Roman" w:eastAsia="Calibri" w:hAnsi="Times New Roman" w:cs="Times New Roman"/>
          <w:sz w:val="24"/>
          <w:szCs w:val="24"/>
        </w:rPr>
        <w:t xml:space="preserve">. Expression of a cryptic secondary sigma factor gene unveils natural competence for DNA transformation in Staphylococcus </w:t>
      </w:r>
      <w:proofErr w:type="spellStart"/>
      <w:r w:rsidRPr="00E73EF4">
        <w:rPr>
          <w:rFonts w:ascii="Times New Roman" w:eastAsia="Calibri" w:hAnsi="Times New Roman" w:cs="Times New Roman"/>
          <w:sz w:val="24"/>
          <w:szCs w:val="24"/>
        </w:rPr>
        <w:t>aureus</w:t>
      </w:r>
      <w:proofErr w:type="spellEnd"/>
      <w:r w:rsidRPr="00E73EF4">
        <w:rPr>
          <w:rFonts w:ascii="Times New Roman" w:eastAsia="Calibri" w:hAnsi="Times New Roman" w:cs="Times New Roman"/>
          <w:sz w:val="24"/>
          <w:szCs w:val="24"/>
        </w:rPr>
        <w:t xml:space="preserve">.  </w:t>
      </w:r>
      <w:proofErr w:type="spellStart"/>
      <w:r w:rsidRPr="00E73EF4">
        <w:rPr>
          <w:rFonts w:ascii="Times New Roman" w:eastAsia="Calibri" w:hAnsi="Times New Roman" w:cs="Times New Roman"/>
          <w:i/>
          <w:sz w:val="24"/>
          <w:szCs w:val="24"/>
        </w:rPr>
        <w:t>PLoS</w:t>
      </w:r>
      <w:proofErr w:type="spellEnd"/>
      <w:r w:rsidRPr="00E73EF4">
        <w:rPr>
          <w:rFonts w:ascii="Times New Roman" w:eastAsia="Calibri" w:hAnsi="Times New Roman" w:cs="Times New Roman"/>
          <w:i/>
          <w:sz w:val="24"/>
          <w:szCs w:val="24"/>
        </w:rPr>
        <w:t xml:space="preserve"> </w:t>
      </w:r>
      <w:proofErr w:type="spellStart"/>
      <w:r w:rsidRPr="00E73EF4">
        <w:rPr>
          <w:rFonts w:ascii="Times New Roman" w:eastAsia="Calibri" w:hAnsi="Times New Roman" w:cs="Times New Roman"/>
          <w:i/>
          <w:sz w:val="24"/>
          <w:szCs w:val="24"/>
        </w:rPr>
        <w:t>Pathog</w:t>
      </w:r>
      <w:proofErr w:type="spellEnd"/>
      <w:r w:rsidRPr="00E73EF4">
        <w:rPr>
          <w:rFonts w:ascii="Times New Roman" w:eastAsia="Calibri" w:hAnsi="Times New Roman" w:cs="Times New Roman"/>
          <w:sz w:val="24"/>
          <w:szCs w:val="24"/>
        </w:rPr>
        <w:t xml:space="preserve"> 2012; </w:t>
      </w:r>
      <w:r w:rsidRPr="00E73EF4">
        <w:rPr>
          <w:rFonts w:ascii="Times New Roman" w:eastAsia="Calibri" w:hAnsi="Times New Roman" w:cs="Times New Roman"/>
          <w:b/>
          <w:sz w:val="24"/>
          <w:szCs w:val="24"/>
        </w:rPr>
        <w:t>8</w:t>
      </w:r>
      <w:r w:rsidRPr="00E73EF4">
        <w:rPr>
          <w:rFonts w:ascii="Times New Roman" w:eastAsia="Calibri" w:hAnsi="Times New Roman" w:cs="Times New Roman"/>
          <w:sz w:val="24"/>
          <w:szCs w:val="24"/>
        </w:rPr>
        <w:t>: e1003003.</w:t>
      </w:r>
    </w:p>
    <w:p w14:paraId="2FEB8478" w14:textId="77777777" w:rsidR="00692B4E" w:rsidRPr="00E73EF4" w:rsidRDefault="00692B4E" w:rsidP="00692B4E">
      <w:pPr>
        <w:pStyle w:val="ListParagraph"/>
        <w:numPr>
          <w:ilvl w:val="0"/>
          <w:numId w:val="4"/>
        </w:numPr>
        <w:spacing w:line="480" w:lineRule="auto"/>
        <w:jc w:val="both"/>
        <w:rPr>
          <w:rFonts w:ascii="Times New Roman" w:eastAsia="Calibri" w:hAnsi="Times New Roman" w:cs="Times New Roman"/>
          <w:sz w:val="24"/>
          <w:szCs w:val="24"/>
        </w:rPr>
      </w:pPr>
      <w:proofErr w:type="spellStart"/>
      <w:r w:rsidRPr="00E73EF4">
        <w:rPr>
          <w:rFonts w:ascii="Times New Roman" w:eastAsia="Calibri" w:hAnsi="Times New Roman" w:cs="Times New Roman"/>
          <w:sz w:val="24"/>
          <w:szCs w:val="24"/>
        </w:rPr>
        <w:t>Goerke</w:t>
      </w:r>
      <w:proofErr w:type="spellEnd"/>
      <w:r w:rsidRPr="00E73EF4">
        <w:rPr>
          <w:rFonts w:ascii="Times New Roman" w:eastAsia="Calibri" w:hAnsi="Times New Roman" w:cs="Times New Roman"/>
          <w:sz w:val="24"/>
          <w:szCs w:val="24"/>
        </w:rPr>
        <w:t xml:space="preserve"> C, </w:t>
      </w:r>
      <w:proofErr w:type="spellStart"/>
      <w:r w:rsidRPr="00E73EF4">
        <w:rPr>
          <w:rFonts w:ascii="Times New Roman" w:eastAsia="Calibri" w:hAnsi="Times New Roman" w:cs="Times New Roman"/>
          <w:sz w:val="24"/>
          <w:szCs w:val="24"/>
        </w:rPr>
        <w:t>Pantucek</w:t>
      </w:r>
      <w:proofErr w:type="spellEnd"/>
      <w:r w:rsidRPr="00E73EF4">
        <w:rPr>
          <w:rFonts w:ascii="Times New Roman" w:eastAsia="Calibri" w:hAnsi="Times New Roman" w:cs="Times New Roman"/>
          <w:sz w:val="24"/>
          <w:szCs w:val="24"/>
        </w:rPr>
        <w:t xml:space="preserve"> R, </w:t>
      </w:r>
      <w:proofErr w:type="spellStart"/>
      <w:r w:rsidRPr="00E73EF4">
        <w:rPr>
          <w:rFonts w:ascii="Times New Roman" w:eastAsia="Calibri" w:hAnsi="Times New Roman" w:cs="Times New Roman"/>
          <w:sz w:val="24"/>
          <w:szCs w:val="24"/>
        </w:rPr>
        <w:t>Holtfreter</w:t>
      </w:r>
      <w:proofErr w:type="spellEnd"/>
      <w:r w:rsidRPr="00E73EF4">
        <w:rPr>
          <w:rFonts w:ascii="Times New Roman" w:eastAsia="Calibri" w:hAnsi="Times New Roman" w:cs="Times New Roman"/>
          <w:sz w:val="24"/>
          <w:szCs w:val="24"/>
        </w:rPr>
        <w:t xml:space="preserve"> S </w:t>
      </w:r>
      <w:r w:rsidRPr="00E73EF4">
        <w:rPr>
          <w:rFonts w:ascii="Times New Roman" w:eastAsia="Calibri" w:hAnsi="Times New Roman" w:cs="Times New Roman"/>
          <w:i/>
          <w:sz w:val="24"/>
          <w:szCs w:val="24"/>
        </w:rPr>
        <w:t>et al</w:t>
      </w:r>
      <w:r w:rsidRPr="00E73EF4">
        <w:rPr>
          <w:rFonts w:ascii="Times New Roman" w:eastAsia="Calibri" w:hAnsi="Times New Roman" w:cs="Times New Roman"/>
          <w:sz w:val="24"/>
          <w:szCs w:val="24"/>
        </w:rPr>
        <w:t xml:space="preserve">. Diversity of </w:t>
      </w:r>
      <w:proofErr w:type="spellStart"/>
      <w:r w:rsidRPr="00E73EF4">
        <w:rPr>
          <w:rFonts w:ascii="Times New Roman" w:eastAsia="Calibri" w:hAnsi="Times New Roman" w:cs="Times New Roman"/>
          <w:sz w:val="24"/>
          <w:szCs w:val="24"/>
        </w:rPr>
        <w:t>prophages</w:t>
      </w:r>
      <w:proofErr w:type="spellEnd"/>
      <w:r w:rsidRPr="00E73EF4">
        <w:rPr>
          <w:rFonts w:ascii="Times New Roman" w:eastAsia="Calibri" w:hAnsi="Times New Roman" w:cs="Times New Roman"/>
          <w:sz w:val="24"/>
          <w:szCs w:val="24"/>
        </w:rPr>
        <w:t xml:space="preserve"> in dominant Staphylococcus </w:t>
      </w:r>
      <w:proofErr w:type="spellStart"/>
      <w:r w:rsidRPr="00E73EF4">
        <w:rPr>
          <w:rFonts w:ascii="Times New Roman" w:eastAsia="Calibri" w:hAnsi="Times New Roman" w:cs="Times New Roman"/>
          <w:sz w:val="24"/>
          <w:szCs w:val="24"/>
        </w:rPr>
        <w:t>aureus</w:t>
      </w:r>
      <w:proofErr w:type="spellEnd"/>
      <w:r w:rsidRPr="00E73EF4">
        <w:rPr>
          <w:rFonts w:ascii="Times New Roman" w:eastAsia="Calibri" w:hAnsi="Times New Roman" w:cs="Times New Roman"/>
          <w:sz w:val="24"/>
          <w:szCs w:val="24"/>
        </w:rPr>
        <w:t xml:space="preserve"> clonal lineages. </w:t>
      </w:r>
      <w:r w:rsidRPr="00E73EF4">
        <w:rPr>
          <w:rFonts w:ascii="Times New Roman" w:eastAsia="Calibri" w:hAnsi="Times New Roman" w:cs="Times New Roman"/>
          <w:i/>
          <w:sz w:val="24"/>
          <w:szCs w:val="24"/>
        </w:rPr>
        <w:t xml:space="preserve">J </w:t>
      </w:r>
      <w:proofErr w:type="spellStart"/>
      <w:r w:rsidRPr="00E73EF4">
        <w:rPr>
          <w:rFonts w:ascii="Times New Roman" w:eastAsia="Calibri" w:hAnsi="Times New Roman" w:cs="Times New Roman"/>
          <w:i/>
          <w:sz w:val="24"/>
          <w:szCs w:val="24"/>
        </w:rPr>
        <w:t>Bacteriol</w:t>
      </w:r>
      <w:proofErr w:type="spellEnd"/>
      <w:r w:rsidRPr="00E73EF4">
        <w:rPr>
          <w:rFonts w:ascii="Times New Roman" w:eastAsia="Calibri" w:hAnsi="Times New Roman" w:cs="Times New Roman"/>
          <w:i/>
          <w:sz w:val="24"/>
          <w:szCs w:val="24"/>
        </w:rPr>
        <w:t xml:space="preserve"> </w:t>
      </w:r>
      <w:r w:rsidRPr="00E73EF4">
        <w:rPr>
          <w:rFonts w:ascii="Times New Roman" w:eastAsia="Calibri" w:hAnsi="Times New Roman" w:cs="Times New Roman"/>
          <w:sz w:val="24"/>
          <w:szCs w:val="24"/>
        </w:rPr>
        <w:t xml:space="preserve">2009; </w:t>
      </w:r>
      <w:r w:rsidRPr="00E73EF4">
        <w:rPr>
          <w:rFonts w:ascii="Times New Roman" w:eastAsia="Calibri" w:hAnsi="Times New Roman" w:cs="Times New Roman"/>
          <w:b/>
          <w:sz w:val="24"/>
          <w:szCs w:val="24"/>
        </w:rPr>
        <w:t>191</w:t>
      </w:r>
      <w:r w:rsidRPr="00E73EF4">
        <w:rPr>
          <w:rFonts w:ascii="Times New Roman" w:eastAsia="Calibri" w:hAnsi="Times New Roman" w:cs="Times New Roman"/>
          <w:sz w:val="24"/>
          <w:szCs w:val="24"/>
        </w:rPr>
        <w:t>: 3462-8.</w:t>
      </w:r>
    </w:p>
    <w:p w14:paraId="7945B6EC" w14:textId="77777777" w:rsidR="00692B4E" w:rsidRPr="00E73EF4" w:rsidRDefault="00692B4E" w:rsidP="00692B4E">
      <w:pPr>
        <w:pStyle w:val="ListParagraph"/>
        <w:numPr>
          <w:ilvl w:val="0"/>
          <w:numId w:val="4"/>
        </w:numPr>
        <w:spacing w:line="480" w:lineRule="auto"/>
        <w:jc w:val="both"/>
        <w:rPr>
          <w:rFonts w:ascii="Times New Roman" w:eastAsia="Calibri" w:hAnsi="Times New Roman" w:cs="Times New Roman"/>
          <w:sz w:val="24"/>
          <w:szCs w:val="24"/>
        </w:rPr>
      </w:pPr>
      <w:proofErr w:type="spellStart"/>
      <w:r w:rsidRPr="00E73EF4">
        <w:rPr>
          <w:rFonts w:ascii="Times New Roman" w:eastAsia="Calibri" w:hAnsi="Times New Roman" w:cs="Times New Roman"/>
          <w:sz w:val="24"/>
          <w:szCs w:val="24"/>
        </w:rPr>
        <w:t>Goerke</w:t>
      </w:r>
      <w:proofErr w:type="spellEnd"/>
      <w:r w:rsidRPr="00E73EF4">
        <w:rPr>
          <w:rFonts w:ascii="Times New Roman" w:eastAsia="Calibri" w:hAnsi="Times New Roman" w:cs="Times New Roman"/>
          <w:sz w:val="24"/>
          <w:szCs w:val="24"/>
        </w:rPr>
        <w:t xml:space="preserve"> C, </w:t>
      </w:r>
      <w:proofErr w:type="spellStart"/>
      <w:r w:rsidRPr="00E73EF4">
        <w:rPr>
          <w:rFonts w:ascii="Times New Roman" w:eastAsia="Calibri" w:hAnsi="Times New Roman" w:cs="Times New Roman"/>
          <w:sz w:val="24"/>
          <w:szCs w:val="24"/>
        </w:rPr>
        <w:t>Köller</w:t>
      </w:r>
      <w:proofErr w:type="spellEnd"/>
      <w:r w:rsidRPr="00E73EF4">
        <w:rPr>
          <w:rFonts w:ascii="Times New Roman" w:eastAsia="Calibri" w:hAnsi="Times New Roman" w:cs="Times New Roman"/>
          <w:sz w:val="24"/>
          <w:szCs w:val="24"/>
        </w:rPr>
        <w:t xml:space="preserve"> J, </w:t>
      </w:r>
      <w:proofErr w:type="spellStart"/>
      <w:r w:rsidRPr="00E73EF4">
        <w:rPr>
          <w:rFonts w:ascii="Times New Roman" w:eastAsia="Calibri" w:hAnsi="Times New Roman" w:cs="Times New Roman"/>
          <w:sz w:val="24"/>
          <w:szCs w:val="24"/>
        </w:rPr>
        <w:t>Wolz</w:t>
      </w:r>
      <w:proofErr w:type="spellEnd"/>
      <w:r w:rsidRPr="00E73EF4">
        <w:rPr>
          <w:rFonts w:ascii="Times New Roman" w:eastAsia="Calibri" w:hAnsi="Times New Roman" w:cs="Times New Roman"/>
          <w:sz w:val="24"/>
          <w:szCs w:val="24"/>
        </w:rPr>
        <w:t xml:space="preserve">, C. Ciprofloxacin and trimethoprim cause phage induction and virulence modulation in Staphylococcus </w:t>
      </w:r>
      <w:proofErr w:type="spellStart"/>
      <w:r w:rsidRPr="00E73EF4">
        <w:rPr>
          <w:rFonts w:ascii="Times New Roman" w:eastAsia="Calibri" w:hAnsi="Times New Roman" w:cs="Times New Roman"/>
          <w:sz w:val="24"/>
          <w:szCs w:val="24"/>
        </w:rPr>
        <w:t>aureus</w:t>
      </w:r>
      <w:proofErr w:type="spellEnd"/>
      <w:r w:rsidRPr="00E73EF4">
        <w:rPr>
          <w:rFonts w:ascii="Times New Roman" w:eastAsia="Calibri" w:hAnsi="Times New Roman" w:cs="Times New Roman"/>
          <w:i/>
          <w:sz w:val="24"/>
          <w:szCs w:val="24"/>
        </w:rPr>
        <w:t xml:space="preserve">. </w:t>
      </w:r>
      <w:proofErr w:type="spellStart"/>
      <w:r w:rsidRPr="00E73EF4">
        <w:rPr>
          <w:rFonts w:ascii="Times New Roman" w:eastAsia="Calibri" w:hAnsi="Times New Roman" w:cs="Times New Roman"/>
          <w:i/>
          <w:sz w:val="24"/>
          <w:szCs w:val="24"/>
        </w:rPr>
        <w:t>Antimicrob</w:t>
      </w:r>
      <w:proofErr w:type="spellEnd"/>
      <w:r w:rsidRPr="00E73EF4">
        <w:rPr>
          <w:rFonts w:ascii="Times New Roman" w:eastAsia="Calibri" w:hAnsi="Times New Roman" w:cs="Times New Roman"/>
          <w:i/>
          <w:sz w:val="24"/>
          <w:szCs w:val="24"/>
        </w:rPr>
        <w:t xml:space="preserve"> Agents </w:t>
      </w:r>
      <w:proofErr w:type="spellStart"/>
      <w:r w:rsidRPr="00E73EF4">
        <w:rPr>
          <w:rFonts w:ascii="Times New Roman" w:eastAsia="Calibri" w:hAnsi="Times New Roman" w:cs="Times New Roman"/>
          <w:i/>
          <w:sz w:val="24"/>
          <w:szCs w:val="24"/>
        </w:rPr>
        <w:t>Chemother</w:t>
      </w:r>
      <w:proofErr w:type="spellEnd"/>
      <w:r w:rsidRPr="00E73EF4">
        <w:rPr>
          <w:rFonts w:ascii="Times New Roman" w:eastAsia="Calibri" w:hAnsi="Times New Roman" w:cs="Times New Roman"/>
          <w:sz w:val="24"/>
          <w:szCs w:val="24"/>
        </w:rPr>
        <w:t xml:space="preserve"> 2006; .</w:t>
      </w:r>
      <w:r w:rsidRPr="00E73EF4">
        <w:rPr>
          <w:rFonts w:ascii="Times New Roman" w:eastAsia="Calibri" w:hAnsi="Times New Roman" w:cs="Times New Roman"/>
          <w:b/>
          <w:sz w:val="24"/>
          <w:szCs w:val="24"/>
        </w:rPr>
        <w:t>50</w:t>
      </w:r>
      <w:r w:rsidRPr="00E73EF4">
        <w:rPr>
          <w:rFonts w:ascii="Times New Roman" w:eastAsia="Calibri" w:hAnsi="Times New Roman" w:cs="Times New Roman"/>
          <w:sz w:val="24"/>
          <w:szCs w:val="24"/>
        </w:rPr>
        <w:t>: 171-7.</w:t>
      </w:r>
    </w:p>
    <w:p w14:paraId="028778F2" w14:textId="77777777" w:rsidR="00692B4E" w:rsidRPr="00E73EF4" w:rsidRDefault="00692B4E" w:rsidP="00692B4E">
      <w:pPr>
        <w:pStyle w:val="ListParagraph"/>
        <w:numPr>
          <w:ilvl w:val="0"/>
          <w:numId w:val="4"/>
        </w:numPr>
        <w:spacing w:line="480" w:lineRule="auto"/>
        <w:jc w:val="both"/>
        <w:rPr>
          <w:rFonts w:ascii="Times New Roman" w:eastAsia="Calibri" w:hAnsi="Times New Roman" w:cs="Times New Roman"/>
          <w:sz w:val="24"/>
          <w:szCs w:val="24"/>
        </w:rPr>
      </w:pPr>
      <w:proofErr w:type="spellStart"/>
      <w:r w:rsidRPr="00E73EF4">
        <w:rPr>
          <w:rFonts w:ascii="Times New Roman" w:eastAsia="Calibri" w:hAnsi="Times New Roman" w:cs="Times New Roman"/>
          <w:sz w:val="24"/>
          <w:szCs w:val="24"/>
        </w:rPr>
        <w:t>Behzadi</w:t>
      </w:r>
      <w:proofErr w:type="spellEnd"/>
      <w:r w:rsidRPr="00E73EF4">
        <w:rPr>
          <w:rFonts w:ascii="Times New Roman" w:eastAsia="Calibri" w:hAnsi="Times New Roman" w:cs="Times New Roman"/>
          <w:sz w:val="24"/>
          <w:szCs w:val="24"/>
        </w:rPr>
        <w:t xml:space="preserve"> E, </w:t>
      </w:r>
      <w:proofErr w:type="spellStart"/>
      <w:r w:rsidRPr="00E73EF4">
        <w:rPr>
          <w:rFonts w:ascii="Times New Roman" w:eastAsia="Calibri" w:hAnsi="Times New Roman" w:cs="Times New Roman"/>
          <w:sz w:val="24"/>
          <w:szCs w:val="24"/>
        </w:rPr>
        <w:t>Behzadi</w:t>
      </w:r>
      <w:proofErr w:type="spellEnd"/>
      <w:r w:rsidRPr="00E73EF4">
        <w:rPr>
          <w:rFonts w:ascii="Times New Roman" w:eastAsia="Calibri" w:hAnsi="Times New Roman" w:cs="Times New Roman"/>
          <w:sz w:val="24"/>
          <w:szCs w:val="24"/>
        </w:rPr>
        <w:t xml:space="preserve"> P. An in vitro Study on the Apoptosis Inducing Effects of Ultraviolet </w:t>
      </w:r>
      <w:proofErr w:type="spellStart"/>
      <w:r w:rsidRPr="00E73EF4">
        <w:rPr>
          <w:rFonts w:ascii="Times New Roman" w:eastAsia="Calibri" w:hAnsi="Times New Roman" w:cs="Times New Roman"/>
          <w:sz w:val="24"/>
          <w:szCs w:val="24"/>
        </w:rPr>
        <w:t>B light</w:t>
      </w:r>
      <w:proofErr w:type="spellEnd"/>
      <w:r w:rsidRPr="00E73EF4">
        <w:rPr>
          <w:rFonts w:ascii="Times New Roman" w:eastAsia="Calibri" w:hAnsi="Times New Roman" w:cs="Times New Roman"/>
          <w:sz w:val="24"/>
          <w:szCs w:val="24"/>
        </w:rPr>
        <w:t xml:space="preserve"> in Staphylococcus </w:t>
      </w:r>
      <w:proofErr w:type="spellStart"/>
      <w:r w:rsidRPr="00E73EF4">
        <w:rPr>
          <w:rFonts w:ascii="Times New Roman" w:eastAsia="Calibri" w:hAnsi="Times New Roman" w:cs="Times New Roman"/>
          <w:sz w:val="24"/>
          <w:szCs w:val="24"/>
        </w:rPr>
        <w:t>aureus</w:t>
      </w:r>
      <w:proofErr w:type="spellEnd"/>
      <w:r w:rsidRPr="00E73EF4">
        <w:rPr>
          <w:rFonts w:ascii="Times New Roman" w:eastAsia="Calibri" w:hAnsi="Times New Roman" w:cs="Times New Roman"/>
          <w:sz w:val="24"/>
          <w:szCs w:val="24"/>
        </w:rPr>
        <w:t xml:space="preserve">. </w:t>
      </w:r>
      <w:proofErr w:type="spellStart"/>
      <w:r w:rsidRPr="00E73EF4">
        <w:rPr>
          <w:rFonts w:ascii="Times New Roman" w:eastAsia="Calibri" w:hAnsi="Times New Roman" w:cs="Times New Roman"/>
          <w:i/>
          <w:sz w:val="24"/>
          <w:szCs w:val="24"/>
        </w:rPr>
        <w:t>Maedica</w:t>
      </w:r>
      <w:proofErr w:type="spellEnd"/>
      <w:r w:rsidRPr="00E73EF4">
        <w:rPr>
          <w:rFonts w:ascii="Times New Roman" w:eastAsia="Calibri" w:hAnsi="Times New Roman" w:cs="Times New Roman"/>
          <w:i/>
          <w:sz w:val="24"/>
          <w:szCs w:val="24"/>
        </w:rPr>
        <w:t xml:space="preserve"> (</w:t>
      </w:r>
      <w:proofErr w:type="spellStart"/>
      <w:r w:rsidRPr="00E73EF4">
        <w:rPr>
          <w:rFonts w:ascii="Times New Roman" w:eastAsia="Calibri" w:hAnsi="Times New Roman" w:cs="Times New Roman"/>
          <w:i/>
          <w:sz w:val="24"/>
          <w:szCs w:val="24"/>
        </w:rPr>
        <w:t>Buchar</w:t>
      </w:r>
      <w:proofErr w:type="spellEnd"/>
      <w:r w:rsidRPr="00E73EF4">
        <w:rPr>
          <w:rFonts w:ascii="Times New Roman" w:eastAsia="Calibri" w:hAnsi="Times New Roman" w:cs="Times New Roman"/>
          <w:i/>
          <w:sz w:val="24"/>
          <w:szCs w:val="24"/>
        </w:rPr>
        <w:t>)</w:t>
      </w:r>
      <w:r w:rsidRPr="00E73EF4">
        <w:rPr>
          <w:rFonts w:ascii="Times New Roman" w:eastAsia="Calibri" w:hAnsi="Times New Roman" w:cs="Times New Roman"/>
          <w:sz w:val="24"/>
          <w:szCs w:val="24"/>
        </w:rPr>
        <w:t xml:space="preserve"> 2012; </w:t>
      </w:r>
      <w:r w:rsidRPr="00E73EF4">
        <w:rPr>
          <w:rFonts w:ascii="Times New Roman" w:eastAsia="Calibri" w:hAnsi="Times New Roman" w:cs="Times New Roman"/>
          <w:b/>
          <w:sz w:val="24"/>
          <w:szCs w:val="24"/>
        </w:rPr>
        <w:t>7</w:t>
      </w:r>
      <w:r w:rsidRPr="00E73EF4">
        <w:rPr>
          <w:rFonts w:ascii="Times New Roman" w:eastAsia="Calibri" w:hAnsi="Times New Roman" w:cs="Times New Roman"/>
          <w:sz w:val="24"/>
          <w:szCs w:val="24"/>
        </w:rPr>
        <w:t>: 54-7.</w:t>
      </w:r>
    </w:p>
    <w:p w14:paraId="22377D1C" w14:textId="77777777" w:rsidR="00692B4E" w:rsidRPr="00E73EF4" w:rsidRDefault="00692B4E" w:rsidP="00692B4E">
      <w:pPr>
        <w:pStyle w:val="ListParagraph"/>
        <w:numPr>
          <w:ilvl w:val="0"/>
          <w:numId w:val="4"/>
        </w:numPr>
        <w:spacing w:line="480" w:lineRule="auto"/>
        <w:jc w:val="both"/>
        <w:rPr>
          <w:rFonts w:ascii="Times New Roman" w:eastAsia="Calibri" w:hAnsi="Times New Roman" w:cs="Times New Roman"/>
          <w:sz w:val="24"/>
          <w:szCs w:val="24"/>
        </w:rPr>
      </w:pPr>
      <w:proofErr w:type="spellStart"/>
      <w:r w:rsidRPr="00E73EF4">
        <w:rPr>
          <w:rFonts w:ascii="Times New Roman" w:eastAsia="Calibri" w:hAnsi="Times New Roman" w:cs="Times New Roman"/>
          <w:sz w:val="24"/>
          <w:szCs w:val="24"/>
        </w:rPr>
        <w:t>Goerke</w:t>
      </w:r>
      <w:proofErr w:type="spellEnd"/>
      <w:r w:rsidRPr="00E73EF4">
        <w:rPr>
          <w:rFonts w:ascii="Times New Roman" w:eastAsia="Calibri" w:hAnsi="Times New Roman" w:cs="Times New Roman"/>
          <w:sz w:val="24"/>
          <w:szCs w:val="24"/>
        </w:rPr>
        <w:t xml:space="preserve"> C, Matias y </w:t>
      </w:r>
      <w:proofErr w:type="spellStart"/>
      <w:r w:rsidRPr="00E73EF4">
        <w:rPr>
          <w:rFonts w:ascii="Times New Roman" w:eastAsia="Calibri" w:hAnsi="Times New Roman" w:cs="Times New Roman"/>
          <w:sz w:val="24"/>
          <w:szCs w:val="24"/>
        </w:rPr>
        <w:t>Papenberg</w:t>
      </w:r>
      <w:proofErr w:type="spellEnd"/>
      <w:r w:rsidRPr="00E73EF4">
        <w:rPr>
          <w:rFonts w:ascii="Times New Roman" w:eastAsia="Calibri" w:hAnsi="Times New Roman" w:cs="Times New Roman"/>
          <w:sz w:val="24"/>
          <w:szCs w:val="24"/>
        </w:rPr>
        <w:t xml:space="preserve"> S, </w:t>
      </w:r>
      <w:proofErr w:type="spellStart"/>
      <w:r w:rsidRPr="00E73EF4">
        <w:rPr>
          <w:rFonts w:ascii="Times New Roman" w:eastAsia="Calibri" w:hAnsi="Times New Roman" w:cs="Times New Roman"/>
          <w:sz w:val="24"/>
          <w:szCs w:val="24"/>
        </w:rPr>
        <w:t>Dasbach</w:t>
      </w:r>
      <w:proofErr w:type="spellEnd"/>
      <w:r w:rsidRPr="00E73EF4">
        <w:rPr>
          <w:rFonts w:ascii="Times New Roman" w:eastAsia="Calibri" w:hAnsi="Times New Roman" w:cs="Times New Roman"/>
          <w:sz w:val="24"/>
          <w:szCs w:val="24"/>
        </w:rPr>
        <w:t xml:space="preserve">, S </w:t>
      </w:r>
      <w:r w:rsidRPr="00E73EF4">
        <w:rPr>
          <w:rFonts w:ascii="Times New Roman" w:eastAsia="Calibri" w:hAnsi="Times New Roman" w:cs="Times New Roman"/>
          <w:i/>
          <w:sz w:val="24"/>
          <w:szCs w:val="24"/>
        </w:rPr>
        <w:t>et al</w:t>
      </w:r>
      <w:r w:rsidRPr="00E73EF4">
        <w:rPr>
          <w:rFonts w:ascii="Times New Roman" w:eastAsia="Calibri" w:hAnsi="Times New Roman" w:cs="Times New Roman"/>
          <w:sz w:val="24"/>
          <w:szCs w:val="24"/>
        </w:rPr>
        <w:t xml:space="preserve">. Increased frequency of genomic alterations in </w:t>
      </w:r>
      <w:r w:rsidRPr="00E73EF4">
        <w:rPr>
          <w:rFonts w:ascii="Times New Roman" w:eastAsia="Calibri" w:hAnsi="Times New Roman" w:cs="Times New Roman"/>
          <w:i/>
          <w:sz w:val="24"/>
          <w:szCs w:val="24"/>
        </w:rPr>
        <w:t xml:space="preserve">Staphylococcus </w:t>
      </w:r>
      <w:proofErr w:type="spellStart"/>
      <w:r w:rsidRPr="00E73EF4">
        <w:rPr>
          <w:rFonts w:ascii="Times New Roman" w:eastAsia="Calibri" w:hAnsi="Times New Roman" w:cs="Times New Roman"/>
          <w:i/>
          <w:sz w:val="24"/>
          <w:szCs w:val="24"/>
        </w:rPr>
        <w:t>aureus</w:t>
      </w:r>
      <w:proofErr w:type="spellEnd"/>
      <w:r w:rsidRPr="00E73EF4">
        <w:rPr>
          <w:rFonts w:ascii="Times New Roman" w:eastAsia="Calibri" w:hAnsi="Times New Roman" w:cs="Times New Roman"/>
          <w:sz w:val="24"/>
          <w:szCs w:val="24"/>
        </w:rPr>
        <w:t xml:space="preserve"> during chronic infection is in part due to phage mobilization. </w:t>
      </w:r>
      <w:r w:rsidRPr="00E73EF4">
        <w:rPr>
          <w:rFonts w:ascii="Times New Roman" w:eastAsia="Calibri" w:hAnsi="Times New Roman" w:cs="Times New Roman"/>
          <w:i/>
          <w:sz w:val="24"/>
          <w:szCs w:val="24"/>
        </w:rPr>
        <w:t xml:space="preserve">J Infect </w:t>
      </w:r>
      <w:proofErr w:type="gramStart"/>
      <w:r w:rsidRPr="00E73EF4">
        <w:rPr>
          <w:rFonts w:ascii="Times New Roman" w:eastAsia="Calibri" w:hAnsi="Times New Roman" w:cs="Times New Roman"/>
          <w:i/>
          <w:sz w:val="24"/>
          <w:szCs w:val="24"/>
        </w:rPr>
        <w:t>Dis</w:t>
      </w:r>
      <w:r w:rsidRPr="00E73EF4">
        <w:rPr>
          <w:rFonts w:ascii="Times New Roman" w:eastAsia="Calibri" w:hAnsi="Times New Roman" w:cs="Times New Roman"/>
          <w:sz w:val="24"/>
          <w:szCs w:val="24"/>
        </w:rPr>
        <w:t xml:space="preserve">  2004</w:t>
      </w:r>
      <w:proofErr w:type="gramEnd"/>
      <w:r w:rsidRPr="00E73EF4">
        <w:rPr>
          <w:rFonts w:ascii="Times New Roman" w:eastAsia="Calibri" w:hAnsi="Times New Roman" w:cs="Times New Roman"/>
          <w:sz w:val="24"/>
          <w:szCs w:val="24"/>
        </w:rPr>
        <w:t xml:space="preserve">; </w:t>
      </w:r>
      <w:r w:rsidRPr="00E73EF4">
        <w:rPr>
          <w:rFonts w:ascii="Times New Roman" w:eastAsia="Calibri" w:hAnsi="Times New Roman" w:cs="Times New Roman"/>
          <w:b/>
          <w:sz w:val="24"/>
          <w:szCs w:val="24"/>
        </w:rPr>
        <w:t>189</w:t>
      </w:r>
      <w:r w:rsidRPr="00E73EF4">
        <w:rPr>
          <w:rFonts w:ascii="Times New Roman" w:eastAsia="Calibri" w:hAnsi="Times New Roman" w:cs="Times New Roman"/>
          <w:sz w:val="24"/>
          <w:szCs w:val="24"/>
        </w:rPr>
        <w:t>: 724-34.</w:t>
      </w:r>
    </w:p>
    <w:p w14:paraId="45C7608F" w14:textId="77777777" w:rsidR="00692B4E" w:rsidRPr="00E73EF4" w:rsidRDefault="00692B4E" w:rsidP="00692B4E">
      <w:pPr>
        <w:pStyle w:val="ListParagraph"/>
        <w:numPr>
          <w:ilvl w:val="0"/>
          <w:numId w:val="4"/>
        </w:numPr>
        <w:spacing w:line="480" w:lineRule="auto"/>
        <w:jc w:val="both"/>
        <w:rPr>
          <w:rFonts w:ascii="Times New Roman" w:eastAsia="Calibri" w:hAnsi="Times New Roman" w:cs="Times New Roman"/>
          <w:sz w:val="24"/>
          <w:szCs w:val="24"/>
          <w:lang w:val="en-US"/>
        </w:rPr>
      </w:pPr>
      <w:proofErr w:type="spellStart"/>
      <w:r w:rsidRPr="00E73EF4">
        <w:rPr>
          <w:rFonts w:ascii="Times New Roman" w:eastAsia="Calibri" w:hAnsi="Times New Roman" w:cs="Times New Roman"/>
          <w:sz w:val="24"/>
          <w:szCs w:val="24"/>
          <w:lang w:val="en-US"/>
        </w:rPr>
        <w:t>Ozeki</w:t>
      </w:r>
      <w:proofErr w:type="spellEnd"/>
      <w:r w:rsidRPr="00E73EF4">
        <w:rPr>
          <w:rFonts w:ascii="Times New Roman" w:eastAsia="Calibri" w:hAnsi="Times New Roman" w:cs="Times New Roman"/>
          <w:sz w:val="24"/>
          <w:szCs w:val="24"/>
          <w:lang w:val="en-US"/>
        </w:rPr>
        <w:t xml:space="preserve"> H, Ikeda H. Transduction mechanisms. </w:t>
      </w:r>
      <w:r w:rsidRPr="00E73EF4">
        <w:rPr>
          <w:rFonts w:ascii="Times New Roman" w:eastAsia="Calibri" w:hAnsi="Times New Roman" w:cs="Times New Roman"/>
          <w:i/>
          <w:sz w:val="24"/>
          <w:szCs w:val="24"/>
          <w:lang w:val="en-US"/>
        </w:rPr>
        <w:t>Ann Rev Genetics</w:t>
      </w:r>
      <w:r w:rsidRPr="00E73EF4">
        <w:rPr>
          <w:rFonts w:ascii="Times New Roman" w:eastAsia="Calibri" w:hAnsi="Times New Roman" w:cs="Times New Roman"/>
          <w:sz w:val="24"/>
          <w:szCs w:val="24"/>
          <w:lang w:val="en-US"/>
        </w:rPr>
        <w:t xml:space="preserve"> 1968; </w:t>
      </w:r>
      <w:r w:rsidRPr="00E73EF4">
        <w:rPr>
          <w:rFonts w:ascii="Times New Roman" w:eastAsia="Calibri" w:hAnsi="Times New Roman" w:cs="Times New Roman"/>
          <w:b/>
          <w:sz w:val="24"/>
          <w:szCs w:val="24"/>
          <w:lang w:val="en-US"/>
        </w:rPr>
        <w:t>2</w:t>
      </w:r>
      <w:r w:rsidRPr="00E73EF4">
        <w:rPr>
          <w:rFonts w:ascii="Times New Roman" w:eastAsia="Calibri" w:hAnsi="Times New Roman" w:cs="Times New Roman"/>
          <w:sz w:val="24"/>
          <w:szCs w:val="24"/>
          <w:lang w:val="en-US"/>
        </w:rPr>
        <w:t>: 245-278.</w:t>
      </w:r>
    </w:p>
    <w:p w14:paraId="0CD02013" w14:textId="77777777" w:rsidR="00692B4E" w:rsidRPr="00E73EF4" w:rsidRDefault="00692B4E" w:rsidP="00692B4E">
      <w:pPr>
        <w:pStyle w:val="ListParagraph"/>
        <w:numPr>
          <w:ilvl w:val="0"/>
          <w:numId w:val="4"/>
        </w:numPr>
        <w:spacing w:line="480" w:lineRule="auto"/>
        <w:jc w:val="both"/>
        <w:rPr>
          <w:rFonts w:ascii="Times New Roman" w:eastAsia="Calibri" w:hAnsi="Times New Roman" w:cs="Times New Roman"/>
          <w:sz w:val="24"/>
          <w:szCs w:val="24"/>
        </w:rPr>
      </w:pPr>
      <w:proofErr w:type="spellStart"/>
      <w:r w:rsidRPr="00E73EF4">
        <w:rPr>
          <w:rFonts w:ascii="Times New Roman" w:eastAsia="Calibri" w:hAnsi="Times New Roman" w:cs="Times New Roman"/>
          <w:sz w:val="24"/>
          <w:szCs w:val="24"/>
        </w:rPr>
        <w:t>Novick</w:t>
      </w:r>
      <w:proofErr w:type="spellEnd"/>
      <w:r w:rsidRPr="00E73EF4">
        <w:rPr>
          <w:rFonts w:ascii="Times New Roman" w:eastAsia="Calibri" w:hAnsi="Times New Roman" w:cs="Times New Roman"/>
          <w:sz w:val="24"/>
          <w:szCs w:val="24"/>
        </w:rPr>
        <w:t xml:space="preserve"> RP, Edelman I, </w:t>
      </w:r>
      <w:proofErr w:type="spellStart"/>
      <w:r w:rsidRPr="00E73EF4">
        <w:rPr>
          <w:rFonts w:ascii="Times New Roman" w:eastAsia="Calibri" w:hAnsi="Times New Roman" w:cs="Times New Roman"/>
          <w:sz w:val="24"/>
          <w:szCs w:val="24"/>
        </w:rPr>
        <w:t>Lofdahl</w:t>
      </w:r>
      <w:proofErr w:type="spellEnd"/>
      <w:r w:rsidRPr="00E73EF4">
        <w:rPr>
          <w:rFonts w:ascii="Times New Roman" w:eastAsia="Calibri" w:hAnsi="Times New Roman" w:cs="Times New Roman"/>
          <w:sz w:val="24"/>
          <w:szCs w:val="24"/>
        </w:rPr>
        <w:t xml:space="preserve"> S </w:t>
      </w:r>
      <w:r w:rsidRPr="00E73EF4">
        <w:rPr>
          <w:rFonts w:ascii="Times New Roman" w:eastAsia="Calibri" w:hAnsi="Times New Roman" w:cs="Times New Roman"/>
          <w:i/>
          <w:sz w:val="24"/>
          <w:szCs w:val="24"/>
        </w:rPr>
        <w:t>et al</w:t>
      </w:r>
      <w:r w:rsidRPr="00E73EF4">
        <w:rPr>
          <w:rFonts w:ascii="Times New Roman" w:eastAsia="Calibri" w:hAnsi="Times New Roman" w:cs="Times New Roman"/>
          <w:sz w:val="24"/>
          <w:szCs w:val="24"/>
        </w:rPr>
        <w:t xml:space="preserve">.  Small Staphylococcus </w:t>
      </w:r>
      <w:proofErr w:type="spellStart"/>
      <w:r w:rsidRPr="00E73EF4">
        <w:rPr>
          <w:rFonts w:ascii="Times New Roman" w:eastAsia="Calibri" w:hAnsi="Times New Roman" w:cs="Times New Roman"/>
          <w:sz w:val="24"/>
          <w:szCs w:val="24"/>
        </w:rPr>
        <w:t>aureus</w:t>
      </w:r>
      <w:proofErr w:type="spellEnd"/>
      <w:r w:rsidRPr="00E73EF4">
        <w:rPr>
          <w:rFonts w:ascii="Times New Roman" w:eastAsia="Calibri" w:hAnsi="Times New Roman" w:cs="Times New Roman"/>
          <w:sz w:val="24"/>
          <w:szCs w:val="24"/>
        </w:rPr>
        <w:t xml:space="preserve"> plasmids are transduced as linear </w:t>
      </w:r>
      <w:proofErr w:type="spellStart"/>
      <w:r w:rsidRPr="00E73EF4">
        <w:rPr>
          <w:rFonts w:ascii="Times New Roman" w:eastAsia="Calibri" w:hAnsi="Times New Roman" w:cs="Times New Roman"/>
          <w:sz w:val="24"/>
          <w:szCs w:val="24"/>
        </w:rPr>
        <w:t>multimers</w:t>
      </w:r>
      <w:proofErr w:type="spellEnd"/>
      <w:r w:rsidRPr="00E73EF4">
        <w:rPr>
          <w:rFonts w:ascii="Times New Roman" w:eastAsia="Calibri" w:hAnsi="Times New Roman" w:cs="Times New Roman"/>
          <w:sz w:val="24"/>
          <w:szCs w:val="24"/>
        </w:rPr>
        <w:t xml:space="preserve"> that are formed and resolved by replicative processes. </w:t>
      </w:r>
      <w:r w:rsidRPr="00E73EF4">
        <w:rPr>
          <w:rFonts w:ascii="Times New Roman" w:eastAsia="Calibri" w:hAnsi="Times New Roman" w:cs="Times New Roman"/>
          <w:i/>
          <w:sz w:val="24"/>
          <w:szCs w:val="24"/>
        </w:rPr>
        <w:t xml:space="preserve">J </w:t>
      </w:r>
      <w:proofErr w:type="spellStart"/>
      <w:r w:rsidRPr="00E73EF4">
        <w:rPr>
          <w:rFonts w:ascii="Times New Roman" w:eastAsia="Calibri" w:hAnsi="Times New Roman" w:cs="Times New Roman"/>
          <w:i/>
          <w:sz w:val="24"/>
          <w:szCs w:val="24"/>
        </w:rPr>
        <w:t>Mol</w:t>
      </w:r>
      <w:proofErr w:type="spellEnd"/>
      <w:r w:rsidRPr="00E73EF4">
        <w:rPr>
          <w:rFonts w:ascii="Times New Roman" w:eastAsia="Calibri" w:hAnsi="Times New Roman" w:cs="Times New Roman"/>
          <w:i/>
          <w:sz w:val="24"/>
          <w:szCs w:val="24"/>
        </w:rPr>
        <w:t xml:space="preserve"> </w:t>
      </w:r>
      <w:proofErr w:type="spellStart"/>
      <w:r w:rsidRPr="00E73EF4">
        <w:rPr>
          <w:rFonts w:ascii="Times New Roman" w:eastAsia="Calibri" w:hAnsi="Times New Roman" w:cs="Times New Roman"/>
          <w:i/>
          <w:sz w:val="24"/>
          <w:szCs w:val="24"/>
        </w:rPr>
        <w:t>Biol</w:t>
      </w:r>
      <w:proofErr w:type="spellEnd"/>
      <w:r w:rsidRPr="00E73EF4">
        <w:rPr>
          <w:rFonts w:ascii="Times New Roman" w:eastAsia="Calibri" w:hAnsi="Times New Roman" w:cs="Times New Roman"/>
          <w:sz w:val="24"/>
          <w:szCs w:val="24"/>
        </w:rPr>
        <w:t xml:space="preserve"> 1986; </w:t>
      </w:r>
      <w:r w:rsidRPr="00E73EF4">
        <w:rPr>
          <w:rFonts w:ascii="Times New Roman" w:eastAsia="Calibri" w:hAnsi="Times New Roman" w:cs="Times New Roman"/>
          <w:b/>
          <w:sz w:val="24"/>
          <w:szCs w:val="24"/>
        </w:rPr>
        <w:t>192</w:t>
      </w:r>
      <w:r w:rsidRPr="00E73EF4">
        <w:rPr>
          <w:rFonts w:ascii="Times New Roman" w:eastAsia="Calibri" w:hAnsi="Times New Roman" w:cs="Times New Roman"/>
          <w:sz w:val="24"/>
          <w:szCs w:val="24"/>
        </w:rPr>
        <w:t>: 209-20.</w:t>
      </w:r>
    </w:p>
    <w:p w14:paraId="5EC4909D" w14:textId="6840FC4B" w:rsidR="00CD7E94" w:rsidRPr="00E73EF4" w:rsidRDefault="00CD7E94" w:rsidP="00692B4E">
      <w:pPr>
        <w:pStyle w:val="ListParagraph"/>
        <w:numPr>
          <w:ilvl w:val="0"/>
          <w:numId w:val="4"/>
        </w:numPr>
        <w:spacing w:line="480" w:lineRule="auto"/>
        <w:jc w:val="both"/>
        <w:rPr>
          <w:rFonts w:ascii="Times New Roman" w:eastAsia="Calibri" w:hAnsi="Times New Roman" w:cs="Times New Roman"/>
          <w:sz w:val="24"/>
          <w:szCs w:val="24"/>
        </w:rPr>
      </w:pPr>
      <w:r w:rsidRPr="00E73EF4">
        <w:rPr>
          <w:rFonts w:ascii="Times New Roman" w:eastAsia="Calibri" w:hAnsi="Times New Roman" w:cs="Times New Roman"/>
          <w:sz w:val="24"/>
          <w:szCs w:val="24"/>
        </w:rPr>
        <w:lastRenderedPageBreak/>
        <w:t xml:space="preserve">Roberts GA, Houston PJ, White JH </w:t>
      </w:r>
      <w:r w:rsidRPr="00E73EF4">
        <w:rPr>
          <w:rFonts w:ascii="Times New Roman" w:eastAsia="Calibri" w:hAnsi="Times New Roman" w:cs="Times New Roman"/>
          <w:i/>
          <w:sz w:val="24"/>
          <w:szCs w:val="24"/>
        </w:rPr>
        <w:t>et al.</w:t>
      </w:r>
      <w:r w:rsidRPr="00E73EF4">
        <w:rPr>
          <w:rFonts w:ascii="Times New Roman" w:eastAsia="Calibri" w:hAnsi="Times New Roman" w:cs="Times New Roman"/>
          <w:sz w:val="24"/>
          <w:szCs w:val="24"/>
        </w:rPr>
        <w:t xml:space="preserve"> Impact of target site distribution for Type I restriction enzymes on the evolution of methicillin-resistant Staphylococcus </w:t>
      </w:r>
      <w:proofErr w:type="spellStart"/>
      <w:r w:rsidRPr="00E73EF4">
        <w:rPr>
          <w:rFonts w:ascii="Times New Roman" w:eastAsia="Calibri" w:hAnsi="Times New Roman" w:cs="Times New Roman"/>
          <w:sz w:val="24"/>
          <w:szCs w:val="24"/>
        </w:rPr>
        <w:t>aureus</w:t>
      </w:r>
      <w:proofErr w:type="spellEnd"/>
      <w:r w:rsidRPr="00E73EF4">
        <w:rPr>
          <w:rFonts w:ascii="Times New Roman" w:eastAsia="Calibri" w:hAnsi="Times New Roman" w:cs="Times New Roman"/>
          <w:sz w:val="24"/>
          <w:szCs w:val="24"/>
        </w:rPr>
        <w:t xml:space="preserve"> (MRSA) populations. </w:t>
      </w:r>
      <w:r w:rsidRPr="00E73EF4">
        <w:rPr>
          <w:rFonts w:ascii="Times New Roman" w:eastAsia="Calibri" w:hAnsi="Times New Roman" w:cs="Times New Roman"/>
          <w:i/>
          <w:sz w:val="24"/>
          <w:szCs w:val="24"/>
        </w:rPr>
        <w:t>Nucleic Acid Res</w:t>
      </w:r>
      <w:r w:rsidRPr="00E73EF4">
        <w:rPr>
          <w:rFonts w:ascii="Times New Roman" w:eastAsia="Calibri" w:hAnsi="Times New Roman" w:cs="Times New Roman"/>
          <w:sz w:val="24"/>
          <w:szCs w:val="24"/>
        </w:rPr>
        <w:t xml:space="preserve"> 2013; </w:t>
      </w:r>
      <w:r w:rsidRPr="00E73EF4">
        <w:rPr>
          <w:rFonts w:ascii="Times New Roman" w:eastAsia="Calibri" w:hAnsi="Times New Roman" w:cs="Times New Roman"/>
          <w:b/>
          <w:sz w:val="24"/>
          <w:szCs w:val="24"/>
        </w:rPr>
        <w:t>41</w:t>
      </w:r>
      <w:r w:rsidRPr="00E73EF4">
        <w:rPr>
          <w:rFonts w:ascii="Times New Roman" w:eastAsia="Calibri" w:hAnsi="Times New Roman" w:cs="Times New Roman"/>
          <w:sz w:val="24"/>
          <w:szCs w:val="24"/>
        </w:rPr>
        <w:t>: 7472-84.</w:t>
      </w:r>
    </w:p>
    <w:p w14:paraId="560551BC" w14:textId="77777777" w:rsidR="00692B4E" w:rsidRPr="00E73EF4" w:rsidRDefault="00692B4E" w:rsidP="00692B4E">
      <w:pPr>
        <w:pStyle w:val="ListParagraph"/>
        <w:numPr>
          <w:ilvl w:val="0"/>
          <w:numId w:val="4"/>
        </w:numPr>
        <w:spacing w:line="480" w:lineRule="auto"/>
        <w:jc w:val="both"/>
        <w:rPr>
          <w:rFonts w:ascii="Times New Roman" w:eastAsia="Calibri" w:hAnsi="Times New Roman" w:cs="Times New Roman"/>
          <w:sz w:val="24"/>
          <w:szCs w:val="24"/>
        </w:rPr>
      </w:pPr>
      <w:r w:rsidRPr="00E73EF4">
        <w:rPr>
          <w:rFonts w:ascii="Times New Roman" w:eastAsia="Calibri" w:hAnsi="Times New Roman" w:cs="Times New Roman"/>
          <w:sz w:val="24"/>
          <w:szCs w:val="24"/>
        </w:rPr>
        <w:t xml:space="preserve">Knight GM, Budd E, </w:t>
      </w:r>
      <w:proofErr w:type="gramStart"/>
      <w:r w:rsidRPr="00E73EF4">
        <w:rPr>
          <w:rFonts w:ascii="Times New Roman" w:eastAsia="Calibri" w:hAnsi="Times New Roman" w:cs="Times New Roman"/>
          <w:sz w:val="24"/>
          <w:szCs w:val="24"/>
        </w:rPr>
        <w:t>Whitney</w:t>
      </w:r>
      <w:proofErr w:type="gramEnd"/>
      <w:r w:rsidRPr="00E73EF4">
        <w:rPr>
          <w:rFonts w:ascii="Times New Roman" w:eastAsia="Calibri" w:hAnsi="Times New Roman" w:cs="Times New Roman"/>
          <w:sz w:val="24"/>
          <w:szCs w:val="24"/>
        </w:rPr>
        <w:t xml:space="preserve"> L</w:t>
      </w:r>
      <w:r w:rsidRPr="00E73EF4">
        <w:rPr>
          <w:rFonts w:ascii="Times New Roman" w:eastAsia="Calibri" w:hAnsi="Times New Roman" w:cs="Times New Roman"/>
          <w:i/>
          <w:sz w:val="24"/>
          <w:szCs w:val="24"/>
        </w:rPr>
        <w:t xml:space="preserve"> et al</w:t>
      </w:r>
      <w:r w:rsidRPr="00E73EF4">
        <w:rPr>
          <w:rFonts w:ascii="Times New Roman" w:eastAsia="Calibri" w:hAnsi="Times New Roman" w:cs="Times New Roman"/>
          <w:sz w:val="24"/>
          <w:szCs w:val="24"/>
        </w:rPr>
        <w:t xml:space="preserve">. Shift in dominant hospital-associated methicillin-resistant Staphylococcus </w:t>
      </w:r>
      <w:proofErr w:type="spellStart"/>
      <w:r w:rsidRPr="00E73EF4">
        <w:rPr>
          <w:rFonts w:ascii="Times New Roman" w:eastAsia="Calibri" w:hAnsi="Times New Roman" w:cs="Times New Roman"/>
          <w:sz w:val="24"/>
          <w:szCs w:val="24"/>
        </w:rPr>
        <w:t>aureus</w:t>
      </w:r>
      <w:proofErr w:type="spellEnd"/>
      <w:r w:rsidRPr="00E73EF4">
        <w:rPr>
          <w:rFonts w:ascii="Times New Roman" w:eastAsia="Calibri" w:hAnsi="Times New Roman" w:cs="Times New Roman"/>
          <w:sz w:val="24"/>
          <w:szCs w:val="24"/>
        </w:rPr>
        <w:t xml:space="preserve"> (HA-MRSA) clones over time. </w:t>
      </w:r>
      <w:r w:rsidRPr="00E73EF4">
        <w:rPr>
          <w:rFonts w:ascii="Times New Roman" w:eastAsia="Calibri" w:hAnsi="Times New Roman" w:cs="Times New Roman"/>
          <w:i/>
          <w:sz w:val="24"/>
          <w:szCs w:val="24"/>
        </w:rPr>
        <w:t xml:space="preserve">J </w:t>
      </w:r>
      <w:proofErr w:type="spellStart"/>
      <w:r w:rsidRPr="00E73EF4">
        <w:rPr>
          <w:rFonts w:ascii="Times New Roman" w:eastAsia="Calibri" w:hAnsi="Times New Roman" w:cs="Times New Roman"/>
          <w:i/>
          <w:sz w:val="24"/>
          <w:szCs w:val="24"/>
        </w:rPr>
        <w:t>Antimicrob</w:t>
      </w:r>
      <w:proofErr w:type="spellEnd"/>
      <w:r w:rsidRPr="00E73EF4">
        <w:rPr>
          <w:rFonts w:ascii="Times New Roman" w:eastAsia="Calibri" w:hAnsi="Times New Roman" w:cs="Times New Roman"/>
          <w:i/>
          <w:sz w:val="24"/>
          <w:szCs w:val="24"/>
        </w:rPr>
        <w:t xml:space="preserve"> </w:t>
      </w:r>
      <w:proofErr w:type="spellStart"/>
      <w:r w:rsidRPr="00E73EF4">
        <w:rPr>
          <w:rFonts w:ascii="Times New Roman" w:eastAsia="Calibri" w:hAnsi="Times New Roman" w:cs="Times New Roman"/>
          <w:i/>
          <w:sz w:val="24"/>
          <w:szCs w:val="24"/>
        </w:rPr>
        <w:t>Chemother</w:t>
      </w:r>
      <w:proofErr w:type="spellEnd"/>
      <w:r w:rsidRPr="00E73EF4">
        <w:rPr>
          <w:rFonts w:ascii="Times New Roman" w:eastAsia="Calibri" w:hAnsi="Times New Roman" w:cs="Times New Roman"/>
          <w:sz w:val="24"/>
          <w:szCs w:val="24"/>
        </w:rPr>
        <w:t xml:space="preserve"> 2012; </w:t>
      </w:r>
      <w:r w:rsidRPr="00E73EF4">
        <w:rPr>
          <w:rFonts w:ascii="Times New Roman" w:eastAsia="Calibri" w:hAnsi="Times New Roman" w:cs="Times New Roman"/>
          <w:b/>
          <w:sz w:val="24"/>
          <w:szCs w:val="24"/>
        </w:rPr>
        <w:t>67</w:t>
      </w:r>
      <w:r w:rsidRPr="00E73EF4">
        <w:rPr>
          <w:rFonts w:ascii="Times New Roman" w:eastAsia="Calibri" w:hAnsi="Times New Roman" w:cs="Times New Roman"/>
          <w:sz w:val="24"/>
          <w:szCs w:val="24"/>
        </w:rPr>
        <w:t>: 2514-22.</w:t>
      </w:r>
    </w:p>
    <w:p w14:paraId="251D8DAA" w14:textId="77777777" w:rsidR="00692B4E" w:rsidRPr="00E73EF4" w:rsidRDefault="00692B4E" w:rsidP="00692B4E">
      <w:pPr>
        <w:pStyle w:val="ListParagraph"/>
        <w:numPr>
          <w:ilvl w:val="0"/>
          <w:numId w:val="4"/>
        </w:numPr>
        <w:spacing w:line="480" w:lineRule="auto"/>
        <w:jc w:val="both"/>
        <w:rPr>
          <w:rFonts w:ascii="Times New Roman" w:eastAsia="Calibri" w:hAnsi="Times New Roman" w:cs="Times New Roman"/>
          <w:sz w:val="24"/>
          <w:szCs w:val="24"/>
        </w:rPr>
      </w:pPr>
      <w:r w:rsidRPr="00E73EF4">
        <w:rPr>
          <w:rFonts w:ascii="Times New Roman" w:eastAsia="Calibri" w:hAnsi="Times New Roman" w:cs="Times New Roman"/>
          <w:sz w:val="24"/>
          <w:szCs w:val="24"/>
        </w:rPr>
        <w:t xml:space="preserve">Tong SY, Holden MT, Nickerson EK </w:t>
      </w:r>
      <w:r w:rsidRPr="00E73EF4">
        <w:rPr>
          <w:rFonts w:ascii="Times New Roman" w:eastAsia="Calibri" w:hAnsi="Times New Roman" w:cs="Times New Roman"/>
          <w:i/>
          <w:sz w:val="24"/>
          <w:szCs w:val="24"/>
        </w:rPr>
        <w:t>et al</w:t>
      </w:r>
      <w:r w:rsidRPr="00E73EF4">
        <w:rPr>
          <w:rFonts w:ascii="Times New Roman" w:eastAsia="Calibri" w:hAnsi="Times New Roman" w:cs="Times New Roman"/>
          <w:sz w:val="24"/>
          <w:szCs w:val="24"/>
        </w:rPr>
        <w:t xml:space="preserve">. Genome sequencing defines phylogeny and spread of methicillin-resistant Staphylococcus </w:t>
      </w:r>
      <w:proofErr w:type="spellStart"/>
      <w:r w:rsidRPr="00E73EF4">
        <w:rPr>
          <w:rFonts w:ascii="Times New Roman" w:eastAsia="Calibri" w:hAnsi="Times New Roman" w:cs="Times New Roman"/>
          <w:sz w:val="24"/>
          <w:szCs w:val="24"/>
        </w:rPr>
        <w:t>aureus</w:t>
      </w:r>
      <w:proofErr w:type="spellEnd"/>
      <w:r w:rsidRPr="00E73EF4">
        <w:rPr>
          <w:rFonts w:ascii="Times New Roman" w:eastAsia="Calibri" w:hAnsi="Times New Roman" w:cs="Times New Roman"/>
          <w:sz w:val="24"/>
          <w:szCs w:val="24"/>
        </w:rPr>
        <w:t xml:space="preserve"> in a high transmission setting.</w:t>
      </w:r>
      <w:r w:rsidRPr="00E73EF4">
        <w:t xml:space="preserve"> </w:t>
      </w:r>
      <w:r w:rsidRPr="00E73EF4">
        <w:rPr>
          <w:rFonts w:ascii="Times New Roman" w:eastAsia="Calibri" w:hAnsi="Times New Roman" w:cs="Times New Roman"/>
          <w:i/>
          <w:sz w:val="24"/>
          <w:szCs w:val="24"/>
        </w:rPr>
        <w:t>Genome Res</w:t>
      </w:r>
      <w:r w:rsidRPr="00E73EF4">
        <w:rPr>
          <w:rFonts w:ascii="Times New Roman" w:eastAsia="Calibri" w:hAnsi="Times New Roman" w:cs="Times New Roman"/>
          <w:sz w:val="24"/>
          <w:szCs w:val="24"/>
        </w:rPr>
        <w:t xml:space="preserve"> 2015; </w:t>
      </w:r>
      <w:r w:rsidRPr="00E73EF4">
        <w:rPr>
          <w:rFonts w:ascii="Times New Roman" w:eastAsia="Calibri" w:hAnsi="Times New Roman" w:cs="Times New Roman"/>
          <w:b/>
          <w:sz w:val="24"/>
          <w:szCs w:val="24"/>
        </w:rPr>
        <w:t>25</w:t>
      </w:r>
      <w:r w:rsidRPr="00E73EF4">
        <w:rPr>
          <w:rFonts w:ascii="Times New Roman" w:eastAsia="Calibri" w:hAnsi="Times New Roman" w:cs="Times New Roman"/>
          <w:sz w:val="24"/>
          <w:szCs w:val="24"/>
        </w:rPr>
        <w:t>: 111-8.</w:t>
      </w:r>
    </w:p>
    <w:p w14:paraId="79D0699A" w14:textId="77777777" w:rsidR="00692B4E" w:rsidRPr="00E73EF4" w:rsidRDefault="00692B4E" w:rsidP="00692B4E">
      <w:pPr>
        <w:pStyle w:val="ListParagraph"/>
        <w:numPr>
          <w:ilvl w:val="0"/>
          <w:numId w:val="4"/>
        </w:numPr>
        <w:spacing w:line="480" w:lineRule="auto"/>
        <w:jc w:val="both"/>
        <w:rPr>
          <w:rFonts w:ascii="Times New Roman" w:eastAsia="Calibri" w:hAnsi="Times New Roman" w:cs="Times New Roman"/>
          <w:sz w:val="24"/>
          <w:szCs w:val="24"/>
        </w:rPr>
      </w:pPr>
      <w:r w:rsidRPr="00E73EF4">
        <w:rPr>
          <w:rFonts w:ascii="Times New Roman" w:eastAsia="Calibri" w:hAnsi="Times New Roman" w:cs="Times New Roman"/>
          <w:sz w:val="24"/>
          <w:szCs w:val="24"/>
        </w:rPr>
        <w:t xml:space="preserve">Harris SR, Cartwright EJ, </w:t>
      </w:r>
      <w:proofErr w:type="spellStart"/>
      <w:r w:rsidRPr="00E73EF4">
        <w:rPr>
          <w:rFonts w:ascii="Times New Roman" w:eastAsia="Calibri" w:hAnsi="Times New Roman" w:cs="Times New Roman"/>
          <w:sz w:val="24"/>
          <w:szCs w:val="24"/>
        </w:rPr>
        <w:t>Török</w:t>
      </w:r>
      <w:proofErr w:type="spellEnd"/>
      <w:r w:rsidRPr="00E73EF4">
        <w:rPr>
          <w:rFonts w:ascii="Times New Roman" w:eastAsia="Calibri" w:hAnsi="Times New Roman" w:cs="Times New Roman"/>
          <w:sz w:val="24"/>
          <w:szCs w:val="24"/>
        </w:rPr>
        <w:t xml:space="preserve"> ME </w:t>
      </w:r>
      <w:r w:rsidRPr="00E73EF4">
        <w:rPr>
          <w:rFonts w:ascii="Times New Roman" w:eastAsia="Calibri" w:hAnsi="Times New Roman" w:cs="Times New Roman"/>
          <w:i/>
          <w:sz w:val="24"/>
          <w:szCs w:val="24"/>
        </w:rPr>
        <w:t>et al.</w:t>
      </w:r>
      <w:r w:rsidRPr="00E73EF4">
        <w:rPr>
          <w:rFonts w:ascii="Times New Roman" w:eastAsia="Calibri" w:hAnsi="Times New Roman" w:cs="Times New Roman"/>
          <w:sz w:val="24"/>
          <w:szCs w:val="24"/>
        </w:rPr>
        <w:t xml:space="preserve"> Whole-genome sequencing for analysis of an outbreak of </w:t>
      </w:r>
      <w:proofErr w:type="spellStart"/>
      <w:r w:rsidRPr="00E73EF4">
        <w:rPr>
          <w:rFonts w:ascii="Times New Roman" w:eastAsia="Calibri" w:hAnsi="Times New Roman" w:cs="Times New Roman"/>
          <w:sz w:val="24"/>
          <w:szCs w:val="24"/>
        </w:rPr>
        <w:t>meticillin</w:t>
      </w:r>
      <w:proofErr w:type="spellEnd"/>
      <w:r w:rsidRPr="00E73EF4">
        <w:rPr>
          <w:rFonts w:ascii="Times New Roman" w:eastAsia="Calibri" w:hAnsi="Times New Roman" w:cs="Times New Roman"/>
          <w:sz w:val="24"/>
          <w:szCs w:val="24"/>
        </w:rPr>
        <w:t xml:space="preserve">-resistant Staphylococcus </w:t>
      </w:r>
      <w:proofErr w:type="spellStart"/>
      <w:r w:rsidRPr="00E73EF4">
        <w:rPr>
          <w:rFonts w:ascii="Times New Roman" w:eastAsia="Calibri" w:hAnsi="Times New Roman" w:cs="Times New Roman"/>
          <w:sz w:val="24"/>
          <w:szCs w:val="24"/>
        </w:rPr>
        <w:t>aureus</w:t>
      </w:r>
      <w:proofErr w:type="spellEnd"/>
      <w:r w:rsidRPr="00E73EF4">
        <w:rPr>
          <w:rFonts w:ascii="Times New Roman" w:eastAsia="Calibri" w:hAnsi="Times New Roman" w:cs="Times New Roman"/>
          <w:sz w:val="24"/>
          <w:szCs w:val="24"/>
        </w:rPr>
        <w:t xml:space="preserve">: a descriptive study. Lancet Infect </w:t>
      </w:r>
      <w:proofErr w:type="gramStart"/>
      <w:r w:rsidRPr="00E73EF4">
        <w:rPr>
          <w:rFonts w:ascii="Times New Roman" w:eastAsia="Calibri" w:hAnsi="Times New Roman" w:cs="Times New Roman"/>
          <w:sz w:val="24"/>
          <w:szCs w:val="24"/>
        </w:rPr>
        <w:t>Dis  2013</w:t>
      </w:r>
      <w:proofErr w:type="gramEnd"/>
      <w:r w:rsidRPr="00E73EF4">
        <w:rPr>
          <w:rFonts w:ascii="Times New Roman" w:eastAsia="Calibri" w:hAnsi="Times New Roman" w:cs="Times New Roman"/>
          <w:sz w:val="24"/>
          <w:szCs w:val="24"/>
        </w:rPr>
        <w:t xml:space="preserve">; </w:t>
      </w:r>
      <w:r w:rsidRPr="00E73EF4">
        <w:rPr>
          <w:rFonts w:ascii="Times New Roman" w:eastAsia="Calibri" w:hAnsi="Times New Roman" w:cs="Times New Roman"/>
          <w:b/>
          <w:sz w:val="24"/>
          <w:szCs w:val="24"/>
        </w:rPr>
        <w:t>13</w:t>
      </w:r>
      <w:r w:rsidRPr="00E73EF4">
        <w:rPr>
          <w:rFonts w:ascii="Times New Roman" w:eastAsia="Calibri" w:hAnsi="Times New Roman" w:cs="Times New Roman"/>
          <w:sz w:val="24"/>
          <w:szCs w:val="24"/>
        </w:rPr>
        <w:t>: 130-6.</w:t>
      </w:r>
    </w:p>
    <w:p w14:paraId="4B7037A6" w14:textId="77777777" w:rsidR="00692B4E" w:rsidRPr="00E73EF4" w:rsidRDefault="00692B4E" w:rsidP="00692B4E">
      <w:pPr>
        <w:pStyle w:val="ListParagraph"/>
        <w:numPr>
          <w:ilvl w:val="0"/>
          <w:numId w:val="4"/>
        </w:numPr>
        <w:spacing w:line="480" w:lineRule="auto"/>
        <w:jc w:val="both"/>
        <w:rPr>
          <w:rFonts w:ascii="Times New Roman" w:eastAsia="Calibri" w:hAnsi="Times New Roman" w:cs="Times New Roman"/>
          <w:sz w:val="24"/>
          <w:szCs w:val="24"/>
        </w:rPr>
      </w:pPr>
      <w:r w:rsidRPr="00E73EF4">
        <w:rPr>
          <w:rFonts w:ascii="Times New Roman" w:eastAsia="Calibri" w:hAnsi="Times New Roman" w:cs="Times New Roman"/>
          <w:sz w:val="24"/>
          <w:szCs w:val="24"/>
        </w:rPr>
        <w:t xml:space="preserve">Lindsay JA, Knight G, Budd EL </w:t>
      </w:r>
      <w:r w:rsidRPr="00E73EF4">
        <w:rPr>
          <w:rFonts w:ascii="Times New Roman" w:eastAsia="Calibri" w:hAnsi="Times New Roman" w:cs="Times New Roman"/>
          <w:i/>
          <w:sz w:val="24"/>
          <w:szCs w:val="24"/>
        </w:rPr>
        <w:t>et al</w:t>
      </w:r>
      <w:proofErr w:type="gramStart"/>
      <w:r w:rsidRPr="00E73EF4">
        <w:rPr>
          <w:rFonts w:ascii="Times New Roman" w:eastAsia="Calibri" w:hAnsi="Times New Roman" w:cs="Times New Roman"/>
          <w:i/>
          <w:sz w:val="24"/>
          <w:szCs w:val="24"/>
        </w:rPr>
        <w:t>.</w:t>
      </w:r>
      <w:r w:rsidRPr="00E73EF4">
        <w:rPr>
          <w:rFonts w:ascii="Times New Roman" w:eastAsia="Calibri" w:hAnsi="Times New Roman" w:cs="Times New Roman"/>
          <w:sz w:val="24"/>
          <w:szCs w:val="24"/>
        </w:rPr>
        <w:t>.</w:t>
      </w:r>
      <w:proofErr w:type="gramEnd"/>
      <w:r w:rsidRPr="00E73EF4">
        <w:rPr>
          <w:rFonts w:ascii="Times New Roman" w:eastAsia="Calibri" w:hAnsi="Times New Roman" w:cs="Times New Roman"/>
          <w:sz w:val="24"/>
          <w:szCs w:val="24"/>
        </w:rPr>
        <w:t xml:space="preserve"> Shuffling of mobile genetic elements (MGEs) in successful healthcare-associated MRSA (HA-MRSA). Mob Genet Elements 2012; </w:t>
      </w:r>
      <w:r w:rsidRPr="00E73EF4">
        <w:rPr>
          <w:rFonts w:ascii="Times New Roman" w:eastAsia="Calibri" w:hAnsi="Times New Roman" w:cs="Times New Roman"/>
          <w:b/>
          <w:sz w:val="24"/>
          <w:szCs w:val="24"/>
        </w:rPr>
        <w:t>2</w:t>
      </w:r>
      <w:r w:rsidRPr="00E73EF4">
        <w:rPr>
          <w:rFonts w:ascii="Times New Roman" w:eastAsia="Calibri" w:hAnsi="Times New Roman" w:cs="Times New Roman"/>
          <w:sz w:val="24"/>
          <w:szCs w:val="24"/>
        </w:rPr>
        <w:t>:  239-243.</w:t>
      </w:r>
    </w:p>
    <w:p w14:paraId="2B13BB24" w14:textId="77777777" w:rsidR="00692B4E" w:rsidRPr="00E73EF4" w:rsidRDefault="00692B4E" w:rsidP="00692B4E">
      <w:pPr>
        <w:pStyle w:val="ListParagraph"/>
        <w:numPr>
          <w:ilvl w:val="0"/>
          <w:numId w:val="4"/>
        </w:numPr>
        <w:spacing w:line="480" w:lineRule="auto"/>
        <w:jc w:val="both"/>
        <w:rPr>
          <w:rFonts w:ascii="Times New Roman" w:eastAsia="Calibri" w:hAnsi="Times New Roman" w:cs="Times New Roman"/>
          <w:sz w:val="24"/>
          <w:szCs w:val="24"/>
        </w:rPr>
      </w:pPr>
      <w:r w:rsidRPr="00E73EF4">
        <w:rPr>
          <w:rFonts w:ascii="Times New Roman" w:eastAsia="Calibri" w:hAnsi="Times New Roman" w:cs="Times New Roman"/>
          <w:sz w:val="24"/>
          <w:szCs w:val="24"/>
        </w:rPr>
        <w:t xml:space="preserve">Knight GM, Budd EL, Lindsay JA. Large mobile genetic elements carrying resistance genes that do not confer a fitness burden in healthcare-associated methicillin-resistant Staphylococcus </w:t>
      </w:r>
      <w:proofErr w:type="spellStart"/>
      <w:r w:rsidRPr="00E73EF4">
        <w:rPr>
          <w:rFonts w:ascii="Times New Roman" w:eastAsia="Calibri" w:hAnsi="Times New Roman" w:cs="Times New Roman"/>
          <w:sz w:val="24"/>
          <w:szCs w:val="24"/>
        </w:rPr>
        <w:t>aureus</w:t>
      </w:r>
      <w:proofErr w:type="spellEnd"/>
      <w:r w:rsidRPr="00E73EF4">
        <w:rPr>
          <w:rFonts w:ascii="Times New Roman" w:eastAsia="Calibri" w:hAnsi="Times New Roman" w:cs="Times New Roman"/>
          <w:sz w:val="24"/>
          <w:szCs w:val="24"/>
        </w:rPr>
        <w:t xml:space="preserve">. </w:t>
      </w:r>
      <w:r w:rsidRPr="00E73EF4">
        <w:rPr>
          <w:rFonts w:ascii="Times New Roman" w:eastAsia="Calibri" w:hAnsi="Times New Roman" w:cs="Times New Roman"/>
          <w:i/>
          <w:sz w:val="24"/>
          <w:szCs w:val="24"/>
        </w:rPr>
        <w:t>Microbiology</w:t>
      </w:r>
      <w:r w:rsidRPr="00E73EF4">
        <w:rPr>
          <w:rFonts w:ascii="Times New Roman" w:eastAsia="Calibri" w:hAnsi="Times New Roman" w:cs="Times New Roman"/>
          <w:sz w:val="24"/>
          <w:szCs w:val="24"/>
        </w:rPr>
        <w:t xml:space="preserve"> 2013; </w:t>
      </w:r>
      <w:r w:rsidRPr="00E73EF4">
        <w:rPr>
          <w:rFonts w:ascii="Times New Roman" w:eastAsia="Calibri" w:hAnsi="Times New Roman" w:cs="Times New Roman"/>
          <w:b/>
          <w:sz w:val="24"/>
          <w:szCs w:val="24"/>
        </w:rPr>
        <w:t>159</w:t>
      </w:r>
      <w:r w:rsidRPr="00E73EF4">
        <w:rPr>
          <w:rFonts w:ascii="Times New Roman" w:eastAsia="Calibri" w:hAnsi="Times New Roman" w:cs="Times New Roman"/>
          <w:sz w:val="24"/>
          <w:szCs w:val="24"/>
        </w:rPr>
        <w:t>: 1661-72.</w:t>
      </w:r>
    </w:p>
    <w:p w14:paraId="2EFF13C5" w14:textId="77777777" w:rsidR="00692B4E" w:rsidRPr="00E73EF4" w:rsidRDefault="00692B4E" w:rsidP="00692B4E">
      <w:pPr>
        <w:pStyle w:val="ListParagraph"/>
        <w:numPr>
          <w:ilvl w:val="0"/>
          <w:numId w:val="4"/>
        </w:numPr>
        <w:spacing w:line="480" w:lineRule="auto"/>
        <w:jc w:val="both"/>
        <w:rPr>
          <w:rFonts w:ascii="Times New Roman" w:eastAsia="Calibri" w:hAnsi="Times New Roman" w:cs="Times New Roman"/>
          <w:sz w:val="24"/>
          <w:szCs w:val="24"/>
        </w:rPr>
      </w:pPr>
      <w:r w:rsidRPr="00E73EF4">
        <w:rPr>
          <w:rFonts w:ascii="Times New Roman" w:eastAsia="Calibri" w:hAnsi="Times New Roman" w:cs="Times New Roman"/>
          <w:sz w:val="24"/>
          <w:szCs w:val="24"/>
        </w:rPr>
        <w:t xml:space="preserve">McCarthy AJ, </w:t>
      </w:r>
      <w:proofErr w:type="spellStart"/>
      <w:r w:rsidRPr="00E73EF4">
        <w:rPr>
          <w:rFonts w:ascii="Times New Roman" w:eastAsia="Calibri" w:hAnsi="Times New Roman" w:cs="Times New Roman"/>
          <w:sz w:val="24"/>
          <w:szCs w:val="24"/>
        </w:rPr>
        <w:t>Loeffler</w:t>
      </w:r>
      <w:proofErr w:type="spellEnd"/>
      <w:r w:rsidRPr="00E73EF4">
        <w:rPr>
          <w:rFonts w:ascii="Times New Roman" w:eastAsia="Calibri" w:hAnsi="Times New Roman" w:cs="Times New Roman"/>
          <w:sz w:val="24"/>
          <w:szCs w:val="24"/>
        </w:rPr>
        <w:t xml:space="preserve"> A, Witney AA </w:t>
      </w:r>
      <w:r w:rsidRPr="00E73EF4">
        <w:rPr>
          <w:rFonts w:ascii="Times New Roman" w:eastAsia="Calibri" w:hAnsi="Times New Roman" w:cs="Times New Roman"/>
          <w:i/>
          <w:sz w:val="24"/>
          <w:szCs w:val="24"/>
        </w:rPr>
        <w:t>et al</w:t>
      </w:r>
      <w:r w:rsidRPr="00E73EF4">
        <w:rPr>
          <w:rFonts w:ascii="Times New Roman" w:eastAsia="Calibri" w:hAnsi="Times New Roman" w:cs="Times New Roman"/>
          <w:sz w:val="24"/>
          <w:szCs w:val="24"/>
        </w:rPr>
        <w:t xml:space="preserve">. Extensive Horizontal Gene Transfer during Staphylococcus </w:t>
      </w:r>
      <w:proofErr w:type="spellStart"/>
      <w:r w:rsidRPr="00E73EF4">
        <w:rPr>
          <w:rFonts w:ascii="Times New Roman" w:eastAsia="Calibri" w:hAnsi="Times New Roman" w:cs="Times New Roman"/>
          <w:sz w:val="24"/>
          <w:szCs w:val="24"/>
        </w:rPr>
        <w:t>aureus</w:t>
      </w:r>
      <w:proofErr w:type="spellEnd"/>
      <w:r w:rsidRPr="00E73EF4">
        <w:rPr>
          <w:rFonts w:ascii="Times New Roman" w:eastAsia="Calibri" w:hAnsi="Times New Roman" w:cs="Times New Roman"/>
          <w:sz w:val="24"/>
          <w:szCs w:val="24"/>
        </w:rPr>
        <w:t xml:space="preserve"> Co-colonization In Vivo. </w:t>
      </w:r>
      <w:r w:rsidRPr="00E73EF4">
        <w:rPr>
          <w:rFonts w:ascii="Times New Roman" w:eastAsia="Calibri" w:hAnsi="Times New Roman" w:cs="Times New Roman"/>
          <w:i/>
          <w:sz w:val="24"/>
          <w:szCs w:val="24"/>
        </w:rPr>
        <w:t xml:space="preserve">Genome </w:t>
      </w:r>
      <w:proofErr w:type="spellStart"/>
      <w:r w:rsidRPr="00E73EF4">
        <w:rPr>
          <w:rFonts w:ascii="Times New Roman" w:eastAsia="Calibri" w:hAnsi="Times New Roman" w:cs="Times New Roman"/>
          <w:i/>
          <w:sz w:val="24"/>
          <w:szCs w:val="24"/>
        </w:rPr>
        <w:t>Biol</w:t>
      </w:r>
      <w:proofErr w:type="spellEnd"/>
      <w:r w:rsidRPr="00E73EF4">
        <w:rPr>
          <w:rFonts w:ascii="Times New Roman" w:eastAsia="Calibri" w:hAnsi="Times New Roman" w:cs="Times New Roman"/>
          <w:i/>
          <w:sz w:val="24"/>
          <w:szCs w:val="24"/>
        </w:rPr>
        <w:t xml:space="preserve"> </w:t>
      </w:r>
      <w:proofErr w:type="spellStart"/>
      <w:r w:rsidRPr="00E73EF4">
        <w:rPr>
          <w:rFonts w:ascii="Times New Roman" w:eastAsia="Calibri" w:hAnsi="Times New Roman" w:cs="Times New Roman"/>
          <w:i/>
          <w:sz w:val="24"/>
          <w:szCs w:val="24"/>
        </w:rPr>
        <w:t>Evol</w:t>
      </w:r>
      <w:proofErr w:type="spellEnd"/>
      <w:r w:rsidRPr="00E73EF4">
        <w:rPr>
          <w:rFonts w:ascii="Times New Roman" w:eastAsia="Calibri" w:hAnsi="Times New Roman" w:cs="Times New Roman"/>
          <w:sz w:val="24"/>
          <w:szCs w:val="24"/>
        </w:rPr>
        <w:t xml:space="preserve"> 2014; 6: 2697-708.</w:t>
      </w:r>
    </w:p>
    <w:p w14:paraId="0AA62F2E" w14:textId="77777777" w:rsidR="00692B4E" w:rsidRPr="00E73EF4" w:rsidRDefault="00692B4E" w:rsidP="00692B4E">
      <w:pPr>
        <w:pStyle w:val="ListParagraph"/>
        <w:numPr>
          <w:ilvl w:val="0"/>
          <w:numId w:val="4"/>
        </w:numPr>
        <w:spacing w:line="480" w:lineRule="auto"/>
        <w:jc w:val="both"/>
        <w:rPr>
          <w:rFonts w:ascii="Times New Roman" w:eastAsia="Calibri" w:hAnsi="Times New Roman" w:cs="Times New Roman"/>
          <w:sz w:val="24"/>
          <w:szCs w:val="24"/>
        </w:rPr>
      </w:pPr>
      <w:proofErr w:type="spellStart"/>
      <w:r w:rsidRPr="00E73EF4">
        <w:rPr>
          <w:rFonts w:ascii="Times New Roman" w:eastAsia="Calibri" w:hAnsi="Times New Roman" w:cs="Times New Roman"/>
          <w:sz w:val="24"/>
          <w:szCs w:val="24"/>
        </w:rPr>
        <w:t>Stanczak-Mrozek</w:t>
      </w:r>
      <w:proofErr w:type="spellEnd"/>
      <w:r w:rsidRPr="00E73EF4">
        <w:rPr>
          <w:rFonts w:ascii="Times New Roman" w:eastAsia="Calibri" w:hAnsi="Times New Roman" w:cs="Times New Roman"/>
          <w:sz w:val="24"/>
          <w:szCs w:val="24"/>
        </w:rPr>
        <w:t xml:space="preserve"> KI, </w:t>
      </w:r>
      <w:proofErr w:type="spellStart"/>
      <w:r w:rsidRPr="00E73EF4">
        <w:rPr>
          <w:rFonts w:ascii="Times New Roman" w:eastAsia="Calibri" w:hAnsi="Times New Roman" w:cs="Times New Roman"/>
          <w:sz w:val="24"/>
          <w:szCs w:val="24"/>
        </w:rPr>
        <w:t>Manne</w:t>
      </w:r>
      <w:proofErr w:type="spellEnd"/>
      <w:r w:rsidRPr="00E73EF4">
        <w:rPr>
          <w:rFonts w:ascii="Times New Roman" w:eastAsia="Calibri" w:hAnsi="Times New Roman" w:cs="Times New Roman"/>
          <w:sz w:val="24"/>
          <w:szCs w:val="24"/>
        </w:rPr>
        <w:t xml:space="preserve"> A, Knight GM </w:t>
      </w:r>
      <w:r w:rsidRPr="00E73EF4">
        <w:rPr>
          <w:rFonts w:ascii="Times New Roman" w:eastAsia="Calibri" w:hAnsi="Times New Roman" w:cs="Times New Roman"/>
          <w:i/>
          <w:sz w:val="24"/>
          <w:szCs w:val="24"/>
        </w:rPr>
        <w:t>et al</w:t>
      </w:r>
      <w:r w:rsidRPr="00E73EF4">
        <w:rPr>
          <w:rFonts w:ascii="Times New Roman" w:eastAsia="Calibri" w:hAnsi="Times New Roman" w:cs="Times New Roman"/>
          <w:sz w:val="24"/>
          <w:szCs w:val="24"/>
        </w:rPr>
        <w:t>.</w:t>
      </w:r>
      <w:r w:rsidRPr="00E73EF4">
        <w:t xml:space="preserve"> </w:t>
      </w:r>
      <w:r w:rsidRPr="00E73EF4">
        <w:rPr>
          <w:rFonts w:ascii="Times New Roman" w:eastAsia="Calibri" w:hAnsi="Times New Roman" w:cs="Times New Roman"/>
          <w:sz w:val="24"/>
          <w:szCs w:val="24"/>
        </w:rPr>
        <w:t>Within-host diversity of MRSA antimicrobial resistances.</w:t>
      </w:r>
      <w:r w:rsidRPr="00E73EF4">
        <w:t xml:space="preserve"> </w:t>
      </w:r>
      <w:r w:rsidRPr="00E73EF4">
        <w:rPr>
          <w:rFonts w:ascii="Times New Roman" w:eastAsia="Calibri" w:hAnsi="Times New Roman" w:cs="Times New Roman"/>
          <w:i/>
          <w:sz w:val="24"/>
          <w:szCs w:val="24"/>
        </w:rPr>
        <w:t xml:space="preserve">J </w:t>
      </w:r>
      <w:proofErr w:type="spellStart"/>
      <w:r w:rsidRPr="00E73EF4">
        <w:rPr>
          <w:rFonts w:ascii="Times New Roman" w:eastAsia="Calibri" w:hAnsi="Times New Roman" w:cs="Times New Roman"/>
          <w:i/>
          <w:sz w:val="24"/>
          <w:szCs w:val="24"/>
        </w:rPr>
        <w:t>Antimicrob</w:t>
      </w:r>
      <w:proofErr w:type="spellEnd"/>
      <w:r w:rsidRPr="00E73EF4">
        <w:rPr>
          <w:rFonts w:ascii="Times New Roman" w:eastAsia="Calibri" w:hAnsi="Times New Roman" w:cs="Times New Roman"/>
          <w:i/>
          <w:sz w:val="24"/>
          <w:szCs w:val="24"/>
        </w:rPr>
        <w:t xml:space="preserve"> </w:t>
      </w:r>
      <w:proofErr w:type="spellStart"/>
      <w:r w:rsidRPr="00E73EF4">
        <w:rPr>
          <w:rFonts w:ascii="Times New Roman" w:eastAsia="Calibri" w:hAnsi="Times New Roman" w:cs="Times New Roman"/>
          <w:i/>
          <w:sz w:val="24"/>
          <w:szCs w:val="24"/>
        </w:rPr>
        <w:t>Chemother</w:t>
      </w:r>
      <w:proofErr w:type="spellEnd"/>
      <w:r w:rsidRPr="00E73EF4">
        <w:rPr>
          <w:rFonts w:ascii="Times New Roman" w:eastAsia="Calibri" w:hAnsi="Times New Roman" w:cs="Times New Roman"/>
          <w:sz w:val="24"/>
          <w:szCs w:val="24"/>
        </w:rPr>
        <w:t xml:space="preserve"> 2015; </w:t>
      </w:r>
      <w:r w:rsidRPr="00E73EF4">
        <w:rPr>
          <w:rFonts w:ascii="Times New Roman" w:eastAsia="Calibri" w:hAnsi="Times New Roman" w:cs="Times New Roman"/>
          <w:b/>
          <w:sz w:val="24"/>
          <w:szCs w:val="24"/>
        </w:rPr>
        <w:t>70</w:t>
      </w:r>
      <w:r w:rsidRPr="00E73EF4">
        <w:rPr>
          <w:rFonts w:ascii="Times New Roman" w:eastAsia="Calibri" w:hAnsi="Times New Roman" w:cs="Times New Roman"/>
          <w:sz w:val="24"/>
          <w:szCs w:val="24"/>
        </w:rPr>
        <w:t>: 2191-8.</w:t>
      </w:r>
    </w:p>
    <w:p w14:paraId="7AB0626C" w14:textId="15E34E91" w:rsidR="00692B4E" w:rsidRPr="00E73EF4" w:rsidRDefault="00692B4E" w:rsidP="00225219">
      <w:pPr>
        <w:pStyle w:val="ListParagraph"/>
        <w:numPr>
          <w:ilvl w:val="0"/>
          <w:numId w:val="4"/>
        </w:numPr>
        <w:spacing w:line="480" w:lineRule="auto"/>
        <w:jc w:val="both"/>
        <w:rPr>
          <w:rFonts w:ascii="Times New Roman" w:eastAsia="Calibri" w:hAnsi="Times New Roman" w:cs="Times New Roman"/>
          <w:sz w:val="24"/>
          <w:szCs w:val="24"/>
        </w:rPr>
      </w:pPr>
      <w:proofErr w:type="spellStart"/>
      <w:r w:rsidRPr="00E73EF4">
        <w:rPr>
          <w:rFonts w:ascii="Times New Roman" w:eastAsia="Calibri" w:hAnsi="Times New Roman" w:cs="Times New Roman"/>
          <w:sz w:val="24"/>
          <w:szCs w:val="24"/>
        </w:rPr>
        <w:t>Selva</w:t>
      </w:r>
      <w:proofErr w:type="spellEnd"/>
      <w:r w:rsidRPr="00E73EF4">
        <w:rPr>
          <w:rFonts w:ascii="Times New Roman" w:eastAsia="Calibri" w:hAnsi="Times New Roman" w:cs="Times New Roman"/>
          <w:sz w:val="24"/>
          <w:szCs w:val="24"/>
        </w:rPr>
        <w:t xml:space="preserve"> L, </w:t>
      </w:r>
      <w:proofErr w:type="spellStart"/>
      <w:r w:rsidRPr="00E73EF4">
        <w:rPr>
          <w:rFonts w:ascii="Times New Roman" w:eastAsia="Calibri" w:hAnsi="Times New Roman" w:cs="Times New Roman"/>
          <w:sz w:val="24"/>
          <w:szCs w:val="24"/>
        </w:rPr>
        <w:t>Viana</w:t>
      </w:r>
      <w:proofErr w:type="spellEnd"/>
      <w:r w:rsidRPr="00E73EF4">
        <w:rPr>
          <w:rFonts w:ascii="Times New Roman" w:eastAsia="Calibri" w:hAnsi="Times New Roman" w:cs="Times New Roman"/>
          <w:sz w:val="24"/>
          <w:szCs w:val="24"/>
        </w:rPr>
        <w:t xml:space="preserve"> D, </w:t>
      </w:r>
      <w:proofErr w:type="spellStart"/>
      <w:r w:rsidRPr="00E73EF4">
        <w:rPr>
          <w:rFonts w:ascii="Times New Roman" w:eastAsia="Calibri" w:hAnsi="Times New Roman" w:cs="Times New Roman"/>
          <w:sz w:val="24"/>
          <w:szCs w:val="24"/>
        </w:rPr>
        <w:t>Regev-Yochay</w:t>
      </w:r>
      <w:proofErr w:type="spellEnd"/>
      <w:r w:rsidRPr="00E73EF4">
        <w:rPr>
          <w:rFonts w:ascii="Times New Roman" w:eastAsia="Calibri" w:hAnsi="Times New Roman" w:cs="Times New Roman"/>
          <w:sz w:val="24"/>
          <w:szCs w:val="24"/>
        </w:rPr>
        <w:t xml:space="preserve"> G </w:t>
      </w:r>
      <w:r w:rsidRPr="00E73EF4">
        <w:rPr>
          <w:rFonts w:ascii="Times New Roman" w:eastAsia="Calibri" w:hAnsi="Times New Roman" w:cs="Times New Roman"/>
          <w:i/>
          <w:sz w:val="24"/>
          <w:szCs w:val="24"/>
        </w:rPr>
        <w:t>et al</w:t>
      </w:r>
      <w:r w:rsidRPr="00E73EF4">
        <w:rPr>
          <w:rFonts w:ascii="Times New Roman" w:eastAsia="Calibri" w:hAnsi="Times New Roman" w:cs="Times New Roman"/>
          <w:sz w:val="24"/>
          <w:szCs w:val="24"/>
        </w:rPr>
        <w:t>.</w:t>
      </w:r>
      <w:r w:rsidRPr="00E73EF4">
        <w:t xml:space="preserve"> </w:t>
      </w:r>
      <w:r w:rsidRPr="00E73EF4">
        <w:rPr>
          <w:rFonts w:ascii="Times New Roman" w:eastAsia="Calibri" w:hAnsi="Times New Roman" w:cs="Times New Roman"/>
          <w:sz w:val="24"/>
          <w:szCs w:val="24"/>
        </w:rPr>
        <w:t xml:space="preserve"> Killing niche competitors by remote-control bacteriophage induction. </w:t>
      </w:r>
      <w:proofErr w:type="spellStart"/>
      <w:r w:rsidRPr="00E73EF4">
        <w:rPr>
          <w:rFonts w:ascii="Times New Roman" w:eastAsia="Calibri" w:hAnsi="Times New Roman" w:cs="Times New Roman"/>
          <w:i/>
          <w:sz w:val="24"/>
          <w:szCs w:val="24"/>
        </w:rPr>
        <w:t>Proc</w:t>
      </w:r>
      <w:proofErr w:type="spellEnd"/>
      <w:r w:rsidRPr="00E73EF4">
        <w:rPr>
          <w:rFonts w:ascii="Times New Roman" w:eastAsia="Calibri" w:hAnsi="Times New Roman" w:cs="Times New Roman"/>
          <w:i/>
          <w:sz w:val="24"/>
          <w:szCs w:val="24"/>
        </w:rPr>
        <w:t xml:space="preserve"> </w:t>
      </w:r>
      <w:proofErr w:type="spellStart"/>
      <w:r w:rsidRPr="00E73EF4">
        <w:rPr>
          <w:rFonts w:ascii="Times New Roman" w:eastAsia="Calibri" w:hAnsi="Times New Roman" w:cs="Times New Roman"/>
          <w:i/>
          <w:sz w:val="24"/>
          <w:szCs w:val="24"/>
        </w:rPr>
        <w:t>Natl</w:t>
      </w:r>
      <w:proofErr w:type="spellEnd"/>
      <w:r w:rsidRPr="00E73EF4">
        <w:rPr>
          <w:rFonts w:ascii="Times New Roman" w:eastAsia="Calibri" w:hAnsi="Times New Roman" w:cs="Times New Roman"/>
          <w:i/>
          <w:sz w:val="24"/>
          <w:szCs w:val="24"/>
        </w:rPr>
        <w:t xml:space="preserve"> </w:t>
      </w:r>
      <w:proofErr w:type="spellStart"/>
      <w:r w:rsidRPr="00E73EF4">
        <w:rPr>
          <w:rFonts w:ascii="Times New Roman" w:eastAsia="Calibri" w:hAnsi="Times New Roman" w:cs="Times New Roman"/>
          <w:i/>
          <w:sz w:val="24"/>
          <w:szCs w:val="24"/>
        </w:rPr>
        <w:t>Acad</w:t>
      </w:r>
      <w:proofErr w:type="spellEnd"/>
      <w:r w:rsidRPr="00E73EF4">
        <w:rPr>
          <w:rFonts w:ascii="Times New Roman" w:eastAsia="Calibri" w:hAnsi="Times New Roman" w:cs="Times New Roman"/>
          <w:i/>
          <w:sz w:val="24"/>
          <w:szCs w:val="24"/>
        </w:rPr>
        <w:t xml:space="preserve"> </w:t>
      </w:r>
      <w:proofErr w:type="spellStart"/>
      <w:r w:rsidRPr="00E73EF4">
        <w:rPr>
          <w:rFonts w:ascii="Times New Roman" w:eastAsia="Calibri" w:hAnsi="Times New Roman" w:cs="Times New Roman"/>
          <w:i/>
          <w:sz w:val="24"/>
          <w:szCs w:val="24"/>
        </w:rPr>
        <w:t>Sci</w:t>
      </w:r>
      <w:proofErr w:type="spellEnd"/>
      <w:r w:rsidRPr="00E73EF4">
        <w:rPr>
          <w:rFonts w:ascii="Times New Roman" w:eastAsia="Calibri" w:hAnsi="Times New Roman" w:cs="Times New Roman"/>
          <w:i/>
          <w:sz w:val="24"/>
          <w:szCs w:val="24"/>
        </w:rPr>
        <w:t xml:space="preserve"> U S </w:t>
      </w:r>
      <w:proofErr w:type="gramStart"/>
      <w:r w:rsidRPr="00E73EF4">
        <w:rPr>
          <w:rFonts w:ascii="Times New Roman" w:eastAsia="Calibri" w:hAnsi="Times New Roman" w:cs="Times New Roman"/>
          <w:i/>
          <w:sz w:val="24"/>
          <w:szCs w:val="24"/>
        </w:rPr>
        <w:t>A</w:t>
      </w:r>
      <w:r w:rsidRPr="00E73EF4">
        <w:rPr>
          <w:rFonts w:ascii="Times New Roman" w:eastAsia="Calibri" w:hAnsi="Times New Roman" w:cs="Times New Roman"/>
          <w:sz w:val="24"/>
          <w:szCs w:val="24"/>
        </w:rPr>
        <w:t xml:space="preserve">  2009</w:t>
      </w:r>
      <w:proofErr w:type="gramEnd"/>
      <w:r w:rsidRPr="00E73EF4">
        <w:rPr>
          <w:rFonts w:ascii="Times New Roman" w:eastAsia="Calibri" w:hAnsi="Times New Roman" w:cs="Times New Roman"/>
          <w:sz w:val="24"/>
          <w:szCs w:val="24"/>
        </w:rPr>
        <w:t xml:space="preserve">; </w:t>
      </w:r>
      <w:r w:rsidRPr="00E73EF4">
        <w:rPr>
          <w:rFonts w:ascii="Times New Roman" w:eastAsia="Calibri" w:hAnsi="Times New Roman" w:cs="Times New Roman"/>
          <w:b/>
          <w:sz w:val="24"/>
          <w:szCs w:val="24"/>
        </w:rPr>
        <w:t>106</w:t>
      </w:r>
      <w:r w:rsidRPr="00E73EF4">
        <w:rPr>
          <w:rFonts w:ascii="Times New Roman" w:eastAsia="Calibri" w:hAnsi="Times New Roman" w:cs="Times New Roman"/>
          <w:sz w:val="24"/>
          <w:szCs w:val="24"/>
        </w:rPr>
        <w:t>: 1234-8.</w:t>
      </w:r>
    </w:p>
    <w:p w14:paraId="5BBCBCC6" w14:textId="77777777" w:rsidR="00692B4E" w:rsidRPr="00E73EF4" w:rsidRDefault="00692B4E" w:rsidP="00692B4E">
      <w:pPr>
        <w:pStyle w:val="ListParagraph"/>
        <w:numPr>
          <w:ilvl w:val="0"/>
          <w:numId w:val="4"/>
        </w:numPr>
        <w:spacing w:line="480" w:lineRule="auto"/>
        <w:jc w:val="both"/>
        <w:rPr>
          <w:rFonts w:ascii="Times New Roman" w:eastAsia="Calibri" w:hAnsi="Times New Roman" w:cs="Times New Roman"/>
          <w:sz w:val="24"/>
          <w:szCs w:val="24"/>
        </w:rPr>
      </w:pPr>
      <w:proofErr w:type="spellStart"/>
      <w:r w:rsidRPr="00E73EF4">
        <w:rPr>
          <w:rFonts w:ascii="Times New Roman" w:eastAsia="Calibri" w:hAnsi="Times New Roman" w:cs="Times New Roman"/>
          <w:sz w:val="24"/>
          <w:szCs w:val="24"/>
        </w:rPr>
        <w:lastRenderedPageBreak/>
        <w:t>Achermann</w:t>
      </w:r>
      <w:proofErr w:type="spellEnd"/>
      <w:r w:rsidRPr="00E73EF4">
        <w:rPr>
          <w:rFonts w:ascii="Times New Roman" w:eastAsia="Calibri" w:hAnsi="Times New Roman" w:cs="Times New Roman"/>
          <w:sz w:val="24"/>
          <w:szCs w:val="24"/>
        </w:rPr>
        <w:t xml:space="preserve"> HW. Frequency of morphological phage descriptions in 2001. </w:t>
      </w:r>
      <w:r w:rsidRPr="00E73EF4">
        <w:rPr>
          <w:rFonts w:ascii="Times New Roman" w:eastAsia="Calibri" w:hAnsi="Times New Roman" w:cs="Times New Roman"/>
          <w:i/>
          <w:sz w:val="24"/>
          <w:szCs w:val="24"/>
        </w:rPr>
        <w:t xml:space="preserve">Arch </w:t>
      </w:r>
      <w:proofErr w:type="spellStart"/>
      <w:r w:rsidRPr="00E73EF4">
        <w:rPr>
          <w:rFonts w:ascii="Times New Roman" w:eastAsia="Calibri" w:hAnsi="Times New Roman" w:cs="Times New Roman"/>
          <w:i/>
          <w:sz w:val="24"/>
          <w:szCs w:val="24"/>
        </w:rPr>
        <w:t>Virol</w:t>
      </w:r>
      <w:proofErr w:type="spellEnd"/>
      <w:r w:rsidRPr="00E73EF4">
        <w:rPr>
          <w:rFonts w:ascii="Times New Roman" w:eastAsia="Calibri" w:hAnsi="Times New Roman" w:cs="Times New Roman"/>
          <w:sz w:val="24"/>
          <w:szCs w:val="24"/>
        </w:rPr>
        <w:t xml:space="preserve"> 2001; </w:t>
      </w:r>
      <w:r w:rsidRPr="00E73EF4">
        <w:rPr>
          <w:rFonts w:ascii="Times New Roman" w:eastAsia="Calibri" w:hAnsi="Times New Roman" w:cs="Times New Roman"/>
          <w:b/>
          <w:sz w:val="24"/>
          <w:szCs w:val="24"/>
        </w:rPr>
        <w:t>146</w:t>
      </w:r>
      <w:r w:rsidRPr="00E73EF4">
        <w:rPr>
          <w:rFonts w:ascii="Times New Roman" w:eastAsia="Calibri" w:hAnsi="Times New Roman" w:cs="Times New Roman"/>
          <w:sz w:val="24"/>
          <w:szCs w:val="24"/>
        </w:rPr>
        <w:t>: 843-57.</w:t>
      </w:r>
    </w:p>
    <w:p w14:paraId="67CEA253" w14:textId="1DB97F7D" w:rsidR="008554B9" w:rsidRPr="00E73EF4" w:rsidRDefault="008554B9" w:rsidP="008554B9">
      <w:pPr>
        <w:pStyle w:val="ListParagraph"/>
        <w:numPr>
          <w:ilvl w:val="0"/>
          <w:numId w:val="4"/>
        </w:numPr>
        <w:spacing w:line="480" w:lineRule="auto"/>
        <w:jc w:val="both"/>
        <w:rPr>
          <w:rFonts w:ascii="Times New Roman" w:eastAsia="Calibri" w:hAnsi="Times New Roman" w:cs="Times New Roman"/>
          <w:sz w:val="24"/>
          <w:szCs w:val="24"/>
        </w:rPr>
      </w:pPr>
      <w:proofErr w:type="spellStart"/>
      <w:r w:rsidRPr="00E73EF4">
        <w:rPr>
          <w:rFonts w:ascii="Times New Roman" w:eastAsia="Calibri" w:hAnsi="Times New Roman" w:cs="Times New Roman"/>
          <w:sz w:val="24"/>
          <w:szCs w:val="24"/>
        </w:rPr>
        <w:t>Maiques</w:t>
      </w:r>
      <w:proofErr w:type="spellEnd"/>
      <w:r w:rsidRPr="00E73EF4">
        <w:rPr>
          <w:rFonts w:ascii="Times New Roman" w:eastAsia="Calibri" w:hAnsi="Times New Roman" w:cs="Times New Roman"/>
          <w:sz w:val="24"/>
          <w:szCs w:val="24"/>
        </w:rPr>
        <w:t xml:space="preserve"> E, </w:t>
      </w:r>
      <w:proofErr w:type="spellStart"/>
      <w:r w:rsidRPr="00E73EF4">
        <w:rPr>
          <w:rFonts w:ascii="Times New Roman" w:eastAsia="Calibri" w:hAnsi="Times New Roman" w:cs="Times New Roman"/>
          <w:sz w:val="24"/>
          <w:szCs w:val="24"/>
        </w:rPr>
        <w:t>Ubeda</w:t>
      </w:r>
      <w:proofErr w:type="spellEnd"/>
      <w:r w:rsidRPr="00E73EF4">
        <w:rPr>
          <w:rFonts w:ascii="Times New Roman" w:eastAsia="Calibri" w:hAnsi="Times New Roman" w:cs="Times New Roman"/>
          <w:sz w:val="24"/>
          <w:szCs w:val="24"/>
        </w:rPr>
        <w:t xml:space="preserve"> C, </w:t>
      </w:r>
      <w:proofErr w:type="spellStart"/>
      <w:r w:rsidRPr="00E73EF4">
        <w:rPr>
          <w:rFonts w:ascii="Times New Roman" w:eastAsia="Calibri" w:hAnsi="Times New Roman" w:cs="Times New Roman"/>
          <w:sz w:val="24"/>
          <w:szCs w:val="24"/>
        </w:rPr>
        <w:t>Campoy</w:t>
      </w:r>
      <w:proofErr w:type="spellEnd"/>
      <w:r w:rsidRPr="00E73EF4">
        <w:rPr>
          <w:rFonts w:ascii="Times New Roman" w:eastAsia="Calibri" w:hAnsi="Times New Roman" w:cs="Times New Roman"/>
          <w:sz w:val="24"/>
          <w:szCs w:val="24"/>
        </w:rPr>
        <w:t xml:space="preserve"> S </w:t>
      </w:r>
      <w:r w:rsidRPr="00E73EF4">
        <w:rPr>
          <w:rFonts w:ascii="Times New Roman" w:eastAsia="Calibri" w:hAnsi="Times New Roman" w:cs="Times New Roman"/>
          <w:i/>
          <w:sz w:val="24"/>
          <w:szCs w:val="24"/>
        </w:rPr>
        <w:t>et al</w:t>
      </w:r>
      <w:r w:rsidRPr="00E73EF4">
        <w:rPr>
          <w:rFonts w:ascii="Times New Roman" w:eastAsia="Calibri" w:hAnsi="Times New Roman" w:cs="Times New Roman"/>
          <w:sz w:val="24"/>
          <w:szCs w:val="24"/>
        </w:rPr>
        <w:t xml:space="preserve">. beta-lactam antibiotics induce the SOS response and horizontal transfer of virulence factors in Staphylococcus </w:t>
      </w:r>
      <w:proofErr w:type="spellStart"/>
      <w:r w:rsidRPr="00E73EF4">
        <w:rPr>
          <w:rFonts w:ascii="Times New Roman" w:eastAsia="Calibri" w:hAnsi="Times New Roman" w:cs="Times New Roman"/>
          <w:sz w:val="24"/>
          <w:szCs w:val="24"/>
        </w:rPr>
        <w:t>aureus</w:t>
      </w:r>
      <w:proofErr w:type="spellEnd"/>
      <w:r w:rsidRPr="00E73EF4">
        <w:rPr>
          <w:rFonts w:ascii="Times New Roman" w:eastAsia="Calibri" w:hAnsi="Times New Roman" w:cs="Times New Roman"/>
          <w:sz w:val="24"/>
          <w:szCs w:val="24"/>
        </w:rPr>
        <w:t>.</w:t>
      </w:r>
      <w:r w:rsidRPr="00E73EF4">
        <w:rPr>
          <w:rFonts w:ascii="Times New Roman" w:eastAsia="Calibri" w:hAnsi="Times New Roman" w:cs="Times New Roman"/>
          <w:i/>
          <w:sz w:val="24"/>
          <w:szCs w:val="24"/>
        </w:rPr>
        <w:t xml:space="preserve"> J </w:t>
      </w:r>
      <w:proofErr w:type="spellStart"/>
      <w:r w:rsidRPr="00E73EF4">
        <w:rPr>
          <w:rFonts w:ascii="Times New Roman" w:eastAsia="Calibri" w:hAnsi="Times New Roman" w:cs="Times New Roman"/>
          <w:i/>
          <w:sz w:val="24"/>
          <w:szCs w:val="24"/>
        </w:rPr>
        <w:t>Bacteriol</w:t>
      </w:r>
      <w:proofErr w:type="spellEnd"/>
      <w:r w:rsidRPr="00E73EF4">
        <w:rPr>
          <w:rFonts w:ascii="Times New Roman" w:eastAsia="Calibri" w:hAnsi="Times New Roman" w:cs="Times New Roman"/>
          <w:sz w:val="24"/>
          <w:szCs w:val="24"/>
        </w:rPr>
        <w:t xml:space="preserve"> 2016; </w:t>
      </w:r>
      <w:r w:rsidRPr="00E73EF4">
        <w:rPr>
          <w:rFonts w:ascii="Times New Roman" w:eastAsia="Calibri" w:hAnsi="Times New Roman" w:cs="Times New Roman"/>
          <w:b/>
          <w:sz w:val="24"/>
          <w:szCs w:val="24"/>
        </w:rPr>
        <w:t>188</w:t>
      </w:r>
      <w:r w:rsidRPr="00E73EF4">
        <w:rPr>
          <w:rFonts w:ascii="Times New Roman" w:eastAsia="Calibri" w:hAnsi="Times New Roman" w:cs="Times New Roman"/>
          <w:sz w:val="24"/>
          <w:szCs w:val="24"/>
        </w:rPr>
        <w:t>: 2726-9.</w:t>
      </w:r>
    </w:p>
    <w:p w14:paraId="72A2D55D" w14:textId="0A72CF02" w:rsidR="00692B4E" w:rsidRPr="00E73EF4" w:rsidRDefault="00692B4E" w:rsidP="008554B9">
      <w:pPr>
        <w:pStyle w:val="ListParagraph"/>
        <w:numPr>
          <w:ilvl w:val="0"/>
          <w:numId w:val="4"/>
        </w:numPr>
        <w:spacing w:line="480" w:lineRule="auto"/>
        <w:rPr>
          <w:rFonts w:ascii="Times New Roman" w:eastAsia="Calibri" w:hAnsi="Times New Roman" w:cs="Times New Roman"/>
          <w:sz w:val="24"/>
          <w:szCs w:val="24"/>
        </w:rPr>
      </w:pPr>
      <w:r w:rsidRPr="00E73EF4">
        <w:rPr>
          <w:rFonts w:ascii="Times New Roman" w:eastAsia="Calibri" w:hAnsi="Times New Roman" w:cs="Times New Roman"/>
          <w:sz w:val="24"/>
          <w:szCs w:val="24"/>
        </w:rPr>
        <w:t>World Health Organization. Antimicrobial resistance: global report on surveillance (WHO), 2014 Publication date: April 2014. http://www.who.int/drugresistance/documents/surveillancereport/en.</w:t>
      </w:r>
    </w:p>
    <w:p w14:paraId="6BE03E07" w14:textId="77777777" w:rsidR="00692B4E" w:rsidRPr="00E73EF4" w:rsidRDefault="00692B4E" w:rsidP="00692B4E">
      <w:pPr>
        <w:pStyle w:val="ListParagraph"/>
        <w:numPr>
          <w:ilvl w:val="0"/>
          <w:numId w:val="4"/>
        </w:numPr>
        <w:spacing w:line="480" w:lineRule="auto"/>
        <w:jc w:val="both"/>
        <w:rPr>
          <w:rFonts w:ascii="Times New Roman" w:eastAsia="Calibri" w:hAnsi="Times New Roman" w:cs="Times New Roman"/>
          <w:sz w:val="24"/>
          <w:szCs w:val="24"/>
          <w:lang w:val="en-US"/>
        </w:rPr>
      </w:pPr>
      <w:proofErr w:type="spellStart"/>
      <w:r w:rsidRPr="00E73EF4">
        <w:rPr>
          <w:rFonts w:ascii="Times New Roman" w:eastAsia="Calibri" w:hAnsi="Times New Roman" w:cs="Times New Roman"/>
          <w:sz w:val="24"/>
          <w:szCs w:val="24"/>
          <w:lang w:val="en-US"/>
        </w:rPr>
        <w:t>Kreiswirth</w:t>
      </w:r>
      <w:proofErr w:type="spellEnd"/>
      <w:r w:rsidRPr="00E73EF4">
        <w:rPr>
          <w:rFonts w:ascii="Times New Roman" w:eastAsia="Calibri" w:hAnsi="Times New Roman" w:cs="Times New Roman"/>
          <w:sz w:val="24"/>
          <w:szCs w:val="24"/>
          <w:lang w:val="en-US"/>
        </w:rPr>
        <w:t xml:space="preserve"> BN, </w:t>
      </w:r>
      <w:proofErr w:type="spellStart"/>
      <w:r w:rsidRPr="00E73EF4">
        <w:rPr>
          <w:rFonts w:ascii="Times New Roman" w:eastAsia="Calibri" w:hAnsi="Times New Roman" w:cs="Times New Roman"/>
          <w:sz w:val="24"/>
          <w:szCs w:val="24"/>
          <w:lang w:val="en-US"/>
        </w:rPr>
        <w:t>Löfdahl</w:t>
      </w:r>
      <w:proofErr w:type="spellEnd"/>
      <w:r w:rsidRPr="00E73EF4">
        <w:rPr>
          <w:rFonts w:ascii="Times New Roman" w:eastAsia="Calibri" w:hAnsi="Times New Roman" w:cs="Times New Roman"/>
          <w:sz w:val="24"/>
          <w:szCs w:val="24"/>
          <w:lang w:val="en-US"/>
        </w:rPr>
        <w:t xml:space="preserve"> S, </w:t>
      </w:r>
      <w:proofErr w:type="spellStart"/>
      <w:r w:rsidRPr="00E73EF4">
        <w:rPr>
          <w:rFonts w:ascii="Times New Roman" w:eastAsia="Calibri" w:hAnsi="Times New Roman" w:cs="Times New Roman"/>
          <w:sz w:val="24"/>
          <w:szCs w:val="24"/>
          <w:lang w:val="en-US"/>
        </w:rPr>
        <w:t>Betley</w:t>
      </w:r>
      <w:proofErr w:type="spellEnd"/>
      <w:r w:rsidRPr="00E73EF4">
        <w:rPr>
          <w:rFonts w:ascii="Times New Roman" w:eastAsia="Calibri" w:hAnsi="Times New Roman" w:cs="Times New Roman"/>
          <w:sz w:val="24"/>
          <w:szCs w:val="24"/>
          <w:lang w:val="en-US"/>
        </w:rPr>
        <w:t xml:space="preserve"> MJ </w:t>
      </w:r>
      <w:r w:rsidRPr="00E73EF4">
        <w:rPr>
          <w:rFonts w:ascii="Times New Roman" w:eastAsia="Calibri" w:hAnsi="Times New Roman" w:cs="Times New Roman"/>
          <w:i/>
          <w:sz w:val="24"/>
          <w:szCs w:val="24"/>
          <w:lang w:val="en-US"/>
        </w:rPr>
        <w:t>et al</w:t>
      </w:r>
      <w:r w:rsidRPr="00E73EF4">
        <w:rPr>
          <w:rFonts w:ascii="Times New Roman" w:eastAsia="Calibri" w:hAnsi="Times New Roman" w:cs="Times New Roman"/>
          <w:sz w:val="24"/>
          <w:szCs w:val="24"/>
          <w:lang w:val="en-US"/>
        </w:rPr>
        <w:t xml:space="preserve">. The toxic shock syndrome exotoxin structural gene is not detectably transmitted by a </w:t>
      </w:r>
      <w:proofErr w:type="spellStart"/>
      <w:r w:rsidRPr="00E73EF4">
        <w:rPr>
          <w:rFonts w:ascii="Times New Roman" w:eastAsia="Calibri" w:hAnsi="Times New Roman" w:cs="Times New Roman"/>
          <w:sz w:val="24"/>
          <w:szCs w:val="24"/>
          <w:lang w:val="en-US"/>
        </w:rPr>
        <w:t>prophage</w:t>
      </w:r>
      <w:proofErr w:type="spellEnd"/>
      <w:r w:rsidRPr="00E73EF4">
        <w:rPr>
          <w:rFonts w:ascii="Times New Roman" w:eastAsia="Calibri" w:hAnsi="Times New Roman" w:cs="Times New Roman"/>
          <w:sz w:val="24"/>
          <w:szCs w:val="24"/>
          <w:lang w:val="en-US"/>
        </w:rPr>
        <w:t xml:space="preserve">. </w:t>
      </w:r>
      <w:r w:rsidRPr="00E73EF4">
        <w:rPr>
          <w:rFonts w:ascii="Times New Roman" w:eastAsia="Calibri" w:hAnsi="Times New Roman" w:cs="Times New Roman"/>
          <w:i/>
          <w:sz w:val="24"/>
          <w:szCs w:val="24"/>
          <w:lang w:val="en-US"/>
        </w:rPr>
        <w:t>Nature</w:t>
      </w:r>
      <w:r w:rsidRPr="00E73EF4">
        <w:rPr>
          <w:rFonts w:ascii="Times New Roman" w:eastAsia="Calibri" w:hAnsi="Times New Roman" w:cs="Times New Roman"/>
          <w:sz w:val="24"/>
          <w:szCs w:val="24"/>
          <w:lang w:val="en-US"/>
        </w:rPr>
        <w:t xml:space="preserve"> 1983; </w:t>
      </w:r>
      <w:r w:rsidRPr="00E73EF4">
        <w:rPr>
          <w:rFonts w:ascii="Times New Roman" w:eastAsia="Calibri" w:hAnsi="Times New Roman" w:cs="Times New Roman"/>
          <w:b/>
          <w:sz w:val="24"/>
          <w:szCs w:val="24"/>
          <w:lang w:val="en-US"/>
        </w:rPr>
        <w:t>305</w:t>
      </w:r>
      <w:r w:rsidRPr="00E73EF4">
        <w:rPr>
          <w:rFonts w:ascii="Times New Roman" w:eastAsia="Calibri" w:hAnsi="Times New Roman" w:cs="Times New Roman"/>
          <w:sz w:val="24"/>
          <w:szCs w:val="24"/>
          <w:lang w:val="en-US"/>
        </w:rPr>
        <w:t>: 709-12.</w:t>
      </w:r>
    </w:p>
    <w:p w14:paraId="357FB4E0" w14:textId="131D0B97" w:rsidR="00F71237" w:rsidRPr="00E73EF4" w:rsidRDefault="00F71237" w:rsidP="00F71237">
      <w:pPr>
        <w:pStyle w:val="ListParagraph"/>
        <w:numPr>
          <w:ilvl w:val="0"/>
          <w:numId w:val="4"/>
        </w:numPr>
        <w:spacing w:line="480" w:lineRule="auto"/>
        <w:jc w:val="both"/>
        <w:rPr>
          <w:rFonts w:ascii="Times New Roman" w:eastAsia="Calibri" w:hAnsi="Times New Roman" w:cs="Times New Roman"/>
          <w:sz w:val="24"/>
          <w:szCs w:val="24"/>
        </w:rPr>
      </w:pPr>
      <w:proofErr w:type="spellStart"/>
      <w:r w:rsidRPr="00E73EF4">
        <w:rPr>
          <w:rFonts w:ascii="Times New Roman" w:eastAsia="Calibri" w:hAnsi="Times New Roman" w:cs="Times New Roman"/>
          <w:sz w:val="24"/>
          <w:szCs w:val="24"/>
        </w:rPr>
        <w:t>Merril</w:t>
      </w:r>
      <w:proofErr w:type="spellEnd"/>
      <w:r w:rsidRPr="00E73EF4">
        <w:rPr>
          <w:rFonts w:ascii="Times New Roman" w:eastAsia="Calibri" w:hAnsi="Times New Roman" w:cs="Times New Roman"/>
          <w:sz w:val="24"/>
          <w:szCs w:val="24"/>
        </w:rPr>
        <w:t xml:space="preserve"> CR, Biswas B, Carlton R </w:t>
      </w:r>
      <w:r w:rsidRPr="00E73EF4">
        <w:rPr>
          <w:rFonts w:ascii="Times New Roman" w:eastAsia="Calibri" w:hAnsi="Times New Roman" w:cs="Times New Roman"/>
          <w:i/>
          <w:sz w:val="24"/>
          <w:szCs w:val="24"/>
          <w:lang w:val="en-US"/>
        </w:rPr>
        <w:t>et al</w:t>
      </w:r>
      <w:r w:rsidRPr="00E73EF4">
        <w:rPr>
          <w:rFonts w:ascii="Times New Roman" w:eastAsia="Calibri" w:hAnsi="Times New Roman" w:cs="Times New Roman"/>
          <w:sz w:val="24"/>
          <w:szCs w:val="24"/>
          <w:lang w:val="en-US"/>
        </w:rPr>
        <w:t>.</w:t>
      </w:r>
      <w:r w:rsidRPr="00E73EF4">
        <w:rPr>
          <w:rFonts w:ascii="Times New Roman" w:eastAsia="Calibri" w:hAnsi="Times New Roman" w:cs="Times New Roman"/>
          <w:i/>
          <w:sz w:val="24"/>
          <w:szCs w:val="24"/>
          <w:lang w:val="en-US"/>
        </w:rPr>
        <w:t xml:space="preserve"> </w:t>
      </w:r>
      <w:r w:rsidRPr="00E73EF4">
        <w:rPr>
          <w:rFonts w:ascii="Times New Roman" w:eastAsia="Calibri" w:hAnsi="Times New Roman" w:cs="Times New Roman"/>
          <w:sz w:val="24"/>
          <w:szCs w:val="24"/>
        </w:rPr>
        <w:t xml:space="preserve">Long-circulating bacteriophage as antibacterial agents. </w:t>
      </w:r>
      <w:proofErr w:type="spellStart"/>
      <w:r w:rsidRPr="00E73EF4">
        <w:rPr>
          <w:rFonts w:ascii="Times New Roman" w:eastAsia="Calibri" w:hAnsi="Times New Roman" w:cs="Times New Roman"/>
          <w:i/>
          <w:sz w:val="24"/>
          <w:szCs w:val="24"/>
        </w:rPr>
        <w:t>Proc</w:t>
      </w:r>
      <w:proofErr w:type="spellEnd"/>
      <w:r w:rsidRPr="00E73EF4">
        <w:rPr>
          <w:rFonts w:ascii="Times New Roman" w:eastAsia="Calibri" w:hAnsi="Times New Roman" w:cs="Times New Roman"/>
          <w:i/>
          <w:sz w:val="24"/>
          <w:szCs w:val="24"/>
        </w:rPr>
        <w:t xml:space="preserve"> </w:t>
      </w:r>
      <w:proofErr w:type="spellStart"/>
      <w:r w:rsidRPr="00E73EF4">
        <w:rPr>
          <w:rFonts w:ascii="Times New Roman" w:eastAsia="Calibri" w:hAnsi="Times New Roman" w:cs="Times New Roman"/>
          <w:i/>
          <w:sz w:val="24"/>
          <w:szCs w:val="24"/>
        </w:rPr>
        <w:t>Natl</w:t>
      </w:r>
      <w:proofErr w:type="spellEnd"/>
      <w:r w:rsidRPr="00E73EF4">
        <w:rPr>
          <w:rFonts w:ascii="Times New Roman" w:eastAsia="Calibri" w:hAnsi="Times New Roman" w:cs="Times New Roman"/>
          <w:i/>
          <w:sz w:val="24"/>
          <w:szCs w:val="24"/>
        </w:rPr>
        <w:t xml:space="preserve"> </w:t>
      </w:r>
      <w:proofErr w:type="spellStart"/>
      <w:r w:rsidRPr="00E73EF4">
        <w:rPr>
          <w:rFonts w:ascii="Times New Roman" w:eastAsia="Calibri" w:hAnsi="Times New Roman" w:cs="Times New Roman"/>
          <w:i/>
          <w:sz w:val="24"/>
          <w:szCs w:val="24"/>
        </w:rPr>
        <w:t>Acad</w:t>
      </w:r>
      <w:proofErr w:type="spellEnd"/>
      <w:r w:rsidRPr="00E73EF4">
        <w:rPr>
          <w:rFonts w:ascii="Times New Roman" w:eastAsia="Calibri" w:hAnsi="Times New Roman" w:cs="Times New Roman"/>
          <w:i/>
          <w:sz w:val="24"/>
          <w:szCs w:val="24"/>
        </w:rPr>
        <w:t xml:space="preserve"> </w:t>
      </w:r>
      <w:proofErr w:type="spellStart"/>
      <w:r w:rsidRPr="00E73EF4">
        <w:rPr>
          <w:rFonts w:ascii="Times New Roman" w:eastAsia="Calibri" w:hAnsi="Times New Roman" w:cs="Times New Roman"/>
          <w:i/>
          <w:sz w:val="24"/>
          <w:szCs w:val="24"/>
        </w:rPr>
        <w:t>Sci</w:t>
      </w:r>
      <w:proofErr w:type="spellEnd"/>
      <w:r w:rsidRPr="00E73EF4">
        <w:rPr>
          <w:rFonts w:ascii="Times New Roman" w:eastAsia="Calibri" w:hAnsi="Times New Roman" w:cs="Times New Roman"/>
          <w:i/>
          <w:sz w:val="24"/>
          <w:szCs w:val="24"/>
        </w:rPr>
        <w:t xml:space="preserve"> U S A</w:t>
      </w:r>
      <w:r w:rsidRPr="00E73EF4">
        <w:rPr>
          <w:rFonts w:ascii="Times New Roman" w:eastAsia="Calibri" w:hAnsi="Times New Roman" w:cs="Times New Roman"/>
          <w:sz w:val="24"/>
          <w:szCs w:val="24"/>
        </w:rPr>
        <w:t xml:space="preserve"> 1996; </w:t>
      </w:r>
      <w:r w:rsidRPr="00E73EF4">
        <w:rPr>
          <w:rFonts w:ascii="Times New Roman" w:eastAsia="Calibri" w:hAnsi="Times New Roman" w:cs="Times New Roman"/>
          <w:b/>
          <w:sz w:val="24"/>
          <w:szCs w:val="24"/>
        </w:rPr>
        <w:t>93</w:t>
      </w:r>
      <w:r w:rsidRPr="00E73EF4">
        <w:rPr>
          <w:rFonts w:ascii="Times New Roman" w:eastAsia="Calibri" w:hAnsi="Times New Roman" w:cs="Times New Roman"/>
          <w:sz w:val="24"/>
          <w:szCs w:val="24"/>
        </w:rPr>
        <w:t>: 3188-92.</w:t>
      </w:r>
    </w:p>
    <w:p w14:paraId="74C65EB9" w14:textId="2273F94C" w:rsidR="00D47C61" w:rsidRPr="00E73EF4" w:rsidRDefault="00D47C61" w:rsidP="00D47C61">
      <w:pPr>
        <w:pStyle w:val="ListParagraph"/>
        <w:numPr>
          <w:ilvl w:val="0"/>
          <w:numId w:val="4"/>
        </w:numPr>
        <w:spacing w:line="480" w:lineRule="auto"/>
        <w:jc w:val="both"/>
        <w:rPr>
          <w:rFonts w:ascii="Times New Roman" w:eastAsia="Calibri" w:hAnsi="Times New Roman" w:cs="Times New Roman"/>
          <w:sz w:val="24"/>
          <w:szCs w:val="24"/>
        </w:rPr>
      </w:pPr>
      <w:proofErr w:type="spellStart"/>
      <w:r w:rsidRPr="00E73EF4">
        <w:rPr>
          <w:rFonts w:ascii="Times New Roman" w:eastAsia="Calibri" w:hAnsi="Times New Roman" w:cs="Times New Roman"/>
          <w:sz w:val="24"/>
          <w:szCs w:val="24"/>
        </w:rPr>
        <w:t>Hetem</w:t>
      </w:r>
      <w:proofErr w:type="spellEnd"/>
      <w:r w:rsidRPr="00E73EF4">
        <w:rPr>
          <w:rFonts w:ascii="Times New Roman" w:eastAsia="Calibri" w:hAnsi="Times New Roman" w:cs="Times New Roman"/>
          <w:sz w:val="24"/>
          <w:szCs w:val="24"/>
        </w:rPr>
        <w:t xml:space="preserve"> DJ, </w:t>
      </w:r>
      <w:proofErr w:type="spellStart"/>
      <w:r w:rsidRPr="00E73EF4">
        <w:rPr>
          <w:rFonts w:ascii="Times New Roman" w:eastAsia="Calibri" w:hAnsi="Times New Roman" w:cs="Times New Roman"/>
          <w:sz w:val="24"/>
          <w:szCs w:val="24"/>
        </w:rPr>
        <w:t>Bonten</w:t>
      </w:r>
      <w:proofErr w:type="spellEnd"/>
      <w:r w:rsidRPr="00E73EF4">
        <w:rPr>
          <w:rFonts w:ascii="Times New Roman" w:eastAsia="Calibri" w:hAnsi="Times New Roman" w:cs="Times New Roman"/>
          <w:sz w:val="24"/>
          <w:szCs w:val="24"/>
        </w:rPr>
        <w:t xml:space="preserve"> MJ. Clinical relevance of </w:t>
      </w:r>
      <w:proofErr w:type="spellStart"/>
      <w:r w:rsidRPr="00E73EF4">
        <w:rPr>
          <w:rFonts w:ascii="Times New Roman" w:eastAsia="Calibri" w:hAnsi="Times New Roman" w:cs="Times New Roman"/>
          <w:sz w:val="24"/>
          <w:szCs w:val="24"/>
        </w:rPr>
        <w:t>mupirocin</w:t>
      </w:r>
      <w:proofErr w:type="spellEnd"/>
      <w:r w:rsidRPr="00E73EF4">
        <w:rPr>
          <w:rFonts w:ascii="Times New Roman" w:eastAsia="Calibri" w:hAnsi="Times New Roman" w:cs="Times New Roman"/>
          <w:sz w:val="24"/>
          <w:szCs w:val="24"/>
        </w:rPr>
        <w:t xml:space="preserve"> resistance in Staphylococcus </w:t>
      </w:r>
      <w:proofErr w:type="spellStart"/>
      <w:r w:rsidRPr="00E73EF4">
        <w:rPr>
          <w:rFonts w:ascii="Times New Roman" w:eastAsia="Calibri" w:hAnsi="Times New Roman" w:cs="Times New Roman"/>
          <w:sz w:val="24"/>
          <w:szCs w:val="24"/>
        </w:rPr>
        <w:t>aureus</w:t>
      </w:r>
      <w:proofErr w:type="spellEnd"/>
      <w:r w:rsidRPr="00E73EF4">
        <w:rPr>
          <w:rFonts w:ascii="Times New Roman" w:eastAsia="Calibri" w:hAnsi="Times New Roman" w:cs="Times New Roman"/>
          <w:sz w:val="24"/>
          <w:szCs w:val="24"/>
        </w:rPr>
        <w:t xml:space="preserve">. </w:t>
      </w:r>
      <w:r w:rsidRPr="00E73EF4">
        <w:rPr>
          <w:rFonts w:ascii="Times New Roman" w:eastAsia="Calibri" w:hAnsi="Times New Roman" w:cs="Times New Roman"/>
          <w:i/>
          <w:sz w:val="24"/>
          <w:szCs w:val="24"/>
        </w:rPr>
        <w:t xml:space="preserve">J </w:t>
      </w:r>
      <w:proofErr w:type="spellStart"/>
      <w:r w:rsidRPr="00E73EF4">
        <w:rPr>
          <w:rFonts w:ascii="Times New Roman" w:eastAsia="Calibri" w:hAnsi="Times New Roman" w:cs="Times New Roman"/>
          <w:i/>
          <w:sz w:val="24"/>
          <w:szCs w:val="24"/>
        </w:rPr>
        <w:t>Hosp</w:t>
      </w:r>
      <w:proofErr w:type="spellEnd"/>
      <w:r w:rsidRPr="00E73EF4">
        <w:rPr>
          <w:rFonts w:ascii="Times New Roman" w:eastAsia="Calibri" w:hAnsi="Times New Roman" w:cs="Times New Roman"/>
          <w:i/>
          <w:sz w:val="24"/>
          <w:szCs w:val="24"/>
        </w:rPr>
        <w:t xml:space="preserve"> Infect</w:t>
      </w:r>
      <w:r w:rsidRPr="00E73EF4">
        <w:rPr>
          <w:rFonts w:ascii="Times New Roman" w:eastAsia="Calibri" w:hAnsi="Times New Roman" w:cs="Times New Roman"/>
          <w:sz w:val="24"/>
          <w:szCs w:val="24"/>
        </w:rPr>
        <w:t xml:space="preserve"> 2013; </w:t>
      </w:r>
      <w:r w:rsidRPr="00E73EF4">
        <w:rPr>
          <w:rFonts w:ascii="Times New Roman" w:eastAsia="Calibri" w:hAnsi="Times New Roman" w:cs="Times New Roman"/>
          <w:b/>
          <w:sz w:val="24"/>
          <w:szCs w:val="24"/>
        </w:rPr>
        <w:t>85</w:t>
      </w:r>
      <w:r w:rsidRPr="00E73EF4">
        <w:rPr>
          <w:rFonts w:ascii="Times New Roman" w:eastAsia="Calibri" w:hAnsi="Times New Roman" w:cs="Times New Roman"/>
          <w:sz w:val="24"/>
          <w:szCs w:val="24"/>
        </w:rPr>
        <w:t>: 249-56.</w:t>
      </w:r>
    </w:p>
    <w:p w14:paraId="14B88C74" w14:textId="77777777" w:rsidR="00692B4E" w:rsidRPr="00E73EF4" w:rsidRDefault="00692B4E" w:rsidP="00692B4E">
      <w:pPr>
        <w:pStyle w:val="ListParagraph"/>
        <w:numPr>
          <w:ilvl w:val="0"/>
          <w:numId w:val="4"/>
        </w:numPr>
        <w:spacing w:line="480" w:lineRule="auto"/>
        <w:jc w:val="both"/>
        <w:rPr>
          <w:rFonts w:ascii="Times New Roman" w:eastAsia="Calibri" w:hAnsi="Times New Roman" w:cs="Times New Roman"/>
          <w:sz w:val="24"/>
          <w:szCs w:val="24"/>
        </w:rPr>
      </w:pPr>
      <w:r w:rsidRPr="00E73EF4">
        <w:rPr>
          <w:rFonts w:ascii="Times New Roman" w:eastAsia="Calibri" w:hAnsi="Times New Roman" w:cs="Times New Roman"/>
          <w:sz w:val="24"/>
          <w:szCs w:val="24"/>
          <w:lang w:val="pl-PL"/>
        </w:rPr>
        <w:t xml:space="preserve">Wojciechowski MF, Hoelzer MA, Michod RE. </w:t>
      </w:r>
      <w:r w:rsidRPr="00E73EF4">
        <w:rPr>
          <w:rFonts w:ascii="Times New Roman" w:eastAsia="Calibri" w:hAnsi="Times New Roman" w:cs="Times New Roman"/>
          <w:sz w:val="24"/>
          <w:szCs w:val="24"/>
        </w:rPr>
        <w:t xml:space="preserve">DNA repair and the evolution of transformation in Bacillus </w:t>
      </w:r>
      <w:proofErr w:type="spellStart"/>
      <w:r w:rsidRPr="00E73EF4">
        <w:rPr>
          <w:rFonts w:ascii="Times New Roman" w:eastAsia="Calibri" w:hAnsi="Times New Roman" w:cs="Times New Roman"/>
          <w:sz w:val="24"/>
          <w:szCs w:val="24"/>
        </w:rPr>
        <w:t>subtilis</w:t>
      </w:r>
      <w:proofErr w:type="spellEnd"/>
      <w:r w:rsidRPr="00E73EF4">
        <w:rPr>
          <w:rFonts w:ascii="Times New Roman" w:eastAsia="Calibri" w:hAnsi="Times New Roman" w:cs="Times New Roman"/>
          <w:sz w:val="24"/>
          <w:szCs w:val="24"/>
        </w:rPr>
        <w:t xml:space="preserve">. II. Role of inducible repair. </w:t>
      </w:r>
      <w:r w:rsidRPr="00E73EF4">
        <w:rPr>
          <w:rFonts w:ascii="Times New Roman" w:eastAsia="Calibri" w:hAnsi="Times New Roman" w:cs="Times New Roman"/>
          <w:i/>
          <w:sz w:val="24"/>
          <w:szCs w:val="24"/>
        </w:rPr>
        <w:t>Genetics</w:t>
      </w:r>
      <w:r w:rsidRPr="00E73EF4">
        <w:rPr>
          <w:rFonts w:ascii="Times New Roman" w:eastAsia="Calibri" w:hAnsi="Times New Roman" w:cs="Times New Roman"/>
          <w:sz w:val="24"/>
          <w:szCs w:val="24"/>
        </w:rPr>
        <w:t xml:space="preserve"> 1989; </w:t>
      </w:r>
      <w:r w:rsidRPr="00E73EF4">
        <w:rPr>
          <w:rFonts w:ascii="Times New Roman" w:eastAsia="Calibri" w:hAnsi="Times New Roman" w:cs="Times New Roman"/>
          <w:b/>
          <w:sz w:val="24"/>
          <w:szCs w:val="24"/>
        </w:rPr>
        <w:t>121</w:t>
      </w:r>
      <w:r w:rsidRPr="00E73EF4">
        <w:rPr>
          <w:rFonts w:ascii="Times New Roman" w:eastAsia="Calibri" w:hAnsi="Times New Roman" w:cs="Times New Roman"/>
          <w:sz w:val="24"/>
          <w:szCs w:val="24"/>
        </w:rPr>
        <w:t>: 411-22.</w:t>
      </w:r>
    </w:p>
    <w:p w14:paraId="06F10600" w14:textId="77777777" w:rsidR="00692B4E" w:rsidRPr="00E73EF4" w:rsidRDefault="00692B4E" w:rsidP="00692B4E">
      <w:pPr>
        <w:pStyle w:val="ListParagraph"/>
        <w:numPr>
          <w:ilvl w:val="0"/>
          <w:numId w:val="4"/>
        </w:numPr>
        <w:spacing w:line="480" w:lineRule="auto"/>
        <w:jc w:val="both"/>
        <w:rPr>
          <w:rFonts w:ascii="Times New Roman" w:eastAsia="Calibri" w:hAnsi="Times New Roman" w:cs="Times New Roman"/>
          <w:sz w:val="24"/>
          <w:szCs w:val="24"/>
        </w:rPr>
      </w:pPr>
      <w:r w:rsidRPr="00E73EF4">
        <w:rPr>
          <w:rFonts w:ascii="Times New Roman" w:eastAsia="Calibri" w:hAnsi="Times New Roman" w:cs="Times New Roman"/>
          <w:sz w:val="24"/>
          <w:szCs w:val="24"/>
        </w:rPr>
        <w:t xml:space="preserve">Raya RR., </w:t>
      </w:r>
      <w:proofErr w:type="spellStart"/>
      <w:r w:rsidRPr="00E73EF4">
        <w:rPr>
          <w:rFonts w:ascii="Times New Roman" w:eastAsia="Calibri" w:hAnsi="Times New Roman" w:cs="Times New Roman"/>
          <w:sz w:val="24"/>
          <w:szCs w:val="24"/>
        </w:rPr>
        <w:t>Kleeman</w:t>
      </w:r>
      <w:proofErr w:type="spellEnd"/>
      <w:r w:rsidRPr="00E73EF4">
        <w:rPr>
          <w:rFonts w:ascii="Times New Roman" w:eastAsia="Calibri" w:hAnsi="Times New Roman" w:cs="Times New Roman"/>
          <w:sz w:val="24"/>
          <w:szCs w:val="24"/>
        </w:rPr>
        <w:t xml:space="preserve"> EG, </w:t>
      </w:r>
      <w:proofErr w:type="spellStart"/>
      <w:r w:rsidRPr="00E73EF4">
        <w:rPr>
          <w:rFonts w:ascii="Times New Roman" w:eastAsia="Calibri" w:hAnsi="Times New Roman" w:cs="Times New Roman"/>
          <w:sz w:val="24"/>
          <w:szCs w:val="24"/>
        </w:rPr>
        <w:t>Luchansky</w:t>
      </w:r>
      <w:proofErr w:type="spellEnd"/>
      <w:r w:rsidRPr="00E73EF4">
        <w:rPr>
          <w:rFonts w:ascii="Times New Roman" w:eastAsia="Calibri" w:hAnsi="Times New Roman" w:cs="Times New Roman"/>
          <w:sz w:val="24"/>
          <w:szCs w:val="24"/>
        </w:rPr>
        <w:t xml:space="preserve"> </w:t>
      </w:r>
      <w:proofErr w:type="gramStart"/>
      <w:r w:rsidRPr="00E73EF4">
        <w:rPr>
          <w:rFonts w:ascii="Times New Roman" w:eastAsia="Calibri" w:hAnsi="Times New Roman" w:cs="Times New Roman"/>
          <w:sz w:val="24"/>
          <w:szCs w:val="24"/>
        </w:rPr>
        <w:t xml:space="preserve">JB  </w:t>
      </w:r>
      <w:r w:rsidRPr="00E73EF4">
        <w:rPr>
          <w:rFonts w:ascii="Times New Roman" w:eastAsia="Calibri" w:hAnsi="Times New Roman" w:cs="Times New Roman"/>
          <w:i/>
          <w:sz w:val="24"/>
          <w:szCs w:val="24"/>
          <w:lang w:val="en-US"/>
        </w:rPr>
        <w:t>et</w:t>
      </w:r>
      <w:proofErr w:type="gramEnd"/>
      <w:r w:rsidRPr="00E73EF4">
        <w:rPr>
          <w:rFonts w:ascii="Times New Roman" w:eastAsia="Calibri" w:hAnsi="Times New Roman" w:cs="Times New Roman"/>
          <w:i/>
          <w:sz w:val="24"/>
          <w:szCs w:val="24"/>
          <w:lang w:val="en-US"/>
        </w:rPr>
        <w:t xml:space="preserve"> al</w:t>
      </w:r>
      <w:r w:rsidRPr="00E73EF4">
        <w:rPr>
          <w:rFonts w:ascii="Times New Roman" w:eastAsia="Calibri" w:hAnsi="Times New Roman" w:cs="Times New Roman"/>
          <w:sz w:val="24"/>
          <w:szCs w:val="24"/>
          <w:lang w:val="en-US"/>
        </w:rPr>
        <w:t>.</w:t>
      </w:r>
      <w:r w:rsidRPr="00E73EF4">
        <w:rPr>
          <w:rFonts w:ascii="Times New Roman" w:eastAsia="Calibri" w:hAnsi="Times New Roman" w:cs="Times New Roman"/>
          <w:sz w:val="24"/>
          <w:szCs w:val="24"/>
        </w:rPr>
        <w:t xml:space="preserve"> Characterization of the temperate bacteriophage phi </w:t>
      </w:r>
      <w:proofErr w:type="spellStart"/>
      <w:r w:rsidRPr="00E73EF4">
        <w:rPr>
          <w:rFonts w:ascii="Times New Roman" w:eastAsia="Calibri" w:hAnsi="Times New Roman" w:cs="Times New Roman"/>
          <w:sz w:val="24"/>
          <w:szCs w:val="24"/>
        </w:rPr>
        <w:t>adh</w:t>
      </w:r>
      <w:proofErr w:type="spellEnd"/>
      <w:r w:rsidRPr="00E73EF4">
        <w:rPr>
          <w:rFonts w:ascii="Times New Roman" w:eastAsia="Calibri" w:hAnsi="Times New Roman" w:cs="Times New Roman"/>
          <w:sz w:val="24"/>
          <w:szCs w:val="24"/>
        </w:rPr>
        <w:t xml:space="preserve"> and plasmid transduction in Lactobacillus acidophilus ADH. </w:t>
      </w:r>
      <w:proofErr w:type="spellStart"/>
      <w:r w:rsidRPr="00E73EF4">
        <w:rPr>
          <w:rFonts w:ascii="Times New Roman" w:eastAsia="Calibri" w:hAnsi="Times New Roman" w:cs="Times New Roman"/>
          <w:i/>
          <w:sz w:val="24"/>
          <w:szCs w:val="24"/>
        </w:rPr>
        <w:t>Appl</w:t>
      </w:r>
      <w:proofErr w:type="spellEnd"/>
      <w:r w:rsidRPr="00E73EF4">
        <w:rPr>
          <w:rFonts w:ascii="Times New Roman" w:eastAsia="Calibri" w:hAnsi="Times New Roman" w:cs="Times New Roman"/>
          <w:i/>
          <w:sz w:val="24"/>
          <w:szCs w:val="24"/>
        </w:rPr>
        <w:t xml:space="preserve"> Environ </w:t>
      </w:r>
      <w:proofErr w:type="spellStart"/>
      <w:r w:rsidRPr="00E73EF4">
        <w:rPr>
          <w:rFonts w:ascii="Times New Roman" w:eastAsia="Calibri" w:hAnsi="Times New Roman" w:cs="Times New Roman"/>
          <w:i/>
          <w:sz w:val="24"/>
          <w:szCs w:val="24"/>
        </w:rPr>
        <w:t>Microbiol</w:t>
      </w:r>
      <w:proofErr w:type="spellEnd"/>
      <w:r w:rsidRPr="00E73EF4">
        <w:rPr>
          <w:rFonts w:ascii="Times New Roman" w:eastAsia="Calibri" w:hAnsi="Times New Roman" w:cs="Times New Roman"/>
          <w:sz w:val="24"/>
          <w:szCs w:val="24"/>
        </w:rPr>
        <w:t xml:space="preserve"> 1989; .</w:t>
      </w:r>
      <w:r w:rsidRPr="00E73EF4">
        <w:rPr>
          <w:rFonts w:ascii="Times New Roman" w:eastAsia="Calibri" w:hAnsi="Times New Roman" w:cs="Times New Roman"/>
          <w:b/>
          <w:sz w:val="24"/>
          <w:szCs w:val="24"/>
        </w:rPr>
        <w:t>55</w:t>
      </w:r>
      <w:r w:rsidRPr="00E73EF4">
        <w:rPr>
          <w:rFonts w:ascii="Times New Roman" w:eastAsia="Calibri" w:hAnsi="Times New Roman" w:cs="Times New Roman"/>
          <w:sz w:val="24"/>
          <w:szCs w:val="24"/>
        </w:rPr>
        <w:t>: 2206-13.</w:t>
      </w:r>
    </w:p>
    <w:p w14:paraId="677FE8E4" w14:textId="77777777" w:rsidR="00692B4E" w:rsidRPr="00E73EF4" w:rsidRDefault="00692B4E" w:rsidP="00692B4E">
      <w:pPr>
        <w:pStyle w:val="ListParagraph"/>
        <w:numPr>
          <w:ilvl w:val="0"/>
          <w:numId w:val="4"/>
        </w:numPr>
        <w:spacing w:line="480" w:lineRule="auto"/>
        <w:jc w:val="both"/>
        <w:rPr>
          <w:rFonts w:ascii="Times New Roman" w:eastAsia="Calibri" w:hAnsi="Times New Roman" w:cs="Times New Roman"/>
          <w:sz w:val="24"/>
          <w:szCs w:val="24"/>
        </w:rPr>
      </w:pPr>
      <w:proofErr w:type="spellStart"/>
      <w:r w:rsidRPr="00E73EF4">
        <w:rPr>
          <w:rFonts w:ascii="Times New Roman" w:eastAsia="Calibri" w:hAnsi="Times New Roman" w:cs="Times New Roman"/>
          <w:sz w:val="24"/>
          <w:szCs w:val="24"/>
        </w:rPr>
        <w:t>Ubeda</w:t>
      </w:r>
      <w:proofErr w:type="spellEnd"/>
      <w:r w:rsidRPr="00E73EF4">
        <w:rPr>
          <w:rFonts w:ascii="Times New Roman" w:eastAsia="Calibri" w:hAnsi="Times New Roman" w:cs="Times New Roman"/>
          <w:sz w:val="24"/>
          <w:szCs w:val="24"/>
        </w:rPr>
        <w:t xml:space="preserve"> C, </w:t>
      </w:r>
      <w:proofErr w:type="spellStart"/>
      <w:r w:rsidRPr="00E73EF4">
        <w:rPr>
          <w:rFonts w:ascii="Times New Roman" w:eastAsia="Calibri" w:hAnsi="Times New Roman" w:cs="Times New Roman"/>
          <w:sz w:val="24"/>
          <w:szCs w:val="24"/>
        </w:rPr>
        <w:t>Maiques</w:t>
      </w:r>
      <w:proofErr w:type="spellEnd"/>
      <w:r w:rsidRPr="00E73EF4">
        <w:rPr>
          <w:rFonts w:ascii="Times New Roman" w:eastAsia="Calibri" w:hAnsi="Times New Roman" w:cs="Times New Roman"/>
          <w:sz w:val="24"/>
          <w:szCs w:val="24"/>
        </w:rPr>
        <w:t xml:space="preserve"> E, </w:t>
      </w:r>
      <w:proofErr w:type="spellStart"/>
      <w:r w:rsidRPr="00E73EF4">
        <w:rPr>
          <w:rFonts w:ascii="Times New Roman" w:eastAsia="Calibri" w:hAnsi="Times New Roman" w:cs="Times New Roman"/>
          <w:sz w:val="24"/>
          <w:szCs w:val="24"/>
        </w:rPr>
        <w:t>Knecht</w:t>
      </w:r>
      <w:proofErr w:type="spellEnd"/>
      <w:r w:rsidRPr="00E73EF4">
        <w:rPr>
          <w:rFonts w:ascii="Times New Roman" w:eastAsia="Calibri" w:hAnsi="Times New Roman" w:cs="Times New Roman"/>
          <w:sz w:val="24"/>
          <w:szCs w:val="24"/>
        </w:rPr>
        <w:t xml:space="preserve"> E </w:t>
      </w:r>
      <w:r w:rsidRPr="00E73EF4">
        <w:rPr>
          <w:rFonts w:ascii="Times New Roman" w:eastAsia="Calibri" w:hAnsi="Times New Roman" w:cs="Times New Roman"/>
          <w:i/>
          <w:sz w:val="24"/>
          <w:szCs w:val="24"/>
          <w:lang w:val="en-US"/>
        </w:rPr>
        <w:t>et al</w:t>
      </w:r>
      <w:r w:rsidRPr="00E73EF4">
        <w:rPr>
          <w:rFonts w:ascii="Times New Roman" w:eastAsia="Calibri" w:hAnsi="Times New Roman" w:cs="Times New Roman"/>
          <w:sz w:val="24"/>
          <w:szCs w:val="24"/>
          <w:lang w:val="en-US"/>
        </w:rPr>
        <w:t>.</w:t>
      </w:r>
      <w:r w:rsidRPr="00E73EF4">
        <w:rPr>
          <w:rFonts w:ascii="Times New Roman" w:eastAsia="Calibri" w:hAnsi="Times New Roman" w:cs="Times New Roman"/>
          <w:i/>
          <w:sz w:val="24"/>
          <w:szCs w:val="24"/>
          <w:lang w:val="en-US"/>
        </w:rPr>
        <w:t xml:space="preserve"> </w:t>
      </w:r>
      <w:r w:rsidRPr="00E73EF4">
        <w:rPr>
          <w:rFonts w:ascii="Times New Roman" w:eastAsia="Calibri" w:hAnsi="Times New Roman" w:cs="Times New Roman"/>
          <w:sz w:val="24"/>
          <w:szCs w:val="24"/>
        </w:rPr>
        <w:t xml:space="preserve">Antibiotic-induced SOS response promotes horizontal dissemination of pathogenicity island-encoded virulence factors in staphylococci. </w:t>
      </w:r>
      <w:proofErr w:type="spellStart"/>
      <w:r w:rsidRPr="00E73EF4">
        <w:rPr>
          <w:rFonts w:ascii="Times New Roman" w:eastAsia="Calibri" w:hAnsi="Times New Roman" w:cs="Times New Roman"/>
          <w:i/>
          <w:sz w:val="24"/>
          <w:szCs w:val="24"/>
        </w:rPr>
        <w:t>Mol</w:t>
      </w:r>
      <w:proofErr w:type="spellEnd"/>
      <w:r w:rsidRPr="00E73EF4">
        <w:rPr>
          <w:rFonts w:ascii="Times New Roman" w:eastAsia="Calibri" w:hAnsi="Times New Roman" w:cs="Times New Roman"/>
          <w:i/>
          <w:sz w:val="24"/>
          <w:szCs w:val="24"/>
        </w:rPr>
        <w:t xml:space="preserve"> </w:t>
      </w:r>
      <w:proofErr w:type="spellStart"/>
      <w:r w:rsidRPr="00E73EF4">
        <w:rPr>
          <w:rFonts w:ascii="Times New Roman" w:eastAsia="Calibri" w:hAnsi="Times New Roman" w:cs="Times New Roman"/>
          <w:i/>
          <w:sz w:val="24"/>
          <w:szCs w:val="24"/>
        </w:rPr>
        <w:t>Microbiol</w:t>
      </w:r>
      <w:proofErr w:type="spellEnd"/>
      <w:r w:rsidRPr="00E73EF4">
        <w:rPr>
          <w:rFonts w:ascii="Times New Roman" w:eastAsia="Calibri" w:hAnsi="Times New Roman" w:cs="Times New Roman"/>
          <w:sz w:val="24"/>
          <w:szCs w:val="24"/>
        </w:rPr>
        <w:t xml:space="preserve"> 2005; </w:t>
      </w:r>
      <w:r w:rsidRPr="00E73EF4">
        <w:rPr>
          <w:rFonts w:ascii="Times New Roman" w:eastAsia="Calibri" w:hAnsi="Times New Roman" w:cs="Times New Roman"/>
          <w:b/>
          <w:sz w:val="24"/>
          <w:szCs w:val="24"/>
        </w:rPr>
        <w:t>56</w:t>
      </w:r>
      <w:r w:rsidRPr="00E73EF4">
        <w:rPr>
          <w:rFonts w:ascii="Times New Roman" w:eastAsia="Calibri" w:hAnsi="Times New Roman" w:cs="Times New Roman"/>
          <w:sz w:val="24"/>
          <w:szCs w:val="24"/>
        </w:rPr>
        <w:t>: 836-44.</w:t>
      </w:r>
    </w:p>
    <w:p w14:paraId="19E4F70F" w14:textId="77777777" w:rsidR="00692B4E" w:rsidRPr="00E73EF4" w:rsidRDefault="00692B4E" w:rsidP="00692B4E">
      <w:pPr>
        <w:pStyle w:val="ListParagraph"/>
        <w:numPr>
          <w:ilvl w:val="0"/>
          <w:numId w:val="4"/>
        </w:numPr>
        <w:spacing w:line="480" w:lineRule="auto"/>
        <w:jc w:val="both"/>
        <w:rPr>
          <w:rFonts w:ascii="Times New Roman" w:eastAsia="Calibri" w:hAnsi="Times New Roman" w:cs="Times New Roman"/>
          <w:sz w:val="24"/>
          <w:szCs w:val="24"/>
        </w:rPr>
      </w:pPr>
      <w:proofErr w:type="spellStart"/>
      <w:r w:rsidRPr="00E73EF4">
        <w:rPr>
          <w:rFonts w:ascii="Times New Roman" w:eastAsia="Calibri" w:hAnsi="Times New Roman" w:cs="Times New Roman"/>
          <w:sz w:val="24"/>
          <w:szCs w:val="24"/>
        </w:rPr>
        <w:lastRenderedPageBreak/>
        <w:t>Schröder</w:t>
      </w:r>
      <w:proofErr w:type="spellEnd"/>
      <w:r w:rsidRPr="00E73EF4">
        <w:rPr>
          <w:rFonts w:ascii="Times New Roman" w:eastAsia="Calibri" w:hAnsi="Times New Roman" w:cs="Times New Roman"/>
          <w:sz w:val="24"/>
          <w:szCs w:val="24"/>
        </w:rPr>
        <w:t xml:space="preserve"> W, </w:t>
      </w:r>
      <w:proofErr w:type="spellStart"/>
      <w:r w:rsidRPr="00E73EF4">
        <w:rPr>
          <w:rFonts w:ascii="Times New Roman" w:eastAsia="Calibri" w:hAnsi="Times New Roman" w:cs="Times New Roman"/>
          <w:sz w:val="24"/>
          <w:szCs w:val="24"/>
        </w:rPr>
        <w:t>Goerke</w:t>
      </w:r>
      <w:proofErr w:type="spellEnd"/>
      <w:r w:rsidRPr="00E73EF4">
        <w:rPr>
          <w:rFonts w:ascii="Times New Roman" w:eastAsia="Calibri" w:hAnsi="Times New Roman" w:cs="Times New Roman"/>
          <w:sz w:val="24"/>
          <w:szCs w:val="24"/>
        </w:rPr>
        <w:t xml:space="preserve"> C, </w:t>
      </w:r>
      <w:proofErr w:type="spellStart"/>
      <w:r w:rsidRPr="00E73EF4">
        <w:rPr>
          <w:rFonts w:ascii="Times New Roman" w:eastAsia="Calibri" w:hAnsi="Times New Roman" w:cs="Times New Roman"/>
          <w:sz w:val="24"/>
          <w:szCs w:val="24"/>
        </w:rPr>
        <w:t>Wolz</w:t>
      </w:r>
      <w:proofErr w:type="spellEnd"/>
      <w:r w:rsidRPr="00E73EF4">
        <w:rPr>
          <w:rFonts w:ascii="Times New Roman" w:eastAsia="Calibri" w:hAnsi="Times New Roman" w:cs="Times New Roman"/>
          <w:sz w:val="24"/>
          <w:szCs w:val="24"/>
        </w:rPr>
        <w:t xml:space="preserve"> C. Opposing effects of </w:t>
      </w:r>
      <w:proofErr w:type="spellStart"/>
      <w:r w:rsidRPr="00E73EF4">
        <w:rPr>
          <w:rFonts w:ascii="Times New Roman" w:eastAsia="Calibri" w:hAnsi="Times New Roman" w:cs="Times New Roman"/>
          <w:sz w:val="24"/>
          <w:szCs w:val="24"/>
        </w:rPr>
        <w:t>aminocoumarins</w:t>
      </w:r>
      <w:proofErr w:type="spellEnd"/>
      <w:r w:rsidRPr="00E73EF4">
        <w:rPr>
          <w:rFonts w:ascii="Times New Roman" w:eastAsia="Calibri" w:hAnsi="Times New Roman" w:cs="Times New Roman"/>
          <w:sz w:val="24"/>
          <w:szCs w:val="24"/>
        </w:rPr>
        <w:t xml:space="preserve"> and </w:t>
      </w:r>
      <w:proofErr w:type="spellStart"/>
      <w:r w:rsidRPr="00E73EF4">
        <w:rPr>
          <w:rFonts w:ascii="Times New Roman" w:eastAsia="Calibri" w:hAnsi="Times New Roman" w:cs="Times New Roman"/>
          <w:sz w:val="24"/>
          <w:szCs w:val="24"/>
        </w:rPr>
        <w:t>fluoroquinolones</w:t>
      </w:r>
      <w:proofErr w:type="spellEnd"/>
      <w:r w:rsidRPr="00E73EF4">
        <w:rPr>
          <w:rFonts w:ascii="Times New Roman" w:eastAsia="Calibri" w:hAnsi="Times New Roman" w:cs="Times New Roman"/>
          <w:sz w:val="24"/>
          <w:szCs w:val="24"/>
        </w:rPr>
        <w:t xml:space="preserve"> on the SOS response and adaptability in Staphylococcus </w:t>
      </w:r>
      <w:proofErr w:type="spellStart"/>
      <w:r w:rsidRPr="00E73EF4">
        <w:rPr>
          <w:rFonts w:ascii="Times New Roman" w:eastAsia="Calibri" w:hAnsi="Times New Roman" w:cs="Times New Roman"/>
          <w:sz w:val="24"/>
          <w:szCs w:val="24"/>
        </w:rPr>
        <w:t>aureus</w:t>
      </w:r>
      <w:proofErr w:type="spellEnd"/>
      <w:r w:rsidRPr="00E73EF4">
        <w:rPr>
          <w:rFonts w:ascii="Times New Roman" w:eastAsia="Calibri" w:hAnsi="Times New Roman" w:cs="Times New Roman"/>
          <w:sz w:val="24"/>
          <w:szCs w:val="24"/>
        </w:rPr>
        <w:t xml:space="preserve">. J </w:t>
      </w:r>
      <w:proofErr w:type="spellStart"/>
      <w:r w:rsidRPr="00E73EF4">
        <w:rPr>
          <w:rFonts w:ascii="Times New Roman" w:eastAsia="Calibri" w:hAnsi="Times New Roman" w:cs="Times New Roman"/>
          <w:i/>
          <w:sz w:val="24"/>
          <w:szCs w:val="24"/>
        </w:rPr>
        <w:t>Antimicrob</w:t>
      </w:r>
      <w:proofErr w:type="spellEnd"/>
      <w:r w:rsidRPr="00E73EF4">
        <w:rPr>
          <w:rFonts w:ascii="Times New Roman" w:eastAsia="Calibri" w:hAnsi="Times New Roman" w:cs="Times New Roman"/>
          <w:i/>
          <w:sz w:val="24"/>
          <w:szCs w:val="24"/>
        </w:rPr>
        <w:t xml:space="preserve"> </w:t>
      </w:r>
      <w:proofErr w:type="spellStart"/>
      <w:proofErr w:type="gramStart"/>
      <w:r w:rsidRPr="00E73EF4">
        <w:rPr>
          <w:rFonts w:ascii="Times New Roman" w:eastAsia="Calibri" w:hAnsi="Times New Roman" w:cs="Times New Roman"/>
          <w:i/>
          <w:sz w:val="24"/>
          <w:szCs w:val="24"/>
        </w:rPr>
        <w:t>Chemother</w:t>
      </w:r>
      <w:proofErr w:type="spellEnd"/>
      <w:r w:rsidRPr="00E73EF4">
        <w:rPr>
          <w:rFonts w:ascii="Times New Roman" w:eastAsia="Calibri" w:hAnsi="Times New Roman" w:cs="Times New Roman"/>
          <w:sz w:val="24"/>
          <w:szCs w:val="24"/>
        </w:rPr>
        <w:t xml:space="preserve">  2013</w:t>
      </w:r>
      <w:proofErr w:type="gramEnd"/>
      <w:r w:rsidRPr="00E73EF4">
        <w:rPr>
          <w:rFonts w:ascii="Times New Roman" w:eastAsia="Calibri" w:hAnsi="Times New Roman" w:cs="Times New Roman"/>
          <w:sz w:val="24"/>
          <w:szCs w:val="24"/>
        </w:rPr>
        <w:t xml:space="preserve">; </w:t>
      </w:r>
      <w:r w:rsidRPr="00E73EF4">
        <w:rPr>
          <w:rFonts w:ascii="Times New Roman" w:eastAsia="Calibri" w:hAnsi="Times New Roman" w:cs="Times New Roman"/>
          <w:b/>
          <w:sz w:val="24"/>
          <w:szCs w:val="24"/>
        </w:rPr>
        <w:t>68</w:t>
      </w:r>
      <w:r w:rsidRPr="00E73EF4">
        <w:rPr>
          <w:rFonts w:ascii="Times New Roman" w:eastAsia="Calibri" w:hAnsi="Times New Roman" w:cs="Times New Roman"/>
          <w:sz w:val="24"/>
          <w:szCs w:val="24"/>
        </w:rPr>
        <w:t>: 529-38.</w:t>
      </w:r>
    </w:p>
    <w:p w14:paraId="7FE6C2D4" w14:textId="77777777" w:rsidR="00692B4E" w:rsidRPr="00E73EF4" w:rsidRDefault="00692B4E" w:rsidP="00692B4E">
      <w:pPr>
        <w:pStyle w:val="ListParagraph"/>
        <w:numPr>
          <w:ilvl w:val="0"/>
          <w:numId w:val="4"/>
        </w:numPr>
        <w:spacing w:line="480" w:lineRule="auto"/>
        <w:jc w:val="both"/>
        <w:rPr>
          <w:rFonts w:ascii="Times New Roman" w:eastAsia="Calibri" w:hAnsi="Times New Roman" w:cs="Times New Roman"/>
          <w:sz w:val="24"/>
          <w:szCs w:val="24"/>
          <w:lang w:val="en-US"/>
        </w:rPr>
      </w:pPr>
      <w:proofErr w:type="spellStart"/>
      <w:r w:rsidRPr="00E73EF4">
        <w:rPr>
          <w:rFonts w:ascii="Times New Roman" w:eastAsia="Calibri" w:hAnsi="Times New Roman" w:cs="Times New Roman"/>
          <w:sz w:val="24"/>
          <w:szCs w:val="24"/>
          <w:lang w:val="en-US"/>
        </w:rPr>
        <w:t>Varga</w:t>
      </w:r>
      <w:proofErr w:type="spellEnd"/>
      <w:r w:rsidRPr="00E73EF4">
        <w:rPr>
          <w:rFonts w:ascii="Times New Roman" w:eastAsia="Calibri" w:hAnsi="Times New Roman" w:cs="Times New Roman"/>
          <w:sz w:val="24"/>
          <w:szCs w:val="24"/>
          <w:lang w:val="en-US"/>
        </w:rPr>
        <w:t xml:space="preserve"> M, </w:t>
      </w:r>
      <w:proofErr w:type="spellStart"/>
      <w:r w:rsidRPr="00E73EF4">
        <w:rPr>
          <w:rFonts w:ascii="Times New Roman" w:eastAsia="Calibri" w:hAnsi="Times New Roman" w:cs="Times New Roman"/>
          <w:sz w:val="24"/>
          <w:szCs w:val="24"/>
          <w:lang w:val="en-US"/>
        </w:rPr>
        <w:t>Kuntová</w:t>
      </w:r>
      <w:proofErr w:type="spellEnd"/>
      <w:r w:rsidRPr="00E73EF4">
        <w:rPr>
          <w:rFonts w:ascii="Times New Roman" w:eastAsia="Calibri" w:hAnsi="Times New Roman" w:cs="Times New Roman"/>
          <w:sz w:val="24"/>
          <w:szCs w:val="24"/>
          <w:lang w:val="en-US"/>
        </w:rPr>
        <w:t xml:space="preserve"> L, </w:t>
      </w:r>
      <w:proofErr w:type="spellStart"/>
      <w:r w:rsidRPr="00E73EF4">
        <w:rPr>
          <w:rFonts w:ascii="Times New Roman" w:eastAsia="Calibri" w:hAnsi="Times New Roman" w:cs="Times New Roman"/>
          <w:sz w:val="24"/>
          <w:szCs w:val="24"/>
          <w:lang w:val="en-US"/>
        </w:rPr>
        <w:t>Pantůček</w:t>
      </w:r>
      <w:proofErr w:type="spellEnd"/>
      <w:r w:rsidRPr="00E73EF4">
        <w:rPr>
          <w:rFonts w:ascii="Times New Roman" w:eastAsia="Calibri" w:hAnsi="Times New Roman" w:cs="Times New Roman"/>
          <w:sz w:val="24"/>
          <w:szCs w:val="24"/>
          <w:lang w:val="en-US"/>
        </w:rPr>
        <w:t xml:space="preserve"> R </w:t>
      </w:r>
      <w:r w:rsidRPr="00E73EF4">
        <w:rPr>
          <w:rFonts w:ascii="Times New Roman" w:eastAsia="Calibri" w:hAnsi="Times New Roman" w:cs="Times New Roman"/>
          <w:i/>
          <w:sz w:val="24"/>
          <w:szCs w:val="24"/>
          <w:lang w:val="en-US"/>
        </w:rPr>
        <w:t>et al.</w:t>
      </w:r>
      <w:r w:rsidRPr="00E73EF4">
        <w:rPr>
          <w:rFonts w:ascii="Times New Roman" w:eastAsia="Calibri" w:hAnsi="Times New Roman" w:cs="Times New Roman"/>
          <w:sz w:val="24"/>
          <w:szCs w:val="24"/>
          <w:lang w:val="en-US"/>
        </w:rPr>
        <w:t xml:space="preserve"> Efficient transfer of antibiotic resistance plasmids by transduction within methicillin-resistant Staphylococcus </w:t>
      </w:r>
      <w:proofErr w:type="spellStart"/>
      <w:r w:rsidRPr="00E73EF4">
        <w:rPr>
          <w:rFonts w:ascii="Times New Roman" w:eastAsia="Calibri" w:hAnsi="Times New Roman" w:cs="Times New Roman"/>
          <w:sz w:val="24"/>
          <w:szCs w:val="24"/>
          <w:lang w:val="en-US"/>
        </w:rPr>
        <w:t>aureus</w:t>
      </w:r>
      <w:proofErr w:type="spellEnd"/>
      <w:r w:rsidRPr="00E73EF4">
        <w:rPr>
          <w:rFonts w:ascii="Times New Roman" w:eastAsia="Calibri" w:hAnsi="Times New Roman" w:cs="Times New Roman"/>
          <w:sz w:val="24"/>
          <w:szCs w:val="24"/>
          <w:lang w:val="en-US"/>
        </w:rPr>
        <w:t xml:space="preserve"> USA300 clone. </w:t>
      </w:r>
      <w:r w:rsidRPr="00E73EF4">
        <w:rPr>
          <w:rFonts w:ascii="Times New Roman" w:eastAsia="Calibri" w:hAnsi="Times New Roman" w:cs="Times New Roman"/>
          <w:i/>
          <w:sz w:val="24"/>
          <w:szCs w:val="24"/>
          <w:lang w:val="en-US"/>
        </w:rPr>
        <w:t xml:space="preserve">FEMS </w:t>
      </w:r>
      <w:proofErr w:type="spellStart"/>
      <w:r w:rsidRPr="00E73EF4">
        <w:rPr>
          <w:rFonts w:ascii="Times New Roman" w:eastAsia="Calibri" w:hAnsi="Times New Roman" w:cs="Times New Roman"/>
          <w:i/>
          <w:sz w:val="24"/>
          <w:szCs w:val="24"/>
          <w:lang w:val="en-US"/>
        </w:rPr>
        <w:t>Microbiol</w:t>
      </w:r>
      <w:proofErr w:type="spellEnd"/>
      <w:r w:rsidRPr="00E73EF4">
        <w:rPr>
          <w:rFonts w:ascii="Times New Roman" w:eastAsia="Calibri" w:hAnsi="Times New Roman" w:cs="Times New Roman"/>
          <w:i/>
          <w:sz w:val="24"/>
          <w:szCs w:val="24"/>
          <w:lang w:val="en-US"/>
        </w:rPr>
        <w:t xml:space="preserve"> </w:t>
      </w:r>
      <w:proofErr w:type="spellStart"/>
      <w:r w:rsidRPr="00E73EF4">
        <w:rPr>
          <w:rFonts w:ascii="Times New Roman" w:eastAsia="Calibri" w:hAnsi="Times New Roman" w:cs="Times New Roman"/>
          <w:i/>
          <w:sz w:val="24"/>
          <w:szCs w:val="24"/>
          <w:lang w:val="en-US"/>
        </w:rPr>
        <w:t>Lett</w:t>
      </w:r>
      <w:proofErr w:type="spellEnd"/>
      <w:r w:rsidRPr="00E73EF4">
        <w:rPr>
          <w:rFonts w:ascii="Times New Roman" w:eastAsia="Calibri" w:hAnsi="Times New Roman" w:cs="Times New Roman"/>
          <w:sz w:val="24"/>
          <w:szCs w:val="24"/>
          <w:lang w:val="en-US"/>
        </w:rPr>
        <w:t xml:space="preserve"> 2012; </w:t>
      </w:r>
      <w:r w:rsidRPr="00E73EF4">
        <w:rPr>
          <w:rFonts w:ascii="Times New Roman" w:eastAsia="Calibri" w:hAnsi="Times New Roman" w:cs="Times New Roman"/>
          <w:b/>
          <w:sz w:val="24"/>
          <w:szCs w:val="24"/>
          <w:lang w:val="en-US"/>
        </w:rPr>
        <w:t>332</w:t>
      </w:r>
      <w:r w:rsidRPr="00E73EF4">
        <w:rPr>
          <w:rFonts w:ascii="Times New Roman" w:eastAsia="Calibri" w:hAnsi="Times New Roman" w:cs="Times New Roman"/>
          <w:sz w:val="24"/>
          <w:szCs w:val="24"/>
          <w:lang w:val="en-US"/>
        </w:rPr>
        <w:t>: 146-52.</w:t>
      </w:r>
    </w:p>
    <w:p w14:paraId="52CD2AB0" w14:textId="77777777" w:rsidR="00692B4E" w:rsidRPr="00E73EF4" w:rsidRDefault="00692B4E" w:rsidP="00692B4E">
      <w:pPr>
        <w:pStyle w:val="ListParagraph"/>
        <w:numPr>
          <w:ilvl w:val="0"/>
          <w:numId w:val="4"/>
        </w:numPr>
        <w:spacing w:line="480" w:lineRule="auto"/>
        <w:jc w:val="both"/>
        <w:rPr>
          <w:rFonts w:ascii="Times New Roman" w:eastAsia="Calibri" w:hAnsi="Times New Roman" w:cs="Times New Roman"/>
          <w:sz w:val="24"/>
          <w:szCs w:val="24"/>
        </w:rPr>
      </w:pPr>
      <w:r w:rsidRPr="00E73EF4">
        <w:rPr>
          <w:rFonts w:ascii="Times New Roman" w:eastAsia="Calibri" w:hAnsi="Times New Roman" w:cs="Times New Roman"/>
          <w:sz w:val="24"/>
          <w:szCs w:val="24"/>
        </w:rPr>
        <w:t xml:space="preserve">Ferrer MD, </w:t>
      </w:r>
      <w:proofErr w:type="spellStart"/>
      <w:r w:rsidRPr="00E73EF4">
        <w:rPr>
          <w:rFonts w:ascii="Times New Roman" w:eastAsia="Calibri" w:hAnsi="Times New Roman" w:cs="Times New Roman"/>
          <w:sz w:val="24"/>
          <w:szCs w:val="24"/>
        </w:rPr>
        <w:t>Quiles-Puchalt</w:t>
      </w:r>
      <w:proofErr w:type="spellEnd"/>
      <w:r w:rsidRPr="00E73EF4">
        <w:rPr>
          <w:rFonts w:ascii="Times New Roman" w:eastAsia="Calibri" w:hAnsi="Times New Roman" w:cs="Times New Roman"/>
          <w:sz w:val="24"/>
          <w:szCs w:val="24"/>
        </w:rPr>
        <w:t xml:space="preserve"> N, Harwich MD </w:t>
      </w:r>
      <w:r w:rsidRPr="00E73EF4">
        <w:rPr>
          <w:rFonts w:ascii="Times New Roman" w:eastAsia="Calibri" w:hAnsi="Times New Roman" w:cs="Times New Roman"/>
          <w:i/>
          <w:sz w:val="24"/>
          <w:szCs w:val="24"/>
          <w:lang w:val="en-US"/>
        </w:rPr>
        <w:t>et al.</w:t>
      </w:r>
      <w:r w:rsidRPr="00E73EF4">
        <w:rPr>
          <w:rFonts w:ascii="Times New Roman" w:eastAsia="Calibri" w:hAnsi="Times New Roman" w:cs="Times New Roman"/>
          <w:sz w:val="24"/>
          <w:szCs w:val="24"/>
          <w:lang w:val="en-US"/>
        </w:rPr>
        <w:t xml:space="preserve"> </w:t>
      </w:r>
      <w:proofErr w:type="spellStart"/>
      <w:r w:rsidRPr="00E73EF4">
        <w:rPr>
          <w:rFonts w:ascii="Times New Roman" w:eastAsia="Calibri" w:hAnsi="Times New Roman" w:cs="Times New Roman"/>
          <w:sz w:val="24"/>
          <w:szCs w:val="24"/>
        </w:rPr>
        <w:t>RinA</w:t>
      </w:r>
      <w:proofErr w:type="spellEnd"/>
      <w:r w:rsidRPr="00E73EF4">
        <w:rPr>
          <w:rFonts w:ascii="Times New Roman" w:eastAsia="Calibri" w:hAnsi="Times New Roman" w:cs="Times New Roman"/>
          <w:sz w:val="24"/>
          <w:szCs w:val="24"/>
        </w:rPr>
        <w:t xml:space="preserve"> controls phage-mediated packaging and transfer of virulence genes in Gram-positive bacteria. </w:t>
      </w:r>
      <w:r w:rsidRPr="00E73EF4">
        <w:rPr>
          <w:rFonts w:ascii="Times New Roman" w:eastAsia="Calibri" w:hAnsi="Times New Roman" w:cs="Times New Roman"/>
          <w:i/>
          <w:sz w:val="24"/>
          <w:szCs w:val="24"/>
        </w:rPr>
        <w:t>Nucleic Acids Res</w:t>
      </w:r>
      <w:r w:rsidRPr="00E73EF4">
        <w:rPr>
          <w:rFonts w:ascii="Times New Roman" w:eastAsia="Calibri" w:hAnsi="Times New Roman" w:cs="Times New Roman"/>
          <w:sz w:val="24"/>
          <w:szCs w:val="24"/>
        </w:rPr>
        <w:t xml:space="preserve"> 2011; .</w:t>
      </w:r>
      <w:r w:rsidRPr="00E73EF4">
        <w:rPr>
          <w:rFonts w:ascii="Times New Roman" w:eastAsia="Calibri" w:hAnsi="Times New Roman" w:cs="Times New Roman"/>
          <w:b/>
          <w:sz w:val="24"/>
          <w:szCs w:val="24"/>
        </w:rPr>
        <w:t>39</w:t>
      </w:r>
      <w:r w:rsidRPr="00E73EF4">
        <w:rPr>
          <w:rFonts w:ascii="Times New Roman" w:eastAsia="Calibri" w:hAnsi="Times New Roman" w:cs="Times New Roman"/>
          <w:sz w:val="24"/>
          <w:szCs w:val="24"/>
        </w:rPr>
        <w:t>: 5866-78.</w:t>
      </w:r>
    </w:p>
    <w:p w14:paraId="1C1511AD" w14:textId="77777777" w:rsidR="00692B4E" w:rsidRPr="00E73EF4" w:rsidRDefault="00692B4E" w:rsidP="00692B4E">
      <w:pPr>
        <w:pStyle w:val="ListParagraph"/>
        <w:numPr>
          <w:ilvl w:val="0"/>
          <w:numId w:val="4"/>
        </w:numPr>
        <w:spacing w:line="480" w:lineRule="auto"/>
        <w:rPr>
          <w:rFonts w:ascii="Times New Roman" w:eastAsia="Calibri" w:hAnsi="Times New Roman" w:cs="Times New Roman"/>
          <w:sz w:val="24"/>
          <w:szCs w:val="24"/>
        </w:rPr>
      </w:pPr>
      <w:r w:rsidRPr="00E73EF4">
        <w:rPr>
          <w:rFonts w:ascii="Times New Roman" w:eastAsia="Calibri" w:hAnsi="Times New Roman" w:cs="Times New Roman"/>
          <w:sz w:val="24"/>
          <w:szCs w:val="24"/>
        </w:rPr>
        <w:t>Lindsay JA</w:t>
      </w:r>
      <w:proofErr w:type="gramStart"/>
      <w:r w:rsidRPr="00E73EF4">
        <w:rPr>
          <w:rFonts w:ascii="Times New Roman" w:eastAsia="Calibri" w:hAnsi="Times New Roman" w:cs="Times New Roman"/>
          <w:sz w:val="24"/>
          <w:szCs w:val="24"/>
        </w:rPr>
        <w:t xml:space="preserve">,  </w:t>
      </w:r>
      <w:proofErr w:type="spellStart"/>
      <w:r w:rsidRPr="00E73EF4">
        <w:rPr>
          <w:rFonts w:ascii="Times New Roman" w:eastAsia="Calibri" w:hAnsi="Times New Roman" w:cs="Times New Roman"/>
          <w:sz w:val="24"/>
          <w:szCs w:val="24"/>
        </w:rPr>
        <w:t>Ruzin</w:t>
      </w:r>
      <w:proofErr w:type="spellEnd"/>
      <w:proofErr w:type="gramEnd"/>
      <w:r w:rsidRPr="00E73EF4">
        <w:rPr>
          <w:rFonts w:ascii="Times New Roman" w:eastAsia="Calibri" w:hAnsi="Times New Roman" w:cs="Times New Roman"/>
          <w:sz w:val="24"/>
          <w:szCs w:val="24"/>
        </w:rPr>
        <w:t xml:space="preserve"> A,  Ross HF </w:t>
      </w:r>
      <w:r w:rsidRPr="00E73EF4">
        <w:rPr>
          <w:rFonts w:ascii="Times New Roman" w:eastAsia="Calibri" w:hAnsi="Times New Roman" w:cs="Times New Roman"/>
          <w:i/>
          <w:sz w:val="24"/>
          <w:szCs w:val="24"/>
          <w:lang w:val="en-US"/>
        </w:rPr>
        <w:t>et al.</w:t>
      </w:r>
      <w:r w:rsidRPr="00E73EF4">
        <w:rPr>
          <w:rFonts w:ascii="Times New Roman" w:eastAsia="Calibri" w:hAnsi="Times New Roman" w:cs="Times New Roman"/>
          <w:sz w:val="24"/>
          <w:szCs w:val="24"/>
          <w:lang w:val="en-US"/>
        </w:rPr>
        <w:t xml:space="preserve"> </w:t>
      </w:r>
      <w:r w:rsidRPr="00E73EF4">
        <w:rPr>
          <w:rFonts w:ascii="Times New Roman" w:eastAsia="Calibri" w:hAnsi="Times New Roman" w:cs="Times New Roman"/>
          <w:sz w:val="24"/>
          <w:szCs w:val="24"/>
        </w:rPr>
        <w:t xml:space="preserve"> The gene for toxic shock toxin is carried by a family of mobile pathogenicity islands in Staphylococcus </w:t>
      </w:r>
      <w:proofErr w:type="spellStart"/>
      <w:r w:rsidRPr="00E73EF4">
        <w:rPr>
          <w:rFonts w:ascii="Times New Roman" w:eastAsia="Calibri" w:hAnsi="Times New Roman" w:cs="Times New Roman"/>
          <w:sz w:val="24"/>
          <w:szCs w:val="24"/>
        </w:rPr>
        <w:t>aureus</w:t>
      </w:r>
      <w:proofErr w:type="spellEnd"/>
      <w:r w:rsidRPr="00E73EF4">
        <w:rPr>
          <w:rFonts w:ascii="Times New Roman" w:eastAsia="Calibri" w:hAnsi="Times New Roman" w:cs="Times New Roman"/>
          <w:sz w:val="24"/>
          <w:szCs w:val="24"/>
        </w:rPr>
        <w:t>.</w:t>
      </w:r>
      <w:r w:rsidRPr="00E73EF4">
        <w:t xml:space="preserve"> </w:t>
      </w:r>
      <w:proofErr w:type="spellStart"/>
      <w:r w:rsidRPr="00E73EF4">
        <w:rPr>
          <w:rFonts w:ascii="Times New Roman" w:eastAsia="Calibri" w:hAnsi="Times New Roman" w:cs="Times New Roman"/>
          <w:i/>
          <w:sz w:val="24"/>
          <w:szCs w:val="24"/>
        </w:rPr>
        <w:t>Mol</w:t>
      </w:r>
      <w:proofErr w:type="spellEnd"/>
      <w:r w:rsidRPr="00E73EF4">
        <w:rPr>
          <w:rFonts w:ascii="Times New Roman" w:eastAsia="Calibri" w:hAnsi="Times New Roman" w:cs="Times New Roman"/>
          <w:i/>
          <w:sz w:val="24"/>
          <w:szCs w:val="24"/>
        </w:rPr>
        <w:t xml:space="preserve"> </w:t>
      </w:r>
      <w:proofErr w:type="spellStart"/>
      <w:r w:rsidRPr="00E73EF4">
        <w:rPr>
          <w:rFonts w:ascii="Times New Roman" w:eastAsia="Calibri" w:hAnsi="Times New Roman" w:cs="Times New Roman"/>
          <w:i/>
          <w:sz w:val="24"/>
          <w:szCs w:val="24"/>
        </w:rPr>
        <w:t>Microbiol</w:t>
      </w:r>
      <w:proofErr w:type="spellEnd"/>
      <w:r w:rsidRPr="00E73EF4">
        <w:rPr>
          <w:rFonts w:ascii="Times New Roman" w:eastAsia="Calibri" w:hAnsi="Times New Roman" w:cs="Times New Roman"/>
          <w:sz w:val="24"/>
          <w:szCs w:val="24"/>
        </w:rPr>
        <w:t xml:space="preserve"> 1998; </w:t>
      </w:r>
      <w:r w:rsidRPr="00E73EF4">
        <w:rPr>
          <w:rFonts w:ascii="Times New Roman" w:eastAsia="Calibri" w:hAnsi="Times New Roman" w:cs="Times New Roman"/>
          <w:b/>
          <w:sz w:val="24"/>
          <w:szCs w:val="24"/>
        </w:rPr>
        <w:t>29</w:t>
      </w:r>
      <w:r w:rsidRPr="00E73EF4">
        <w:rPr>
          <w:rFonts w:ascii="Times New Roman" w:eastAsia="Calibri" w:hAnsi="Times New Roman" w:cs="Times New Roman"/>
          <w:sz w:val="24"/>
          <w:szCs w:val="24"/>
        </w:rPr>
        <w:t>: 527-43.</w:t>
      </w:r>
    </w:p>
    <w:p w14:paraId="68C19A33" w14:textId="77777777" w:rsidR="00692B4E" w:rsidRPr="00E73EF4" w:rsidRDefault="00692B4E" w:rsidP="00F91776">
      <w:pPr>
        <w:spacing w:line="480" w:lineRule="auto"/>
        <w:ind w:firstLine="720"/>
        <w:jc w:val="both"/>
        <w:rPr>
          <w:rFonts w:ascii="Times New Roman" w:hAnsi="Times New Roman" w:cs="Times New Roman"/>
          <w:b/>
          <w:sz w:val="24"/>
          <w:szCs w:val="24"/>
        </w:rPr>
      </w:pPr>
    </w:p>
    <w:p w14:paraId="4C6F589F" w14:textId="5A7461E7" w:rsidR="003D0722" w:rsidRPr="00E73EF4" w:rsidRDefault="003D0722">
      <w:pPr>
        <w:rPr>
          <w:rFonts w:ascii="Times New Roman" w:eastAsia="Calibri" w:hAnsi="Times New Roman" w:cs="Times New Roman"/>
          <w:sz w:val="24"/>
          <w:szCs w:val="24"/>
          <w:lang w:val="en-US"/>
        </w:rPr>
      </w:pPr>
    </w:p>
    <w:p w14:paraId="30DD8562" w14:textId="77777777" w:rsidR="003D0722" w:rsidRPr="00E73EF4" w:rsidRDefault="003D0722" w:rsidP="00B6049E">
      <w:pPr>
        <w:spacing w:line="480" w:lineRule="auto"/>
        <w:jc w:val="both"/>
        <w:rPr>
          <w:rFonts w:ascii="Times New Roman" w:hAnsi="Times New Roman" w:cs="Times New Roman"/>
          <w:sz w:val="24"/>
          <w:szCs w:val="24"/>
        </w:rPr>
      </w:pPr>
    </w:p>
    <w:p w14:paraId="2A52F53C" w14:textId="77777777" w:rsidR="00276377" w:rsidRPr="00E73EF4" w:rsidRDefault="00276377">
      <w:pPr>
        <w:rPr>
          <w:rFonts w:ascii="Times New Roman" w:eastAsia="Calibri" w:hAnsi="Times New Roman" w:cs="Times New Roman"/>
          <w:b/>
          <w:sz w:val="24"/>
          <w:szCs w:val="24"/>
          <w:lang w:val="en-US"/>
        </w:rPr>
      </w:pPr>
      <w:r w:rsidRPr="00E73EF4">
        <w:rPr>
          <w:rFonts w:ascii="Times New Roman" w:eastAsia="Calibri" w:hAnsi="Times New Roman" w:cs="Times New Roman"/>
          <w:b/>
          <w:sz w:val="24"/>
          <w:szCs w:val="24"/>
          <w:lang w:val="en-US"/>
        </w:rPr>
        <w:br w:type="page"/>
      </w:r>
    </w:p>
    <w:p w14:paraId="3D52CFA7" w14:textId="30F1FAC4" w:rsidR="00E64C48" w:rsidRPr="00E73EF4" w:rsidRDefault="003D0722" w:rsidP="00A95DD4">
      <w:pPr>
        <w:autoSpaceDE w:val="0"/>
        <w:autoSpaceDN w:val="0"/>
        <w:adjustRightInd w:val="0"/>
        <w:spacing w:line="480" w:lineRule="auto"/>
        <w:jc w:val="both"/>
        <w:rPr>
          <w:rFonts w:ascii="Times New Roman" w:eastAsia="Calibri" w:hAnsi="Times New Roman" w:cs="Times New Roman"/>
          <w:sz w:val="24"/>
          <w:szCs w:val="24"/>
        </w:rPr>
      </w:pPr>
      <w:r w:rsidRPr="00E73EF4">
        <w:rPr>
          <w:rFonts w:ascii="Times New Roman" w:eastAsia="Calibri" w:hAnsi="Times New Roman" w:cs="Times New Roman"/>
          <w:b/>
          <w:sz w:val="24"/>
          <w:szCs w:val="24"/>
          <w:lang w:val="en-US"/>
        </w:rPr>
        <w:lastRenderedPageBreak/>
        <w:t xml:space="preserve">Figure 1. </w:t>
      </w:r>
      <w:r w:rsidR="0066447E" w:rsidRPr="00E73EF4">
        <w:rPr>
          <w:rFonts w:ascii="Times New Roman" w:eastAsia="Calibri" w:hAnsi="Times New Roman" w:cs="Times New Roman"/>
          <w:b/>
          <w:sz w:val="24"/>
          <w:szCs w:val="24"/>
          <w:lang w:val="en-US"/>
        </w:rPr>
        <w:t xml:space="preserve">Sub-inhibitory antibiotics induce lytic and transducing particles in different ratios. </w:t>
      </w:r>
      <w:r w:rsidR="004D5FEB" w:rsidRPr="00E73EF4">
        <w:rPr>
          <w:rFonts w:ascii="Times New Roman" w:eastAsia="Calibri" w:hAnsi="Times New Roman" w:cs="Times New Roman"/>
          <w:sz w:val="24"/>
          <w:szCs w:val="24"/>
          <w:lang w:val="en-US"/>
        </w:rPr>
        <w:t>a</w:t>
      </w:r>
      <w:r w:rsidR="0066447E" w:rsidRPr="00E73EF4">
        <w:rPr>
          <w:rFonts w:ascii="Times New Roman" w:eastAsia="Calibri" w:hAnsi="Times New Roman" w:cs="Times New Roman"/>
          <w:sz w:val="24"/>
          <w:szCs w:val="24"/>
          <w:lang w:val="en-US"/>
        </w:rPr>
        <w:t xml:space="preserve">) </w:t>
      </w:r>
      <w:r w:rsidR="003C09E0" w:rsidRPr="00E73EF4">
        <w:rPr>
          <w:rFonts w:ascii="Times New Roman" w:eastAsia="Calibri" w:hAnsi="Times New Roman" w:cs="Times New Roman"/>
          <w:sz w:val="24"/>
          <w:szCs w:val="24"/>
          <w:lang w:val="en-US"/>
        </w:rPr>
        <w:t>Transduction</w:t>
      </w:r>
      <w:r w:rsidR="0066447E" w:rsidRPr="00E73EF4">
        <w:rPr>
          <w:rFonts w:ascii="Times New Roman" w:eastAsia="Calibri" w:hAnsi="Times New Roman" w:cs="Times New Roman"/>
          <w:sz w:val="24"/>
          <w:szCs w:val="24"/>
          <w:lang w:val="en-US"/>
        </w:rPr>
        <w:t xml:space="preserve"> of </w:t>
      </w:r>
      <w:proofErr w:type="spellStart"/>
      <w:r w:rsidR="00296BE3" w:rsidRPr="00E73EF4">
        <w:rPr>
          <w:rFonts w:ascii="Times New Roman" w:eastAsia="Calibri" w:hAnsi="Times New Roman" w:cs="Times New Roman"/>
          <w:i/>
          <w:sz w:val="24"/>
          <w:szCs w:val="24"/>
          <w:lang w:val="en-US"/>
        </w:rPr>
        <w:t>ermC</w:t>
      </w:r>
      <w:proofErr w:type="spellEnd"/>
      <w:r w:rsidR="0066447E" w:rsidRPr="00E73EF4">
        <w:rPr>
          <w:rFonts w:ascii="Times New Roman" w:eastAsia="Calibri" w:hAnsi="Times New Roman" w:cs="Times New Roman"/>
          <w:sz w:val="24"/>
          <w:szCs w:val="24"/>
          <w:lang w:val="en-US"/>
        </w:rPr>
        <w:t xml:space="preserve"> using </w:t>
      </w:r>
      <w:r w:rsidR="00D45801" w:rsidRPr="00E73EF4">
        <w:rPr>
          <w:rFonts w:ascii="Times New Roman" w:eastAsia="Calibri" w:hAnsi="Times New Roman" w:cs="Times New Roman"/>
          <w:sz w:val="24"/>
          <w:szCs w:val="24"/>
          <w:lang w:val="en-US"/>
        </w:rPr>
        <w:t>phage preparations</w:t>
      </w:r>
      <w:r w:rsidR="0066447E" w:rsidRPr="00E73EF4">
        <w:rPr>
          <w:rFonts w:ascii="Times New Roman" w:eastAsia="Calibri" w:hAnsi="Times New Roman" w:cs="Times New Roman"/>
          <w:sz w:val="24"/>
          <w:szCs w:val="24"/>
          <w:lang w:val="en-US"/>
        </w:rPr>
        <w:t xml:space="preserve"> treated with antibiotics </w:t>
      </w:r>
      <w:r w:rsidR="00514E4D" w:rsidRPr="00E73EF4">
        <w:rPr>
          <w:rFonts w:ascii="Times New Roman" w:eastAsia="Calibri" w:hAnsi="Times New Roman" w:cs="Times New Roman"/>
          <w:sz w:val="24"/>
          <w:szCs w:val="24"/>
          <w:lang w:val="en-US"/>
        </w:rPr>
        <w:t xml:space="preserve">to recipient cells </w:t>
      </w:r>
      <w:r w:rsidR="0066447E" w:rsidRPr="00E73EF4">
        <w:rPr>
          <w:rFonts w:ascii="Times New Roman" w:eastAsia="Calibri" w:hAnsi="Times New Roman" w:cs="Times New Roman"/>
          <w:sz w:val="24"/>
          <w:szCs w:val="24"/>
          <w:lang w:val="en-US"/>
        </w:rPr>
        <w:t>was significantly higher than without</w:t>
      </w:r>
      <w:r w:rsidR="00E64C48" w:rsidRPr="00E73EF4">
        <w:rPr>
          <w:rFonts w:ascii="Times New Roman" w:eastAsia="Calibri" w:hAnsi="Times New Roman" w:cs="Times New Roman"/>
          <w:sz w:val="24"/>
          <w:szCs w:val="24"/>
          <w:lang w:val="en-US"/>
        </w:rPr>
        <w:t xml:space="preserve"> antibiotics</w:t>
      </w:r>
      <w:r w:rsidR="0066447E" w:rsidRPr="00E73EF4">
        <w:rPr>
          <w:rFonts w:ascii="Times New Roman" w:eastAsia="Calibri" w:hAnsi="Times New Roman" w:cs="Times New Roman"/>
          <w:sz w:val="24"/>
          <w:szCs w:val="24"/>
          <w:lang w:val="en-US"/>
        </w:rPr>
        <w:t xml:space="preserve"> (no </w:t>
      </w:r>
      <w:proofErr w:type="spellStart"/>
      <w:r w:rsidR="0066447E" w:rsidRPr="00E73EF4">
        <w:rPr>
          <w:rFonts w:ascii="Times New Roman" w:eastAsia="Calibri" w:hAnsi="Times New Roman" w:cs="Times New Roman"/>
          <w:sz w:val="24"/>
          <w:szCs w:val="24"/>
          <w:lang w:val="en-US"/>
        </w:rPr>
        <w:t>transductants</w:t>
      </w:r>
      <w:proofErr w:type="spellEnd"/>
      <w:r w:rsidR="00E64C48" w:rsidRPr="00E73EF4">
        <w:rPr>
          <w:rFonts w:ascii="Times New Roman" w:eastAsia="Calibri" w:hAnsi="Times New Roman" w:cs="Times New Roman"/>
          <w:sz w:val="24"/>
          <w:szCs w:val="24"/>
          <w:lang w:val="en-US"/>
        </w:rPr>
        <w:t xml:space="preserve"> detected</w:t>
      </w:r>
      <w:r w:rsidR="0066447E" w:rsidRPr="00E73EF4">
        <w:rPr>
          <w:rFonts w:ascii="Times New Roman" w:eastAsia="Calibri" w:hAnsi="Times New Roman" w:cs="Times New Roman"/>
          <w:sz w:val="24"/>
          <w:szCs w:val="24"/>
          <w:lang w:val="en-US"/>
        </w:rPr>
        <w:t>)</w:t>
      </w:r>
      <w:r w:rsidR="007E61B3" w:rsidRPr="00E73EF4">
        <w:rPr>
          <w:rFonts w:ascii="Times New Roman" w:eastAsia="Calibri" w:hAnsi="Times New Roman" w:cs="Times New Roman"/>
          <w:sz w:val="24"/>
          <w:szCs w:val="24"/>
          <w:lang w:val="en-US"/>
        </w:rPr>
        <w:t>.</w:t>
      </w:r>
      <w:r w:rsidR="0066447E" w:rsidRPr="00E73EF4">
        <w:rPr>
          <w:rFonts w:ascii="Times New Roman" w:eastAsia="Calibri" w:hAnsi="Times New Roman" w:cs="Times New Roman"/>
          <w:sz w:val="24"/>
          <w:szCs w:val="24"/>
          <w:lang w:val="en-US"/>
        </w:rPr>
        <w:t xml:space="preserve"> </w:t>
      </w:r>
      <w:r w:rsidR="004D5FEB" w:rsidRPr="00E73EF4">
        <w:rPr>
          <w:rFonts w:ascii="Times New Roman" w:eastAsia="Calibri" w:hAnsi="Times New Roman" w:cs="Times New Roman"/>
          <w:sz w:val="24"/>
          <w:szCs w:val="24"/>
          <w:lang w:val="en-US"/>
        </w:rPr>
        <w:t>b</w:t>
      </w:r>
      <w:r w:rsidR="0066447E" w:rsidRPr="00E73EF4">
        <w:rPr>
          <w:rFonts w:ascii="Times New Roman" w:eastAsia="Calibri" w:hAnsi="Times New Roman" w:cs="Times New Roman"/>
          <w:sz w:val="24"/>
          <w:szCs w:val="24"/>
          <w:lang w:val="en-US"/>
        </w:rPr>
        <w:t xml:space="preserve">) </w:t>
      </w:r>
      <w:r w:rsidR="00E64C48" w:rsidRPr="00E73EF4">
        <w:rPr>
          <w:rFonts w:ascii="Times New Roman" w:eastAsia="Calibri" w:hAnsi="Times New Roman" w:cs="Times New Roman"/>
          <w:sz w:val="24"/>
          <w:szCs w:val="24"/>
          <w:lang w:val="en-US"/>
        </w:rPr>
        <w:t xml:space="preserve">Lytic phage counted on RN4220 from the same </w:t>
      </w:r>
      <w:r w:rsidR="00D45801" w:rsidRPr="00E73EF4">
        <w:rPr>
          <w:rFonts w:ascii="Times New Roman" w:eastAsia="Calibri" w:hAnsi="Times New Roman" w:cs="Times New Roman"/>
          <w:sz w:val="24"/>
          <w:szCs w:val="24"/>
          <w:lang w:val="en-US"/>
        </w:rPr>
        <w:t>phage preparations</w:t>
      </w:r>
      <w:r w:rsidR="00E64C48" w:rsidRPr="00E73EF4">
        <w:rPr>
          <w:rFonts w:ascii="Times New Roman" w:eastAsia="Calibri" w:hAnsi="Times New Roman" w:cs="Times New Roman"/>
          <w:sz w:val="24"/>
          <w:szCs w:val="24"/>
          <w:lang w:val="en-US"/>
        </w:rPr>
        <w:t xml:space="preserve"> was also significantly higher than without antibiotics. </w:t>
      </w:r>
      <w:r w:rsidR="007E61B3" w:rsidRPr="00E73EF4">
        <w:rPr>
          <w:rFonts w:ascii="Times New Roman" w:eastAsia="Calibri" w:hAnsi="Times New Roman" w:cs="Times New Roman"/>
          <w:sz w:val="24"/>
          <w:szCs w:val="24"/>
          <w:lang w:val="en-US"/>
        </w:rPr>
        <w:t xml:space="preserve">a) </w:t>
      </w:r>
      <w:proofErr w:type="gramStart"/>
      <w:r w:rsidR="007E61B3" w:rsidRPr="00E73EF4">
        <w:rPr>
          <w:rFonts w:ascii="Times New Roman" w:eastAsia="Calibri" w:hAnsi="Times New Roman" w:cs="Times New Roman"/>
          <w:sz w:val="24"/>
          <w:szCs w:val="24"/>
          <w:lang w:val="en-US"/>
        </w:rPr>
        <w:t>and</w:t>
      </w:r>
      <w:proofErr w:type="gramEnd"/>
      <w:r w:rsidR="007E61B3" w:rsidRPr="00E73EF4">
        <w:rPr>
          <w:rFonts w:ascii="Times New Roman" w:eastAsia="Calibri" w:hAnsi="Times New Roman" w:cs="Times New Roman"/>
          <w:sz w:val="24"/>
          <w:szCs w:val="24"/>
          <w:lang w:val="en-US"/>
        </w:rPr>
        <w:t xml:space="preserve"> b) are the m</w:t>
      </w:r>
      <w:r w:rsidR="0066447E" w:rsidRPr="00E73EF4">
        <w:rPr>
          <w:rFonts w:ascii="Times New Roman" w:eastAsia="Calibri" w:hAnsi="Times New Roman" w:cs="Times New Roman"/>
          <w:sz w:val="24"/>
          <w:szCs w:val="24"/>
          <w:lang w:val="en-US"/>
        </w:rPr>
        <w:t xml:space="preserve">ean of at least three experiments in triplicate ± S.D, </w:t>
      </w:r>
      <w:r w:rsidR="0066447E" w:rsidRPr="00E73EF4">
        <w:rPr>
          <w:rFonts w:ascii="Times New Roman" w:eastAsia="Calibri" w:hAnsi="Times New Roman" w:cs="Times New Roman"/>
          <w:sz w:val="24"/>
          <w:szCs w:val="24"/>
        </w:rPr>
        <w:t>* p &lt;. 0.05; ** p &lt; 0.01.</w:t>
      </w:r>
      <w:r w:rsidR="00E64C48" w:rsidRPr="00E73EF4">
        <w:rPr>
          <w:rFonts w:ascii="Times New Roman" w:eastAsia="Calibri" w:hAnsi="Times New Roman" w:cs="Times New Roman"/>
          <w:sz w:val="24"/>
          <w:szCs w:val="24"/>
        </w:rPr>
        <w:t xml:space="preserve"> </w:t>
      </w:r>
      <w:r w:rsidR="004D5FEB" w:rsidRPr="00E73EF4">
        <w:rPr>
          <w:rFonts w:ascii="Times New Roman" w:eastAsia="Calibri" w:hAnsi="Times New Roman" w:cs="Times New Roman"/>
          <w:sz w:val="24"/>
          <w:szCs w:val="24"/>
        </w:rPr>
        <w:t>c</w:t>
      </w:r>
      <w:r w:rsidR="00E64C48" w:rsidRPr="00E73EF4">
        <w:rPr>
          <w:rFonts w:ascii="Times New Roman" w:eastAsia="Calibri" w:hAnsi="Times New Roman" w:cs="Times New Roman"/>
          <w:sz w:val="24"/>
          <w:szCs w:val="24"/>
        </w:rPr>
        <w:t xml:space="preserve">) The </w:t>
      </w:r>
      <w:r w:rsidR="00E64C48" w:rsidRPr="00E73EF4">
        <w:rPr>
          <w:rFonts w:ascii="Times New Roman" w:eastAsia="Times New Roman" w:hAnsi="Times New Roman" w:cs="Times New Roman"/>
          <w:color w:val="000000"/>
          <w:kern w:val="24"/>
          <w:sz w:val="24"/>
          <w:szCs w:val="24"/>
        </w:rPr>
        <w:t>correlation between transducing particles and lytic phage for each</w:t>
      </w:r>
      <w:r w:rsidR="00514E4D" w:rsidRPr="00E73EF4">
        <w:rPr>
          <w:rFonts w:ascii="Times New Roman" w:eastAsia="Times New Roman" w:hAnsi="Times New Roman" w:cs="Times New Roman"/>
          <w:color w:val="000000"/>
          <w:kern w:val="24"/>
          <w:sz w:val="24"/>
          <w:szCs w:val="24"/>
        </w:rPr>
        <w:t xml:space="preserve"> </w:t>
      </w:r>
      <w:r w:rsidR="00D45801" w:rsidRPr="00E73EF4">
        <w:rPr>
          <w:rFonts w:ascii="Times New Roman" w:eastAsia="Times New Roman" w:hAnsi="Times New Roman" w:cs="Times New Roman"/>
          <w:color w:val="000000"/>
          <w:kern w:val="24"/>
          <w:sz w:val="24"/>
          <w:szCs w:val="24"/>
        </w:rPr>
        <w:t>phage preparation</w:t>
      </w:r>
      <w:r w:rsidR="00514E4D" w:rsidRPr="00E73EF4">
        <w:rPr>
          <w:rFonts w:ascii="Times New Roman" w:eastAsia="Times New Roman" w:hAnsi="Times New Roman" w:cs="Times New Roman"/>
          <w:color w:val="000000"/>
          <w:kern w:val="24"/>
          <w:sz w:val="24"/>
          <w:szCs w:val="24"/>
        </w:rPr>
        <w:t xml:space="preserve"> was 0.39, indicating different antibiotics induce different ratios of each </w:t>
      </w:r>
      <w:r w:rsidR="00D45801" w:rsidRPr="00E73EF4">
        <w:rPr>
          <w:rFonts w:ascii="Times New Roman" w:eastAsia="Times New Roman" w:hAnsi="Times New Roman" w:cs="Times New Roman"/>
          <w:color w:val="000000"/>
          <w:kern w:val="24"/>
          <w:sz w:val="24"/>
          <w:szCs w:val="24"/>
        </w:rPr>
        <w:t xml:space="preserve">phage </w:t>
      </w:r>
      <w:r w:rsidR="00514E4D" w:rsidRPr="00E73EF4">
        <w:rPr>
          <w:rFonts w:ascii="Times New Roman" w:eastAsia="Times New Roman" w:hAnsi="Times New Roman" w:cs="Times New Roman"/>
          <w:color w:val="000000"/>
          <w:kern w:val="24"/>
          <w:sz w:val="24"/>
          <w:szCs w:val="24"/>
        </w:rPr>
        <w:t xml:space="preserve">particle. </w:t>
      </w:r>
      <w:r w:rsidR="000C60A3" w:rsidRPr="00E73EF4">
        <w:rPr>
          <w:rFonts w:ascii="Times New Roman" w:eastAsia="Times New Roman" w:hAnsi="Times New Roman" w:cs="Times New Roman"/>
          <w:color w:val="000000"/>
          <w:kern w:val="24"/>
          <w:sz w:val="24"/>
          <w:szCs w:val="24"/>
        </w:rPr>
        <w:t xml:space="preserve">Control (Co, black), Ampicillin (A, green), Gentamicin (G, pale blue), </w:t>
      </w:r>
      <w:proofErr w:type="spellStart"/>
      <w:r w:rsidR="000C60A3" w:rsidRPr="00E73EF4">
        <w:rPr>
          <w:rFonts w:ascii="Times New Roman" w:eastAsia="Times New Roman" w:hAnsi="Times New Roman" w:cs="Times New Roman"/>
          <w:color w:val="000000"/>
          <w:kern w:val="24"/>
          <w:sz w:val="24"/>
          <w:szCs w:val="24"/>
        </w:rPr>
        <w:t>Cefoxitin</w:t>
      </w:r>
      <w:proofErr w:type="spellEnd"/>
      <w:r w:rsidR="000C60A3" w:rsidRPr="00E73EF4">
        <w:rPr>
          <w:rFonts w:ascii="Times New Roman" w:eastAsia="Times New Roman" w:hAnsi="Times New Roman" w:cs="Times New Roman"/>
          <w:color w:val="000000"/>
          <w:kern w:val="24"/>
          <w:sz w:val="24"/>
          <w:szCs w:val="24"/>
        </w:rPr>
        <w:t xml:space="preserve"> (Ce, orange), </w:t>
      </w:r>
      <w:proofErr w:type="spellStart"/>
      <w:r w:rsidR="000C60A3" w:rsidRPr="00E73EF4">
        <w:rPr>
          <w:rFonts w:ascii="Times New Roman" w:eastAsia="Times New Roman" w:hAnsi="Times New Roman" w:cs="Times New Roman"/>
          <w:color w:val="000000"/>
          <w:kern w:val="24"/>
          <w:sz w:val="24"/>
          <w:szCs w:val="24"/>
        </w:rPr>
        <w:t>Novobiocin</w:t>
      </w:r>
      <w:proofErr w:type="spellEnd"/>
      <w:r w:rsidR="000C60A3" w:rsidRPr="00E73EF4">
        <w:rPr>
          <w:rFonts w:ascii="Times New Roman" w:eastAsia="Times New Roman" w:hAnsi="Times New Roman" w:cs="Times New Roman"/>
          <w:color w:val="000000"/>
          <w:kern w:val="24"/>
          <w:sz w:val="24"/>
          <w:szCs w:val="24"/>
        </w:rPr>
        <w:t xml:space="preserve"> (N, grey), Ciprofloxacin (Ci, blue), Tetracycline (T, brown), Trimethoprim (</w:t>
      </w:r>
      <w:proofErr w:type="spellStart"/>
      <w:proofErr w:type="gramStart"/>
      <w:r w:rsidR="000C60A3" w:rsidRPr="00E73EF4">
        <w:rPr>
          <w:rFonts w:ascii="Times New Roman" w:eastAsia="Times New Roman" w:hAnsi="Times New Roman" w:cs="Times New Roman"/>
          <w:color w:val="000000"/>
          <w:kern w:val="24"/>
          <w:sz w:val="24"/>
          <w:szCs w:val="24"/>
        </w:rPr>
        <w:t>Tr</w:t>
      </w:r>
      <w:proofErr w:type="spellEnd"/>
      <w:proofErr w:type="gramEnd"/>
      <w:r w:rsidR="000C60A3" w:rsidRPr="00E73EF4">
        <w:rPr>
          <w:rFonts w:ascii="Times New Roman" w:eastAsia="Times New Roman" w:hAnsi="Times New Roman" w:cs="Times New Roman"/>
          <w:color w:val="000000"/>
          <w:kern w:val="24"/>
          <w:sz w:val="24"/>
          <w:szCs w:val="24"/>
        </w:rPr>
        <w:t xml:space="preserve">, yellow), Erythromycin (E, red), </w:t>
      </w:r>
      <w:proofErr w:type="spellStart"/>
      <w:r w:rsidR="000C60A3" w:rsidRPr="00E73EF4">
        <w:rPr>
          <w:rFonts w:ascii="Times New Roman" w:eastAsia="Times New Roman" w:hAnsi="Times New Roman" w:cs="Times New Roman"/>
          <w:color w:val="000000"/>
          <w:kern w:val="24"/>
          <w:sz w:val="24"/>
          <w:szCs w:val="24"/>
        </w:rPr>
        <w:t>Mupirocin</w:t>
      </w:r>
      <w:proofErr w:type="spellEnd"/>
      <w:r w:rsidR="000C60A3" w:rsidRPr="00E73EF4">
        <w:rPr>
          <w:rFonts w:ascii="Times New Roman" w:eastAsia="Times New Roman" w:hAnsi="Times New Roman" w:cs="Times New Roman"/>
          <w:color w:val="000000"/>
          <w:kern w:val="24"/>
          <w:sz w:val="24"/>
          <w:szCs w:val="24"/>
        </w:rPr>
        <w:t xml:space="preserve"> (M, purple).</w:t>
      </w:r>
      <w:r w:rsidR="00CA4E97" w:rsidRPr="00E73EF4">
        <w:rPr>
          <w:rFonts w:ascii="Times New Roman" w:eastAsia="Times New Roman" w:hAnsi="Times New Roman" w:cs="Times New Roman"/>
          <w:color w:val="000000"/>
          <w:kern w:val="24"/>
          <w:sz w:val="24"/>
          <w:szCs w:val="24"/>
        </w:rPr>
        <w:t xml:space="preserve"> </w:t>
      </w:r>
      <w:r w:rsidR="00CA4E97" w:rsidRPr="00E73EF4">
        <w:rPr>
          <w:rFonts w:ascii="Times New Roman" w:hAnsi="Times New Roman" w:cs="Times New Roman"/>
          <w:sz w:val="24"/>
          <w:szCs w:val="24"/>
        </w:rPr>
        <w:t>This figure appears in colour in the online version of JAC and in black and white in the print version of JAC.</w:t>
      </w:r>
    </w:p>
    <w:p w14:paraId="2CF50559" w14:textId="77777777" w:rsidR="00E64C48" w:rsidRPr="00E73EF4" w:rsidRDefault="00E64C48" w:rsidP="00B6049E">
      <w:pPr>
        <w:autoSpaceDE w:val="0"/>
        <w:autoSpaceDN w:val="0"/>
        <w:adjustRightInd w:val="0"/>
        <w:spacing w:line="480" w:lineRule="auto"/>
        <w:jc w:val="both"/>
        <w:rPr>
          <w:rFonts w:ascii="Times New Roman" w:eastAsia="Calibri" w:hAnsi="Times New Roman" w:cs="Times New Roman"/>
          <w:b/>
          <w:sz w:val="24"/>
          <w:szCs w:val="24"/>
          <w:lang w:val="en-US"/>
        </w:rPr>
      </w:pPr>
    </w:p>
    <w:p w14:paraId="2382EFBB" w14:textId="77777777" w:rsidR="003066D2" w:rsidRPr="00E73EF4" w:rsidRDefault="00296BE3" w:rsidP="003066D2">
      <w:pPr>
        <w:autoSpaceDE w:val="0"/>
        <w:autoSpaceDN w:val="0"/>
        <w:adjustRightInd w:val="0"/>
        <w:spacing w:line="480" w:lineRule="auto"/>
        <w:jc w:val="both"/>
        <w:rPr>
          <w:rFonts w:ascii="Times New Roman" w:eastAsia="Calibri" w:hAnsi="Times New Roman" w:cs="Times New Roman"/>
          <w:sz w:val="24"/>
          <w:szCs w:val="24"/>
          <w:lang w:val="en-US"/>
        </w:rPr>
      </w:pPr>
      <w:r w:rsidRPr="00E73EF4">
        <w:rPr>
          <w:rFonts w:ascii="Times New Roman" w:eastAsia="Calibri" w:hAnsi="Times New Roman" w:cs="Times New Roman"/>
          <w:b/>
          <w:sz w:val="24"/>
          <w:szCs w:val="24"/>
          <w:lang w:val="en-US"/>
        </w:rPr>
        <w:t>Figure 2. Sub-inhibitor</w:t>
      </w:r>
      <w:r w:rsidR="00FF52D4" w:rsidRPr="00E73EF4">
        <w:rPr>
          <w:rFonts w:ascii="Times New Roman" w:eastAsia="Calibri" w:hAnsi="Times New Roman" w:cs="Times New Roman"/>
          <w:b/>
          <w:sz w:val="24"/>
          <w:szCs w:val="24"/>
          <w:lang w:val="en-US"/>
        </w:rPr>
        <w:t>y concentrations of</w:t>
      </w:r>
      <w:r w:rsidRPr="00E73EF4">
        <w:rPr>
          <w:rFonts w:ascii="Times New Roman" w:eastAsia="Calibri" w:hAnsi="Times New Roman" w:cs="Times New Roman"/>
          <w:b/>
          <w:sz w:val="24"/>
          <w:szCs w:val="24"/>
          <w:lang w:val="en-US"/>
        </w:rPr>
        <w:t xml:space="preserve"> antibiotics combined with UV light induce lytic and transducing particles in different ratios.</w:t>
      </w:r>
      <w:r w:rsidRPr="00E73EF4">
        <w:rPr>
          <w:rFonts w:ascii="Times New Roman" w:eastAsia="Calibri" w:hAnsi="Times New Roman" w:cs="Times New Roman"/>
          <w:sz w:val="24"/>
          <w:szCs w:val="24"/>
          <w:lang w:val="en-US"/>
        </w:rPr>
        <w:t xml:space="preserve"> </w:t>
      </w:r>
    </w:p>
    <w:p w14:paraId="166A8420" w14:textId="7E7E83E7" w:rsidR="003066D2" w:rsidRPr="00E73EF4" w:rsidRDefault="007C1509" w:rsidP="003066D2">
      <w:pPr>
        <w:autoSpaceDE w:val="0"/>
        <w:autoSpaceDN w:val="0"/>
        <w:adjustRightInd w:val="0"/>
        <w:spacing w:line="480" w:lineRule="auto"/>
        <w:jc w:val="both"/>
        <w:rPr>
          <w:rFonts w:ascii="Times New Roman" w:eastAsia="Calibri" w:hAnsi="Times New Roman" w:cs="Times New Roman"/>
          <w:sz w:val="24"/>
          <w:szCs w:val="24"/>
          <w:lang w:val="en-US"/>
        </w:rPr>
      </w:pPr>
      <w:r w:rsidRPr="00E73EF4">
        <w:rPr>
          <w:rFonts w:ascii="Times New Roman" w:eastAsia="Calibri" w:hAnsi="Times New Roman" w:cs="Times New Roman"/>
          <w:sz w:val="24"/>
          <w:szCs w:val="24"/>
          <w:lang w:val="en-US"/>
        </w:rPr>
        <w:t>a</w:t>
      </w:r>
      <w:r w:rsidR="003066D2" w:rsidRPr="00E73EF4">
        <w:rPr>
          <w:rFonts w:ascii="Times New Roman" w:eastAsia="Calibri" w:hAnsi="Times New Roman" w:cs="Times New Roman"/>
          <w:sz w:val="24"/>
          <w:szCs w:val="24"/>
          <w:lang w:val="en-US"/>
        </w:rPr>
        <w:t xml:space="preserve">) Transduction of </w:t>
      </w:r>
      <w:proofErr w:type="spellStart"/>
      <w:r w:rsidR="003066D2" w:rsidRPr="00E73EF4">
        <w:rPr>
          <w:rFonts w:ascii="Times New Roman" w:eastAsia="Calibri" w:hAnsi="Times New Roman" w:cs="Times New Roman"/>
          <w:i/>
          <w:sz w:val="24"/>
          <w:szCs w:val="24"/>
          <w:lang w:val="en-US"/>
        </w:rPr>
        <w:t>ermC</w:t>
      </w:r>
      <w:proofErr w:type="spellEnd"/>
      <w:r w:rsidR="003066D2" w:rsidRPr="00E73EF4">
        <w:rPr>
          <w:rFonts w:ascii="Times New Roman" w:eastAsia="Calibri" w:hAnsi="Times New Roman" w:cs="Times New Roman"/>
          <w:sz w:val="24"/>
          <w:szCs w:val="24"/>
          <w:lang w:val="en-US"/>
        </w:rPr>
        <w:t xml:space="preserve"> using phage preparations treated with antibiotics and UV light to recipient cells was significantly enhanced </w:t>
      </w:r>
      <w:r w:rsidR="003C46BE" w:rsidRPr="00E73EF4">
        <w:rPr>
          <w:rFonts w:ascii="Times New Roman" w:eastAsia="Calibri" w:hAnsi="Times New Roman" w:cs="Times New Roman"/>
          <w:sz w:val="24"/>
          <w:szCs w:val="24"/>
          <w:lang w:val="en-US"/>
        </w:rPr>
        <w:t>by</w:t>
      </w:r>
      <w:r w:rsidR="003066D2" w:rsidRPr="00E73EF4">
        <w:rPr>
          <w:rFonts w:ascii="Times New Roman" w:eastAsia="Calibri" w:hAnsi="Times New Roman" w:cs="Times New Roman"/>
          <w:sz w:val="24"/>
          <w:szCs w:val="24"/>
          <w:lang w:val="en-US"/>
        </w:rPr>
        <w:t xml:space="preserve"> </w:t>
      </w:r>
      <w:proofErr w:type="spellStart"/>
      <w:r w:rsidR="003066D2" w:rsidRPr="00E73EF4">
        <w:rPr>
          <w:rFonts w:ascii="Times New Roman" w:eastAsia="Calibri" w:hAnsi="Times New Roman" w:cs="Times New Roman"/>
          <w:sz w:val="24"/>
          <w:szCs w:val="24"/>
          <w:lang w:val="en-US"/>
        </w:rPr>
        <w:t>cefoxitin</w:t>
      </w:r>
      <w:proofErr w:type="spellEnd"/>
      <w:r w:rsidR="003066D2" w:rsidRPr="00E73EF4">
        <w:rPr>
          <w:rFonts w:ascii="Times New Roman" w:eastAsia="Calibri" w:hAnsi="Times New Roman" w:cs="Times New Roman"/>
          <w:sz w:val="24"/>
          <w:szCs w:val="24"/>
          <w:lang w:val="en-US"/>
        </w:rPr>
        <w:t xml:space="preserve"> and trimethoprim</w:t>
      </w:r>
      <w:r w:rsidR="003C46BE" w:rsidRPr="00E73EF4">
        <w:rPr>
          <w:rFonts w:ascii="Times New Roman" w:eastAsia="Calibri" w:hAnsi="Times New Roman" w:cs="Times New Roman"/>
          <w:sz w:val="24"/>
          <w:szCs w:val="24"/>
          <w:lang w:val="en-US"/>
        </w:rPr>
        <w:t xml:space="preserve">, and significantly lowered by gentamicin, </w:t>
      </w:r>
      <w:proofErr w:type="spellStart"/>
      <w:r w:rsidR="003C46BE" w:rsidRPr="00E73EF4">
        <w:rPr>
          <w:rFonts w:ascii="Times New Roman" w:eastAsia="Calibri" w:hAnsi="Times New Roman" w:cs="Times New Roman"/>
          <w:sz w:val="24"/>
          <w:szCs w:val="24"/>
          <w:lang w:val="en-US"/>
        </w:rPr>
        <w:t>novobiocin</w:t>
      </w:r>
      <w:proofErr w:type="spellEnd"/>
      <w:r w:rsidR="003C46BE" w:rsidRPr="00E73EF4">
        <w:rPr>
          <w:rFonts w:ascii="Times New Roman" w:eastAsia="Calibri" w:hAnsi="Times New Roman" w:cs="Times New Roman"/>
          <w:sz w:val="24"/>
          <w:szCs w:val="24"/>
          <w:lang w:val="en-US"/>
        </w:rPr>
        <w:t xml:space="preserve"> and </w:t>
      </w:r>
      <w:proofErr w:type="gramStart"/>
      <w:r w:rsidR="003C46BE" w:rsidRPr="00E73EF4">
        <w:rPr>
          <w:rFonts w:ascii="Times New Roman" w:eastAsia="Calibri" w:hAnsi="Times New Roman" w:cs="Times New Roman"/>
          <w:sz w:val="24"/>
          <w:szCs w:val="24"/>
          <w:lang w:val="en-US"/>
        </w:rPr>
        <w:t xml:space="preserve">tetracycline </w:t>
      </w:r>
      <w:r w:rsidR="003066D2" w:rsidRPr="00E73EF4">
        <w:rPr>
          <w:rFonts w:ascii="Times New Roman" w:eastAsia="Calibri" w:hAnsi="Times New Roman" w:cs="Times New Roman"/>
          <w:sz w:val="24"/>
          <w:szCs w:val="24"/>
          <w:lang w:val="en-US"/>
        </w:rPr>
        <w:t>.</w:t>
      </w:r>
      <w:proofErr w:type="gramEnd"/>
      <w:r w:rsidR="003066D2" w:rsidRPr="00E73EF4">
        <w:rPr>
          <w:rFonts w:ascii="Times New Roman" w:eastAsia="Calibri" w:hAnsi="Times New Roman" w:cs="Times New Roman"/>
          <w:sz w:val="24"/>
          <w:szCs w:val="24"/>
          <w:lang w:val="en-US"/>
        </w:rPr>
        <w:t xml:space="preserve">  </w:t>
      </w:r>
      <w:r w:rsidRPr="00E73EF4">
        <w:rPr>
          <w:rFonts w:ascii="Times New Roman" w:eastAsia="Calibri" w:hAnsi="Times New Roman" w:cs="Times New Roman"/>
          <w:sz w:val="24"/>
          <w:szCs w:val="24"/>
          <w:lang w:val="en-US"/>
        </w:rPr>
        <w:t>b</w:t>
      </w:r>
      <w:r w:rsidR="003066D2" w:rsidRPr="00E73EF4">
        <w:rPr>
          <w:rFonts w:ascii="Times New Roman" w:eastAsia="Calibri" w:hAnsi="Times New Roman" w:cs="Times New Roman"/>
          <w:sz w:val="24"/>
          <w:szCs w:val="24"/>
          <w:lang w:val="en-US"/>
        </w:rPr>
        <w:t>)  Lytic phage counted on RN4220</w:t>
      </w:r>
      <w:r w:rsidR="003C46BE" w:rsidRPr="00E73EF4">
        <w:rPr>
          <w:rFonts w:ascii="Times New Roman" w:eastAsia="Calibri" w:hAnsi="Times New Roman" w:cs="Times New Roman"/>
          <w:sz w:val="24"/>
          <w:szCs w:val="24"/>
          <w:lang w:val="en-US"/>
        </w:rPr>
        <w:t xml:space="preserve"> was higher than UV alone </w:t>
      </w:r>
      <w:r w:rsidR="003066D2" w:rsidRPr="00E73EF4">
        <w:rPr>
          <w:rFonts w:ascii="Times New Roman" w:eastAsia="Calibri" w:hAnsi="Times New Roman" w:cs="Times New Roman"/>
          <w:sz w:val="24"/>
          <w:szCs w:val="24"/>
          <w:lang w:val="en-US"/>
        </w:rPr>
        <w:t xml:space="preserve">when exposed to </w:t>
      </w:r>
      <w:proofErr w:type="spellStart"/>
      <w:r w:rsidR="003066D2" w:rsidRPr="00E73EF4">
        <w:rPr>
          <w:rFonts w:ascii="Times New Roman" w:eastAsia="Calibri" w:hAnsi="Times New Roman" w:cs="Times New Roman"/>
          <w:sz w:val="24"/>
          <w:szCs w:val="24"/>
          <w:lang w:val="en-US"/>
        </w:rPr>
        <w:t>cefoxitin</w:t>
      </w:r>
      <w:proofErr w:type="spellEnd"/>
      <w:r w:rsidR="003066D2" w:rsidRPr="00E73EF4">
        <w:rPr>
          <w:rFonts w:ascii="Times New Roman" w:eastAsia="Calibri" w:hAnsi="Times New Roman" w:cs="Times New Roman"/>
          <w:sz w:val="24"/>
          <w:szCs w:val="24"/>
          <w:lang w:val="en-US"/>
        </w:rPr>
        <w:t xml:space="preserve"> and trimethoprim</w:t>
      </w:r>
      <w:r w:rsidR="00A81A8E" w:rsidRPr="00E73EF4">
        <w:rPr>
          <w:rFonts w:ascii="Times New Roman" w:eastAsia="Calibri" w:hAnsi="Times New Roman" w:cs="Times New Roman"/>
          <w:sz w:val="24"/>
          <w:szCs w:val="24"/>
          <w:lang w:val="en-US"/>
        </w:rPr>
        <w:t xml:space="preserve"> as well as ampicillin, ciprofloxacin and erythromycin</w:t>
      </w:r>
      <w:r w:rsidR="003066D2" w:rsidRPr="00E73EF4">
        <w:rPr>
          <w:rFonts w:ascii="Times New Roman" w:eastAsia="Calibri" w:hAnsi="Times New Roman" w:cs="Times New Roman"/>
          <w:sz w:val="24"/>
          <w:szCs w:val="24"/>
          <w:lang w:val="en-US"/>
        </w:rPr>
        <w:t xml:space="preserve">. </w:t>
      </w:r>
      <w:r w:rsidR="003C46BE" w:rsidRPr="00E73EF4">
        <w:rPr>
          <w:rFonts w:ascii="Times New Roman" w:eastAsia="Calibri" w:hAnsi="Times New Roman" w:cs="Times New Roman"/>
          <w:sz w:val="24"/>
          <w:szCs w:val="24"/>
          <w:lang w:val="en-US"/>
        </w:rPr>
        <w:t xml:space="preserve">Lytic phage production was inhibited when exposed to tetracycline and </w:t>
      </w:r>
      <w:proofErr w:type="spellStart"/>
      <w:r w:rsidR="003C46BE" w:rsidRPr="00E73EF4">
        <w:rPr>
          <w:rFonts w:ascii="Times New Roman" w:eastAsia="Calibri" w:hAnsi="Times New Roman" w:cs="Times New Roman"/>
          <w:sz w:val="24"/>
          <w:szCs w:val="24"/>
          <w:lang w:val="en-US"/>
        </w:rPr>
        <w:t>mupirocin</w:t>
      </w:r>
      <w:proofErr w:type="spellEnd"/>
      <w:r w:rsidR="003C46BE" w:rsidRPr="00E73EF4">
        <w:rPr>
          <w:rFonts w:ascii="Times New Roman" w:eastAsia="Calibri" w:hAnsi="Times New Roman" w:cs="Times New Roman"/>
          <w:sz w:val="24"/>
          <w:szCs w:val="24"/>
          <w:lang w:val="en-US"/>
        </w:rPr>
        <w:t xml:space="preserve">. </w:t>
      </w:r>
      <w:r w:rsidRPr="00E73EF4">
        <w:rPr>
          <w:rFonts w:ascii="Times New Roman" w:eastAsia="Calibri" w:hAnsi="Times New Roman" w:cs="Times New Roman"/>
          <w:sz w:val="24"/>
          <w:szCs w:val="24"/>
          <w:lang w:val="en-US"/>
        </w:rPr>
        <w:t xml:space="preserve">a) </w:t>
      </w:r>
      <w:proofErr w:type="gramStart"/>
      <w:r w:rsidRPr="00E73EF4">
        <w:rPr>
          <w:rFonts w:ascii="Times New Roman" w:eastAsia="Calibri" w:hAnsi="Times New Roman" w:cs="Times New Roman"/>
          <w:sz w:val="24"/>
          <w:szCs w:val="24"/>
          <w:lang w:val="en-US"/>
        </w:rPr>
        <w:t>and</w:t>
      </w:r>
      <w:proofErr w:type="gramEnd"/>
      <w:r w:rsidRPr="00E73EF4">
        <w:rPr>
          <w:rFonts w:ascii="Times New Roman" w:eastAsia="Calibri" w:hAnsi="Times New Roman" w:cs="Times New Roman"/>
          <w:sz w:val="24"/>
          <w:szCs w:val="24"/>
          <w:lang w:val="en-US"/>
        </w:rPr>
        <w:t xml:space="preserve"> b) are the m</w:t>
      </w:r>
      <w:r w:rsidR="003066D2" w:rsidRPr="00E73EF4">
        <w:rPr>
          <w:rFonts w:ascii="Times New Roman" w:eastAsia="Calibri" w:hAnsi="Times New Roman" w:cs="Times New Roman"/>
          <w:sz w:val="24"/>
          <w:szCs w:val="24"/>
          <w:lang w:val="en-US"/>
        </w:rPr>
        <w:t xml:space="preserve">ean of at least three experiments in triplicate ± S.D, </w:t>
      </w:r>
      <w:r w:rsidR="003066D2" w:rsidRPr="00E73EF4">
        <w:rPr>
          <w:rFonts w:ascii="Times New Roman" w:eastAsia="Calibri" w:hAnsi="Times New Roman" w:cs="Times New Roman"/>
          <w:sz w:val="24"/>
          <w:szCs w:val="24"/>
        </w:rPr>
        <w:t xml:space="preserve">* p &lt;. 0.05; ** p &lt; 0.01, ** *p &lt; 0.001, hash denotes reduction (##p&lt; 0.01) </w:t>
      </w:r>
      <w:r w:rsidRPr="00E73EF4">
        <w:rPr>
          <w:rFonts w:ascii="Times New Roman" w:eastAsia="Calibri" w:hAnsi="Times New Roman" w:cs="Times New Roman"/>
          <w:sz w:val="24"/>
          <w:szCs w:val="24"/>
        </w:rPr>
        <w:t>c</w:t>
      </w:r>
      <w:r w:rsidR="003066D2" w:rsidRPr="00E73EF4">
        <w:rPr>
          <w:rFonts w:ascii="Times New Roman" w:eastAsia="Calibri" w:hAnsi="Times New Roman" w:cs="Times New Roman"/>
          <w:sz w:val="24"/>
          <w:szCs w:val="24"/>
        </w:rPr>
        <w:t xml:space="preserve">) The </w:t>
      </w:r>
      <w:r w:rsidR="003066D2" w:rsidRPr="00E73EF4">
        <w:rPr>
          <w:rFonts w:ascii="Times New Roman" w:eastAsia="Times New Roman" w:hAnsi="Times New Roman" w:cs="Times New Roman"/>
          <w:color w:val="000000"/>
          <w:kern w:val="24"/>
          <w:sz w:val="24"/>
          <w:szCs w:val="24"/>
        </w:rPr>
        <w:t>correlation between transducing particles and lytic phage for each donor cell lysate was 0.99, indicating that under UV light stress, the ratio of transduc</w:t>
      </w:r>
      <w:r w:rsidR="001D7E28" w:rsidRPr="00E73EF4">
        <w:rPr>
          <w:rFonts w:ascii="Times New Roman" w:eastAsia="Times New Roman" w:hAnsi="Times New Roman" w:cs="Times New Roman"/>
          <w:color w:val="000000"/>
          <w:kern w:val="24"/>
          <w:sz w:val="24"/>
          <w:szCs w:val="24"/>
        </w:rPr>
        <w:t>ing and lytic phage particle is</w:t>
      </w:r>
      <w:r w:rsidR="003066D2" w:rsidRPr="00E73EF4">
        <w:rPr>
          <w:rFonts w:ascii="Times New Roman" w:eastAsia="Times New Roman" w:hAnsi="Times New Roman" w:cs="Times New Roman"/>
          <w:color w:val="000000"/>
          <w:kern w:val="24"/>
          <w:sz w:val="24"/>
          <w:szCs w:val="24"/>
        </w:rPr>
        <w:t xml:space="preserve"> </w:t>
      </w:r>
      <w:r w:rsidRPr="00E73EF4">
        <w:rPr>
          <w:rFonts w:ascii="Times New Roman" w:eastAsia="Times New Roman" w:hAnsi="Times New Roman" w:cs="Times New Roman"/>
          <w:color w:val="000000"/>
          <w:kern w:val="24"/>
          <w:sz w:val="24"/>
          <w:szCs w:val="24"/>
        </w:rPr>
        <w:t xml:space="preserve">not </w:t>
      </w:r>
      <w:r w:rsidR="003066D2" w:rsidRPr="00E73EF4">
        <w:rPr>
          <w:rFonts w:ascii="Times New Roman" w:eastAsia="Times New Roman" w:hAnsi="Times New Roman" w:cs="Times New Roman"/>
          <w:color w:val="000000"/>
          <w:kern w:val="24"/>
          <w:sz w:val="24"/>
          <w:szCs w:val="24"/>
        </w:rPr>
        <w:t>dependent o</w:t>
      </w:r>
      <w:r w:rsidRPr="00E73EF4">
        <w:rPr>
          <w:rFonts w:ascii="Times New Roman" w:eastAsia="Times New Roman" w:hAnsi="Times New Roman" w:cs="Times New Roman"/>
          <w:color w:val="000000"/>
          <w:kern w:val="24"/>
          <w:sz w:val="24"/>
          <w:szCs w:val="24"/>
        </w:rPr>
        <w:t>n</w:t>
      </w:r>
      <w:r w:rsidR="003066D2" w:rsidRPr="00E73EF4">
        <w:rPr>
          <w:rFonts w:ascii="Times New Roman" w:eastAsia="Times New Roman" w:hAnsi="Times New Roman" w:cs="Times New Roman"/>
          <w:color w:val="000000"/>
          <w:kern w:val="24"/>
          <w:sz w:val="24"/>
          <w:szCs w:val="24"/>
        </w:rPr>
        <w:t xml:space="preserve"> the antibiotic tested.</w:t>
      </w:r>
      <w:r w:rsidR="000C60A3" w:rsidRPr="00E73EF4">
        <w:rPr>
          <w:rFonts w:ascii="Times New Roman" w:eastAsia="Times New Roman" w:hAnsi="Times New Roman" w:cs="Times New Roman"/>
          <w:color w:val="000000"/>
          <w:kern w:val="24"/>
          <w:sz w:val="24"/>
          <w:szCs w:val="24"/>
        </w:rPr>
        <w:t xml:space="preserve"> Control (Co, black), Ampicillin (A, green), Gentamicin (G, </w:t>
      </w:r>
      <w:r w:rsidR="000C60A3" w:rsidRPr="00E73EF4">
        <w:rPr>
          <w:rFonts w:ascii="Times New Roman" w:eastAsia="Times New Roman" w:hAnsi="Times New Roman" w:cs="Times New Roman"/>
          <w:color w:val="000000"/>
          <w:kern w:val="24"/>
          <w:sz w:val="24"/>
          <w:szCs w:val="24"/>
        </w:rPr>
        <w:lastRenderedPageBreak/>
        <w:t xml:space="preserve">pale blue), </w:t>
      </w:r>
      <w:proofErr w:type="spellStart"/>
      <w:r w:rsidR="000C60A3" w:rsidRPr="00E73EF4">
        <w:rPr>
          <w:rFonts w:ascii="Times New Roman" w:eastAsia="Times New Roman" w:hAnsi="Times New Roman" w:cs="Times New Roman"/>
          <w:color w:val="000000"/>
          <w:kern w:val="24"/>
          <w:sz w:val="24"/>
          <w:szCs w:val="24"/>
        </w:rPr>
        <w:t>Cefoxitin</w:t>
      </w:r>
      <w:proofErr w:type="spellEnd"/>
      <w:r w:rsidR="000C60A3" w:rsidRPr="00E73EF4">
        <w:rPr>
          <w:rFonts w:ascii="Times New Roman" w:eastAsia="Times New Roman" w:hAnsi="Times New Roman" w:cs="Times New Roman"/>
          <w:color w:val="000000"/>
          <w:kern w:val="24"/>
          <w:sz w:val="24"/>
          <w:szCs w:val="24"/>
        </w:rPr>
        <w:t xml:space="preserve"> (Ce, orange), </w:t>
      </w:r>
      <w:proofErr w:type="spellStart"/>
      <w:r w:rsidR="000C60A3" w:rsidRPr="00E73EF4">
        <w:rPr>
          <w:rFonts w:ascii="Times New Roman" w:eastAsia="Times New Roman" w:hAnsi="Times New Roman" w:cs="Times New Roman"/>
          <w:color w:val="000000"/>
          <w:kern w:val="24"/>
          <w:sz w:val="24"/>
          <w:szCs w:val="24"/>
        </w:rPr>
        <w:t>Novobiocin</w:t>
      </w:r>
      <w:proofErr w:type="spellEnd"/>
      <w:r w:rsidR="000C60A3" w:rsidRPr="00E73EF4">
        <w:rPr>
          <w:rFonts w:ascii="Times New Roman" w:eastAsia="Times New Roman" w:hAnsi="Times New Roman" w:cs="Times New Roman"/>
          <w:color w:val="000000"/>
          <w:kern w:val="24"/>
          <w:sz w:val="24"/>
          <w:szCs w:val="24"/>
        </w:rPr>
        <w:t xml:space="preserve"> (N, grey), Ciprofloxacin (Ci, blue), Tetracycline (T, brown), Trimethoprim (</w:t>
      </w:r>
      <w:proofErr w:type="spellStart"/>
      <w:proofErr w:type="gramStart"/>
      <w:r w:rsidR="000C60A3" w:rsidRPr="00E73EF4">
        <w:rPr>
          <w:rFonts w:ascii="Times New Roman" w:eastAsia="Times New Roman" w:hAnsi="Times New Roman" w:cs="Times New Roman"/>
          <w:color w:val="000000"/>
          <w:kern w:val="24"/>
          <w:sz w:val="24"/>
          <w:szCs w:val="24"/>
        </w:rPr>
        <w:t>Tr</w:t>
      </w:r>
      <w:proofErr w:type="spellEnd"/>
      <w:proofErr w:type="gramEnd"/>
      <w:r w:rsidR="000C60A3" w:rsidRPr="00E73EF4">
        <w:rPr>
          <w:rFonts w:ascii="Times New Roman" w:eastAsia="Times New Roman" w:hAnsi="Times New Roman" w:cs="Times New Roman"/>
          <w:color w:val="000000"/>
          <w:kern w:val="24"/>
          <w:sz w:val="24"/>
          <w:szCs w:val="24"/>
        </w:rPr>
        <w:t xml:space="preserve">, yellow), Erythromycin (E, red), </w:t>
      </w:r>
      <w:proofErr w:type="spellStart"/>
      <w:r w:rsidR="000C60A3" w:rsidRPr="00E73EF4">
        <w:rPr>
          <w:rFonts w:ascii="Times New Roman" w:eastAsia="Times New Roman" w:hAnsi="Times New Roman" w:cs="Times New Roman"/>
          <w:color w:val="000000"/>
          <w:kern w:val="24"/>
          <w:sz w:val="24"/>
          <w:szCs w:val="24"/>
        </w:rPr>
        <w:t>Mupirocin</w:t>
      </w:r>
      <w:proofErr w:type="spellEnd"/>
      <w:r w:rsidR="000C60A3" w:rsidRPr="00E73EF4">
        <w:rPr>
          <w:rFonts w:ascii="Times New Roman" w:eastAsia="Times New Roman" w:hAnsi="Times New Roman" w:cs="Times New Roman"/>
          <w:color w:val="000000"/>
          <w:kern w:val="24"/>
          <w:sz w:val="24"/>
          <w:szCs w:val="24"/>
        </w:rPr>
        <w:t xml:space="preserve"> (M, purple).</w:t>
      </w:r>
      <w:r w:rsidR="00CA4E97" w:rsidRPr="00E73EF4">
        <w:rPr>
          <w:rFonts w:ascii="Times New Roman" w:eastAsia="Times New Roman" w:hAnsi="Times New Roman" w:cs="Times New Roman"/>
          <w:color w:val="000000"/>
          <w:kern w:val="24"/>
          <w:sz w:val="24"/>
          <w:szCs w:val="24"/>
        </w:rPr>
        <w:t xml:space="preserve"> </w:t>
      </w:r>
      <w:r w:rsidR="00CA4E97" w:rsidRPr="00E73EF4">
        <w:rPr>
          <w:rFonts w:ascii="Times New Roman" w:hAnsi="Times New Roman" w:cs="Times New Roman"/>
          <w:sz w:val="24"/>
          <w:szCs w:val="24"/>
        </w:rPr>
        <w:t>This figure appears in colour in the online version of JAC and in black and white in the print version of JAC.</w:t>
      </w:r>
    </w:p>
    <w:p w14:paraId="4EDAEC57" w14:textId="0A269BAE" w:rsidR="00E64C48" w:rsidRPr="00E73EF4" w:rsidRDefault="00E64C48" w:rsidP="00B6049E">
      <w:pPr>
        <w:autoSpaceDE w:val="0"/>
        <w:autoSpaceDN w:val="0"/>
        <w:adjustRightInd w:val="0"/>
        <w:spacing w:line="480" w:lineRule="auto"/>
        <w:jc w:val="both"/>
        <w:rPr>
          <w:rFonts w:ascii="Times New Roman" w:eastAsia="Calibri" w:hAnsi="Times New Roman" w:cs="Times New Roman"/>
          <w:sz w:val="24"/>
          <w:szCs w:val="24"/>
          <w:lang w:val="en-US"/>
        </w:rPr>
      </w:pPr>
    </w:p>
    <w:p w14:paraId="6B02F6D0" w14:textId="4F901E8C" w:rsidR="003C09E0" w:rsidRPr="00E73EF4" w:rsidRDefault="003C09E0" w:rsidP="00B6049E">
      <w:pPr>
        <w:spacing w:line="480" w:lineRule="auto"/>
        <w:jc w:val="both"/>
        <w:rPr>
          <w:rFonts w:ascii="Times New Roman" w:eastAsia="Calibri" w:hAnsi="Times New Roman" w:cs="Times New Roman"/>
          <w:sz w:val="24"/>
          <w:szCs w:val="24"/>
          <w:lang w:val="en-US"/>
        </w:rPr>
      </w:pPr>
    </w:p>
    <w:p w14:paraId="6BC38917" w14:textId="43CAD13C" w:rsidR="00120B4C" w:rsidRPr="00E73EF4" w:rsidRDefault="00120B4C" w:rsidP="00120B4C">
      <w:pPr>
        <w:autoSpaceDE w:val="0"/>
        <w:autoSpaceDN w:val="0"/>
        <w:adjustRightInd w:val="0"/>
        <w:spacing w:line="480" w:lineRule="auto"/>
        <w:jc w:val="both"/>
        <w:rPr>
          <w:rFonts w:ascii="Times New Roman" w:eastAsia="Calibri" w:hAnsi="Times New Roman" w:cs="Times New Roman"/>
          <w:sz w:val="24"/>
          <w:szCs w:val="24"/>
          <w:lang w:val="en-US"/>
        </w:rPr>
      </w:pPr>
      <w:r w:rsidRPr="00E73EF4">
        <w:rPr>
          <w:rFonts w:ascii="Times New Roman" w:eastAsia="Calibri" w:hAnsi="Times New Roman" w:cs="Times New Roman"/>
          <w:b/>
          <w:sz w:val="24"/>
          <w:szCs w:val="24"/>
          <w:lang w:val="en-US"/>
        </w:rPr>
        <w:t>Figure 3.</w:t>
      </w:r>
      <w:r w:rsidRPr="00E73EF4">
        <w:rPr>
          <w:rFonts w:ascii="Times New Roman" w:eastAsia="Calibri" w:hAnsi="Times New Roman" w:cs="Times New Roman"/>
          <w:sz w:val="24"/>
          <w:szCs w:val="24"/>
          <w:lang w:val="en-US"/>
        </w:rPr>
        <w:t xml:space="preserve"> </w:t>
      </w:r>
      <w:r w:rsidRPr="00E73EF4">
        <w:rPr>
          <w:rFonts w:ascii="Times New Roman" w:eastAsia="Calibri" w:hAnsi="Times New Roman" w:cs="Times New Roman"/>
          <w:b/>
          <w:sz w:val="24"/>
          <w:szCs w:val="24"/>
          <w:lang w:val="en-US"/>
        </w:rPr>
        <w:t xml:space="preserve"> </w:t>
      </w:r>
      <w:r w:rsidR="003662D7" w:rsidRPr="00E73EF4">
        <w:rPr>
          <w:rFonts w:ascii="Times New Roman" w:eastAsia="Calibri" w:hAnsi="Times New Roman" w:cs="Times New Roman"/>
          <w:b/>
          <w:sz w:val="24"/>
          <w:szCs w:val="24"/>
          <w:lang w:val="en-US"/>
        </w:rPr>
        <w:t xml:space="preserve">Gentamicin and </w:t>
      </w:r>
      <w:proofErr w:type="spellStart"/>
      <w:r w:rsidR="003662D7" w:rsidRPr="00E73EF4">
        <w:rPr>
          <w:rFonts w:ascii="Times New Roman" w:eastAsia="Calibri" w:hAnsi="Times New Roman" w:cs="Times New Roman"/>
          <w:b/>
          <w:sz w:val="24"/>
          <w:szCs w:val="24"/>
          <w:lang w:val="en-US"/>
        </w:rPr>
        <w:t>n</w:t>
      </w:r>
      <w:r w:rsidRPr="00E73EF4">
        <w:rPr>
          <w:rFonts w:ascii="Times New Roman" w:eastAsia="Calibri" w:hAnsi="Times New Roman" w:cs="Times New Roman"/>
          <w:b/>
          <w:sz w:val="24"/>
          <w:szCs w:val="24"/>
          <w:lang w:val="en-US"/>
        </w:rPr>
        <w:t>ovobiocin</w:t>
      </w:r>
      <w:proofErr w:type="spellEnd"/>
      <w:r w:rsidRPr="00E73EF4">
        <w:rPr>
          <w:rFonts w:ascii="Times New Roman" w:eastAsia="Calibri" w:hAnsi="Times New Roman" w:cs="Times New Roman"/>
          <w:b/>
          <w:sz w:val="24"/>
          <w:szCs w:val="24"/>
          <w:lang w:val="en-US"/>
        </w:rPr>
        <w:t xml:space="preserve"> </w:t>
      </w:r>
      <w:r w:rsidR="00BD6ACD" w:rsidRPr="00E73EF4">
        <w:rPr>
          <w:rFonts w:ascii="Times New Roman" w:eastAsia="Calibri" w:hAnsi="Times New Roman" w:cs="Times New Roman"/>
          <w:b/>
          <w:sz w:val="24"/>
          <w:szCs w:val="24"/>
          <w:lang w:val="en-US"/>
        </w:rPr>
        <w:t xml:space="preserve">combined with sub-MIC antibiotics </w:t>
      </w:r>
      <w:r w:rsidR="003662D7" w:rsidRPr="00E73EF4">
        <w:rPr>
          <w:rFonts w:ascii="Times New Roman" w:eastAsia="Calibri" w:hAnsi="Times New Roman" w:cs="Times New Roman"/>
          <w:b/>
          <w:sz w:val="24"/>
          <w:szCs w:val="24"/>
          <w:lang w:val="en-US"/>
        </w:rPr>
        <w:t xml:space="preserve">can reduce </w:t>
      </w:r>
      <w:proofErr w:type="spellStart"/>
      <w:r w:rsidR="003662D7" w:rsidRPr="00E73EF4">
        <w:rPr>
          <w:rFonts w:ascii="Times New Roman" w:eastAsia="Calibri" w:hAnsi="Times New Roman" w:cs="Times New Roman"/>
          <w:b/>
          <w:i/>
          <w:sz w:val="24"/>
          <w:szCs w:val="24"/>
          <w:lang w:val="en-US"/>
        </w:rPr>
        <w:t>ermC</w:t>
      </w:r>
      <w:proofErr w:type="spellEnd"/>
      <w:r w:rsidR="003662D7" w:rsidRPr="00E73EF4">
        <w:rPr>
          <w:rFonts w:ascii="Times New Roman" w:eastAsia="Calibri" w:hAnsi="Times New Roman" w:cs="Times New Roman"/>
          <w:b/>
          <w:sz w:val="24"/>
          <w:szCs w:val="24"/>
          <w:lang w:val="en-US"/>
        </w:rPr>
        <w:t xml:space="preserve"> </w:t>
      </w:r>
      <w:r w:rsidRPr="00E73EF4">
        <w:rPr>
          <w:rFonts w:ascii="Times New Roman" w:eastAsia="Calibri" w:hAnsi="Times New Roman" w:cs="Times New Roman"/>
          <w:b/>
          <w:sz w:val="24"/>
          <w:szCs w:val="24"/>
          <w:lang w:val="en-US"/>
        </w:rPr>
        <w:t xml:space="preserve">transduction. </w:t>
      </w:r>
      <w:r w:rsidRPr="00E73EF4">
        <w:rPr>
          <w:rFonts w:ascii="Times New Roman" w:eastAsia="Calibri" w:hAnsi="Times New Roman" w:cs="Times New Roman"/>
          <w:sz w:val="24"/>
          <w:szCs w:val="24"/>
          <w:lang w:val="en-US"/>
        </w:rPr>
        <w:t xml:space="preserve">Combination of </w:t>
      </w:r>
      <w:r w:rsidR="005F061A" w:rsidRPr="00E73EF4">
        <w:rPr>
          <w:rFonts w:ascii="Times New Roman" w:eastAsia="Calibri" w:hAnsi="Times New Roman" w:cs="Times New Roman"/>
          <w:sz w:val="24"/>
          <w:szCs w:val="24"/>
          <w:lang w:val="en-US"/>
        </w:rPr>
        <w:t xml:space="preserve">gentamicin </w:t>
      </w:r>
      <w:r w:rsidRPr="00E73EF4">
        <w:rPr>
          <w:rFonts w:ascii="Times New Roman" w:eastAsia="Calibri" w:hAnsi="Times New Roman" w:cs="Times New Roman"/>
          <w:sz w:val="24"/>
          <w:szCs w:val="24"/>
          <w:lang w:val="en-US"/>
        </w:rPr>
        <w:t>(</w:t>
      </w:r>
      <w:r w:rsidR="00BD6ACD" w:rsidRPr="00E73EF4">
        <w:rPr>
          <w:rFonts w:ascii="Times New Roman" w:eastAsia="Calibri" w:hAnsi="Times New Roman" w:cs="Times New Roman"/>
          <w:sz w:val="24"/>
          <w:szCs w:val="24"/>
          <w:lang w:val="en-US"/>
        </w:rPr>
        <w:t>a</w:t>
      </w:r>
      <w:r w:rsidRPr="00E73EF4">
        <w:rPr>
          <w:rFonts w:ascii="Times New Roman" w:eastAsia="Calibri" w:hAnsi="Times New Roman" w:cs="Times New Roman"/>
          <w:sz w:val="24"/>
          <w:szCs w:val="24"/>
          <w:lang w:val="en-US"/>
        </w:rPr>
        <w:t xml:space="preserve">, </w:t>
      </w:r>
      <w:r w:rsidR="00BD6ACD" w:rsidRPr="00E73EF4">
        <w:rPr>
          <w:rFonts w:ascii="Times New Roman" w:eastAsia="Calibri" w:hAnsi="Times New Roman" w:cs="Times New Roman"/>
          <w:sz w:val="24"/>
          <w:szCs w:val="24"/>
          <w:lang w:val="en-US"/>
        </w:rPr>
        <w:t>c</w:t>
      </w:r>
      <w:r w:rsidRPr="00E73EF4">
        <w:rPr>
          <w:rFonts w:ascii="Times New Roman" w:eastAsia="Calibri" w:hAnsi="Times New Roman" w:cs="Times New Roman"/>
          <w:sz w:val="24"/>
          <w:szCs w:val="24"/>
          <w:lang w:val="en-US"/>
        </w:rPr>
        <w:t xml:space="preserve">) or </w:t>
      </w:r>
      <w:proofErr w:type="spellStart"/>
      <w:r w:rsidR="005F061A" w:rsidRPr="00E73EF4">
        <w:rPr>
          <w:rFonts w:ascii="Times New Roman" w:eastAsia="Calibri" w:hAnsi="Times New Roman" w:cs="Times New Roman"/>
          <w:sz w:val="24"/>
          <w:szCs w:val="24"/>
          <w:lang w:val="en-US"/>
        </w:rPr>
        <w:t>novobiocin</w:t>
      </w:r>
      <w:proofErr w:type="spellEnd"/>
      <w:r w:rsidR="005F061A" w:rsidRPr="00E73EF4">
        <w:rPr>
          <w:rFonts w:ascii="Times New Roman" w:eastAsia="Calibri" w:hAnsi="Times New Roman" w:cs="Times New Roman"/>
          <w:sz w:val="24"/>
          <w:szCs w:val="24"/>
          <w:lang w:val="en-US"/>
        </w:rPr>
        <w:t xml:space="preserve"> </w:t>
      </w:r>
      <w:r w:rsidRPr="00E73EF4">
        <w:rPr>
          <w:rFonts w:ascii="Times New Roman" w:eastAsia="Calibri" w:hAnsi="Times New Roman" w:cs="Times New Roman"/>
          <w:sz w:val="24"/>
          <w:szCs w:val="24"/>
          <w:lang w:val="en-US"/>
        </w:rPr>
        <w:t>(</w:t>
      </w:r>
      <w:r w:rsidR="00BD6ACD" w:rsidRPr="00E73EF4">
        <w:rPr>
          <w:rFonts w:ascii="Times New Roman" w:eastAsia="Calibri" w:hAnsi="Times New Roman" w:cs="Times New Roman"/>
          <w:sz w:val="24"/>
          <w:szCs w:val="24"/>
          <w:lang w:val="en-US"/>
        </w:rPr>
        <w:t>b</w:t>
      </w:r>
      <w:r w:rsidRPr="00E73EF4">
        <w:rPr>
          <w:rFonts w:ascii="Times New Roman" w:eastAsia="Calibri" w:hAnsi="Times New Roman" w:cs="Times New Roman"/>
          <w:sz w:val="24"/>
          <w:szCs w:val="24"/>
          <w:lang w:val="en-US"/>
        </w:rPr>
        <w:t xml:space="preserve">, </w:t>
      </w:r>
      <w:r w:rsidR="00BD6ACD" w:rsidRPr="00E73EF4">
        <w:rPr>
          <w:rFonts w:ascii="Times New Roman" w:eastAsia="Calibri" w:hAnsi="Times New Roman" w:cs="Times New Roman"/>
          <w:sz w:val="24"/>
          <w:szCs w:val="24"/>
          <w:lang w:val="en-US"/>
        </w:rPr>
        <w:t>d</w:t>
      </w:r>
      <w:r w:rsidRPr="00E73EF4">
        <w:rPr>
          <w:rFonts w:ascii="Times New Roman" w:eastAsia="Calibri" w:hAnsi="Times New Roman" w:cs="Times New Roman"/>
          <w:sz w:val="24"/>
          <w:szCs w:val="24"/>
          <w:lang w:val="en-US"/>
        </w:rPr>
        <w:t>) with sub-inhibitory</w:t>
      </w:r>
      <w:r w:rsidR="00B161AF" w:rsidRPr="00E73EF4">
        <w:rPr>
          <w:rFonts w:ascii="Times New Roman" w:eastAsia="Calibri" w:hAnsi="Times New Roman" w:cs="Times New Roman"/>
          <w:sz w:val="24"/>
          <w:szCs w:val="24"/>
          <w:lang w:val="en-US"/>
        </w:rPr>
        <w:t xml:space="preserve"> combinations of antibiotics,</w:t>
      </w:r>
      <w:r w:rsidRPr="00E73EF4">
        <w:rPr>
          <w:rFonts w:ascii="Times New Roman" w:eastAsia="Calibri" w:hAnsi="Times New Roman" w:cs="Times New Roman"/>
          <w:sz w:val="24"/>
          <w:szCs w:val="24"/>
          <w:lang w:val="en-US"/>
        </w:rPr>
        <w:t xml:space="preserve"> without (</w:t>
      </w:r>
      <w:r w:rsidR="00BD6ACD" w:rsidRPr="00E73EF4">
        <w:rPr>
          <w:rFonts w:ascii="Times New Roman" w:eastAsia="Calibri" w:hAnsi="Times New Roman" w:cs="Times New Roman"/>
          <w:sz w:val="24"/>
          <w:szCs w:val="24"/>
          <w:lang w:val="en-US"/>
        </w:rPr>
        <w:t>a</w:t>
      </w:r>
      <w:r w:rsidRPr="00E73EF4">
        <w:rPr>
          <w:rFonts w:ascii="Times New Roman" w:eastAsia="Calibri" w:hAnsi="Times New Roman" w:cs="Times New Roman"/>
          <w:sz w:val="24"/>
          <w:szCs w:val="24"/>
          <w:lang w:val="en-US"/>
        </w:rPr>
        <w:t xml:space="preserve">, </w:t>
      </w:r>
      <w:r w:rsidR="00BD6ACD" w:rsidRPr="00E73EF4">
        <w:rPr>
          <w:rFonts w:ascii="Times New Roman" w:eastAsia="Calibri" w:hAnsi="Times New Roman" w:cs="Times New Roman"/>
          <w:sz w:val="24"/>
          <w:szCs w:val="24"/>
          <w:lang w:val="en-US"/>
        </w:rPr>
        <w:t>b</w:t>
      </w:r>
      <w:r w:rsidRPr="00E73EF4">
        <w:rPr>
          <w:rFonts w:ascii="Times New Roman" w:eastAsia="Calibri" w:hAnsi="Times New Roman" w:cs="Times New Roman"/>
          <w:sz w:val="24"/>
          <w:szCs w:val="24"/>
          <w:lang w:val="en-US"/>
        </w:rPr>
        <w:t>) or with UV light (</w:t>
      </w:r>
      <w:r w:rsidR="00BD6ACD" w:rsidRPr="00E73EF4">
        <w:rPr>
          <w:rFonts w:ascii="Times New Roman" w:eastAsia="Calibri" w:hAnsi="Times New Roman" w:cs="Times New Roman"/>
          <w:sz w:val="24"/>
          <w:szCs w:val="24"/>
          <w:lang w:val="en-US"/>
        </w:rPr>
        <w:t>c</w:t>
      </w:r>
      <w:r w:rsidRPr="00E73EF4">
        <w:rPr>
          <w:rFonts w:ascii="Times New Roman" w:eastAsia="Calibri" w:hAnsi="Times New Roman" w:cs="Times New Roman"/>
          <w:sz w:val="24"/>
          <w:szCs w:val="24"/>
          <w:lang w:val="en-US"/>
        </w:rPr>
        <w:t xml:space="preserve">, </w:t>
      </w:r>
      <w:r w:rsidR="00BD6ACD" w:rsidRPr="00E73EF4">
        <w:rPr>
          <w:rFonts w:ascii="Times New Roman" w:eastAsia="Calibri" w:hAnsi="Times New Roman" w:cs="Times New Roman"/>
          <w:sz w:val="24"/>
          <w:szCs w:val="24"/>
          <w:lang w:val="en-US"/>
        </w:rPr>
        <w:t>d</w:t>
      </w:r>
      <w:r w:rsidRPr="00E73EF4">
        <w:rPr>
          <w:rFonts w:ascii="Times New Roman" w:eastAsia="Calibri" w:hAnsi="Times New Roman" w:cs="Times New Roman"/>
          <w:sz w:val="24"/>
          <w:szCs w:val="24"/>
          <w:lang w:val="en-US"/>
        </w:rPr>
        <w:t xml:space="preserve">).  </w:t>
      </w:r>
      <w:r w:rsidR="00BD6ACD" w:rsidRPr="00E73EF4">
        <w:rPr>
          <w:rFonts w:ascii="Times New Roman" w:eastAsia="Calibri" w:hAnsi="Times New Roman" w:cs="Times New Roman"/>
          <w:sz w:val="24"/>
          <w:szCs w:val="24"/>
          <w:lang w:val="en-US"/>
        </w:rPr>
        <w:t xml:space="preserve">Combinations of </w:t>
      </w:r>
      <w:r w:rsidR="00B161AF" w:rsidRPr="00E73EF4">
        <w:rPr>
          <w:rFonts w:ascii="Times New Roman" w:eastAsia="Calibri" w:hAnsi="Times New Roman" w:cs="Times New Roman"/>
          <w:sz w:val="24"/>
          <w:szCs w:val="24"/>
          <w:lang w:val="en-US"/>
        </w:rPr>
        <w:t>antibi</w:t>
      </w:r>
      <w:r w:rsidR="001D7E28" w:rsidRPr="00E73EF4">
        <w:rPr>
          <w:rFonts w:ascii="Times New Roman" w:eastAsia="Calibri" w:hAnsi="Times New Roman" w:cs="Times New Roman"/>
          <w:sz w:val="24"/>
          <w:szCs w:val="24"/>
          <w:lang w:val="en-US"/>
        </w:rPr>
        <w:t xml:space="preserve">otics are </w:t>
      </w:r>
      <w:r w:rsidR="00483DFB" w:rsidRPr="00E73EF4">
        <w:rPr>
          <w:rFonts w:ascii="Times New Roman" w:eastAsia="Calibri" w:hAnsi="Times New Roman" w:cs="Times New Roman"/>
          <w:sz w:val="24"/>
          <w:szCs w:val="24"/>
          <w:lang w:val="en-US"/>
        </w:rPr>
        <w:t>indicated by hatching</w:t>
      </w:r>
      <w:r w:rsidR="001D7E28" w:rsidRPr="00E73EF4">
        <w:rPr>
          <w:rFonts w:ascii="Times New Roman" w:eastAsia="Calibri" w:hAnsi="Times New Roman" w:cs="Times New Roman"/>
          <w:sz w:val="24"/>
          <w:szCs w:val="24"/>
          <w:lang w:val="en-US"/>
        </w:rPr>
        <w:t>.</w:t>
      </w:r>
      <w:r w:rsidR="00B161AF" w:rsidRPr="00E73EF4">
        <w:rPr>
          <w:rFonts w:ascii="Times New Roman" w:eastAsia="Calibri" w:hAnsi="Times New Roman" w:cs="Times New Roman"/>
          <w:sz w:val="24"/>
          <w:szCs w:val="24"/>
          <w:lang w:val="en-US"/>
        </w:rPr>
        <w:t xml:space="preserve">  </w:t>
      </w:r>
      <w:r w:rsidR="003662D7" w:rsidRPr="00E73EF4">
        <w:rPr>
          <w:rFonts w:ascii="Times New Roman" w:eastAsia="Calibri" w:hAnsi="Times New Roman" w:cs="Times New Roman"/>
          <w:sz w:val="24"/>
          <w:szCs w:val="24"/>
          <w:lang w:val="en-US"/>
        </w:rPr>
        <w:t xml:space="preserve">Gentamicin reduced the transfer induced by ciprofloxacin and </w:t>
      </w:r>
      <w:proofErr w:type="spellStart"/>
      <w:r w:rsidR="003662D7" w:rsidRPr="00E73EF4">
        <w:rPr>
          <w:rFonts w:ascii="Times New Roman" w:eastAsia="Calibri" w:hAnsi="Times New Roman" w:cs="Times New Roman"/>
          <w:sz w:val="24"/>
          <w:szCs w:val="24"/>
          <w:lang w:val="en-US"/>
        </w:rPr>
        <w:t>mupirocin</w:t>
      </w:r>
      <w:proofErr w:type="spellEnd"/>
      <w:r w:rsidR="003662D7" w:rsidRPr="00E73EF4">
        <w:rPr>
          <w:rFonts w:ascii="Times New Roman" w:eastAsia="Calibri" w:hAnsi="Times New Roman" w:cs="Times New Roman"/>
          <w:sz w:val="24"/>
          <w:szCs w:val="24"/>
          <w:lang w:val="en-US"/>
        </w:rPr>
        <w:t xml:space="preserve">.  In the presence of UV light, both gentamicin and </w:t>
      </w:r>
      <w:proofErr w:type="spellStart"/>
      <w:r w:rsidR="003662D7" w:rsidRPr="00E73EF4">
        <w:rPr>
          <w:rFonts w:ascii="Times New Roman" w:eastAsia="Calibri" w:hAnsi="Times New Roman" w:cs="Times New Roman"/>
          <w:sz w:val="24"/>
          <w:szCs w:val="24"/>
          <w:lang w:val="en-US"/>
        </w:rPr>
        <w:t>novobiocin</w:t>
      </w:r>
      <w:proofErr w:type="spellEnd"/>
      <w:r w:rsidR="003662D7" w:rsidRPr="00E73EF4">
        <w:rPr>
          <w:rFonts w:ascii="Times New Roman" w:eastAsia="Calibri" w:hAnsi="Times New Roman" w:cs="Times New Roman"/>
          <w:sz w:val="24"/>
          <w:szCs w:val="24"/>
          <w:lang w:val="en-US"/>
        </w:rPr>
        <w:t xml:space="preserve"> reduced the high level transfer induced by </w:t>
      </w:r>
      <w:proofErr w:type="spellStart"/>
      <w:r w:rsidR="003662D7" w:rsidRPr="00E73EF4">
        <w:rPr>
          <w:rFonts w:ascii="Times New Roman" w:eastAsia="Calibri" w:hAnsi="Times New Roman" w:cs="Times New Roman"/>
          <w:sz w:val="24"/>
          <w:szCs w:val="24"/>
          <w:lang w:val="en-US"/>
        </w:rPr>
        <w:t>cefoxitin</w:t>
      </w:r>
      <w:proofErr w:type="spellEnd"/>
      <w:r w:rsidR="003662D7" w:rsidRPr="00E73EF4">
        <w:rPr>
          <w:rFonts w:ascii="Times New Roman" w:eastAsia="Calibri" w:hAnsi="Times New Roman" w:cs="Times New Roman"/>
          <w:sz w:val="24"/>
          <w:szCs w:val="24"/>
          <w:lang w:val="en-US"/>
        </w:rPr>
        <w:t xml:space="preserve"> and trimethoprim, as well as reducing the transfer induced by all the remaining antibiotics tested.  </w:t>
      </w:r>
      <w:r w:rsidR="00B161AF" w:rsidRPr="00E73EF4">
        <w:rPr>
          <w:rFonts w:ascii="Times New Roman" w:eastAsia="Calibri" w:hAnsi="Times New Roman" w:cs="Times New Roman"/>
          <w:sz w:val="24"/>
          <w:szCs w:val="24"/>
          <w:lang w:val="en-US"/>
        </w:rPr>
        <w:t xml:space="preserve">Mean of at least three experiments in triplicate ± S.D, </w:t>
      </w:r>
      <w:r w:rsidR="00B161AF" w:rsidRPr="00E73EF4">
        <w:rPr>
          <w:rFonts w:ascii="Times New Roman" w:eastAsia="Calibri" w:hAnsi="Times New Roman" w:cs="Times New Roman"/>
          <w:sz w:val="24"/>
          <w:szCs w:val="24"/>
        </w:rPr>
        <w:t xml:space="preserve">* p &lt;. 0.05; ** p &lt; 0.01, </w:t>
      </w:r>
      <w:r w:rsidR="00B161AF" w:rsidRPr="00E73EF4">
        <w:rPr>
          <w:rFonts w:ascii="Times New Roman" w:eastAsia="Calibri" w:hAnsi="Times New Roman" w:cs="Times New Roman"/>
          <w:sz w:val="24"/>
          <w:szCs w:val="24"/>
          <w:lang w:val="en-US"/>
        </w:rPr>
        <w:t xml:space="preserve">*** p&lt; 0.001.  </w:t>
      </w:r>
      <w:r w:rsidR="00BD6ACD" w:rsidRPr="00E73EF4">
        <w:rPr>
          <w:rFonts w:ascii="Times New Roman" w:eastAsia="Calibri" w:hAnsi="Times New Roman" w:cs="Times New Roman"/>
          <w:sz w:val="24"/>
          <w:szCs w:val="24"/>
          <w:lang w:val="en-US"/>
        </w:rPr>
        <w:t>L</w:t>
      </w:r>
      <w:r w:rsidR="00B161AF" w:rsidRPr="00E73EF4">
        <w:rPr>
          <w:rFonts w:ascii="Times New Roman" w:eastAsia="Calibri" w:hAnsi="Times New Roman" w:cs="Times New Roman"/>
          <w:sz w:val="24"/>
          <w:szCs w:val="24"/>
          <w:lang w:val="en-US"/>
        </w:rPr>
        <w:t xml:space="preserve">ytic </w:t>
      </w:r>
      <w:proofErr w:type="gramStart"/>
      <w:r w:rsidR="00B161AF" w:rsidRPr="00E73EF4">
        <w:rPr>
          <w:rFonts w:ascii="Times New Roman" w:eastAsia="Calibri" w:hAnsi="Times New Roman" w:cs="Times New Roman"/>
          <w:sz w:val="24"/>
          <w:szCs w:val="24"/>
          <w:lang w:val="en-US"/>
        </w:rPr>
        <w:t xml:space="preserve">phage  </w:t>
      </w:r>
      <w:r w:rsidR="00BD6ACD" w:rsidRPr="00E73EF4">
        <w:rPr>
          <w:rFonts w:ascii="Times New Roman" w:eastAsia="Calibri" w:hAnsi="Times New Roman" w:cs="Times New Roman"/>
          <w:sz w:val="24"/>
          <w:szCs w:val="24"/>
          <w:lang w:val="en-US"/>
        </w:rPr>
        <w:t>were</w:t>
      </w:r>
      <w:proofErr w:type="gramEnd"/>
      <w:r w:rsidR="00BD6ACD" w:rsidRPr="00E73EF4">
        <w:rPr>
          <w:rFonts w:ascii="Times New Roman" w:eastAsia="Calibri" w:hAnsi="Times New Roman" w:cs="Times New Roman"/>
          <w:sz w:val="24"/>
          <w:szCs w:val="24"/>
          <w:lang w:val="en-US"/>
        </w:rPr>
        <w:t xml:space="preserve"> also inhibited (</w:t>
      </w:r>
      <w:r w:rsidR="00B161AF" w:rsidRPr="00E73EF4">
        <w:rPr>
          <w:rFonts w:ascii="Times New Roman" w:eastAsia="Calibri" w:hAnsi="Times New Roman" w:cs="Times New Roman"/>
          <w:sz w:val="24"/>
          <w:szCs w:val="24"/>
          <w:lang w:val="en-US"/>
        </w:rPr>
        <w:t>Supplementary Figure 1</w:t>
      </w:r>
      <w:r w:rsidR="00BD6ACD" w:rsidRPr="00E73EF4">
        <w:rPr>
          <w:rFonts w:ascii="Times New Roman" w:eastAsia="Calibri" w:hAnsi="Times New Roman" w:cs="Times New Roman"/>
          <w:sz w:val="24"/>
          <w:szCs w:val="24"/>
          <w:lang w:val="en-US"/>
        </w:rPr>
        <w:t>)</w:t>
      </w:r>
      <w:r w:rsidR="00B161AF" w:rsidRPr="00E73EF4">
        <w:rPr>
          <w:rFonts w:ascii="Times New Roman" w:eastAsia="Calibri" w:hAnsi="Times New Roman" w:cs="Times New Roman"/>
          <w:sz w:val="24"/>
          <w:szCs w:val="24"/>
          <w:lang w:val="en-US"/>
        </w:rPr>
        <w:t>.</w:t>
      </w:r>
      <w:r w:rsidR="000C60A3" w:rsidRPr="00E73EF4">
        <w:rPr>
          <w:rFonts w:ascii="Times New Roman" w:eastAsia="Calibri" w:hAnsi="Times New Roman" w:cs="Times New Roman"/>
          <w:sz w:val="24"/>
          <w:szCs w:val="24"/>
          <w:lang w:val="en-US"/>
        </w:rPr>
        <w:t xml:space="preserve"> </w:t>
      </w:r>
      <w:r w:rsidR="000C60A3" w:rsidRPr="00E73EF4">
        <w:rPr>
          <w:rFonts w:ascii="Times New Roman" w:eastAsia="Times New Roman" w:hAnsi="Times New Roman" w:cs="Times New Roman"/>
          <w:color w:val="000000"/>
          <w:kern w:val="24"/>
          <w:sz w:val="24"/>
          <w:szCs w:val="24"/>
        </w:rPr>
        <w:t xml:space="preserve">Control with either gentamicin or </w:t>
      </w:r>
      <w:proofErr w:type="spellStart"/>
      <w:r w:rsidR="000C60A3" w:rsidRPr="00E73EF4">
        <w:rPr>
          <w:rFonts w:ascii="Times New Roman" w:eastAsia="Times New Roman" w:hAnsi="Times New Roman" w:cs="Times New Roman"/>
          <w:color w:val="000000"/>
          <w:kern w:val="24"/>
          <w:sz w:val="24"/>
          <w:szCs w:val="24"/>
        </w:rPr>
        <w:t>novobiocin</w:t>
      </w:r>
      <w:proofErr w:type="spellEnd"/>
      <w:r w:rsidR="000C60A3" w:rsidRPr="00E73EF4">
        <w:rPr>
          <w:rFonts w:ascii="Times New Roman" w:eastAsia="Times New Roman" w:hAnsi="Times New Roman" w:cs="Times New Roman"/>
          <w:color w:val="000000"/>
          <w:kern w:val="24"/>
          <w:sz w:val="24"/>
          <w:szCs w:val="24"/>
        </w:rPr>
        <w:t xml:space="preserve"> alone (Co, black), Ampicillin (A, green), </w:t>
      </w:r>
      <w:proofErr w:type="spellStart"/>
      <w:r w:rsidR="000C60A3" w:rsidRPr="00E73EF4">
        <w:rPr>
          <w:rFonts w:ascii="Times New Roman" w:eastAsia="Times New Roman" w:hAnsi="Times New Roman" w:cs="Times New Roman"/>
          <w:color w:val="000000"/>
          <w:kern w:val="24"/>
          <w:sz w:val="24"/>
          <w:szCs w:val="24"/>
        </w:rPr>
        <w:t>Cefoxitin</w:t>
      </w:r>
      <w:proofErr w:type="spellEnd"/>
      <w:r w:rsidR="000C60A3" w:rsidRPr="00E73EF4">
        <w:rPr>
          <w:rFonts w:ascii="Times New Roman" w:eastAsia="Times New Roman" w:hAnsi="Times New Roman" w:cs="Times New Roman"/>
          <w:color w:val="000000"/>
          <w:kern w:val="24"/>
          <w:sz w:val="24"/>
          <w:szCs w:val="24"/>
        </w:rPr>
        <w:t xml:space="preserve"> (Ce, orange), Ciprofloxacin (Ci, blue), Trimethoprim (</w:t>
      </w:r>
      <w:proofErr w:type="spellStart"/>
      <w:proofErr w:type="gramStart"/>
      <w:r w:rsidR="000C60A3" w:rsidRPr="00E73EF4">
        <w:rPr>
          <w:rFonts w:ascii="Times New Roman" w:eastAsia="Times New Roman" w:hAnsi="Times New Roman" w:cs="Times New Roman"/>
          <w:color w:val="000000"/>
          <w:kern w:val="24"/>
          <w:sz w:val="24"/>
          <w:szCs w:val="24"/>
        </w:rPr>
        <w:t>Tr</w:t>
      </w:r>
      <w:proofErr w:type="spellEnd"/>
      <w:proofErr w:type="gramEnd"/>
      <w:r w:rsidR="000C60A3" w:rsidRPr="00E73EF4">
        <w:rPr>
          <w:rFonts w:ascii="Times New Roman" w:eastAsia="Times New Roman" w:hAnsi="Times New Roman" w:cs="Times New Roman"/>
          <w:color w:val="000000"/>
          <w:kern w:val="24"/>
          <w:sz w:val="24"/>
          <w:szCs w:val="24"/>
        </w:rPr>
        <w:t xml:space="preserve">, yellow), </w:t>
      </w:r>
      <w:proofErr w:type="spellStart"/>
      <w:r w:rsidR="000C60A3" w:rsidRPr="00E73EF4">
        <w:rPr>
          <w:rFonts w:ascii="Times New Roman" w:eastAsia="Times New Roman" w:hAnsi="Times New Roman" w:cs="Times New Roman"/>
          <w:color w:val="000000"/>
          <w:kern w:val="24"/>
          <w:sz w:val="24"/>
          <w:szCs w:val="24"/>
        </w:rPr>
        <w:t>Mupirocin</w:t>
      </w:r>
      <w:proofErr w:type="spellEnd"/>
      <w:r w:rsidR="000C60A3" w:rsidRPr="00E73EF4">
        <w:rPr>
          <w:rFonts w:ascii="Times New Roman" w:eastAsia="Times New Roman" w:hAnsi="Times New Roman" w:cs="Times New Roman"/>
          <w:color w:val="000000"/>
          <w:kern w:val="24"/>
          <w:sz w:val="24"/>
          <w:szCs w:val="24"/>
        </w:rPr>
        <w:t xml:space="preserve"> (M, purple), Combination (hashed).</w:t>
      </w:r>
      <w:r w:rsidR="00CA4E97" w:rsidRPr="00E73EF4">
        <w:rPr>
          <w:rFonts w:ascii="Times New Roman" w:eastAsia="Times New Roman" w:hAnsi="Times New Roman" w:cs="Times New Roman"/>
          <w:color w:val="000000"/>
          <w:kern w:val="24"/>
          <w:sz w:val="24"/>
          <w:szCs w:val="24"/>
        </w:rPr>
        <w:t xml:space="preserve"> </w:t>
      </w:r>
      <w:r w:rsidR="00CA4E97" w:rsidRPr="00E73EF4">
        <w:rPr>
          <w:rFonts w:ascii="Times New Roman" w:hAnsi="Times New Roman" w:cs="Times New Roman"/>
          <w:sz w:val="24"/>
          <w:szCs w:val="24"/>
        </w:rPr>
        <w:t>This figure appears in colour in the online version of JAC and in black and white in the print version of JAC.</w:t>
      </w:r>
    </w:p>
    <w:p w14:paraId="476F1730" w14:textId="77777777" w:rsidR="00B161AF" w:rsidRPr="00E73EF4" w:rsidRDefault="00B161AF" w:rsidP="00120B4C">
      <w:pPr>
        <w:autoSpaceDE w:val="0"/>
        <w:autoSpaceDN w:val="0"/>
        <w:adjustRightInd w:val="0"/>
        <w:spacing w:line="480" w:lineRule="auto"/>
        <w:jc w:val="both"/>
        <w:rPr>
          <w:rFonts w:ascii="Times New Roman" w:eastAsia="Calibri" w:hAnsi="Times New Roman" w:cs="Times New Roman"/>
          <w:sz w:val="24"/>
          <w:szCs w:val="24"/>
          <w:lang w:val="en-US"/>
        </w:rPr>
      </w:pPr>
    </w:p>
    <w:p w14:paraId="48CB1AC6" w14:textId="30F130FD" w:rsidR="0010488E" w:rsidRPr="00E73EF4" w:rsidRDefault="00B161AF" w:rsidP="0010488E">
      <w:pPr>
        <w:spacing w:line="480" w:lineRule="auto"/>
        <w:jc w:val="both"/>
        <w:rPr>
          <w:rFonts w:ascii="Times New Roman" w:hAnsi="Times New Roman" w:cs="Times New Roman"/>
          <w:sz w:val="24"/>
          <w:szCs w:val="24"/>
        </w:rPr>
      </w:pPr>
      <w:r w:rsidRPr="00E73EF4">
        <w:rPr>
          <w:rFonts w:ascii="Times New Roman" w:hAnsi="Times New Roman" w:cs="Times New Roman"/>
          <w:b/>
          <w:sz w:val="24"/>
          <w:szCs w:val="24"/>
        </w:rPr>
        <w:t xml:space="preserve">Figure 4. </w:t>
      </w:r>
      <w:r w:rsidR="009255BB" w:rsidRPr="00E73EF4">
        <w:rPr>
          <w:rFonts w:ascii="Times New Roman" w:hAnsi="Times New Roman" w:cs="Times New Roman"/>
          <w:b/>
          <w:sz w:val="24"/>
          <w:szCs w:val="24"/>
        </w:rPr>
        <w:t>C</w:t>
      </w:r>
      <w:r w:rsidRPr="00E73EF4">
        <w:rPr>
          <w:rFonts w:ascii="Times New Roman" w:hAnsi="Times New Roman" w:cs="Times New Roman"/>
          <w:b/>
          <w:sz w:val="24"/>
          <w:szCs w:val="24"/>
        </w:rPr>
        <w:t xml:space="preserve">opy number of </w:t>
      </w:r>
      <w:proofErr w:type="spellStart"/>
      <w:r w:rsidR="009255BB" w:rsidRPr="00E73EF4">
        <w:rPr>
          <w:rFonts w:ascii="Times New Roman" w:hAnsi="Times New Roman" w:cs="Times New Roman"/>
          <w:b/>
          <w:i/>
          <w:sz w:val="24"/>
          <w:szCs w:val="24"/>
        </w:rPr>
        <w:t>ermC</w:t>
      </w:r>
      <w:proofErr w:type="spellEnd"/>
      <w:r w:rsidR="009255BB" w:rsidRPr="00E73EF4">
        <w:rPr>
          <w:rFonts w:ascii="Times New Roman" w:hAnsi="Times New Roman" w:cs="Times New Roman"/>
          <w:b/>
          <w:sz w:val="24"/>
          <w:szCs w:val="24"/>
        </w:rPr>
        <w:t xml:space="preserve"> and phage </w:t>
      </w:r>
      <w:r w:rsidRPr="00E73EF4">
        <w:rPr>
          <w:rFonts w:ascii="Times New Roman" w:hAnsi="Times New Roman" w:cs="Times New Roman"/>
          <w:b/>
          <w:sz w:val="24"/>
          <w:szCs w:val="24"/>
        </w:rPr>
        <w:t xml:space="preserve">genes in phage particles </w:t>
      </w:r>
      <w:r w:rsidR="009255BB" w:rsidRPr="00E73EF4">
        <w:rPr>
          <w:rFonts w:ascii="Times New Roman" w:hAnsi="Times New Roman" w:cs="Times New Roman"/>
          <w:b/>
          <w:sz w:val="24"/>
          <w:szCs w:val="24"/>
        </w:rPr>
        <w:t>correlates with transduction and lytic activity.</w:t>
      </w:r>
      <w:r w:rsidR="009255BB" w:rsidRPr="00E73EF4">
        <w:rPr>
          <w:rFonts w:ascii="Times New Roman" w:hAnsi="Times New Roman" w:cs="Times New Roman"/>
          <w:bCs/>
          <w:sz w:val="24"/>
          <w:szCs w:val="24"/>
        </w:rPr>
        <w:t xml:space="preserve"> </w:t>
      </w:r>
      <w:r w:rsidR="00C25CF0" w:rsidRPr="00E73EF4">
        <w:rPr>
          <w:rFonts w:ascii="Times New Roman" w:hAnsi="Times New Roman" w:cs="Times New Roman"/>
          <w:bCs/>
          <w:sz w:val="24"/>
          <w:szCs w:val="24"/>
        </w:rPr>
        <w:t xml:space="preserve">a) </w:t>
      </w:r>
      <w:proofErr w:type="spellStart"/>
      <w:r w:rsidR="009255BB" w:rsidRPr="00E73EF4">
        <w:rPr>
          <w:rFonts w:ascii="Times New Roman" w:hAnsi="Times New Roman" w:cs="Times New Roman"/>
          <w:bCs/>
          <w:sz w:val="24"/>
          <w:szCs w:val="24"/>
        </w:rPr>
        <w:t>ddPCR</w:t>
      </w:r>
      <w:proofErr w:type="spellEnd"/>
      <w:r w:rsidR="009255BB" w:rsidRPr="00E73EF4">
        <w:rPr>
          <w:rFonts w:ascii="Times New Roman" w:hAnsi="Times New Roman" w:cs="Times New Roman"/>
          <w:bCs/>
          <w:sz w:val="24"/>
          <w:szCs w:val="24"/>
        </w:rPr>
        <w:t xml:space="preserve"> was used to measure t</w:t>
      </w:r>
      <w:r w:rsidRPr="00E73EF4">
        <w:rPr>
          <w:rStyle w:val="text"/>
          <w:rFonts w:ascii="Times New Roman" w:hAnsi="Times New Roman" w:cs="Times New Roman"/>
          <w:bCs/>
          <w:sz w:val="24"/>
          <w:szCs w:val="24"/>
        </w:rPr>
        <w:t>he copy number of</w:t>
      </w:r>
      <w:r w:rsidR="009255BB" w:rsidRPr="00E73EF4">
        <w:rPr>
          <w:rStyle w:val="text"/>
          <w:rFonts w:ascii="Times New Roman" w:hAnsi="Times New Roman" w:cs="Times New Roman"/>
          <w:bCs/>
          <w:sz w:val="24"/>
          <w:szCs w:val="24"/>
        </w:rPr>
        <w:t xml:space="preserve"> the </w:t>
      </w:r>
      <w:proofErr w:type="spellStart"/>
      <w:r w:rsidR="00726FD4" w:rsidRPr="00E73EF4">
        <w:rPr>
          <w:rStyle w:val="text"/>
          <w:rFonts w:ascii="Times New Roman" w:hAnsi="Times New Roman" w:cs="Times New Roman"/>
          <w:bCs/>
          <w:sz w:val="24"/>
          <w:szCs w:val="24"/>
        </w:rPr>
        <w:t>the</w:t>
      </w:r>
      <w:proofErr w:type="spellEnd"/>
      <w:r w:rsidR="00726FD4" w:rsidRPr="00E73EF4">
        <w:rPr>
          <w:rStyle w:val="text"/>
          <w:rFonts w:ascii="Times New Roman" w:hAnsi="Times New Roman" w:cs="Times New Roman"/>
          <w:bCs/>
          <w:sz w:val="24"/>
          <w:szCs w:val="24"/>
        </w:rPr>
        <w:t xml:space="preserve"> chromosomal gene </w:t>
      </w:r>
      <w:proofErr w:type="spellStart"/>
      <w:r w:rsidR="00726FD4" w:rsidRPr="00E73EF4">
        <w:rPr>
          <w:rStyle w:val="text"/>
          <w:rFonts w:ascii="Times New Roman" w:hAnsi="Times New Roman" w:cs="Times New Roman"/>
          <w:bCs/>
          <w:i/>
          <w:sz w:val="24"/>
          <w:szCs w:val="24"/>
        </w:rPr>
        <w:t>nuc</w:t>
      </w:r>
      <w:proofErr w:type="spellEnd"/>
      <w:r w:rsidR="00726FD4" w:rsidRPr="00E73EF4">
        <w:rPr>
          <w:rStyle w:val="text"/>
          <w:rFonts w:ascii="Times New Roman" w:hAnsi="Times New Roman" w:cs="Times New Roman"/>
          <w:bCs/>
          <w:sz w:val="24"/>
          <w:szCs w:val="24"/>
        </w:rPr>
        <w:t xml:space="preserve"> (black)</w:t>
      </w:r>
      <w:r w:rsidR="009255BB" w:rsidRPr="00E73EF4">
        <w:rPr>
          <w:rStyle w:val="text"/>
          <w:rFonts w:ascii="Times New Roman" w:hAnsi="Times New Roman" w:cs="Times New Roman"/>
          <w:bCs/>
          <w:sz w:val="24"/>
          <w:szCs w:val="24"/>
        </w:rPr>
        <w:t xml:space="preserve">, </w:t>
      </w:r>
      <w:r w:rsidRPr="00E73EF4">
        <w:rPr>
          <w:rStyle w:val="text"/>
          <w:rFonts w:ascii="Times New Roman" w:hAnsi="Times New Roman" w:cs="Times New Roman"/>
          <w:bCs/>
          <w:sz w:val="24"/>
          <w:szCs w:val="24"/>
        </w:rPr>
        <w:t>phage genes represented by</w:t>
      </w:r>
      <w:r w:rsidRPr="00E73EF4">
        <w:rPr>
          <w:rStyle w:val="text"/>
          <w:rFonts w:ascii="Times New Roman" w:hAnsi="Times New Roman" w:cs="Times New Roman"/>
          <w:bCs/>
          <w:i/>
          <w:sz w:val="24"/>
          <w:szCs w:val="24"/>
        </w:rPr>
        <w:t xml:space="preserve"> Φ1</w:t>
      </w:r>
      <w:r w:rsidR="009255BB" w:rsidRPr="00E73EF4">
        <w:rPr>
          <w:rStyle w:val="text"/>
          <w:rFonts w:ascii="Times New Roman" w:hAnsi="Times New Roman" w:cs="Times New Roman"/>
          <w:bCs/>
          <w:i/>
          <w:sz w:val="24"/>
          <w:szCs w:val="24"/>
        </w:rPr>
        <w:t>int</w:t>
      </w:r>
      <w:r w:rsidRPr="00E73EF4">
        <w:rPr>
          <w:rStyle w:val="text"/>
          <w:rFonts w:ascii="Times New Roman" w:hAnsi="Times New Roman" w:cs="Times New Roman"/>
          <w:bCs/>
          <w:sz w:val="24"/>
          <w:szCs w:val="24"/>
        </w:rPr>
        <w:t xml:space="preserve"> </w:t>
      </w:r>
      <w:r w:rsidR="00726FD4" w:rsidRPr="00E73EF4">
        <w:rPr>
          <w:rStyle w:val="text"/>
          <w:rFonts w:ascii="Times New Roman" w:hAnsi="Times New Roman" w:cs="Times New Roman"/>
          <w:bCs/>
          <w:sz w:val="24"/>
          <w:szCs w:val="24"/>
        </w:rPr>
        <w:t xml:space="preserve">(white) </w:t>
      </w:r>
      <w:r w:rsidRPr="00E73EF4">
        <w:rPr>
          <w:rStyle w:val="text"/>
          <w:rFonts w:ascii="Times New Roman" w:hAnsi="Times New Roman" w:cs="Times New Roman"/>
          <w:bCs/>
          <w:sz w:val="24"/>
          <w:szCs w:val="24"/>
        </w:rPr>
        <w:t>and</w:t>
      </w:r>
      <w:r w:rsidRPr="00E73EF4">
        <w:rPr>
          <w:rStyle w:val="text"/>
          <w:rFonts w:ascii="Times New Roman" w:hAnsi="Times New Roman" w:cs="Times New Roman"/>
          <w:bCs/>
          <w:i/>
          <w:sz w:val="24"/>
          <w:szCs w:val="24"/>
        </w:rPr>
        <w:t xml:space="preserve"> Φ2</w:t>
      </w:r>
      <w:r w:rsidR="009255BB" w:rsidRPr="00E73EF4">
        <w:rPr>
          <w:rStyle w:val="text"/>
          <w:rFonts w:ascii="Times New Roman" w:hAnsi="Times New Roman" w:cs="Times New Roman"/>
          <w:bCs/>
          <w:i/>
          <w:sz w:val="24"/>
          <w:szCs w:val="24"/>
        </w:rPr>
        <w:t>int</w:t>
      </w:r>
      <w:r w:rsidR="00726FD4" w:rsidRPr="00E73EF4">
        <w:rPr>
          <w:rStyle w:val="text"/>
          <w:rFonts w:ascii="Times New Roman" w:hAnsi="Times New Roman" w:cs="Times New Roman"/>
          <w:bCs/>
          <w:i/>
          <w:sz w:val="24"/>
          <w:szCs w:val="24"/>
        </w:rPr>
        <w:t xml:space="preserve"> </w:t>
      </w:r>
      <w:r w:rsidR="00726FD4" w:rsidRPr="00E73EF4">
        <w:rPr>
          <w:rStyle w:val="text"/>
          <w:rFonts w:ascii="Times New Roman" w:hAnsi="Times New Roman" w:cs="Times New Roman"/>
          <w:bCs/>
          <w:sz w:val="24"/>
          <w:szCs w:val="24"/>
        </w:rPr>
        <w:t>(grey)</w:t>
      </w:r>
      <w:r w:rsidRPr="00E73EF4">
        <w:rPr>
          <w:rStyle w:val="text"/>
          <w:rFonts w:ascii="Times New Roman" w:hAnsi="Times New Roman" w:cs="Times New Roman"/>
          <w:bCs/>
          <w:sz w:val="24"/>
          <w:szCs w:val="24"/>
        </w:rPr>
        <w:t xml:space="preserve">, </w:t>
      </w:r>
      <w:r w:rsidR="009255BB" w:rsidRPr="00E73EF4">
        <w:rPr>
          <w:rStyle w:val="text"/>
          <w:rFonts w:ascii="Times New Roman" w:hAnsi="Times New Roman" w:cs="Times New Roman"/>
          <w:bCs/>
          <w:sz w:val="24"/>
          <w:szCs w:val="24"/>
        </w:rPr>
        <w:t>and</w:t>
      </w:r>
      <w:r w:rsidR="00726FD4" w:rsidRPr="00E73EF4">
        <w:rPr>
          <w:rStyle w:val="text"/>
          <w:rFonts w:ascii="Times New Roman" w:hAnsi="Times New Roman" w:cs="Times New Roman"/>
          <w:bCs/>
          <w:sz w:val="24"/>
          <w:szCs w:val="24"/>
        </w:rPr>
        <w:t xml:space="preserve"> plasmid-borne </w:t>
      </w:r>
      <w:proofErr w:type="spellStart"/>
      <w:r w:rsidR="00726FD4" w:rsidRPr="00E73EF4">
        <w:rPr>
          <w:rStyle w:val="text"/>
          <w:rFonts w:ascii="Times New Roman" w:hAnsi="Times New Roman" w:cs="Times New Roman"/>
          <w:bCs/>
          <w:i/>
          <w:sz w:val="24"/>
          <w:szCs w:val="24"/>
        </w:rPr>
        <w:t>ermC</w:t>
      </w:r>
      <w:proofErr w:type="spellEnd"/>
      <w:r w:rsidR="009255BB" w:rsidRPr="00E73EF4">
        <w:rPr>
          <w:rStyle w:val="text"/>
          <w:rFonts w:ascii="Times New Roman" w:hAnsi="Times New Roman" w:cs="Times New Roman"/>
          <w:bCs/>
          <w:sz w:val="24"/>
          <w:szCs w:val="24"/>
        </w:rPr>
        <w:t xml:space="preserve"> </w:t>
      </w:r>
      <w:r w:rsidR="00726FD4" w:rsidRPr="00E73EF4">
        <w:rPr>
          <w:rStyle w:val="text"/>
          <w:rFonts w:ascii="Times New Roman" w:hAnsi="Times New Roman" w:cs="Times New Roman"/>
          <w:bCs/>
          <w:sz w:val="24"/>
          <w:szCs w:val="24"/>
        </w:rPr>
        <w:t xml:space="preserve">(hashed) </w:t>
      </w:r>
      <w:r w:rsidR="009255BB" w:rsidRPr="00E73EF4">
        <w:rPr>
          <w:rStyle w:val="text"/>
          <w:rFonts w:ascii="Times New Roman" w:hAnsi="Times New Roman" w:cs="Times New Roman"/>
          <w:bCs/>
          <w:sz w:val="24"/>
          <w:szCs w:val="24"/>
        </w:rPr>
        <w:t xml:space="preserve">in purified phage particles </w:t>
      </w:r>
      <w:r w:rsidRPr="00E73EF4">
        <w:rPr>
          <w:rFonts w:ascii="Times New Roman" w:hAnsi="Times New Roman" w:cs="Times New Roman"/>
          <w:bCs/>
          <w:sz w:val="24"/>
          <w:szCs w:val="24"/>
        </w:rPr>
        <w:t>generated by exposure</w:t>
      </w:r>
      <w:r w:rsidRPr="00E73EF4">
        <w:rPr>
          <w:rStyle w:val="text"/>
          <w:rFonts w:ascii="Times New Roman" w:hAnsi="Times New Roman" w:cs="Times New Roman"/>
          <w:bCs/>
          <w:sz w:val="24"/>
          <w:szCs w:val="24"/>
        </w:rPr>
        <w:t xml:space="preserve"> to trimethoprim or ciprofloxacin with or without UV light. </w:t>
      </w:r>
      <w:proofErr w:type="spellStart"/>
      <w:proofErr w:type="gramStart"/>
      <w:r w:rsidRPr="00E73EF4">
        <w:rPr>
          <w:rStyle w:val="text"/>
          <w:rFonts w:ascii="Times New Roman" w:hAnsi="Times New Roman" w:cs="Times New Roman"/>
          <w:bCs/>
          <w:i/>
          <w:sz w:val="24"/>
          <w:szCs w:val="24"/>
        </w:rPr>
        <w:t>ermC</w:t>
      </w:r>
      <w:proofErr w:type="spellEnd"/>
      <w:proofErr w:type="gramEnd"/>
      <w:r w:rsidRPr="00E73EF4">
        <w:rPr>
          <w:rStyle w:val="text"/>
          <w:rFonts w:ascii="Times New Roman" w:hAnsi="Times New Roman" w:cs="Times New Roman"/>
          <w:bCs/>
          <w:sz w:val="24"/>
          <w:szCs w:val="24"/>
        </w:rPr>
        <w:t xml:space="preserve">, Φ1 and Φ2 copy numbers were </w:t>
      </w:r>
      <w:r w:rsidRPr="00E73EF4">
        <w:rPr>
          <w:rStyle w:val="text"/>
          <w:rFonts w:ascii="Times New Roman" w:hAnsi="Times New Roman" w:cs="Times New Roman"/>
          <w:bCs/>
          <w:sz w:val="24"/>
          <w:szCs w:val="24"/>
        </w:rPr>
        <w:lastRenderedPageBreak/>
        <w:t xml:space="preserve">significantly different (p&lt;0.01) between all tested lysates apart from Φ1 exposed to ciprofloxacin and trimethoprim. The copy number of </w:t>
      </w:r>
      <w:proofErr w:type="spellStart"/>
      <w:r w:rsidRPr="00E73EF4">
        <w:rPr>
          <w:rStyle w:val="text"/>
          <w:rFonts w:ascii="Times New Roman" w:hAnsi="Times New Roman" w:cs="Times New Roman"/>
          <w:bCs/>
          <w:i/>
          <w:sz w:val="24"/>
          <w:szCs w:val="24"/>
        </w:rPr>
        <w:t>nuc</w:t>
      </w:r>
      <w:proofErr w:type="spellEnd"/>
      <w:r w:rsidRPr="00E73EF4">
        <w:rPr>
          <w:rStyle w:val="text"/>
          <w:rFonts w:ascii="Times New Roman" w:hAnsi="Times New Roman" w:cs="Times New Roman"/>
          <w:bCs/>
          <w:sz w:val="24"/>
          <w:szCs w:val="24"/>
        </w:rPr>
        <w:t xml:space="preserve"> gene was significantly lower in comparison to </w:t>
      </w:r>
      <w:proofErr w:type="spellStart"/>
      <w:r w:rsidRPr="00E73EF4">
        <w:rPr>
          <w:rStyle w:val="text"/>
          <w:rFonts w:ascii="Times New Roman" w:hAnsi="Times New Roman" w:cs="Times New Roman"/>
          <w:bCs/>
          <w:i/>
          <w:sz w:val="24"/>
          <w:szCs w:val="24"/>
        </w:rPr>
        <w:t>ermC</w:t>
      </w:r>
      <w:proofErr w:type="spellEnd"/>
      <w:r w:rsidRPr="00E73EF4">
        <w:rPr>
          <w:rStyle w:val="text"/>
          <w:rFonts w:ascii="Times New Roman" w:hAnsi="Times New Roman" w:cs="Times New Roman"/>
          <w:bCs/>
          <w:sz w:val="24"/>
          <w:szCs w:val="24"/>
        </w:rPr>
        <w:t xml:space="preserve"> (p&lt;0.01) and phage genes (</w:t>
      </w:r>
      <w:r w:rsidRPr="00E73EF4">
        <w:rPr>
          <w:rStyle w:val="text"/>
          <w:rFonts w:ascii="Times New Roman" w:hAnsi="Times New Roman" w:cs="Times New Roman"/>
          <w:bCs/>
          <w:i/>
          <w:sz w:val="24"/>
          <w:szCs w:val="24"/>
        </w:rPr>
        <w:t>Φ1</w:t>
      </w:r>
      <w:r w:rsidR="00C25CF0" w:rsidRPr="00E73EF4">
        <w:rPr>
          <w:rStyle w:val="text"/>
          <w:rFonts w:ascii="Times New Roman" w:hAnsi="Times New Roman" w:cs="Times New Roman"/>
          <w:bCs/>
          <w:i/>
          <w:sz w:val="24"/>
          <w:szCs w:val="24"/>
        </w:rPr>
        <w:t>int</w:t>
      </w:r>
      <w:r w:rsidRPr="00E73EF4">
        <w:rPr>
          <w:rStyle w:val="text"/>
          <w:rFonts w:ascii="Times New Roman" w:hAnsi="Times New Roman" w:cs="Times New Roman"/>
          <w:bCs/>
          <w:sz w:val="24"/>
          <w:szCs w:val="24"/>
        </w:rPr>
        <w:t xml:space="preserve"> and </w:t>
      </w:r>
      <w:r w:rsidRPr="00E73EF4">
        <w:rPr>
          <w:rStyle w:val="text"/>
          <w:rFonts w:ascii="Times New Roman" w:hAnsi="Times New Roman" w:cs="Times New Roman"/>
          <w:bCs/>
          <w:i/>
          <w:sz w:val="24"/>
          <w:szCs w:val="24"/>
        </w:rPr>
        <w:t>Φ2</w:t>
      </w:r>
      <w:r w:rsidR="00C25CF0" w:rsidRPr="00E73EF4">
        <w:rPr>
          <w:rStyle w:val="text"/>
          <w:rFonts w:ascii="Times New Roman" w:hAnsi="Times New Roman" w:cs="Times New Roman"/>
          <w:bCs/>
          <w:i/>
          <w:sz w:val="24"/>
          <w:szCs w:val="24"/>
        </w:rPr>
        <w:t>int</w:t>
      </w:r>
      <w:r w:rsidRPr="00E73EF4">
        <w:rPr>
          <w:rStyle w:val="text"/>
          <w:rFonts w:ascii="Times New Roman" w:hAnsi="Times New Roman" w:cs="Times New Roman"/>
          <w:bCs/>
          <w:sz w:val="24"/>
          <w:szCs w:val="24"/>
        </w:rPr>
        <w:t>) in all l</w:t>
      </w:r>
      <w:r w:rsidR="003D6CF1" w:rsidRPr="00E73EF4">
        <w:rPr>
          <w:rStyle w:val="text"/>
          <w:rFonts w:ascii="Times New Roman" w:hAnsi="Times New Roman" w:cs="Times New Roman"/>
          <w:bCs/>
          <w:sz w:val="24"/>
          <w:szCs w:val="24"/>
        </w:rPr>
        <w:t>ysates (p&lt;0.001) and</w:t>
      </w:r>
      <w:r w:rsidRPr="00E73EF4">
        <w:rPr>
          <w:rStyle w:val="text"/>
          <w:rFonts w:ascii="Times New Roman" w:hAnsi="Times New Roman" w:cs="Times New Roman"/>
          <w:bCs/>
          <w:sz w:val="24"/>
          <w:szCs w:val="24"/>
        </w:rPr>
        <w:t xml:space="preserve"> did not differ between lysates.</w:t>
      </w:r>
      <w:r w:rsidR="00C25CF0" w:rsidRPr="00E73EF4">
        <w:rPr>
          <w:rStyle w:val="text"/>
          <w:rFonts w:ascii="Times New Roman" w:hAnsi="Times New Roman" w:cs="Times New Roman"/>
          <w:bCs/>
          <w:sz w:val="24"/>
          <w:szCs w:val="24"/>
        </w:rPr>
        <w:t xml:space="preserve"> </w:t>
      </w:r>
      <w:r w:rsidR="00B84251" w:rsidRPr="00E73EF4">
        <w:t xml:space="preserve"> </w:t>
      </w:r>
      <w:r w:rsidR="00B84251" w:rsidRPr="00E73EF4">
        <w:rPr>
          <w:rStyle w:val="text"/>
          <w:rFonts w:ascii="Times New Roman" w:hAnsi="Times New Roman" w:cs="Times New Roman"/>
          <w:bCs/>
          <w:sz w:val="24"/>
          <w:szCs w:val="24"/>
        </w:rPr>
        <w:t xml:space="preserve">Bars represent mean values of three experiments with three replicates± S.D. </w:t>
      </w:r>
      <w:r w:rsidR="00C25CF0" w:rsidRPr="00E73EF4">
        <w:rPr>
          <w:rStyle w:val="text"/>
          <w:rFonts w:ascii="Times New Roman" w:hAnsi="Times New Roman" w:cs="Times New Roman"/>
          <w:bCs/>
          <w:sz w:val="24"/>
          <w:szCs w:val="24"/>
        </w:rPr>
        <w:t>b)</w:t>
      </w:r>
      <w:r w:rsidRPr="00E73EF4">
        <w:rPr>
          <w:rStyle w:val="text"/>
          <w:rFonts w:ascii="Times New Roman" w:hAnsi="Times New Roman" w:cs="Times New Roman"/>
          <w:bCs/>
          <w:sz w:val="24"/>
          <w:szCs w:val="24"/>
        </w:rPr>
        <w:t xml:space="preserve"> </w:t>
      </w:r>
      <w:r w:rsidR="00C25CF0" w:rsidRPr="00E73EF4">
        <w:rPr>
          <w:rStyle w:val="text"/>
          <w:rFonts w:ascii="Times New Roman" w:hAnsi="Times New Roman" w:cs="Times New Roman"/>
          <w:bCs/>
          <w:sz w:val="24"/>
          <w:szCs w:val="24"/>
        </w:rPr>
        <w:t xml:space="preserve">Correlation between </w:t>
      </w:r>
      <w:proofErr w:type="spellStart"/>
      <w:r w:rsidR="00C25CF0" w:rsidRPr="00E73EF4">
        <w:rPr>
          <w:rStyle w:val="text"/>
          <w:rFonts w:ascii="Times New Roman" w:hAnsi="Times New Roman" w:cs="Times New Roman"/>
          <w:bCs/>
          <w:i/>
          <w:sz w:val="24"/>
          <w:szCs w:val="24"/>
        </w:rPr>
        <w:t>ermC</w:t>
      </w:r>
      <w:proofErr w:type="spellEnd"/>
      <w:r w:rsidR="00C25CF0" w:rsidRPr="00E73EF4">
        <w:rPr>
          <w:rStyle w:val="text"/>
          <w:rFonts w:ascii="Times New Roman" w:hAnsi="Times New Roman" w:cs="Times New Roman"/>
          <w:bCs/>
          <w:sz w:val="24"/>
          <w:szCs w:val="24"/>
        </w:rPr>
        <w:t xml:space="preserve"> concentration and transduction of erythromycin resistance. c) Correlation between the concentration of </w:t>
      </w:r>
      <w:r w:rsidR="00C25CF0" w:rsidRPr="00E73EF4">
        <w:rPr>
          <w:rStyle w:val="text"/>
          <w:rFonts w:ascii="Times New Roman" w:hAnsi="Times New Roman" w:cs="Times New Roman"/>
          <w:bCs/>
          <w:i/>
          <w:sz w:val="24"/>
          <w:szCs w:val="24"/>
        </w:rPr>
        <w:t>Φ1int</w:t>
      </w:r>
      <w:r w:rsidR="00C25CF0" w:rsidRPr="00E73EF4">
        <w:rPr>
          <w:rStyle w:val="text"/>
          <w:rFonts w:ascii="Times New Roman" w:hAnsi="Times New Roman" w:cs="Times New Roman"/>
          <w:bCs/>
          <w:sz w:val="24"/>
          <w:szCs w:val="24"/>
        </w:rPr>
        <w:t xml:space="preserve"> and </w:t>
      </w:r>
      <w:r w:rsidR="00C25CF0" w:rsidRPr="00E73EF4">
        <w:rPr>
          <w:rStyle w:val="text"/>
          <w:rFonts w:ascii="Times New Roman" w:hAnsi="Times New Roman" w:cs="Times New Roman"/>
          <w:bCs/>
          <w:i/>
          <w:sz w:val="24"/>
          <w:szCs w:val="24"/>
        </w:rPr>
        <w:t xml:space="preserve">Φ2int </w:t>
      </w:r>
      <w:r w:rsidR="00C25CF0" w:rsidRPr="00E73EF4">
        <w:rPr>
          <w:rStyle w:val="text"/>
          <w:rFonts w:ascii="Times New Roman" w:hAnsi="Times New Roman" w:cs="Times New Roman"/>
          <w:bCs/>
          <w:sz w:val="24"/>
          <w:szCs w:val="24"/>
        </w:rPr>
        <w:t>(summed) and lytic activity.</w:t>
      </w:r>
      <w:r w:rsidR="00B84251" w:rsidRPr="00E73EF4">
        <w:rPr>
          <w:rStyle w:val="text"/>
          <w:rFonts w:ascii="Times New Roman" w:hAnsi="Times New Roman" w:cs="Times New Roman"/>
          <w:bCs/>
          <w:sz w:val="24"/>
          <w:szCs w:val="24"/>
        </w:rPr>
        <w:t xml:space="preserve"> Each point represent</w:t>
      </w:r>
      <w:r w:rsidR="007C1509" w:rsidRPr="00E73EF4">
        <w:rPr>
          <w:rStyle w:val="text"/>
          <w:rFonts w:ascii="Times New Roman" w:hAnsi="Times New Roman" w:cs="Times New Roman"/>
          <w:bCs/>
          <w:sz w:val="24"/>
          <w:szCs w:val="24"/>
        </w:rPr>
        <w:t>s the</w:t>
      </w:r>
      <w:r w:rsidR="00B84251" w:rsidRPr="00E73EF4">
        <w:rPr>
          <w:rStyle w:val="text"/>
          <w:rFonts w:ascii="Times New Roman" w:hAnsi="Times New Roman" w:cs="Times New Roman"/>
          <w:bCs/>
          <w:sz w:val="24"/>
          <w:szCs w:val="24"/>
        </w:rPr>
        <w:t xml:space="preserve"> </w:t>
      </w:r>
      <w:r w:rsidR="007C1509" w:rsidRPr="00E73EF4">
        <w:rPr>
          <w:rStyle w:val="text"/>
          <w:rFonts w:ascii="Times New Roman" w:hAnsi="Times New Roman" w:cs="Times New Roman"/>
          <w:bCs/>
          <w:sz w:val="24"/>
          <w:szCs w:val="24"/>
        </w:rPr>
        <w:t xml:space="preserve">mean of duplicate testing of three </w:t>
      </w:r>
      <w:r w:rsidR="00B84251" w:rsidRPr="00E73EF4">
        <w:rPr>
          <w:rStyle w:val="text"/>
          <w:rFonts w:ascii="Times New Roman" w:hAnsi="Times New Roman" w:cs="Times New Roman"/>
          <w:bCs/>
          <w:sz w:val="24"/>
          <w:szCs w:val="24"/>
        </w:rPr>
        <w:t>different lysate</w:t>
      </w:r>
      <w:r w:rsidR="007C1509" w:rsidRPr="00E73EF4">
        <w:rPr>
          <w:rStyle w:val="text"/>
          <w:rFonts w:ascii="Times New Roman" w:hAnsi="Times New Roman" w:cs="Times New Roman"/>
          <w:bCs/>
          <w:sz w:val="24"/>
          <w:szCs w:val="24"/>
        </w:rPr>
        <w:t>s</w:t>
      </w:r>
      <w:r w:rsidR="00726FD4" w:rsidRPr="00E73EF4">
        <w:rPr>
          <w:rStyle w:val="text"/>
          <w:rFonts w:ascii="Times New Roman" w:hAnsi="Times New Roman" w:cs="Times New Roman"/>
          <w:bCs/>
          <w:sz w:val="24"/>
          <w:szCs w:val="24"/>
        </w:rPr>
        <w:t>.</w:t>
      </w:r>
      <w:r w:rsidR="00CA4E97" w:rsidRPr="00E73EF4">
        <w:rPr>
          <w:rFonts w:ascii="Times New Roman" w:hAnsi="Times New Roman" w:cs="Times New Roman"/>
          <w:sz w:val="24"/>
          <w:szCs w:val="24"/>
        </w:rPr>
        <w:t xml:space="preserve"> This figure appears in colour in the online version of JAC and in black and white in the print version of JAC.</w:t>
      </w:r>
      <w:r w:rsidR="00CA4E97" w:rsidRPr="00E73EF4">
        <w:rPr>
          <w:rFonts w:ascii="Times New Roman" w:hAnsi="Times New Roman" w:cs="Times New Roman"/>
          <w:b/>
          <w:i/>
        </w:rPr>
        <w:t xml:space="preserve"> </w:t>
      </w:r>
      <w:r w:rsidR="0010488E" w:rsidRPr="00E73EF4">
        <w:rPr>
          <w:rFonts w:ascii="Times New Roman" w:hAnsi="Times New Roman" w:cs="Times New Roman"/>
          <w:b/>
          <w:i/>
        </w:rPr>
        <w:br w:type="page"/>
      </w:r>
    </w:p>
    <w:p w14:paraId="522EA723" w14:textId="77777777" w:rsidR="00B350E9" w:rsidRPr="00E73EF4" w:rsidRDefault="00B350E9" w:rsidP="003066D2">
      <w:pPr>
        <w:pStyle w:val="Caption"/>
        <w:keepNext/>
        <w:jc w:val="both"/>
        <w:rPr>
          <w:rFonts w:ascii="Times New Roman" w:hAnsi="Times New Roman" w:cs="Times New Roman"/>
          <w:b/>
          <w:i w:val="0"/>
          <w:color w:val="auto"/>
          <w:sz w:val="22"/>
          <w:szCs w:val="22"/>
        </w:rPr>
      </w:pPr>
    </w:p>
    <w:p w14:paraId="3AD5754D" w14:textId="77777777" w:rsidR="00B350E9" w:rsidRPr="00E73EF4" w:rsidRDefault="00B350E9" w:rsidP="003066D2">
      <w:pPr>
        <w:pStyle w:val="Caption"/>
        <w:keepNext/>
        <w:jc w:val="both"/>
        <w:rPr>
          <w:rFonts w:ascii="Times New Roman" w:hAnsi="Times New Roman" w:cs="Times New Roman"/>
          <w:b/>
          <w:i w:val="0"/>
          <w:color w:val="auto"/>
          <w:sz w:val="22"/>
          <w:szCs w:val="22"/>
        </w:rPr>
      </w:pPr>
    </w:p>
    <w:p w14:paraId="6FE3E6AD" w14:textId="4637C268" w:rsidR="003066D2" w:rsidRPr="00E73EF4" w:rsidRDefault="003066D2" w:rsidP="003066D2">
      <w:pPr>
        <w:pStyle w:val="Caption"/>
        <w:keepNext/>
        <w:jc w:val="both"/>
        <w:rPr>
          <w:rFonts w:ascii="Times New Roman" w:hAnsi="Times New Roman" w:cs="Times New Roman"/>
          <w:b/>
          <w:i w:val="0"/>
          <w:color w:val="auto"/>
          <w:sz w:val="22"/>
          <w:szCs w:val="22"/>
        </w:rPr>
      </w:pPr>
      <w:r w:rsidRPr="00E73EF4">
        <w:rPr>
          <w:rFonts w:ascii="Times New Roman" w:hAnsi="Times New Roman" w:cs="Times New Roman"/>
          <w:b/>
          <w:i w:val="0"/>
          <w:color w:val="auto"/>
          <w:sz w:val="22"/>
          <w:szCs w:val="22"/>
        </w:rPr>
        <w:t xml:space="preserve">Table </w:t>
      </w:r>
      <w:r w:rsidR="00E3666E" w:rsidRPr="00E73EF4">
        <w:rPr>
          <w:rFonts w:ascii="Times New Roman" w:hAnsi="Times New Roman" w:cs="Times New Roman"/>
          <w:b/>
          <w:i w:val="0"/>
          <w:color w:val="auto"/>
          <w:sz w:val="22"/>
          <w:szCs w:val="22"/>
        </w:rPr>
        <w:t>1</w:t>
      </w:r>
      <w:r w:rsidRPr="00E73EF4">
        <w:rPr>
          <w:rFonts w:ascii="Times New Roman" w:hAnsi="Times New Roman" w:cs="Times New Roman"/>
          <w:b/>
          <w:i w:val="0"/>
          <w:color w:val="auto"/>
          <w:sz w:val="22"/>
          <w:szCs w:val="22"/>
        </w:rPr>
        <w:t xml:space="preserve">. </w:t>
      </w:r>
      <w:r w:rsidR="005160F5" w:rsidRPr="00E73EF4">
        <w:rPr>
          <w:rFonts w:ascii="Times New Roman" w:hAnsi="Times New Roman" w:cs="Times New Roman"/>
          <w:b/>
          <w:i w:val="0"/>
          <w:color w:val="auto"/>
          <w:sz w:val="22"/>
          <w:szCs w:val="22"/>
        </w:rPr>
        <w:t>Sub-</w:t>
      </w:r>
      <w:r w:rsidRPr="00E73EF4">
        <w:rPr>
          <w:rFonts w:ascii="Times New Roman" w:hAnsi="Times New Roman" w:cs="Times New Roman"/>
          <w:b/>
          <w:i w:val="0"/>
          <w:color w:val="auto"/>
          <w:sz w:val="22"/>
        </w:rPr>
        <w:t>MIC</w:t>
      </w:r>
      <w:r w:rsidR="00B350E9" w:rsidRPr="00E73EF4">
        <w:rPr>
          <w:rFonts w:ascii="Times New Roman" w:hAnsi="Times New Roman" w:cs="Times New Roman"/>
          <w:b/>
          <w:i w:val="0"/>
          <w:color w:val="auto"/>
          <w:sz w:val="22"/>
        </w:rPr>
        <w:t xml:space="preserve"> concentration</w:t>
      </w:r>
      <w:r w:rsidRPr="00E73EF4">
        <w:rPr>
          <w:rFonts w:ascii="Times New Roman" w:hAnsi="Times New Roman" w:cs="Times New Roman"/>
          <w:b/>
          <w:i w:val="0"/>
          <w:color w:val="auto"/>
          <w:sz w:val="22"/>
        </w:rPr>
        <w:t>s</w:t>
      </w:r>
      <w:r w:rsidR="00B350E9" w:rsidRPr="00E73EF4">
        <w:rPr>
          <w:rFonts w:ascii="Times New Roman" w:hAnsi="Times New Roman" w:cs="Times New Roman"/>
          <w:b/>
          <w:i w:val="0"/>
          <w:color w:val="auto"/>
          <w:sz w:val="22"/>
        </w:rPr>
        <w:t xml:space="preserve"> of antibiotics</w:t>
      </w:r>
      <w:r w:rsidRPr="00E73EF4">
        <w:rPr>
          <w:rFonts w:ascii="Times New Roman" w:hAnsi="Times New Roman" w:cs="Times New Roman"/>
          <w:b/>
          <w:i w:val="0"/>
          <w:color w:val="auto"/>
          <w:sz w:val="22"/>
        </w:rPr>
        <w:t xml:space="preserve"> </w:t>
      </w:r>
      <w:r w:rsidR="005160F5" w:rsidRPr="00E73EF4">
        <w:rPr>
          <w:rFonts w:ascii="Times New Roman" w:hAnsi="Times New Roman" w:cs="Times New Roman"/>
          <w:b/>
          <w:i w:val="0"/>
          <w:color w:val="auto"/>
          <w:sz w:val="22"/>
        </w:rPr>
        <w:t xml:space="preserve">used in this study </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805"/>
        <w:gridCol w:w="1496"/>
      </w:tblGrid>
      <w:tr w:rsidR="00B350E9" w:rsidRPr="00E73EF4" w14:paraId="20E3C128" w14:textId="77777777" w:rsidTr="00DB180D">
        <w:tc>
          <w:tcPr>
            <w:tcW w:w="3301" w:type="dxa"/>
            <w:gridSpan w:val="2"/>
            <w:tcBorders>
              <w:top w:val="double" w:sz="4" w:space="0" w:color="auto"/>
              <w:bottom w:val="double" w:sz="4" w:space="0" w:color="auto"/>
              <w:right w:val="double" w:sz="4" w:space="0" w:color="auto"/>
            </w:tcBorders>
          </w:tcPr>
          <w:p w14:paraId="38D1C943" w14:textId="726CEA82" w:rsidR="00B350E9" w:rsidRPr="00E73EF4" w:rsidRDefault="00B350E9" w:rsidP="004757FB">
            <w:pPr>
              <w:jc w:val="center"/>
              <w:rPr>
                <w:rFonts w:ascii="Times New Roman" w:hAnsi="Times New Roman" w:cs="Times New Roman"/>
              </w:rPr>
            </w:pPr>
            <w:r w:rsidRPr="00E73EF4">
              <w:rPr>
                <w:rFonts w:ascii="Times New Roman" w:eastAsia="Times New Roman" w:hAnsi="Times New Roman" w:cs="Times New Roman"/>
                <w:b/>
                <w:color w:val="000000"/>
                <w:sz w:val="20"/>
                <w:szCs w:val="20"/>
                <w:lang w:eastAsia="pl-PL"/>
              </w:rPr>
              <w:t>sub-MIC mg/L</w:t>
            </w:r>
          </w:p>
        </w:tc>
      </w:tr>
      <w:tr w:rsidR="00B350E9" w:rsidRPr="00E73EF4" w14:paraId="39D27A2A" w14:textId="77777777" w:rsidTr="00DB180D">
        <w:tc>
          <w:tcPr>
            <w:tcW w:w="3301" w:type="dxa"/>
            <w:gridSpan w:val="2"/>
            <w:tcBorders>
              <w:top w:val="double" w:sz="4" w:space="0" w:color="auto"/>
              <w:bottom w:val="double" w:sz="4" w:space="0" w:color="auto"/>
              <w:right w:val="double" w:sz="4" w:space="0" w:color="auto"/>
            </w:tcBorders>
          </w:tcPr>
          <w:p w14:paraId="372DBDA1" w14:textId="54F83A03" w:rsidR="00B350E9" w:rsidRPr="00E73EF4" w:rsidRDefault="00B350E9" w:rsidP="004757FB">
            <w:pPr>
              <w:jc w:val="center"/>
              <w:rPr>
                <w:rFonts w:ascii="Times New Roman" w:hAnsi="Times New Roman" w:cs="Times New Roman"/>
              </w:rPr>
            </w:pPr>
            <w:r w:rsidRPr="00E73EF4">
              <w:rPr>
                <w:rFonts w:ascii="Times New Roman" w:eastAsia="Times New Roman" w:hAnsi="Times New Roman" w:cs="Times New Roman"/>
                <w:b/>
                <w:bCs/>
                <w:color w:val="000000"/>
                <w:sz w:val="20"/>
                <w:szCs w:val="20"/>
                <w:lang w:eastAsia="pl-PL"/>
              </w:rPr>
              <w:t>antibiotic</w:t>
            </w:r>
          </w:p>
        </w:tc>
      </w:tr>
      <w:tr w:rsidR="00B350E9" w:rsidRPr="00E73EF4" w14:paraId="506B9110" w14:textId="77777777" w:rsidTr="00301F6A">
        <w:tc>
          <w:tcPr>
            <w:tcW w:w="1805" w:type="dxa"/>
            <w:tcBorders>
              <w:top w:val="double" w:sz="4" w:space="0" w:color="auto"/>
              <w:bottom w:val="double" w:sz="4" w:space="0" w:color="auto"/>
              <w:right w:val="double" w:sz="4" w:space="0" w:color="auto"/>
            </w:tcBorders>
            <w:vAlign w:val="bottom"/>
          </w:tcPr>
          <w:p w14:paraId="5AA56364" w14:textId="77777777" w:rsidR="00B350E9" w:rsidRPr="00E73EF4" w:rsidRDefault="00B350E9" w:rsidP="004757FB">
            <w:pPr>
              <w:jc w:val="center"/>
              <w:rPr>
                <w:rFonts w:ascii="Times New Roman" w:eastAsia="Times New Roman" w:hAnsi="Times New Roman" w:cs="Times New Roman"/>
                <w:color w:val="000000"/>
                <w:sz w:val="20"/>
                <w:szCs w:val="20"/>
                <w:lang w:eastAsia="pl-PL"/>
              </w:rPr>
            </w:pPr>
            <w:r w:rsidRPr="00E73EF4">
              <w:rPr>
                <w:rFonts w:ascii="Times New Roman" w:eastAsia="Times New Roman" w:hAnsi="Times New Roman" w:cs="Times New Roman"/>
                <w:color w:val="000000"/>
                <w:sz w:val="20"/>
                <w:szCs w:val="20"/>
                <w:lang w:eastAsia="pl-PL"/>
              </w:rPr>
              <w:t>erythromycin</w:t>
            </w:r>
          </w:p>
        </w:tc>
        <w:tc>
          <w:tcPr>
            <w:tcW w:w="1496" w:type="dxa"/>
            <w:tcBorders>
              <w:top w:val="double" w:sz="4" w:space="0" w:color="auto"/>
              <w:left w:val="double" w:sz="4" w:space="0" w:color="auto"/>
              <w:bottom w:val="double" w:sz="4" w:space="0" w:color="auto"/>
              <w:right w:val="double" w:sz="4" w:space="0" w:color="auto"/>
            </w:tcBorders>
            <w:vAlign w:val="bottom"/>
          </w:tcPr>
          <w:p w14:paraId="15E2CDC5" w14:textId="2F3DDA30" w:rsidR="00B350E9" w:rsidRPr="00E73EF4" w:rsidRDefault="00B350E9" w:rsidP="004757FB">
            <w:pPr>
              <w:jc w:val="center"/>
              <w:rPr>
                <w:rFonts w:ascii="Times New Roman" w:eastAsia="Times New Roman" w:hAnsi="Times New Roman" w:cs="Times New Roman"/>
                <w:color w:val="000000"/>
                <w:sz w:val="20"/>
                <w:szCs w:val="20"/>
                <w:lang w:eastAsia="pl-PL"/>
              </w:rPr>
            </w:pPr>
            <w:r w:rsidRPr="00E73EF4">
              <w:rPr>
                <w:rFonts w:ascii="Times New Roman" w:eastAsia="Times New Roman" w:hAnsi="Times New Roman" w:cs="Times New Roman"/>
                <w:color w:val="000000"/>
                <w:sz w:val="20"/>
                <w:szCs w:val="20"/>
                <w:lang w:eastAsia="pl-PL"/>
              </w:rPr>
              <w:t>30</w:t>
            </w:r>
          </w:p>
        </w:tc>
      </w:tr>
      <w:tr w:rsidR="00B350E9" w:rsidRPr="00E73EF4" w14:paraId="017DD22C" w14:textId="77777777" w:rsidTr="00301F6A">
        <w:tc>
          <w:tcPr>
            <w:tcW w:w="1805" w:type="dxa"/>
            <w:tcBorders>
              <w:top w:val="double" w:sz="4" w:space="0" w:color="auto"/>
              <w:bottom w:val="double" w:sz="4" w:space="0" w:color="auto"/>
              <w:right w:val="double" w:sz="4" w:space="0" w:color="auto"/>
            </w:tcBorders>
            <w:vAlign w:val="bottom"/>
          </w:tcPr>
          <w:p w14:paraId="49A902AE" w14:textId="77777777" w:rsidR="00B350E9" w:rsidRPr="00E73EF4" w:rsidRDefault="00B350E9" w:rsidP="004757FB">
            <w:pPr>
              <w:jc w:val="center"/>
              <w:rPr>
                <w:rFonts w:ascii="Times New Roman" w:eastAsia="Times New Roman" w:hAnsi="Times New Roman" w:cs="Times New Roman"/>
                <w:color w:val="000000"/>
                <w:sz w:val="20"/>
                <w:szCs w:val="20"/>
                <w:lang w:eastAsia="pl-PL"/>
              </w:rPr>
            </w:pPr>
            <w:r w:rsidRPr="00E73EF4">
              <w:rPr>
                <w:rFonts w:ascii="Times New Roman" w:eastAsia="Times New Roman" w:hAnsi="Times New Roman" w:cs="Times New Roman"/>
                <w:color w:val="000000"/>
                <w:sz w:val="20"/>
                <w:szCs w:val="20"/>
                <w:lang w:eastAsia="pl-PL"/>
              </w:rPr>
              <w:t>trimethoprim</w:t>
            </w:r>
          </w:p>
        </w:tc>
        <w:tc>
          <w:tcPr>
            <w:tcW w:w="1496" w:type="dxa"/>
            <w:tcBorders>
              <w:top w:val="double" w:sz="4" w:space="0" w:color="auto"/>
              <w:left w:val="double" w:sz="4" w:space="0" w:color="auto"/>
              <w:bottom w:val="double" w:sz="4" w:space="0" w:color="auto"/>
              <w:right w:val="double" w:sz="4" w:space="0" w:color="auto"/>
            </w:tcBorders>
            <w:vAlign w:val="bottom"/>
          </w:tcPr>
          <w:p w14:paraId="73D8AE51" w14:textId="72E820F3" w:rsidR="00B350E9" w:rsidRPr="00E73EF4" w:rsidRDefault="00B350E9" w:rsidP="004757FB">
            <w:pPr>
              <w:jc w:val="center"/>
              <w:rPr>
                <w:rFonts w:ascii="Times New Roman" w:eastAsia="Times New Roman" w:hAnsi="Times New Roman" w:cs="Times New Roman"/>
                <w:color w:val="000000"/>
                <w:sz w:val="20"/>
                <w:szCs w:val="20"/>
                <w:lang w:eastAsia="pl-PL"/>
              </w:rPr>
            </w:pPr>
            <w:r w:rsidRPr="00E73EF4">
              <w:rPr>
                <w:rFonts w:ascii="Times New Roman" w:eastAsia="Times New Roman" w:hAnsi="Times New Roman" w:cs="Times New Roman"/>
                <w:color w:val="000000"/>
                <w:sz w:val="20"/>
                <w:szCs w:val="20"/>
                <w:lang w:eastAsia="pl-PL"/>
              </w:rPr>
              <w:t>1</w:t>
            </w:r>
          </w:p>
        </w:tc>
      </w:tr>
      <w:tr w:rsidR="00B350E9" w:rsidRPr="00E73EF4" w14:paraId="42B89486" w14:textId="77777777" w:rsidTr="00301F6A">
        <w:tc>
          <w:tcPr>
            <w:tcW w:w="1805" w:type="dxa"/>
            <w:tcBorders>
              <w:top w:val="double" w:sz="4" w:space="0" w:color="auto"/>
              <w:bottom w:val="double" w:sz="4" w:space="0" w:color="auto"/>
              <w:right w:val="double" w:sz="4" w:space="0" w:color="auto"/>
            </w:tcBorders>
            <w:vAlign w:val="bottom"/>
          </w:tcPr>
          <w:p w14:paraId="52F48EDE" w14:textId="77777777" w:rsidR="00B350E9" w:rsidRPr="00E73EF4" w:rsidRDefault="00B350E9" w:rsidP="004757FB">
            <w:pPr>
              <w:jc w:val="center"/>
              <w:rPr>
                <w:rFonts w:ascii="Times New Roman" w:eastAsia="Times New Roman" w:hAnsi="Times New Roman" w:cs="Times New Roman"/>
                <w:color w:val="000000"/>
                <w:sz w:val="20"/>
                <w:szCs w:val="20"/>
                <w:lang w:eastAsia="pl-PL"/>
              </w:rPr>
            </w:pPr>
            <w:r w:rsidRPr="00E73EF4">
              <w:rPr>
                <w:rFonts w:ascii="Times New Roman" w:eastAsia="Times New Roman" w:hAnsi="Times New Roman" w:cs="Times New Roman"/>
                <w:color w:val="000000"/>
                <w:sz w:val="20"/>
                <w:szCs w:val="20"/>
                <w:lang w:eastAsia="pl-PL"/>
              </w:rPr>
              <w:t>ampicillin</w:t>
            </w:r>
          </w:p>
        </w:tc>
        <w:tc>
          <w:tcPr>
            <w:tcW w:w="1496" w:type="dxa"/>
            <w:tcBorders>
              <w:top w:val="double" w:sz="4" w:space="0" w:color="auto"/>
              <w:left w:val="double" w:sz="4" w:space="0" w:color="auto"/>
              <w:bottom w:val="double" w:sz="4" w:space="0" w:color="auto"/>
              <w:right w:val="double" w:sz="4" w:space="0" w:color="auto"/>
            </w:tcBorders>
            <w:vAlign w:val="bottom"/>
          </w:tcPr>
          <w:p w14:paraId="0B19ACED" w14:textId="6F992376" w:rsidR="00B350E9" w:rsidRPr="00E73EF4" w:rsidRDefault="00B350E9" w:rsidP="004757FB">
            <w:pPr>
              <w:jc w:val="center"/>
              <w:rPr>
                <w:rFonts w:ascii="Times New Roman" w:eastAsia="Times New Roman" w:hAnsi="Times New Roman" w:cs="Times New Roman"/>
                <w:color w:val="000000"/>
                <w:sz w:val="20"/>
                <w:szCs w:val="20"/>
                <w:lang w:val="pl-PL" w:eastAsia="pl-PL"/>
              </w:rPr>
            </w:pPr>
            <w:r w:rsidRPr="00E73EF4">
              <w:rPr>
                <w:rFonts w:ascii="Times New Roman" w:eastAsia="Times New Roman" w:hAnsi="Times New Roman" w:cs="Times New Roman"/>
                <w:color w:val="000000"/>
                <w:sz w:val="20"/>
                <w:szCs w:val="20"/>
                <w:lang w:val="pl-PL" w:eastAsia="pl-PL"/>
              </w:rPr>
              <w:t>30</w:t>
            </w:r>
          </w:p>
        </w:tc>
      </w:tr>
      <w:tr w:rsidR="00B350E9" w:rsidRPr="00E73EF4" w14:paraId="163BCDE1" w14:textId="77777777" w:rsidTr="00301F6A">
        <w:tc>
          <w:tcPr>
            <w:tcW w:w="1805" w:type="dxa"/>
            <w:tcBorders>
              <w:top w:val="double" w:sz="4" w:space="0" w:color="auto"/>
              <w:bottom w:val="double" w:sz="4" w:space="0" w:color="auto"/>
              <w:right w:val="double" w:sz="4" w:space="0" w:color="auto"/>
            </w:tcBorders>
            <w:vAlign w:val="bottom"/>
          </w:tcPr>
          <w:p w14:paraId="3E26B5BE" w14:textId="77777777" w:rsidR="00B350E9" w:rsidRPr="00E73EF4" w:rsidRDefault="00B350E9" w:rsidP="004757FB">
            <w:pPr>
              <w:jc w:val="center"/>
              <w:rPr>
                <w:rFonts w:ascii="Times New Roman" w:eastAsia="Times New Roman" w:hAnsi="Times New Roman" w:cs="Times New Roman"/>
                <w:color w:val="000000"/>
                <w:sz w:val="20"/>
                <w:szCs w:val="20"/>
                <w:lang w:eastAsia="pl-PL"/>
              </w:rPr>
            </w:pPr>
            <w:proofErr w:type="spellStart"/>
            <w:r w:rsidRPr="00E73EF4">
              <w:rPr>
                <w:rFonts w:ascii="Times New Roman" w:eastAsia="Times New Roman" w:hAnsi="Times New Roman" w:cs="Times New Roman"/>
                <w:color w:val="000000"/>
                <w:sz w:val="20"/>
                <w:szCs w:val="20"/>
                <w:lang w:eastAsia="pl-PL"/>
              </w:rPr>
              <w:t>mupirocin</w:t>
            </w:r>
            <w:proofErr w:type="spellEnd"/>
          </w:p>
        </w:tc>
        <w:tc>
          <w:tcPr>
            <w:tcW w:w="1496" w:type="dxa"/>
            <w:tcBorders>
              <w:top w:val="double" w:sz="4" w:space="0" w:color="auto"/>
              <w:left w:val="double" w:sz="4" w:space="0" w:color="auto"/>
              <w:bottom w:val="double" w:sz="4" w:space="0" w:color="auto"/>
              <w:right w:val="double" w:sz="4" w:space="0" w:color="auto"/>
            </w:tcBorders>
            <w:vAlign w:val="bottom"/>
          </w:tcPr>
          <w:p w14:paraId="6E17046D" w14:textId="60F24626" w:rsidR="00B350E9" w:rsidRPr="00E73EF4" w:rsidRDefault="00B350E9" w:rsidP="004757FB">
            <w:pPr>
              <w:jc w:val="center"/>
              <w:rPr>
                <w:rFonts w:ascii="Times New Roman" w:eastAsia="Times New Roman" w:hAnsi="Times New Roman" w:cs="Times New Roman"/>
                <w:color w:val="000000"/>
                <w:sz w:val="20"/>
                <w:szCs w:val="20"/>
                <w:lang w:val="pl-PL" w:eastAsia="pl-PL"/>
              </w:rPr>
            </w:pPr>
            <w:r w:rsidRPr="00E73EF4">
              <w:rPr>
                <w:rFonts w:ascii="Times New Roman" w:eastAsia="Times New Roman" w:hAnsi="Times New Roman" w:cs="Times New Roman"/>
                <w:color w:val="000000"/>
                <w:sz w:val="20"/>
                <w:szCs w:val="20"/>
                <w:lang w:val="pl-PL" w:eastAsia="pl-PL"/>
              </w:rPr>
              <w:t>1</w:t>
            </w:r>
          </w:p>
        </w:tc>
      </w:tr>
      <w:tr w:rsidR="00B350E9" w:rsidRPr="00E73EF4" w14:paraId="21B25BB5" w14:textId="77777777" w:rsidTr="00301F6A">
        <w:tc>
          <w:tcPr>
            <w:tcW w:w="1805" w:type="dxa"/>
            <w:tcBorders>
              <w:top w:val="double" w:sz="4" w:space="0" w:color="auto"/>
              <w:bottom w:val="double" w:sz="4" w:space="0" w:color="auto"/>
              <w:right w:val="double" w:sz="4" w:space="0" w:color="auto"/>
            </w:tcBorders>
            <w:vAlign w:val="bottom"/>
          </w:tcPr>
          <w:p w14:paraId="0F55E903" w14:textId="77777777" w:rsidR="00B350E9" w:rsidRPr="00E73EF4" w:rsidRDefault="00B350E9" w:rsidP="004757FB">
            <w:pPr>
              <w:jc w:val="center"/>
              <w:rPr>
                <w:rFonts w:ascii="Times New Roman" w:eastAsia="Times New Roman" w:hAnsi="Times New Roman" w:cs="Times New Roman"/>
                <w:color w:val="000000"/>
                <w:sz w:val="20"/>
                <w:szCs w:val="20"/>
                <w:lang w:eastAsia="pl-PL"/>
              </w:rPr>
            </w:pPr>
            <w:r w:rsidRPr="00E73EF4">
              <w:rPr>
                <w:rFonts w:ascii="Times New Roman" w:eastAsia="Times New Roman" w:hAnsi="Times New Roman" w:cs="Times New Roman"/>
                <w:color w:val="000000"/>
                <w:sz w:val="20"/>
                <w:szCs w:val="20"/>
                <w:lang w:eastAsia="pl-PL"/>
              </w:rPr>
              <w:t>tetracycline</w:t>
            </w:r>
          </w:p>
        </w:tc>
        <w:tc>
          <w:tcPr>
            <w:tcW w:w="1496" w:type="dxa"/>
            <w:tcBorders>
              <w:top w:val="double" w:sz="4" w:space="0" w:color="auto"/>
              <w:left w:val="double" w:sz="4" w:space="0" w:color="auto"/>
              <w:bottom w:val="double" w:sz="4" w:space="0" w:color="auto"/>
              <w:right w:val="double" w:sz="4" w:space="0" w:color="auto"/>
            </w:tcBorders>
            <w:vAlign w:val="bottom"/>
          </w:tcPr>
          <w:p w14:paraId="6DD8DB5F" w14:textId="6DA6211C" w:rsidR="00B350E9" w:rsidRPr="00E73EF4" w:rsidRDefault="00B350E9" w:rsidP="004757FB">
            <w:pPr>
              <w:jc w:val="center"/>
              <w:rPr>
                <w:rFonts w:ascii="Times New Roman" w:eastAsia="Times New Roman" w:hAnsi="Times New Roman" w:cs="Times New Roman"/>
                <w:color w:val="000000"/>
                <w:sz w:val="20"/>
                <w:szCs w:val="20"/>
                <w:lang w:val="pl-PL" w:eastAsia="pl-PL"/>
              </w:rPr>
            </w:pPr>
            <w:r w:rsidRPr="00E73EF4">
              <w:rPr>
                <w:rFonts w:ascii="Times New Roman" w:eastAsia="Times New Roman" w:hAnsi="Times New Roman" w:cs="Times New Roman"/>
                <w:color w:val="000000"/>
                <w:sz w:val="20"/>
                <w:szCs w:val="20"/>
                <w:lang w:val="pl-PL" w:eastAsia="pl-PL"/>
              </w:rPr>
              <w:t>1</w:t>
            </w:r>
          </w:p>
        </w:tc>
      </w:tr>
      <w:tr w:rsidR="00B350E9" w:rsidRPr="00E73EF4" w14:paraId="5F5FFF69" w14:textId="77777777" w:rsidTr="00301F6A">
        <w:tc>
          <w:tcPr>
            <w:tcW w:w="1805" w:type="dxa"/>
            <w:tcBorders>
              <w:top w:val="double" w:sz="4" w:space="0" w:color="auto"/>
              <w:bottom w:val="double" w:sz="4" w:space="0" w:color="auto"/>
              <w:right w:val="double" w:sz="4" w:space="0" w:color="auto"/>
            </w:tcBorders>
            <w:vAlign w:val="bottom"/>
          </w:tcPr>
          <w:p w14:paraId="5274F15D" w14:textId="77777777" w:rsidR="00B350E9" w:rsidRPr="00E73EF4" w:rsidRDefault="00B350E9" w:rsidP="004757FB">
            <w:pPr>
              <w:jc w:val="center"/>
              <w:rPr>
                <w:rFonts w:ascii="Times New Roman" w:eastAsia="Times New Roman" w:hAnsi="Times New Roman" w:cs="Times New Roman"/>
                <w:color w:val="000000"/>
                <w:sz w:val="20"/>
                <w:szCs w:val="20"/>
                <w:lang w:eastAsia="pl-PL"/>
              </w:rPr>
            </w:pPr>
            <w:proofErr w:type="spellStart"/>
            <w:r w:rsidRPr="00E73EF4">
              <w:rPr>
                <w:rFonts w:ascii="Times New Roman" w:eastAsia="Times New Roman" w:hAnsi="Times New Roman" w:cs="Times New Roman"/>
                <w:color w:val="000000"/>
                <w:sz w:val="20"/>
                <w:szCs w:val="20"/>
                <w:lang w:eastAsia="pl-PL"/>
              </w:rPr>
              <w:t>novobiocin</w:t>
            </w:r>
            <w:proofErr w:type="spellEnd"/>
          </w:p>
        </w:tc>
        <w:tc>
          <w:tcPr>
            <w:tcW w:w="1496" w:type="dxa"/>
            <w:tcBorders>
              <w:top w:val="double" w:sz="4" w:space="0" w:color="auto"/>
              <w:left w:val="double" w:sz="4" w:space="0" w:color="auto"/>
              <w:bottom w:val="double" w:sz="4" w:space="0" w:color="auto"/>
              <w:right w:val="double" w:sz="4" w:space="0" w:color="auto"/>
            </w:tcBorders>
            <w:vAlign w:val="bottom"/>
          </w:tcPr>
          <w:p w14:paraId="6B5C68FB" w14:textId="065257F9" w:rsidR="00B350E9" w:rsidRPr="00E73EF4" w:rsidRDefault="00B350E9" w:rsidP="004757FB">
            <w:pPr>
              <w:jc w:val="center"/>
              <w:rPr>
                <w:rFonts w:ascii="Times New Roman" w:eastAsia="Times New Roman" w:hAnsi="Times New Roman" w:cs="Times New Roman"/>
                <w:color w:val="000000"/>
                <w:sz w:val="20"/>
                <w:szCs w:val="20"/>
                <w:lang w:val="pl-PL" w:eastAsia="pl-PL"/>
              </w:rPr>
            </w:pPr>
            <w:r w:rsidRPr="00E73EF4">
              <w:rPr>
                <w:rFonts w:ascii="Times New Roman" w:eastAsia="Times New Roman" w:hAnsi="Times New Roman" w:cs="Times New Roman"/>
                <w:color w:val="000000"/>
                <w:sz w:val="20"/>
                <w:szCs w:val="20"/>
                <w:lang w:val="pl-PL" w:eastAsia="pl-PL"/>
              </w:rPr>
              <w:t>0.25</w:t>
            </w:r>
          </w:p>
        </w:tc>
      </w:tr>
      <w:tr w:rsidR="00B350E9" w:rsidRPr="00E73EF4" w14:paraId="28D84C48" w14:textId="77777777" w:rsidTr="00301F6A">
        <w:tc>
          <w:tcPr>
            <w:tcW w:w="1805" w:type="dxa"/>
            <w:tcBorders>
              <w:top w:val="double" w:sz="4" w:space="0" w:color="auto"/>
              <w:bottom w:val="double" w:sz="4" w:space="0" w:color="auto"/>
              <w:right w:val="double" w:sz="4" w:space="0" w:color="auto"/>
            </w:tcBorders>
            <w:vAlign w:val="bottom"/>
          </w:tcPr>
          <w:p w14:paraId="00D63B16" w14:textId="77777777" w:rsidR="00B350E9" w:rsidRPr="00E73EF4" w:rsidRDefault="00B350E9" w:rsidP="004757FB">
            <w:pPr>
              <w:jc w:val="center"/>
              <w:rPr>
                <w:rFonts w:ascii="Times New Roman" w:eastAsia="Times New Roman" w:hAnsi="Times New Roman" w:cs="Times New Roman"/>
                <w:color w:val="000000"/>
                <w:sz w:val="20"/>
                <w:szCs w:val="20"/>
                <w:lang w:eastAsia="pl-PL"/>
              </w:rPr>
            </w:pPr>
            <w:proofErr w:type="spellStart"/>
            <w:r w:rsidRPr="00E73EF4">
              <w:rPr>
                <w:rFonts w:ascii="Times New Roman" w:eastAsia="Times New Roman" w:hAnsi="Times New Roman" w:cs="Times New Roman"/>
                <w:color w:val="000000"/>
                <w:sz w:val="20"/>
                <w:szCs w:val="20"/>
                <w:lang w:eastAsia="pl-PL"/>
              </w:rPr>
              <w:t>cefoxitin</w:t>
            </w:r>
            <w:proofErr w:type="spellEnd"/>
          </w:p>
        </w:tc>
        <w:tc>
          <w:tcPr>
            <w:tcW w:w="1496" w:type="dxa"/>
            <w:tcBorders>
              <w:top w:val="double" w:sz="4" w:space="0" w:color="auto"/>
              <w:left w:val="double" w:sz="4" w:space="0" w:color="auto"/>
              <w:bottom w:val="double" w:sz="4" w:space="0" w:color="auto"/>
              <w:right w:val="double" w:sz="4" w:space="0" w:color="auto"/>
            </w:tcBorders>
            <w:vAlign w:val="bottom"/>
          </w:tcPr>
          <w:p w14:paraId="35A56999" w14:textId="092CBF0C" w:rsidR="00B350E9" w:rsidRPr="00E73EF4" w:rsidRDefault="00B350E9" w:rsidP="004757FB">
            <w:pPr>
              <w:jc w:val="center"/>
              <w:rPr>
                <w:rFonts w:ascii="Times New Roman" w:eastAsia="Times New Roman" w:hAnsi="Times New Roman" w:cs="Times New Roman"/>
                <w:color w:val="000000"/>
                <w:sz w:val="20"/>
                <w:szCs w:val="20"/>
                <w:lang w:val="pl-PL" w:eastAsia="pl-PL"/>
              </w:rPr>
            </w:pPr>
            <w:r w:rsidRPr="00E73EF4">
              <w:rPr>
                <w:rFonts w:ascii="Times New Roman" w:eastAsia="Times New Roman" w:hAnsi="Times New Roman" w:cs="Times New Roman"/>
                <w:color w:val="000000"/>
                <w:sz w:val="20"/>
                <w:szCs w:val="20"/>
                <w:lang w:val="pl-PL" w:eastAsia="pl-PL"/>
              </w:rPr>
              <w:t>30</w:t>
            </w:r>
          </w:p>
        </w:tc>
      </w:tr>
      <w:tr w:rsidR="00B350E9" w:rsidRPr="00E73EF4" w14:paraId="6556059F" w14:textId="77777777" w:rsidTr="00301F6A">
        <w:tc>
          <w:tcPr>
            <w:tcW w:w="1805" w:type="dxa"/>
            <w:tcBorders>
              <w:top w:val="double" w:sz="4" w:space="0" w:color="auto"/>
              <w:bottom w:val="double" w:sz="4" w:space="0" w:color="auto"/>
              <w:right w:val="double" w:sz="4" w:space="0" w:color="auto"/>
            </w:tcBorders>
            <w:vAlign w:val="bottom"/>
          </w:tcPr>
          <w:p w14:paraId="0CF31F42" w14:textId="77777777" w:rsidR="00B350E9" w:rsidRPr="00E73EF4" w:rsidRDefault="00B350E9" w:rsidP="004757FB">
            <w:pPr>
              <w:jc w:val="center"/>
              <w:rPr>
                <w:rFonts w:ascii="Times New Roman" w:eastAsia="Times New Roman" w:hAnsi="Times New Roman" w:cs="Times New Roman"/>
                <w:color w:val="000000"/>
                <w:sz w:val="20"/>
                <w:szCs w:val="20"/>
                <w:lang w:eastAsia="pl-PL"/>
              </w:rPr>
            </w:pPr>
            <w:r w:rsidRPr="00E73EF4">
              <w:rPr>
                <w:rFonts w:ascii="Times New Roman" w:eastAsia="Times New Roman" w:hAnsi="Times New Roman" w:cs="Times New Roman"/>
                <w:color w:val="000000"/>
                <w:sz w:val="20"/>
                <w:szCs w:val="20"/>
                <w:lang w:eastAsia="pl-PL"/>
              </w:rPr>
              <w:t>gentamicin</w:t>
            </w:r>
          </w:p>
        </w:tc>
        <w:tc>
          <w:tcPr>
            <w:tcW w:w="1496" w:type="dxa"/>
            <w:tcBorders>
              <w:top w:val="double" w:sz="4" w:space="0" w:color="auto"/>
              <w:left w:val="double" w:sz="4" w:space="0" w:color="auto"/>
              <w:bottom w:val="double" w:sz="4" w:space="0" w:color="auto"/>
              <w:right w:val="double" w:sz="4" w:space="0" w:color="auto"/>
            </w:tcBorders>
            <w:vAlign w:val="bottom"/>
          </w:tcPr>
          <w:p w14:paraId="6602D175" w14:textId="54FFB6F2" w:rsidR="00B350E9" w:rsidRPr="00E73EF4" w:rsidRDefault="00B350E9" w:rsidP="004757FB">
            <w:pPr>
              <w:jc w:val="center"/>
              <w:rPr>
                <w:rFonts w:ascii="Times New Roman" w:eastAsia="Times New Roman" w:hAnsi="Times New Roman" w:cs="Times New Roman"/>
                <w:color w:val="000000"/>
                <w:sz w:val="20"/>
                <w:szCs w:val="20"/>
                <w:lang w:val="pl-PL" w:eastAsia="pl-PL"/>
              </w:rPr>
            </w:pPr>
            <w:r w:rsidRPr="00E73EF4">
              <w:rPr>
                <w:rFonts w:ascii="Times New Roman" w:eastAsia="Times New Roman" w:hAnsi="Times New Roman" w:cs="Times New Roman"/>
                <w:color w:val="000000"/>
                <w:sz w:val="20"/>
                <w:szCs w:val="20"/>
                <w:lang w:val="pl-PL" w:eastAsia="pl-PL"/>
              </w:rPr>
              <w:t>30</w:t>
            </w:r>
          </w:p>
        </w:tc>
      </w:tr>
      <w:tr w:rsidR="00B350E9" w:rsidRPr="00E70767" w14:paraId="31326073" w14:textId="77777777" w:rsidTr="00301F6A">
        <w:tc>
          <w:tcPr>
            <w:tcW w:w="1805" w:type="dxa"/>
            <w:tcBorders>
              <w:top w:val="double" w:sz="4" w:space="0" w:color="auto"/>
              <w:bottom w:val="double" w:sz="4" w:space="0" w:color="auto"/>
              <w:right w:val="double" w:sz="4" w:space="0" w:color="auto"/>
            </w:tcBorders>
            <w:vAlign w:val="bottom"/>
          </w:tcPr>
          <w:p w14:paraId="30229681" w14:textId="77777777" w:rsidR="00B350E9" w:rsidRPr="00E73EF4" w:rsidRDefault="00B350E9" w:rsidP="004757FB">
            <w:pPr>
              <w:jc w:val="center"/>
              <w:rPr>
                <w:rFonts w:ascii="Times New Roman" w:eastAsia="Times New Roman" w:hAnsi="Times New Roman" w:cs="Times New Roman"/>
                <w:color w:val="000000"/>
                <w:sz w:val="20"/>
                <w:szCs w:val="20"/>
                <w:lang w:eastAsia="pl-PL"/>
              </w:rPr>
            </w:pPr>
            <w:r w:rsidRPr="00E73EF4">
              <w:rPr>
                <w:rFonts w:ascii="Times New Roman" w:eastAsia="Times New Roman" w:hAnsi="Times New Roman" w:cs="Times New Roman"/>
                <w:color w:val="000000"/>
                <w:sz w:val="20"/>
                <w:szCs w:val="20"/>
                <w:lang w:eastAsia="pl-PL"/>
              </w:rPr>
              <w:t>ciprofloxacin</w:t>
            </w:r>
          </w:p>
        </w:tc>
        <w:tc>
          <w:tcPr>
            <w:tcW w:w="1496" w:type="dxa"/>
            <w:tcBorders>
              <w:top w:val="double" w:sz="4" w:space="0" w:color="auto"/>
              <w:left w:val="double" w:sz="4" w:space="0" w:color="auto"/>
              <w:bottom w:val="double" w:sz="4" w:space="0" w:color="auto"/>
              <w:right w:val="double" w:sz="4" w:space="0" w:color="auto"/>
            </w:tcBorders>
            <w:vAlign w:val="bottom"/>
          </w:tcPr>
          <w:p w14:paraId="39F4A25D" w14:textId="7A74AA01" w:rsidR="00B350E9" w:rsidRPr="00E70767" w:rsidRDefault="00B350E9" w:rsidP="004757FB">
            <w:pPr>
              <w:jc w:val="center"/>
              <w:rPr>
                <w:rFonts w:ascii="Times New Roman" w:eastAsia="Times New Roman" w:hAnsi="Times New Roman" w:cs="Times New Roman"/>
                <w:color w:val="000000"/>
                <w:sz w:val="20"/>
                <w:szCs w:val="20"/>
                <w:lang w:val="pl-PL" w:eastAsia="pl-PL"/>
              </w:rPr>
            </w:pPr>
            <w:r w:rsidRPr="00E73EF4">
              <w:rPr>
                <w:rFonts w:ascii="Times New Roman" w:eastAsia="Times New Roman" w:hAnsi="Times New Roman" w:cs="Times New Roman"/>
                <w:color w:val="000000"/>
                <w:sz w:val="20"/>
                <w:szCs w:val="20"/>
                <w:lang w:val="pl-PL" w:eastAsia="pl-PL"/>
              </w:rPr>
              <w:t>30</w:t>
            </w:r>
          </w:p>
        </w:tc>
      </w:tr>
    </w:tbl>
    <w:p w14:paraId="5BF127B1" w14:textId="77777777" w:rsidR="003066D2" w:rsidRDefault="003066D2" w:rsidP="00B6049E">
      <w:pPr>
        <w:spacing w:line="480" w:lineRule="auto"/>
        <w:jc w:val="both"/>
        <w:rPr>
          <w:rFonts w:ascii="Times New Roman" w:hAnsi="Times New Roman" w:cs="Times New Roman"/>
          <w:b/>
          <w:sz w:val="24"/>
          <w:szCs w:val="24"/>
        </w:rPr>
      </w:pPr>
    </w:p>
    <w:p w14:paraId="14016276" w14:textId="538F0F33" w:rsidR="00E73EF4" w:rsidRDefault="00E73EF4">
      <w:pPr>
        <w:rPr>
          <w:rFonts w:ascii="Times New Roman" w:hAnsi="Times New Roman" w:cs="Times New Roman"/>
          <w:sz w:val="24"/>
          <w:szCs w:val="24"/>
        </w:rPr>
      </w:pPr>
      <w:r>
        <w:rPr>
          <w:rFonts w:ascii="Times New Roman" w:hAnsi="Times New Roman" w:cs="Times New Roman"/>
          <w:sz w:val="24"/>
          <w:szCs w:val="24"/>
        </w:rPr>
        <w:br w:type="page"/>
      </w:r>
    </w:p>
    <w:p w14:paraId="3247072C" w14:textId="77777777" w:rsidR="000676B9" w:rsidRDefault="000676B9" w:rsidP="00B6049E">
      <w:pPr>
        <w:spacing w:line="480" w:lineRule="auto"/>
        <w:jc w:val="both"/>
        <w:rPr>
          <w:rFonts w:ascii="Times New Roman" w:hAnsi="Times New Roman" w:cs="Times New Roman"/>
          <w:sz w:val="24"/>
          <w:szCs w:val="24"/>
        </w:rPr>
      </w:pPr>
    </w:p>
    <w:p w14:paraId="142AF4B4" w14:textId="0DFC5797" w:rsidR="00C45E36" w:rsidRDefault="00C45E36">
      <w:pPr>
        <w:rPr>
          <w:rFonts w:ascii="Times New Roman" w:hAnsi="Times New Roman" w:cs="Times New Roman"/>
          <w:sz w:val="24"/>
          <w:szCs w:val="24"/>
        </w:rPr>
      </w:pPr>
    </w:p>
    <w:p w14:paraId="046A34CF" w14:textId="77777777" w:rsidR="00E73EF4" w:rsidRDefault="00E73EF4" w:rsidP="00E73EF4">
      <w:pPr>
        <w:rPr>
          <w:rFonts w:ascii="Times New Roman" w:hAnsi="Times New Roman" w:cs="Times New Roman"/>
        </w:rPr>
      </w:pPr>
      <w:r w:rsidRPr="00D479DA">
        <w:rPr>
          <w:rFonts w:ascii="Times New Roman" w:hAnsi="Times New Roman" w:cs="Times New Roman"/>
        </w:rPr>
        <w:t>Figure 1.</w:t>
      </w:r>
    </w:p>
    <w:p w14:paraId="7978A118" w14:textId="77777777" w:rsidR="00E73EF4" w:rsidRPr="00D479DA" w:rsidRDefault="00E73EF4" w:rsidP="00E73EF4">
      <w:pPr>
        <w:rPr>
          <w:rFonts w:ascii="Times New Roman" w:hAnsi="Times New Roman" w:cs="Times New Roman"/>
        </w:rPr>
      </w:pPr>
    </w:p>
    <w:p w14:paraId="23C902E4" w14:textId="77777777" w:rsidR="00E73EF4" w:rsidRDefault="00E73EF4" w:rsidP="00E73EF4"/>
    <w:p w14:paraId="7180B154" w14:textId="77777777" w:rsidR="00E73EF4" w:rsidRDefault="00E73EF4" w:rsidP="00E73EF4">
      <w:r>
        <w:rPr>
          <w:noProof/>
          <w:lang w:eastAsia="en-GB"/>
        </w:rPr>
        <w:drawing>
          <wp:inline distT="0" distB="0" distL="0" distR="0" wp14:anchorId="5B215F90" wp14:editId="2A5BFC8B">
            <wp:extent cx="2886075" cy="2105025"/>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11FCECF" w14:textId="77777777" w:rsidR="00E73EF4" w:rsidRDefault="00E73EF4" w:rsidP="00E73EF4">
      <w:r>
        <w:rPr>
          <w:noProof/>
          <w:lang w:eastAsia="en-GB"/>
        </w:rPr>
        <w:drawing>
          <wp:inline distT="0" distB="0" distL="0" distR="0" wp14:anchorId="25F4232F" wp14:editId="21F68EE1">
            <wp:extent cx="2982509" cy="2155825"/>
            <wp:effectExtent l="0" t="0" r="889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C4DDF98" w14:textId="77777777" w:rsidR="00E73EF4" w:rsidRDefault="00E73EF4" w:rsidP="00E73EF4">
      <w:r>
        <w:rPr>
          <w:noProof/>
          <w:lang w:eastAsia="en-GB"/>
        </w:rPr>
        <w:drawing>
          <wp:inline distT="0" distB="0" distL="0" distR="0" wp14:anchorId="0AD40830" wp14:editId="034AC0A1">
            <wp:extent cx="2786332" cy="1992702"/>
            <wp:effectExtent l="0" t="0" r="0" b="7620"/>
            <wp:docPr id="35" name="Wykres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287C8ED" w14:textId="77777777" w:rsidR="00E73EF4" w:rsidRDefault="00E73EF4" w:rsidP="00E73EF4"/>
    <w:p w14:paraId="2E33E592" w14:textId="77777777" w:rsidR="00E73EF4" w:rsidRDefault="00E73EF4" w:rsidP="00E73EF4"/>
    <w:p w14:paraId="17FAD1BC" w14:textId="77777777" w:rsidR="00E73EF4" w:rsidRDefault="00E73EF4" w:rsidP="00E73EF4"/>
    <w:p w14:paraId="0C4CCC8D" w14:textId="77777777" w:rsidR="00E73EF4" w:rsidRDefault="00E73EF4" w:rsidP="00E73EF4"/>
    <w:p w14:paraId="794FF9FD" w14:textId="77777777" w:rsidR="00E73EF4" w:rsidRDefault="00E73EF4" w:rsidP="00E73EF4"/>
    <w:p w14:paraId="0C3644AB" w14:textId="77777777" w:rsidR="00E73EF4" w:rsidRDefault="00E73EF4" w:rsidP="00E73EF4">
      <w:pPr>
        <w:spacing w:line="48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Figure 2.</w:t>
      </w:r>
    </w:p>
    <w:p w14:paraId="18F4FB03" w14:textId="77777777" w:rsidR="00E73EF4" w:rsidRDefault="00E73EF4" w:rsidP="00E73EF4">
      <w:pPr>
        <w:spacing w:line="480" w:lineRule="auto"/>
        <w:rPr>
          <w:rFonts w:ascii="Times New Roman" w:eastAsia="Calibri" w:hAnsi="Times New Roman" w:cs="Times New Roman"/>
          <w:sz w:val="24"/>
          <w:szCs w:val="24"/>
          <w:lang w:val="en-US"/>
        </w:rPr>
      </w:pPr>
    </w:p>
    <w:p w14:paraId="094E5FFC" w14:textId="77777777" w:rsidR="00E73EF4" w:rsidRDefault="00E73EF4" w:rsidP="00E73EF4">
      <w:r>
        <w:rPr>
          <w:noProof/>
          <w:lang w:eastAsia="en-GB"/>
        </w:rPr>
        <w:drawing>
          <wp:inline distT="0" distB="0" distL="0" distR="0" wp14:anchorId="65CC93E3" wp14:editId="74525C88">
            <wp:extent cx="3533817" cy="2125345"/>
            <wp:effectExtent l="0" t="0" r="0" b="825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EC4FB60" w14:textId="77777777" w:rsidR="00E73EF4" w:rsidRDefault="00E73EF4" w:rsidP="00E73EF4">
      <w:r>
        <w:rPr>
          <w:noProof/>
          <w:lang w:eastAsia="en-GB"/>
        </w:rPr>
        <w:drawing>
          <wp:inline distT="0" distB="0" distL="0" distR="0" wp14:anchorId="16B4C1EC" wp14:editId="2F803F98">
            <wp:extent cx="3615690" cy="1855470"/>
            <wp:effectExtent l="0" t="0" r="3810" b="0"/>
            <wp:docPr id="5" name="Wykres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EC4787" w14:textId="77777777" w:rsidR="00E73EF4" w:rsidRDefault="00E73EF4" w:rsidP="00E73EF4">
      <w:r>
        <w:rPr>
          <w:noProof/>
          <w:lang w:eastAsia="en-GB"/>
        </w:rPr>
        <w:drawing>
          <wp:inline distT="0" distB="0" distL="0" distR="0" wp14:anchorId="66148149" wp14:editId="3BB0A9E8">
            <wp:extent cx="2693843" cy="2124075"/>
            <wp:effectExtent l="0" t="0" r="0" b="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480BB9E" w14:textId="77777777" w:rsidR="00E73EF4" w:rsidRDefault="00E73EF4" w:rsidP="00E73EF4"/>
    <w:p w14:paraId="69AA715D" w14:textId="77777777" w:rsidR="00E73EF4" w:rsidRDefault="00E73EF4" w:rsidP="00E73EF4"/>
    <w:p w14:paraId="4ACBFC3D" w14:textId="77777777" w:rsidR="00E73EF4" w:rsidRDefault="00E73EF4" w:rsidP="00E73EF4"/>
    <w:p w14:paraId="0E9888E1" w14:textId="77777777" w:rsidR="00E73EF4" w:rsidRDefault="00E73EF4" w:rsidP="00E73EF4"/>
    <w:p w14:paraId="0CC7D59D" w14:textId="77777777" w:rsidR="00E73EF4" w:rsidRDefault="00E73EF4" w:rsidP="00E73EF4"/>
    <w:p w14:paraId="695AB283" w14:textId="77777777" w:rsidR="00E73EF4" w:rsidRDefault="00E73EF4" w:rsidP="00E73EF4"/>
    <w:p w14:paraId="577F3A8F" w14:textId="77777777" w:rsidR="00E73EF4" w:rsidRDefault="00E73EF4" w:rsidP="00E73EF4">
      <w:pPr>
        <w:rPr>
          <w:rFonts w:ascii="Times New Roman" w:hAnsi="Times New Roman" w:cs="Times New Roman"/>
        </w:rPr>
      </w:pPr>
      <w:r w:rsidRPr="00D64457">
        <w:rPr>
          <w:rFonts w:ascii="Times New Roman" w:hAnsi="Times New Roman" w:cs="Times New Roman"/>
        </w:rPr>
        <w:t>Figure 3.</w:t>
      </w:r>
    </w:p>
    <w:p w14:paraId="46F65A2A" w14:textId="77777777" w:rsidR="00E73EF4" w:rsidRPr="00D64457" w:rsidRDefault="00E73EF4" w:rsidP="00E73EF4">
      <w:pPr>
        <w:rPr>
          <w:rFonts w:ascii="Times New Roman" w:hAnsi="Times New Roman" w:cs="Times New Roman"/>
        </w:rPr>
      </w:pPr>
    </w:p>
    <w:p w14:paraId="73EDCB68" w14:textId="77777777" w:rsidR="00E73EF4" w:rsidRDefault="00E73EF4" w:rsidP="00E73EF4">
      <w:r>
        <w:rPr>
          <w:noProof/>
          <w:lang w:eastAsia="en-GB"/>
        </w:rPr>
        <w:drawing>
          <wp:inline distT="0" distB="0" distL="0" distR="0" wp14:anchorId="037301B3" wp14:editId="6E14F063">
            <wp:extent cx="2607438" cy="2030730"/>
            <wp:effectExtent l="0" t="0" r="2540" b="7620"/>
            <wp:docPr id="33" name="Wykres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eastAsia="en-GB"/>
        </w:rPr>
        <w:drawing>
          <wp:inline distT="0" distB="0" distL="0" distR="0" wp14:anchorId="3457074B" wp14:editId="09BF8F82">
            <wp:extent cx="2116297" cy="2047875"/>
            <wp:effectExtent l="0" t="0" r="0" b="0"/>
            <wp:docPr id="32"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A13FEF" w14:textId="77777777" w:rsidR="00E73EF4" w:rsidRDefault="00E73EF4" w:rsidP="00E73EF4"/>
    <w:p w14:paraId="391E5DB6" w14:textId="77777777" w:rsidR="00E73EF4" w:rsidRDefault="00E73EF4" w:rsidP="00E73EF4">
      <w:r w:rsidRPr="005C3CB9">
        <w:rPr>
          <w:noProof/>
          <w:sz w:val="20"/>
          <w:szCs w:val="20"/>
          <w:lang w:eastAsia="en-GB"/>
        </w:rPr>
        <w:drawing>
          <wp:inline distT="0" distB="0" distL="0" distR="0" wp14:anchorId="14F117BD" wp14:editId="00287944">
            <wp:extent cx="2559050" cy="1876328"/>
            <wp:effectExtent l="0" t="0" r="0" b="0"/>
            <wp:docPr id="37" name="Wykres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lang w:eastAsia="en-GB"/>
        </w:rPr>
        <w:drawing>
          <wp:inline distT="0" distB="0" distL="0" distR="0" wp14:anchorId="2BC0E3BF" wp14:editId="21EDD927">
            <wp:extent cx="2236088" cy="1932305"/>
            <wp:effectExtent l="0" t="0" r="0" b="0"/>
            <wp:docPr id="36" name="Wykres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CFDD732" w14:textId="77777777" w:rsidR="00E73EF4" w:rsidRDefault="00E73EF4" w:rsidP="00E73EF4"/>
    <w:p w14:paraId="11358F54" w14:textId="77777777" w:rsidR="00E73EF4" w:rsidRDefault="00E73EF4" w:rsidP="00E73EF4"/>
    <w:p w14:paraId="4EC84E26" w14:textId="77777777" w:rsidR="00E73EF4" w:rsidRDefault="00E73EF4" w:rsidP="00E73EF4"/>
    <w:p w14:paraId="756AF054" w14:textId="77777777" w:rsidR="00E73EF4" w:rsidRDefault="00E73EF4" w:rsidP="00E73EF4"/>
    <w:p w14:paraId="2292AF44" w14:textId="77777777" w:rsidR="00E73EF4" w:rsidRDefault="00E73EF4" w:rsidP="00E73EF4"/>
    <w:p w14:paraId="705A9B24" w14:textId="77777777" w:rsidR="00E73EF4" w:rsidRDefault="00E73EF4" w:rsidP="00E73EF4"/>
    <w:p w14:paraId="5EFEB34E" w14:textId="77777777" w:rsidR="00E73EF4" w:rsidRDefault="00E73EF4" w:rsidP="00E73EF4"/>
    <w:p w14:paraId="6C31A1A8" w14:textId="77777777" w:rsidR="00E73EF4" w:rsidRDefault="00E73EF4" w:rsidP="00E73EF4"/>
    <w:p w14:paraId="45EC877D" w14:textId="77777777" w:rsidR="00E73EF4" w:rsidRDefault="00E73EF4" w:rsidP="00E73EF4"/>
    <w:p w14:paraId="1E16965C" w14:textId="77777777" w:rsidR="00E73EF4" w:rsidRDefault="00E73EF4" w:rsidP="00E73EF4"/>
    <w:p w14:paraId="639319FE" w14:textId="77777777" w:rsidR="00E73EF4" w:rsidRDefault="00E73EF4" w:rsidP="00E73EF4">
      <w:pPr>
        <w:spacing w:line="48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Figure 4.</w:t>
      </w:r>
    </w:p>
    <w:p w14:paraId="1D59058F" w14:textId="77777777" w:rsidR="00E73EF4" w:rsidRDefault="00E73EF4" w:rsidP="00E73EF4">
      <w:pPr>
        <w:spacing w:line="480" w:lineRule="auto"/>
        <w:rPr>
          <w:rFonts w:ascii="Times New Roman" w:eastAsia="Calibri" w:hAnsi="Times New Roman" w:cs="Times New Roman"/>
          <w:sz w:val="24"/>
          <w:szCs w:val="24"/>
          <w:lang w:val="en-US"/>
        </w:rPr>
      </w:pPr>
      <w:r>
        <w:rPr>
          <w:noProof/>
          <w:lang w:eastAsia="en-GB"/>
        </w:rPr>
        <w:drawing>
          <wp:inline distT="0" distB="0" distL="0" distR="0" wp14:anchorId="3CB068F6" wp14:editId="56B77D42">
            <wp:extent cx="2932981" cy="2044460"/>
            <wp:effectExtent l="0" t="0" r="1270" b="13335"/>
            <wp:docPr id="39" name="Wykres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B370215" w14:textId="77777777" w:rsidR="00E73EF4" w:rsidRDefault="00E73EF4" w:rsidP="00E73EF4">
      <w:pPr>
        <w:spacing w:line="480" w:lineRule="auto"/>
        <w:rPr>
          <w:rFonts w:ascii="Times New Roman" w:eastAsia="Calibri" w:hAnsi="Times New Roman" w:cs="Times New Roman"/>
          <w:sz w:val="24"/>
          <w:szCs w:val="24"/>
          <w:lang w:val="en-US"/>
        </w:rPr>
      </w:pPr>
      <w:r>
        <w:rPr>
          <w:noProof/>
          <w:lang w:eastAsia="en-GB"/>
        </w:rPr>
        <w:drawing>
          <wp:inline distT="0" distB="0" distL="0" distR="0" wp14:anchorId="584D2949" wp14:editId="2335CD55">
            <wp:extent cx="3032124" cy="2114982"/>
            <wp:effectExtent l="0" t="0" r="0" b="0"/>
            <wp:docPr id="40" name="Wykres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857D63E" w14:textId="77777777" w:rsidR="00E73EF4" w:rsidRDefault="00E73EF4" w:rsidP="00E73EF4">
      <w:pPr>
        <w:spacing w:line="480" w:lineRule="auto"/>
        <w:rPr>
          <w:rFonts w:ascii="Times New Roman" w:eastAsia="Calibri" w:hAnsi="Times New Roman" w:cs="Times New Roman"/>
          <w:sz w:val="24"/>
          <w:szCs w:val="24"/>
          <w:lang w:val="en-US"/>
        </w:rPr>
      </w:pPr>
      <w:r>
        <w:rPr>
          <w:noProof/>
          <w:lang w:eastAsia="en-GB"/>
        </w:rPr>
        <w:drawing>
          <wp:inline distT="0" distB="0" distL="0" distR="0" wp14:anchorId="6212FA5D" wp14:editId="0D1B9C60">
            <wp:extent cx="3140015" cy="2286000"/>
            <wp:effectExtent l="0" t="0" r="3810" b="0"/>
            <wp:docPr id="41" name="Wykres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CC2D0AE" w14:textId="77777777" w:rsidR="00E73EF4" w:rsidRDefault="00E73EF4" w:rsidP="00E73EF4">
      <w:pPr>
        <w:spacing w:line="480" w:lineRule="auto"/>
        <w:rPr>
          <w:rFonts w:ascii="Times New Roman" w:eastAsia="Calibri" w:hAnsi="Times New Roman" w:cs="Times New Roman"/>
          <w:sz w:val="24"/>
          <w:szCs w:val="24"/>
          <w:lang w:val="en-US"/>
        </w:rPr>
      </w:pPr>
    </w:p>
    <w:p w14:paraId="0EEE9F40" w14:textId="572BA921" w:rsidR="00E73EF4" w:rsidRDefault="00E73EF4">
      <w:pPr>
        <w:rPr>
          <w:rFonts w:ascii="Times New Roman" w:hAnsi="Times New Roman" w:cs="Times New Roman"/>
          <w:sz w:val="24"/>
          <w:szCs w:val="24"/>
        </w:rPr>
      </w:pPr>
      <w:bookmarkStart w:id="0" w:name="_GoBack"/>
      <w:bookmarkEnd w:id="0"/>
    </w:p>
    <w:sectPr w:rsidR="00E73EF4" w:rsidSect="00126F5F">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D5351"/>
    <w:multiLevelType w:val="hybridMultilevel"/>
    <w:tmpl w:val="65D86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BF67FC"/>
    <w:multiLevelType w:val="hybridMultilevel"/>
    <w:tmpl w:val="996E83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132110"/>
    <w:multiLevelType w:val="hybridMultilevel"/>
    <w:tmpl w:val="BB60E330"/>
    <w:lvl w:ilvl="0" w:tplc="73AE741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345293E"/>
    <w:multiLevelType w:val="hybridMultilevel"/>
    <w:tmpl w:val="A46AF4A2"/>
    <w:lvl w:ilvl="0" w:tplc="EDE632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65"/>
    <w:rsid w:val="00004DD2"/>
    <w:rsid w:val="00011CAD"/>
    <w:rsid w:val="00017927"/>
    <w:rsid w:val="00024A14"/>
    <w:rsid w:val="00030FED"/>
    <w:rsid w:val="000346BE"/>
    <w:rsid w:val="00050D17"/>
    <w:rsid w:val="0005462B"/>
    <w:rsid w:val="000548CC"/>
    <w:rsid w:val="00056802"/>
    <w:rsid w:val="00063C0E"/>
    <w:rsid w:val="000660E6"/>
    <w:rsid w:val="000676B9"/>
    <w:rsid w:val="0007019E"/>
    <w:rsid w:val="0008459B"/>
    <w:rsid w:val="000C3F32"/>
    <w:rsid w:val="000C60A3"/>
    <w:rsid w:val="000C7CDF"/>
    <w:rsid w:val="000D70BF"/>
    <w:rsid w:val="000F1FC3"/>
    <w:rsid w:val="000F2CD2"/>
    <w:rsid w:val="000F48B0"/>
    <w:rsid w:val="000F7188"/>
    <w:rsid w:val="001024C9"/>
    <w:rsid w:val="0010433C"/>
    <w:rsid w:val="0010488E"/>
    <w:rsid w:val="00114595"/>
    <w:rsid w:val="00120B4C"/>
    <w:rsid w:val="00125358"/>
    <w:rsid w:val="00126F5F"/>
    <w:rsid w:val="00136BA0"/>
    <w:rsid w:val="001400DB"/>
    <w:rsid w:val="00140AB5"/>
    <w:rsid w:val="001541A0"/>
    <w:rsid w:val="0015475D"/>
    <w:rsid w:val="001808E4"/>
    <w:rsid w:val="001875F7"/>
    <w:rsid w:val="00193C56"/>
    <w:rsid w:val="001B4086"/>
    <w:rsid w:val="001B4670"/>
    <w:rsid w:val="001B62B1"/>
    <w:rsid w:val="001C5AD2"/>
    <w:rsid w:val="001D2DE1"/>
    <w:rsid w:val="001D5460"/>
    <w:rsid w:val="001D7529"/>
    <w:rsid w:val="001D7E28"/>
    <w:rsid w:val="001E313D"/>
    <w:rsid w:val="00200842"/>
    <w:rsid w:val="00205E73"/>
    <w:rsid w:val="00212E9D"/>
    <w:rsid w:val="00216694"/>
    <w:rsid w:val="00216BF5"/>
    <w:rsid w:val="00223AE8"/>
    <w:rsid w:val="00225219"/>
    <w:rsid w:val="002272E3"/>
    <w:rsid w:val="002349F1"/>
    <w:rsid w:val="002417E5"/>
    <w:rsid w:val="002510DE"/>
    <w:rsid w:val="00266884"/>
    <w:rsid w:val="00276377"/>
    <w:rsid w:val="002827C2"/>
    <w:rsid w:val="00294DD5"/>
    <w:rsid w:val="00294F2A"/>
    <w:rsid w:val="00296BE3"/>
    <w:rsid w:val="002A519B"/>
    <w:rsid w:val="002C2BD3"/>
    <w:rsid w:val="002C716D"/>
    <w:rsid w:val="002D25B2"/>
    <w:rsid w:val="002D6577"/>
    <w:rsid w:val="002F4D00"/>
    <w:rsid w:val="00301F6A"/>
    <w:rsid w:val="0030206A"/>
    <w:rsid w:val="003066D2"/>
    <w:rsid w:val="003075CB"/>
    <w:rsid w:val="0031256E"/>
    <w:rsid w:val="003205A5"/>
    <w:rsid w:val="00327F12"/>
    <w:rsid w:val="00330D57"/>
    <w:rsid w:val="00332876"/>
    <w:rsid w:val="00336CE6"/>
    <w:rsid w:val="00346178"/>
    <w:rsid w:val="00352346"/>
    <w:rsid w:val="00361E0A"/>
    <w:rsid w:val="003662D7"/>
    <w:rsid w:val="00374BE8"/>
    <w:rsid w:val="00377C16"/>
    <w:rsid w:val="00380BC6"/>
    <w:rsid w:val="003B5F34"/>
    <w:rsid w:val="003C09E0"/>
    <w:rsid w:val="003C46BE"/>
    <w:rsid w:val="003D0722"/>
    <w:rsid w:val="003D6B88"/>
    <w:rsid w:val="003D6CF1"/>
    <w:rsid w:val="003F000E"/>
    <w:rsid w:val="003F08A4"/>
    <w:rsid w:val="003F23BE"/>
    <w:rsid w:val="00400D9A"/>
    <w:rsid w:val="00406D61"/>
    <w:rsid w:val="00407ED6"/>
    <w:rsid w:val="004136DE"/>
    <w:rsid w:val="00427F7E"/>
    <w:rsid w:val="004335FC"/>
    <w:rsid w:val="0043417C"/>
    <w:rsid w:val="004448A8"/>
    <w:rsid w:val="00444AF4"/>
    <w:rsid w:val="00445A40"/>
    <w:rsid w:val="00446B7E"/>
    <w:rsid w:val="00447BAC"/>
    <w:rsid w:val="00454466"/>
    <w:rsid w:val="00455B20"/>
    <w:rsid w:val="0046084A"/>
    <w:rsid w:val="00466A17"/>
    <w:rsid w:val="00466B61"/>
    <w:rsid w:val="004757FB"/>
    <w:rsid w:val="00482184"/>
    <w:rsid w:val="00483DFB"/>
    <w:rsid w:val="004A2829"/>
    <w:rsid w:val="004B4C4C"/>
    <w:rsid w:val="004D1186"/>
    <w:rsid w:val="004D1C3A"/>
    <w:rsid w:val="004D4B31"/>
    <w:rsid w:val="004D5FEB"/>
    <w:rsid w:val="004E2E16"/>
    <w:rsid w:val="004E68F3"/>
    <w:rsid w:val="004F1994"/>
    <w:rsid w:val="00514E4D"/>
    <w:rsid w:val="005160F5"/>
    <w:rsid w:val="005178B7"/>
    <w:rsid w:val="0052409B"/>
    <w:rsid w:val="00547A9E"/>
    <w:rsid w:val="00567CB9"/>
    <w:rsid w:val="0057322C"/>
    <w:rsid w:val="00576EC7"/>
    <w:rsid w:val="00577336"/>
    <w:rsid w:val="005776E8"/>
    <w:rsid w:val="0058393B"/>
    <w:rsid w:val="00591361"/>
    <w:rsid w:val="005921D9"/>
    <w:rsid w:val="0059376B"/>
    <w:rsid w:val="005B17B1"/>
    <w:rsid w:val="005B3E86"/>
    <w:rsid w:val="005B4DC4"/>
    <w:rsid w:val="005C069A"/>
    <w:rsid w:val="005C7361"/>
    <w:rsid w:val="005D097E"/>
    <w:rsid w:val="005E31EA"/>
    <w:rsid w:val="005F061A"/>
    <w:rsid w:val="005F7D19"/>
    <w:rsid w:val="0060049B"/>
    <w:rsid w:val="00600D25"/>
    <w:rsid w:val="00605678"/>
    <w:rsid w:val="00614985"/>
    <w:rsid w:val="00623FAB"/>
    <w:rsid w:val="00647616"/>
    <w:rsid w:val="00652A92"/>
    <w:rsid w:val="00652CA0"/>
    <w:rsid w:val="006637AD"/>
    <w:rsid w:val="0066447E"/>
    <w:rsid w:val="006727C5"/>
    <w:rsid w:val="00675CAD"/>
    <w:rsid w:val="00687A74"/>
    <w:rsid w:val="00692B4E"/>
    <w:rsid w:val="00695851"/>
    <w:rsid w:val="006A12C4"/>
    <w:rsid w:val="006B2935"/>
    <w:rsid w:val="006C1702"/>
    <w:rsid w:val="006C5A53"/>
    <w:rsid w:val="006D3118"/>
    <w:rsid w:val="006E4FAE"/>
    <w:rsid w:val="006E61B0"/>
    <w:rsid w:val="007028FE"/>
    <w:rsid w:val="007106AB"/>
    <w:rsid w:val="0071239B"/>
    <w:rsid w:val="00714029"/>
    <w:rsid w:val="00714538"/>
    <w:rsid w:val="00714F21"/>
    <w:rsid w:val="00715B79"/>
    <w:rsid w:val="00717923"/>
    <w:rsid w:val="00720304"/>
    <w:rsid w:val="00720D92"/>
    <w:rsid w:val="00726FD4"/>
    <w:rsid w:val="007329AE"/>
    <w:rsid w:val="00732B1E"/>
    <w:rsid w:val="00737E31"/>
    <w:rsid w:val="0074147C"/>
    <w:rsid w:val="00744914"/>
    <w:rsid w:val="00744930"/>
    <w:rsid w:val="00746854"/>
    <w:rsid w:val="00777CBC"/>
    <w:rsid w:val="007855C4"/>
    <w:rsid w:val="00786C7B"/>
    <w:rsid w:val="0078721D"/>
    <w:rsid w:val="00793883"/>
    <w:rsid w:val="00797E11"/>
    <w:rsid w:val="007A1D34"/>
    <w:rsid w:val="007A22F6"/>
    <w:rsid w:val="007B1B22"/>
    <w:rsid w:val="007B70C8"/>
    <w:rsid w:val="007C1509"/>
    <w:rsid w:val="007C4098"/>
    <w:rsid w:val="007D5C69"/>
    <w:rsid w:val="007D72D3"/>
    <w:rsid w:val="007E61B3"/>
    <w:rsid w:val="00810F35"/>
    <w:rsid w:val="00837CD2"/>
    <w:rsid w:val="008456F2"/>
    <w:rsid w:val="00845CE5"/>
    <w:rsid w:val="0084690C"/>
    <w:rsid w:val="00851BC8"/>
    <w:rsid w:val="008554B9"/>
    <w:rsid w:val="0086090D"/>
    <w:rsid w:val="008635C3"/>
    <w:rsid w:val="0086373D"/>
    <w:rsid w:val="00887980"/>
    <w:rsid w:val="008A18E3"/>
    <w:rsid w:val="008B0A56"/>
    <w:rsid w:val="008B64F8"/>
    <w:rsid w:val="008C08A0"/>
    <w:rsid w:val="008C18CD"/>
    <w:rsid w:val="008C39F7"/>
    <w:rsid w:val="008D7BC6"/>
    <w:rsid w:val="008E664A"/>
    <w:rsid w:val="008F58EE"/>
    <w:rsid w:val="009168C7"/>
    <w:rsid w:val="009255BB"/>
    <w:rsid w:val="009453D7"/>
    <w:rsid w:val="009568E5"/>
    <w:rsid w:val="00965A16"/>
    <w:rsid w:val="00986F3D"/>
    <w:rsid w:val="009A112E"/>
    <w:rsid w:val="009A12CD"/>
    <w:rsid w:val="009A1A8C"/>
    <w:rsid w:val="009A2A65"/>
    <w:rsid w:val="009C26E1"/>
    <w:rsid w:val="009C2965"/>
    <w:rsid w:val="009C5322"/>
    <w:rsid w:val="009C6969"/>
    <w:rsid w:val="009D64C0"/>
    <w:rsid w:val="00A05C34"/>
    <w:rsid w:val="00A074BA"/>
    <w:rsid w:val="00A1401C"/>
    <w:rsid w:val="00A17884"/>
    <w:rsid w:val="00A36BDC"/>
    <w:rsid w:val="00A42255"/>
    <w:rsid w:val="00A4247A"/>
    <w:rsid w:val="00A44097"/>
    <w:rsid w:val="00A55BB3"/>
    <w:rsid w:val="00A61F82"/>
    <w:rsid w:val="00A6368D"/>
    <w:rsid w:val="00A73A8D"/>
    <w:rsid w:val="00A73CCC"/>
    <w:rsid w:val="00A81A8E"/>
    <w:rsid w:val="00A85B15"/>
    <w:rsid w:val="00A90154"/>
    <w:rsid w:val="00A931F0"/>
    <w:rsid w:val="00A95DD4"/>
    <w:rsid w:val="00A96742"/>
    <w:rsid w:val="00AD0ABA"/>
    <w:rsid w:val="00AE7075"/>
    <w:rsid w:val="00B0019E"/>
    <w:rsid w:val="00B02875"/>
    <w:rsid w:val="00B161AF"/>
    <w:rsid w:val="00B229D3"/>
    <w:rsid w:val="00B25392"/>
    <w:rsid w:val="00B25A56"/>
    <w:rsid w:val="00B33178"/>
    <w:rsid w:val="00B350E9"/>
    <w:rsid w:val="00B36436"/>
    <w:rsid w:val="00B42B5F"/>
    <w:rsid w:val="00B45A22"/>
    <w:rsid w:val="00B5227C"/>
    <w:rsid w:val="00B6049E"/>
    <w:rsid w:val="00B666CC"/>
    <w:rsid w:val="00B84251"/>
    <w:rsid w:val="00B90DE5"/>
    <w:rsid w:val="00B93549"/>
    <w:rsid w:val="00BA3578"/>
    <w:rsid w:val="00BA78DE"/>
    <w:rsid w:val="00BD52BE"/>
    <w:rsid w:val="00BD6ACD"/>
    <w:rsid w:val="00BF3DEE"/>
    <w:rsid w:val="00C0383B"/>
    <w:rsid w:val="00C25CF0"/>
    <w:rsid w:val="00C27F41"/>
    <w:rsid w:val="00C31508"/>
    <w:rsid w:val="00C35358"/>
    <w:rsid w:val="00C4244A"/>
    <w:rsid w:val="00C4413D"/>
    <w:rsid w:val="00C44C0C"/>
    <w:rsid w:val="00C45E36"/>
    <w:rsid w:val="00C53BBF"/>
    <w:rsid w:val="00C57716"/>
    <w:rsid w:val="00C615C5"/>
    <w:rsid w:val="00C657F3"/>
    <w:rsid w:val="00C7036B"/>
    <w:rsid w:val="00C71536"/>
    <w:rsid w:val="00C774C4"/>
    <w:rsid w:val="00C92868"/>
    <w:rsid w:val="00C979B9"/>
    <w:rsid w:val="00CA4E97"/>
    <w:rsid w:val="00CB173B"/>
    <w:rsid w:val="00CB45C7"/>
    <w:rsid w:val="00CD280D"/>
    <w:rsid w:val="00CD34CF"/>
    <w:rsid w:val="00CD7E94"/>
    <w:rsid w:val="00CF79C7"/>
    <w:rsid w:val="00D33DD4"/>
    <w:rsid w:val="00D371DD"/>
    <w:rsid w:val="00D45801"/>
    <w:rsid w:val="00D47C61"/>
    <w:rsid w:val="00D47FBB"/>
    <w:rsid w:val="00D55C4A"/>
    <w:rsid w:val="00D60C5C"/>
    <w:rsid w:val="00D61CBF"/>
    <w:rsid w:val="00D65ED3"/>
    <w:rsid w:val="00D667DD"/>
    <w:rsid w:val="00D83E91"/>
    <w:rsid w:val="00D85E9B"/>
    <w:rsid w:val="00D90B65"/>
    <w:rsid w:val="00D97A9B"/>
    <w:rsid w:val="00DA38F5"/>
    <w:rsid w:val="00DB180D"/>
    <w:rsid w:val="00DB475F"/>
    <w:rsid w:val="00DC038C"/>
    <w:rsid w:val="00DC3BFF"/>
    <w:rsid w:val="00DC7E74"/>
    <w:rsid w:val="00DD1BD9"/>
    <w:rsid w:val="00DE0FF7"/>
    <w:rsid w:val="00DE3683"/>
    <w:rsid w:val="00DE75D9"/>
    <w:rsid w:val="00DF637F"/>
    <w:rsid w:val="00E052C8"/>
    <w:rsid w:val="00E062BE"/>
    <w:rsid w:val="00E07DDF"/>
    <w:rsid w:val="00E11A50"/>
    <w:rsid w:val="00E1445C"/>
    <w:rsid w:val="00E24902"/>
    <w:rsid w:val="00E3666E"/>
    <w:rsid w:val="00E40ACA"/>
    <w:rsid w:val="00E47380"/>
    <w:rsid w:val="00E51C68"/>
    <w:rsid w:val="00E63391"/>
    <w:rsid w:val="00E64C48"/>
    <w:rsid w:val="00E70767"/>
    <w:rsid w:val="00E707EA"/>
    <w:rsid w:val="00E73EF4"/>
    <w:rsid w:val="00E85DB9"/>
    <w:rsid w:val="00E90782"/>
    <w:rsid w:val="00EA1D82"/>
    <w:rsid w:val="00EA3227"/>
    <w:rsid w:val="00EA5D86"/>
    <w:rsid w:val="00EB1075"/>
    <w:rsid w:val="00EB1DCA"/>
    <w:rsid w:val="00EB1DF1"/>
    <w:rsid w:val="00EB500C"/>
    <w:rsid w:val="00EB5295"/>
    <w:rsid w:val="00EB5ED6"/>
    <w:rsid w:val="00ED6118"/>
    <w:rsid w:val="00EE3298"/>
    <w:rsid w:val="00EF2C9A"/>
    <w:rsid w:val="00F11590"/>
    <w:rsid w:val="00F118C1"/>
    <w:rsid w:val="00F12948"/>
    <w:rsid w:val="00F1580C"/>
    <w:rsid w:val="00F15D0C"/>
    <w:rsid w:val="00F27905"/>
    <w:rsid w:val="00F328E9"/>
    <w:rsid w:val="00F33347"/>
    <w:rsid w:val="00F40613"/>
    <w:rsid w:val="00F46FF9"/>
    <w:rsid w:val="00F54B56"/>
    <w:rsid w:val="00F573CD"/>
    <w:rsid w:val="00F71237"/>
    <w:rsid w:val="00F80780"/>
    <w:rsid w:val="00F81317"/>
    <w:rsid w:val="00F81D69"/>
    <w:rsid w:val="00F91776"/>
    <w:rsid w:val="00FA0414"/>
    <w:rsid w:val="00FA3DBA"/>
    <w:rsid w:val="00FA610A"/>
    <w:rsid w:val="00FC0B58"/>
    <w:rsid w:val="00FC323F"/>
    <w:rsid w:val="00FD0A70"/>
    <w:rsid w:val="00FE0A10"/>
    <w:rsid w:val="00FE45BB"/>
    <w:rsid w:val="00FE4E55"/>
    <w:rsid w:val="00FE5E2F"/>
    <w:rsid w:val="00FF52D4"/>
    <w:rsid w:val="00FF761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CCC9C"/>
  <w15:docId w15:val="{94B30B39-D030-46BE-AAF8-7DD35732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A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66884"/>
    <w:pPr>
      <w:ind w:left="720"/>
      <w:contextualSpacing/>
    </w:pPr>
  </w:style>
  <w:style w:type="character" w:styleId="Emphasis">
    <w:name w:val="Emphasis"/>
    <w:basedOn w:val="DefaultParagraphFont"/>
    <w:uiPriority w:val="20"/>
    <w:qFormat/>
    <w:rsid w:val="00CB45C7"/>
    <w:rPr>
      <w:i/>
      <w:iCs/>
    </w:rPr>
  </w:style>
  <w:style w:type="character" w:customStyle="1" w:styleId="st">
    <w:name w:val="st"/>
    <w:basedOn w:val="DefaultParagraphFont"/>
    <w:rsid w:val="00CB45C7"/>
  </w:style>
  <w:style w:type="character" w:customStyle="1" w:styleId="pej">
    <w:name w:val="_pe_j"/>
    <w:basedOn w:val="DefaultParagraphFont"/>
    <w:rsid w:val="00CB45C7"/>
  </w:style>
  <w:style w:type="character" w:customStyle="1" w:styleId="text">
    <w:name w:val="text"/>
    <w:rsid w:val="00714F21"/>
  </w:style>
  <w:style w:type="character" w:customStyle="1" w:styleId="fbodytext">
    <w:name w:val="f_bodytext"/>
    <w:basedOn w:val="DefaultParagraphFont"/>
    <w:rsid w:val="002F4D00"/>
  </w:style>
  <w:style w:type="paragraph" w:styleId="Caption">
    <w:name w:val="caption"/>
    <w:basedOn w:val="Normal"/>
    <w:next w:val="Normal"/>
    <w:uiPriority w:val="35"/>
    <w:unhideWhenUsed/>
    <w:qFormat/>
    <w:rsid w:val="002D6577"/>
    <w:pPr>
      <w:spacing w:after="200" w:line="240" w:lineRule="auto"/>
    </w:pPr>
    <w:rPr>
      <w:i/>
      <w:iCs/>
      <w:color w:val="44546A" w:themeColor="text2"/>
      <w:sz w:val="18"/>
      <w:szCs w:val="18"/>
    </w:rPr>
  </w:style>
  <w:style w:type="character" w:styleId="LineNumber">
    <w:name w:val="line number"/>
    <w:basedOn w:val="DefaultParagraphFont"/>
    <w:uiPriority w:val="99"/>
    <w:semiHidden/>
    <w:unhideWhenUsed/>
    <w:rsid w:val="00126F5F"/>
  </w:style>
  <w:style w:type="table" w:styleId="TableGrid">
    <w:name w:val="Table Grid"/>
    <w:basedOn w:val="TableNormal"/>
    <w:uiPriority w:val="39"/>
    <w:rsid w:val="00216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3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E86"/>
    <w:rPr>
      <w:rFonts w:ascii="Tahoma" w:hAnsi="Tahoma" w:cs="Tahoma"/>
      <w:sz w:val="16"/>
      <w:szCs w:val="16"/>
    </w:rPr>
  </w:style>
  <w:style w:type="character" w:styleId="CommentReference">
    <w:name w:val="annotation reference"/>
    <w:basedOn w:val="DefaultParagraphFont"/>
    <w:uiPriority w:val="99"/>
    <w:semiHidden/>
    <w:unhideWhenUsed/>
    <w:rsid w:val="001B62B1"/>
    <w:rPr>
      <w:sz w:val="16"/>
      <w:szCs w:val="16"/>
    </w:rPr>
  </w:style>
  <w:style w:type="paragraph" w:styleId="CommentText">
    <w:name w:val="annotation text"/>
    <w:basedOn w:val="Normal"/>
    <w:link w:val="CommentTextChar"/>
    <w:uiPriority w:val="99"/>
    <w:semiHidden/>
    <w:unhideWhenUsed/>
    <w:rsid w:val="001B62B1"/>
    <w:pPr>
      <w:spacing w:line="240" w:lineRule="auto"/>
    </w:pPr>
    <w:rPr>
      <w:sz w:val="20"/>
      <w:szCs w:val="20"/>
    </w:rPr>
  </w:style>
  <w:style w:type="character" w:customStyle="1" w:styleId="CommentTextChar">
    <w:name w:val="Comment Text Char"/>
    <w:basedOn w:val="DefaultParagraphFont"/>
    <w:link w:val="CommentText"/>
    <w:uiPriority w:val="99"/>
    <w:semiHidden/>
    <w:rsid w:val="001B62B1"/>
    <w:rPr>
      <w:sz w:val="20"/>
      <w:szCs w:val="20"/>
    </w:rPr>
  </w:style>
  <w:style w:type="paragraph" w:styleId="CommentSubject">
    <w:name w:val="annotation subject"/>
    <w:basedOn w:val="CommentText"/>
    <w:next w:val="CommentText"/>
    <w:link w:val="CommentSubjectChar"/>
    <w:uiPriority w:val="99"/>
    <w:semiHidden/>
    <w:unhideWhenUsed/>
    <w:rsid w:val="001B62B1"/>
    <w:rPr>
      <w:b/>
      <w:bCs/>
    </w:rPr>
  </w:style>
  <w:style w:type="character" w:customStyle="1" w:styleId="CommentSubjectChar">
    <w:name w:val="Comment Subject Char"/>
    <w:basedOn w:val="CommentTextChar"/>
    <w:link w:val="CommentSubject"/>
    <w:uiPriority w:val="99"/>
    <w:semiHidden/>
    <w:rsid w:val="001B62B1"/>
    <w:rPr>
      <w:b/>
      <w:bCs/>
      <w:sz w:val="20"/>
      <w:szCs w:val="20"/>
    </w:rPr>
  </w:style>
  <w:style w:type="character" w:styleId="Hyperlink">
    <w:name w:val="Hyperlink"/>
    <w:basedOn w:val="DefaultParagraphFont"/>
    <w:uiPriority w:val="99"/>
    <w:unhideWhenUsed/>
    <w:rsid w:val="00C615C5"/>
    <w:rPr>
      <w:color w:val="0563C1" w:themeColor="hyperlink"/>
      <w:u w:val="single"/>
    </w:rPr>
  </w:style>
  <w:style w:type="paragraph" w:styleId="PlainText">
    <w:name w:val="Plain Text"/>
    <w:basedOn w:val="Normal"/>
    <w:link w:val="PlainTextChar"/>
    <w:uiPriority w:val="99"/>
    <w:unhideWhenUsed/>
    <w:rsid w:val="00A73A8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73A8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3239">
      <w:bodyDiv w:val="1"/>
      <w:marLeft w:val="0"/>
      <w:marRight w:val="0"/>
      <w:marTop w:val="0"/>
      <w:marBottom w:val="0"/>
      <w:divBdr>
        <w:top w:val="none" w:sz="0" w:space="0" w:color="auto"/>
        <w:left w:val="none" w:sz="0" w:space="0" w:color="auto"/>
        <w:bottom w:val="none" w:sz="0" w:space="0" w:color="auto"/>
        <w:right w:val="none" w:sz="0" w:space="0" w:color="auto"/>
      </w:divBdr>
    </w:div>
    <w:div w:id="1179076624">
      <w:bodyDiv w:val="1"/>
      <w:marLeft w:val="0"/>
      <w:marRight w:val="0"/>
      <w:marTop w:val="0"/>
      <w:marBottom w:val="0"/>
      <w:divBdr>
        <w:top w:val="none" w:sz="0" w:space="0" w:color="auto"/>
        <w:left w:val="none" w:sz="0" w:space="0" w:color="auto"/>
        <w:bottom w:val="none" w:sz="0" w:space="0" w:color="auto"/>
        <w:right w:val="none" w:sz="0" w:space="0" w:color="auto"/>
      </w:divBdr>
    </w:div>
    <w:div w:id="157824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F:\results\transduction\transduction,%20combination%20of%20antibiotics%205.5.2013.xls" TargetMode="Externa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package" Target="../embeddings/Microsoft_Excel_Worksheet2.xlsx"/><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F:\results\ddPCR\ddPCR%20summary,%20phi1,%20phi2,%20nuc,%20ermC%207.2.xlsx"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file:///F:\results\ddPCR\ddPCR%20summary,%20phi1,%20phi2,%20nuc,%20ermC%207.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3.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F:\results\transduction\transduction%20antibiotics%202.4.13.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F:\results\transduction\transduction%20antibiotics%202.4.13.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F:\results\transduction\transduction%20antibiotics%202.4.13.xls" TargetMode="Externa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F:\results\transduction\transduction%20antibiotics%202.4.13.xls"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F:\results\transduction\transduction%20antibiotics%202.4.13.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F:\results\transduction\transduction,%20combination%20of%20antibiotics%205.5.2013.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F:\results\transduction\transduction,%20combination%20of%20antibiotics%205.5.2013.xls"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F:\results\transduction\transduction,%20combination%20of%20antibiotics%205.5.20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821288428055405"/>
          <c:y val="0.14583817294331422"/>
          <c:w val="0.6326194177296105"/>
          <c:h val="0.78807410224594832"/>
        </c:manualLayout>
      </c:layout>
      <c:barChart>
        <c:barDir val="col"/>
        <c:grouping val="clustered"/>
        <c:varyColors val="0"/>
        <c:ser>
          <c:idx val="0"/>
          <c:order val="0"/>
          <c:tx>
            <c:strRef>
              <c:f>'no phi summary '!$A$43</c:f>
              <c:strCache>
                <c:ptCount val="1"/>
                <c:pt idx="0">
                  <c:v>control</c:v>
                </c:pt>
              </c:strCache>
            </c:strRef>
          </c:tx>
          <c:spPr>
            <a:solidFill>
              <a:schemeClr val="tx1"/>
            </a:solidFill>
            <a:ln w="12700">
              <a:solidFill>
                <a:srgbClr val="000000"/>
              </a:solidFill>
              <a:prstDash val="solid"/>
            </a:ln>
          </c:spPr>
          <c:invertIfNegative val="0"/>
          <c:cat>
            <c:numRef>
              <c:f>'no phi summary '!$K$53</c:f>
              <c:numCache>
                <c:formatCode>General</c:formatCode>
                <c:ptCount val="1"/>
              </c:numCache>
            </c:numRef>
          </c:cat>
          <c:val>
            <c:numRef>
              <c:f>'no phi summary '!$I$43</c:f>
              <c:numCache>
                <c:formatCode>General</c:formatCode>
                <c:ptCount val="1"/>
              </c:numCache>
            </c:numRef>
          </c:val>
        </c:ser>
        <c:ser>
          <c:idx val="4"/>
          <c:order val="1"/>
          <c:tx>
            <c:strRef>
              <c:f>'no phi summary '!$A$97</c:f>
              <c:strCache>
                <c:ptCount val="1"/>
                <c:pt idx="0">
                  <c:v>ampicillin</c:v>
                </c:pt>
              </c:strCache>
            </c:strRef>
          </c:tx>
          <c:spPr>
            <a:solidFill>
              <a:srgbClr val="00B050"/>
            </a:solidFill>
            <a:ln w="12700">
              <a:solidFill>
                <a:srgbClr val="000000"/>
              </a:solidFill>
              <a:prstDash val="solid"/>
            </a:ln>
          </c:spPr>
          <c:invertIfNegative val="0"/>
          <c:errBars>
            <c:errBarType val="both"/>
            <c:errValType val="cust"/>
            <c:noEndCap val="0"/>
            <c:plus>
              <c:numRef>
                <c:f>'no phi summary '!$G$47</c:f>
                <c:numCache>
                  <c:formatCode>General</c:formatCode>
                  <c:ptCount val="1"/>
                  <c:pt idx="0">
                    <c:v>0.88191710368819831</c:v>
                  </c:pt>
                </c:numCache>
              </c:numRef>
            </c:plus>
            <c:minus>
              <c:numRef>
                <c:f>'no phi summary '!$G$47</c:f>
                <c:numCache>
                  <c:formatCode>General</c:formatCode>
                  <c:ptCount val="1"/>
                  <c:pt idx="0">
                    <c:v>0.88191710368819831</c:v>
                  </c:pt>
                </c:numCache>
              </c:numRef>
            </c:minus>
            <c:spPr>
              <a:solidFill>
                <a:schemeClr val="accent3">
                  <a:lumMod val="75000"/>
                </a:schemeClr>
              </a:solidFill>
              <a:ln w="12700">
                <a:solidFill>
                  <a:srgbClr val="000000"/>
                </a:solidFill>
                <a:prstDash val="solid"/>
              </a:ln>
            </c:spPr>
          </c:errBars>
          <c:cat>
            <c:numRef>
              <c:f>'no phi summary '!$K$53</c:f>
              <c:numCache>
                <c:formatCode>General</c:formatCode>
                <c:ptCount val="1"/>
              </c:numCache>
            </c:numRef>
          </c:cat>
          <c:val>
            <c:numRef>
              <c:f>'no phi summary '!$F$47</c:f>
              <c:numCache>
                <c:formatCode>0.0</c:formatCode>
                <c:ptCount val="1"/>
                <c:pt idx="0">
                  <c:v>2.6666666666666665</c:v>
                </c:pt>
              </c:numCache>
            </c:numRef>
          </c:val>
        </c:ser>
        <c:ser>
          <c:idx val="8"/>
          <c:order val="2"/>
          <c:tx>
            <c:strRef>
              <c:f>'no phi summary '!$A$101</c:f>
              <c:strCache>
                <c:ptCount val="1"/>
                <c:pt idx="0">
                  <c:v>gentamicin</c:v>
                </c:pt>
              </c:strCache>
            </c:strRef>
          </c:tx>
          <c:spPr>
            <a:solidFill>
              <a:schemeClr val="accent5">
                <a:lumMod val="60000"/>
                <a:lumOff val="40000"/>
              </a:schemeClr>
            </a:solidFill>
            <a:ln w="12700">
              <a:solidFill>
                <a:srgbClr val="000000"/>
              </a:solidFill>
              <a:prstDash val="solid"/>
            </a:ln>
          </c:spPr>
          <c:invertIfNegative val="0"/>
          <c:dPt>
            <c:idx val="0"/>
            <c:invertIfNegative val="0"/>
            <c:bubble3D val="0"/>
            <c:spPr>
              <a:solidFill>
                <a:schemeClr val="tx2">
                  <a:lumMod val="20000"/>
                  <a:lumOff val="80000"/>
                </a:schemeClr>
              </a:solidFill>
              <a:ln w="12700">
                <a:solidFill>
                  <a:srgbClr val="000000"/>
                </a:solidFill>
                <a:prstDash val="solid"/>
              </a:ln>
            </c:spPr>
          </c:dPt>
          <c:errBars>
            <c:errBarType val="both"/>
            <c:errValType val="cust"/>
            <c:noEndCap val="0"/>
            <c:plus>
              <c:numRef>
                <c:f>'no phi summary '!$G$51</c:f>
                <c:numCache>
                  <c:formatCode>General</c:formatCode>
                  <c:ptCount val="1"/>
                  <c:pt idx="0">
                    <c:v>1.5752718754175359</c:v>
                  </c:pt>
                </c:numCache>
              </c:numRef>
            </c:plus>
            <c:minus>
              <c:numRef>
                <c:f>'no phi summary '!$G$51</c:f>
                <c:numCache>
                  <c:formatCode>General</c:formatCode>
                  <c:ptCount val="1"/>
                  <c:pt idx="0">
                    <c:v>1.5752718754175359</c:v>
                  </c:pt>
                </c:numCache>
              </c:numRef>
            </c:minus>
            <c:spPr>
              <a:solidFill>
                <a:schemeClr val="accent5">
                  <a:lumMod val="60000"/>
                  <a:lumOff val="40000"/>
                </a:schemeClr>
              </a:solidFill>
              <a:ln w="12700">
                <a:solidFill>
                  <a:srgbClr val="000000"/>
                </a:solidFill>
                <a:prstDash val="solid"/>
              </a:ln>
            </c:spPr>
          </c:errBars>
          <c:cat>
            <c:numRef>
              <c:f>'no phi summary '!$K$53</c:f>
              <c:numCache>
                <c:formatCode>General</c:formatCode>
                <c:ptCount val="1"/>
              </c:numCache>
            </c:numRef>
          </c:cat>
          <c:val>
            <c:numRef>
              <c:f>'no phi summary '!$F$51</c:f>
              <c:numCache>
                <c:formatCode>0.0</c:formatCode>
                <c:ptCount val="1"/>
                <c:pt idx="0">
                  <c:v>2.7777777777777781</c:v>
                </c:pt>
              </c:numCache>
            </c:numRef>
          </c:val>
        </c:ser>
        <c:ser>
          <c:idx val="7"/>
          <c:order val="3"/>
          <c:tx>
            <c:strRef>
              <c:f>'no phi summary '!$A$100</c:f>
              <c:strCache>
                <c:ptCount val="1"/>
                <c:pt idx="0">
                  <c:v>cefoxitin</c:v>
                </c:pt>
              </c:strCache>
            </c:strRef>
          </c:tx>
          <c:spPr>
            <a:solidFill>
              <a:schemeClr val="accent6">
                <a:lumMod val="75000"/>
              </a:schemeClr>
            </a:solidFill>
            <a:ln w="12700">
              <a:solidFill>
                <a:srgbClr val="000000"/>
              </a:solidFill>
              <a:prstDash val="solid"/>
            </a:ln>
          </c:spPr>
          <c:invertIfNegative val="0"/>
          <c:errBars>
            <c:errBarType val="both"/>
            <c:errValType val="cust"/>
            <c:noEndCap val="0"/>
            <c:plus>
              <c:numRef>
                <c:f>'no phi summary '!$G$50</c:f>
                <c:numCache>
                  <c:formatCode>General</c:formatCode>
                  <c:ptCount val="1"/>
                  <c:pt idx="0">
                    <c:v>1</c:v>
                  </c:pt>
                </c:numCache>
              </c:numRef>
            </c:plus>
            <c:minus>
              <c:numRef>
                <c:f>'no phi summary '!$G$50</c:f>
                <c:numCache>
                  <c:formatCode>General</c:formatCode>
                  <c:ptCount val="1"/>
                  <c:pt idx="0">
                    <c:v>1</c:v>
                  </c:pt>
                </c:numCache>
              </c:numRef>
            </c:minus>
            <c:spPr>
              <a:solidFill>
                <a:schemeClr val="accent6">
                  <a:lumMod val="75000"/>
                </a:schemeClr>
              </a:solidFill>
              <a:ln w="12700">
                <a:solidFill>
                  <a:srgbClr val="000000"/>
                </a:solidFill>
                <a:prstDash val="solid"/>
              </a:ln>
            </c:spPr>
          </c:errBars>
          <c:cat>
            <c:numRef>
              <c:f>'no phi summary '!$K$53</c:f>
              <c:numCache>
                <c:formatCode>General</c:formatCode>
                <c:ptCount val="1"/>
              </c:numCache>
            </c:numRef>
          </c:cat>
          <c:val>
            <c:numRef>
              <c:f>'no phi summary '!$F$50</c:f>
              <c:numCache>
                <c:formatCode>0.0</c:formatCode>
                <c:ptCount val="1"/>
                <c:pt idx="0">
                  <c:v>4.2222222222222232</c:v>
                </c:pt>
              </c:numCache>
            </c:numRef>
          </c:val>
        </c:ser>
        <c:ser>
          <c:idx val="6"/>
          <c:order val="4"/>
          <c:tx>
            <c:strRef>
              <c:f>'no phi summary '!$A$99</c:f>
              <c:strCache>
                <c:ptCount val="1"/>
                <c:pt idx="0">
                  <c:v>novobiocin</c:v>
                </c:pt>
              </c:strCache>
            </c:strRef>
          </c:tx>
          <c:spPr>
            <a:solidFill>
              <a:schemeClr val="tx1">
                <a:lumMod val="65000"/>
                <a:lumOff val="35000"/>
              </a:schemeClr>
            </a:solidFill>
            <a:ln w="12700">
              <a:solidFill>
                <a:srgbClr val="000000"/>
              </a:solidFill>
              <a:prstDash val="solid"/>
            </a:ln>
          </c:spPr>
          <c:invertIfNegative val="0"/>
          <c:dPt>
            <c:idx val="0"/>
            <c:invertIfNegative val="0"/>
            <c:bubble3D val="0"/>
            <c:spPr>
              <a:solidFill>
                <a:schemeClr val="tx1">
                  <a:lumMod val="50000"/>
                  <a:lumOff val="50000"/>
                </a:schemeClr>
              </a:solidFill>
              <a:ln w="12700">
                <a:solidFill>
                  <a:srgbClr val="000000"/>
                </a:solidFill>
                <a:prstDash val="solid"/>
              </a:ln>
            </c:spPr>
          </c:dPt>
          <c:errBars>
            <c:errBarType val="both"/>
            <c:errValType val="cust"/>
            <c:noEndCap val="0"/>
            <c:plus>
              <c:numRef>
                <c:f>'no phi summary '!$G$49</c:f>
                <c:numCache>
                  <c:formatCode>General</c:formatCode>
                  <c:ptCount val="1"/>
                  <c:pt idx="0">
                    <c:v>1.452966314513559</c:v>
                  </c:pt>
                </c:numCache>
              </c:numRef>
            </c:plus>
            <c:minus>
              <c:numRef>
                <c:f>'no phi summary '!$G$49</c:f>
                <c:numCache>
                  <c:formatCode>General</c:formatCode>
                  <c:ptCount val="1"/>
                  <c:pt idx="0">
                    <c:v>1.452966314513559</c:v>
                  </c:pt>
                </c:numCache>
              </c:numRef>
            </c:minus>
            <c:spPr>
              <a:solidFill>
                <a:schemeClr val="tx1">
                  <a:lumMod val="65000"/>
                  <a:lumOff val="35000"/>
                </a:schemeClr>
              </a:solidFill>
              <a:ln w="12700">
                <a:solidFill>
                  <a:srgbClr val="000000"/>
                </a:solidFill>
                <a:prstDash val="solid"/>
              </a:ln>
            </c:spPr>
          </c:errBars>
          <c:cat>
            <c:numRef>
              <c:f>'no phi summary '!$K$53</c:f>
              <c:numCache>
                <c:formatCode>General</c:formatCode>
                <c:ptCount val="1"/>
              </c:numCache>
            </c:numRef>
          </c:cat>
          <c:val>
            <c:numRef>
              <c:f>'no phi summary '!$F$49</c:f>
              <c:numCache>
                <c:formatCode>0.0</c:formatCode>
                <c:ptCount val="1"/>
                <c:pt idx="0">
                  <c:v>7.333333333333333</c:v>
                </c:pt>
              </c:numCache>
            </c:numRef>
          </c:val>
        </c:ser>
        <c:ser>
          <c:idx val="9"/>
          <c:order val="5"/>
          <c:tx>
            <c:strRef>
              <c:f>'no phi summary '!$A$102</c:f>
              <c:strCache>
                <c:ptCount val="1"/>
                <c:pt idx="0">
                  <c:v>ciprofloxacin</c:v>
                </c:pt>
              </c:strCache>
            </c:strRef>
          </c:tx>
          <c:spPr>
            <a:solidFill>
              <a:srgbClr val="00B0F0"/>
            </a:solidFill>
            <a:ln w="12700">
              <a:solidFill>
                <a:srgbClr val="000000"/>
              </a:solidFill>
              <a:prstDash val="solid"/>
            </a:ln>
          </c:spPr>
          <c:invertIfNegative val="0"/>
          <c:errBars>
            <c:errBarType val="both"/>
            <c:errValType val="cust"/>
            <c:noEndCap val="0"/>
            <c:plus>
              <c:numRef>
                <c:f>'no phi summary '!$G$52</c:f>
                <c:numCache>
                  <c:formatCode>General</c:formatCode>
                  <c:ptCount val="1"/>
                  <c:pt idx="0">
                    <c:v>0.8388704928078613</c:v>
                  </c:pt>
                </c:numCache>
              </c:numRef>
            </c:plus>
            <c:minus>
              <c:numRef>
                <c:f>'no phi summary '!$G$52</c:f>
                <c:numCache>
                  <c:formatCode>General</c:formatCode>
                  <c:ptCount val="1"/>
                  <c:pt idx="0">
                    <c:v>0.8388704928078613</c:v>
                  </c:pt>
                </c:numCache>
              </c:numRef>
            </c:minus>
            <c:spPr>
              <a:ln w="12700">
                <a:solidFill>
                  <a:srgbClr val="000000"/>
                </a:solidFill>
                <a:prstDash val="solid"/>
              </a:ln>
            </c:spPr>
          </c:errBars>
          <c:cat>
            <c:numRef>
              <c:f>'no phi summary '!$K$53</c:f>
              <c:numCache>
                <c:formatCode>General</c:formatCode>
                <c:ptCount val="1"/>
              </c:numCache>
            </c:numRef>
          </c:cat>
          <c:val>
            <c:numRef>
              <c:f>'no phi summary '!$F$52</c:f>
              <c:numCache>
                <c:formatCode>0.0</c:formatCode>
                <c:ptCount val="1"/>
                <c:pt idx="0">
                  <c:v>8.2222222222222232</c:v>
                </c:pt>
              </c:numCache>
            </c:numRef>
          </c:val>
        </c:ser>
        <c:ser>
          <c:idx val="5"/>
          <c:order val="6"/>
          <c:tx>
            <c:strRef>
              <c:f>'no phi summary '!$A$98</c:f>
              <c:strCache>
                <c:ptCount val="1"/>
                <c:pt idx="0">
                  <c:v>tetracycline</c:v>
                </c:pt>
              </c:strCache>
            </c:strRef>
          </c:tx>
          <c:spPr>
            <a:solidFill>
              <a:schemeClr val="accent2">
                <a:lumMod val="75000"/>
              </a:schemeClr>
            </a:solidFill>
            <a:ln w="12700">
              <a:solidFill>
                <a:srgbClr val="000000"/>
              </a:solidFill>
              <a:prstDash val="solid"/>
            </a:ln>
          </c:spPr>
          <c:invertIfNegative val="0"/>
          <c:errBars>
            <c:errBarType val="both"/>
            <c:errValType val="cust"/>
            <c:noEndCap val="0"/>
            <c:plus>
              <c:numRef>
                <c:f>'no phi summary '!$G$48</c:f>
                <c:numCache>
                  <c:formatCode>General</c:formatCode>
                  <c:ptCount val="1"/>
                  <c:pt idx="0">
                    <c:v>2.219442706159791</c:v>
                  </c:pt>
                </c:numCache>
              </c:numRef>
            </c:plus>
            <c:minus>
              <c:numRef>
                <c:f>'no phi summary '!$G$48</c:f>
                <c:numCache>
                  <c:formatCode>General</c:formatCode>
                  <c:ptCount val="1"/>
                  <c:pt idx="0">
                    <c:v>2.219442706159791</c:v>
                  </c:pt>
                </c:numCache>
              </c:numRef>
            </c:minus>
            <c:spPr>
              <a:solidFill>
                <a:schemeClr val="accent2">
                  <a:lumMod val="75000"/>
                </a:schemeClr>
              </a:solidFill>
              <a:ln w="12700">
                <a:solidFill>
                  <a:srgbClr val="000000"/>
                </a:solidFill>
                <a:prstDash val="solid"/>
              </a:ln>
            </c:spPr>
          </c:errBars>
          <c:cat>
            <c:numRef>
              <c:f>'no phi summary '!$K$53</c:f>
              <c:numCache>
                <c:formatCode>General</c:formatCode>
                <c:ptCount val="1"/>
              </c:numCache>
            </c:numRef>
          </c:cat>
          <c:val>
            <c:numRef>
              <c:f>'no phi summary '!$F$48</c:f>
              <c:numCache>
                <c:formatCode>0.0</c:formatCode>
                <c:ptCount val="1"/>
                <c:pt idx="0">
                  <c:v>10.777777777777755</c:v>
                </c:pt>
              </c:numCache>
            </c:numRef>
          </c:val>
        </c:ser>
        <c:ser>
          <c:idx val="2"/>
          <c:order val="7"/>
          <c:tx>
            <c:strRef>
              <c:f>'no phi summary '!$A$95</c:f>
              <c:strCache>
                <c:ptCount val="1"/>
                <c:pt idx="0">
                  <c:v>trimethoprim</c:v>
                </c:pt>
              </c:strCache>
            </c:strRef>
          </c:tx>
          <c:spPr>
            <a:solidFill>
              <a:srgbClr val="FFFF00"/>
            </a:solidFill>
            <a:ln w="12700">
              <a:solidFill>
                <a:srgbClr val="000000"/>
              </a:solidFill>
              <a:prstDash val="solid"/>
            </a:ln>
          </c:spPr>
          <c:invertIfNegative val="0"/>
          <c:errBars>
            <c:errBarType val="both"/>
            <c:errValType val="cust"/>
            <c:noEndCap val="0"/>
            <c:plus>
              <c:numRef>
                <c:f>'no phi summary '!$G$45</c:f>
                <c:numCache>
                  <c:formatCode>General</c:formatCode>
                  <c:ptCount val="1"/>
                  <c:pt idx="0">
                    <c:v>2.200252510761219</c:v>
                  </c:pt>
                </c:numCache>
              </c:numRef>
            </c:plus>
            <c:minus>
              <c:numRef>
                <c:f>'no phi summary '!$G$45</c:f>
                <c:numCache>
                  <c:formatCode>General</c:formatCode>
                  <c:ptCount val="1"/>
                  <c:pt idx="0">
                    <c:v>2.200252510761219</c:v>
                  </c:pt>
                </c:numCache>
              </c:numRef>
            </c:minus>
            <c:spPr>
              <a:ln w="12700">
                <a:solidFill>
                  <a:srgbClr val="000000"/>
                </a:solidFill>
                <a:prstDash val="solid"/>
              </a:ln>
            </c:spPr>
          </c:errBars>
          <c:cat>
            <c:numRef>
              <c:f>'no phi summary '!$K$53</c:f>
              <c:numCache>
                <c:formatCode>General</c:formatCode>
                <c:ptCount val="1"/>
              </c:numCache>
            </c:numRef>
          </c:cat>
          <c:val>
            <c:numRef>
              <c:f>'no phi summary '!$F$45</c:f>
              <c:numCache>
                <c:formatCode>0.0</c:formatCode>
                <c:ptCount val="1"/>
                <c:pt idx="0">
                  <c:v>11.233333333333334</c:v>
                </c:pt>
              </c:numCache>
            </c:numRef>
          </c:val>
        </c:ser>
        <c:ser>
          <c:idx val="1"/>
          <c:order val="8"/>
          <c:tx>
            <c:strRef>
              <c:f>'no phi summary '!$A$94</c:f>
              <c:strCache>
                <c:ptCount val="1"/>
                <c:pt idx="0">
                  <c:v>erythromycin</c:v>
                </c:pt>
              </c:strCache>
            </c:strRef>
          </c:tx>
          <c:spPr>
            <a:solidFill>
              <a:srgbClr val="FF0000"/>
            </a:solidFill>
            <a:ln w="12700">
              <a:solidFill>
                <a:srgbClr val="000000"/>
              </a:solidFill>
              <a:prstDash val="solid"/>
            </a:ln>
          </c:spPr>
          <c:invertIfNegative val="0"/>
          <c:errBars>
            <c:errBarType val="both"/>
            <c:errValType val="cust"/>
            <c:noEndCap val="0"/>
            <c:plus>
              <c:numRef>
                <c:f>'no phi summary '!$G$44</c:f>
                <c:numCache>
                  <c:formatCode>General</c:formatCode>
                  <c:ptCount val="1"/>
                  <c:pt idx="0">
                    <c:v>3.9</c:v>
                  </c:pt>
                </c:numCache>
              </c:numRef>
            </c:plus>
            <c:minus>
              <c:numRef>
                <c:f>'no phi summary '!$G$44</c:f>
                <c:numCache>
                  <c:formatCode>General</c:formatCode>
                  <c:ptCount val="1"/>
                  <c:pt idx="0">
                    <c:v>3.9</c:v>
                  </c:pt>
                </c:numCache>
              </c:numRef>
            </c:minus>
            <c:spPr>
              <a:ln w="12700">
                <a:solidFill>
                  <a:srgbClr val="000000"/>
                </a:solidFill>
                <a:prstDash val="solid"/>
              </a:ln>
            </c:spPr>
          </c:errBars>
          <c:cat>
            <c:numRef>
              <c:f>'no phi summary '!$K$53</c:f>
              <c:numCache>
                <c:formatCode>General</c:formatCode>
                <c:ptCount val="1"/>
              </c:numCache>
            </c:numRef>
          </c:cat>
          <c:val>
            <c:numRef>
              <c:f>'no phi summary '!$F$44</c:f>
              <c:numCache>
                <c:formatCode>0.0</c:formatCode>
                <c:ptCount val="1"/>
                <c:pt idx="0">
                  <c:v>18.555555555555557</c:v>
                </c:pt>
              </c:numCache>
            </c:numRef>
          </c:val>
        </c:ser>
        <c:ser>
          <c:idx val="3"/>
          <c:order val="9"/>
          <c:tx>
            <c:strRef>
              <c:f>'no phi summary '!$A$96</c:f>
              <c:strCache>
                <c:ptCount val="1"/>
                <c:pt idx="0">
                  <c:v>mupirocin</c:v>
                </c:pt>
              </c:strCache>
            </c:strRef>
          </c:tx>
          <c:spPr>
            <a:solidFill>
              <a:srgbClr val="7030A0"/>
            </a:solidFill>
            <a:ln w="12700">
              <a:solidFill>
                <a:srgbClr val="000000"/>
              </a:solidFill>
              <a:prstDash val="solid"/>
            </a:ln>
          </c:spPr>
          <c:invertIfNegative val="0"/>
          <c:errBars>
            <c:errBarType val="both"/>
            <c:errValType val="cust"/>
            <c:noEndCap val="0"/>
            <c:plus>
              <c:numRef>
                <c:f>'no phi summary '!$G$46</c:f>
                <c:numCache>
                  <c:formatCode>General</c:formatCode>
                  <c:ptCount val="1"/>
                  <c:pt idx="0">
                    <c:v>3.948745698648179</c:v>
                  </c:pt>
                </c:numCache>
              </c:numRef>
            </c:plus>
            <c:minus>
              <c:numRef>
                <c:f>'no phi summary '!$G$46</c:f>
                <c:numCache>
                  <c:formatCode>General</c:formatCode>
                  <c:ptCount val="1"/>
                  <c:pt idx="0">
                    <c:v>3.948745698648179</c:v>
                  </c:pt>
                </c:numCache>
              </c:numRef>
            </c:minus>
            <c:spPr>
              <a:ln w="12700">
                <a:solidFill>
                  <a:srgbClr val="000000"/>
                </a:solidFill>
                <a:prstDash val="solid"/>
              </a:ln>
            </c:spPr>
          </c:errBars>
          <c:cat>
            <c:numRef>
              <c:f>'no phi summary '!$K$53</c:f>
              <c:numCache>
                <c:formatCode>General</c:formatCode>
                <c:ptCount val="1"/>
              </c:numCache>
            </c:numRef>
          </c:cat>
          <c:val>
            <c:numRef>
              <c:f>'no phi summary '!$F$46</c:f>
              <c:numCache>
                <c:formatCode>0.0</c:formatCode>
                <c:ptCount val="1"/>
                <c:pt idx="0">
                  <c:v>19.777777777777768</c:v>
                </c:pt>
              </c:numCache>
            </c:numRef>
          </c:val>
        </c:ser>
        <c:dLbls>
          <c:showLegendKey val="0"/>
          <c:showVal val="0"/>
          <c:showCatName val="0"/>
          <c:showSerName val="0"/>
          <c:showPercent val="0"/>
          <c:showBubbleSize val="0"/>
        </c:dLbls>
        <c:gapWidth val="150"/>
        <c:axId val="400204640"/>
        <c:axId val="400197976"/>
      </c:barChart>
      <c:catAx>
        <c:axId val="400204640"/>
        <c:scaling>
          <c:orientation val="minMax"/>
        </c:scaling>
        <c:delete val="1"/>
        <c:axPos val="b"/>
        <c:title>
          <c:tx>
            <c:rich>
              <a:bodyPr/>
              <a:lstStyle/>
              <a:p>
                <a:pPr algn="l">
                  <a:defRPr/>
                </a:pPr>
                <a:r>
                  <a:rPr lang="en-GB" sz="800"/>
                  <a:t>Co </a:t>
                </a:r>
                <a:r>
                  <a:rPr lang="en-GB" sz="800" baseline="0"/>
                  <a:t>  A   G  Ce  N   Ci  T   Tr   E   M</a:t>
                </a:r>
                <a:endParaRPr lang="en-GB" sz="800"/>
              </a:p>
            </c:rich>
          </c:tx>
          <c:layout>
            <c:manualLayout>
              <c:xMode val="edge"/>
              <c:yMode val="edge"/>
              <c:x val="0.15201406754848712"/>
              <c:y val="0.92642510183964566"/>
            </c:manualLayout>
          </c:layout>
          <c:overlay val="0"/>
        </c:title>
        <c:numFmt formatCode="General" sourceLinked="1"/>
        <c:majorTickMark val="out"/>
        <c:minorTickMark val="none"/>
        <c:tickLblPos val="nextTo"/>
        <c:crossAx val="400197976"/>
        <c:crosses val="autoZero"/>
        <c:auto val="0"/>
        <c:lblAlgn val="ctr"/>
        <c:lblOffset val="100"/>
        <c:tickLblSkip val="1"/>
        <c:tickMarkSkip val="1"/>
        <c:noMultiLvlLbl val="0"/>
      </c:catAx>
      <c:valAx>
        <c:axId val="400197976"/>
        <c:scaling>
          <c:orientation val="minMax"/>
        </c:scaling>
        <c:delete val="0"/>
        <c:axPos val="l"/>
        <c:majorGridlines>
          <c:spPr>
            <a:ln w="3175">
              <a:solidFill>
                <a:srgbClr val="000000"/>
              </a:solidFill>
              <a:prstDash val="solid"/>
            </a:ln>
          </c:spPr>
        </c:majorGridlines>
        <c:title>
          <c:tx>
            <c:rich>
              <a:bodyPr/>
              <a:lstStyle/>
              <a:p>
                <a:pPr>
                  <a:defRPr/>
                </a:pPr>
                <a:r>
                  <a:rPr lang="en-GB"/>
                  <a:t>transductant</a:t>
                </a:r>
                <a:r>
                  <a:rPr lang="en-GB" baseline="0"/>
                  <a:t> cells/mL</a:t>
                </a:r>
                <a:endParaRPr lang="en-GB"/>
              </a:p>
            </c:rich>
          </c:tx>
          <c:overlay val="0"/>
        </c:title>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n-US"/>
          </a:p>
        </c:txPr>
        <c:crossAx val="400204640"/>
        <c:crosses val="autoZero"/>
        <c:crossBetween val="between"/>
      </c:valAx>
      <c:spPr>
        <a:noFill/>
        <a:ln w="25400">
          <a:noFill/>
        </a:ln>
      </c:spPr>
    </c:plotArea>
    <c:legend>
      <c:legendPos val="r"/>
      <c:layout>
        <c:manualLayout>
          <c:xMode val="edge"/>
          <c:yMode val="edge"/>
          <c:x val="0.71962925426400914"/>
          <c:y val="4.6478782912316954E-2"/>
          <c:w val="0.27770553433296091"/>
          <c:h val="0.9117326397548724"/>
        </c:manualLayout>
      </c:layout>
      <c:overlay val="0"/>
      <c:spPr>
        <a:solidFill>
          <a:srgbClr val="FFFFFF"/>
        </a:solidFill>
        <a:ln w="25400">
          <a:noFill/>
        </a:ln>
      </c:spPr>
      <c:txPr>
        <a:bodyPr/>
        <a:lstStyle/>
        <a:p>
          <a:pPr>
            <a:defRPr sz="80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rgbClr val="FFFFFF"/>
    </a:solidFill>
    <a:ln w="9525">
      <a:noFill/>
    </a:ln>
  </c:spPr>
  <c:txPr>
    <a:bodyPr/>
    <a:lstStyle/>
    <a:p>
      <a:pPr>
        <a:defRPr sz="95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796754662365564"/>
          <c:y val="0.12877935936614562"/>
          <c:w val="0.7655122193563314"/>
          <c:h val="0.74105640672668138"/>
        </c:manualLayout>
      </c:layout>
      <c:barChart>
        <c:barDir val="col"/>
        <c:grouping val="clustered"/>
        <c:varyColors val="0"/>
        <c:ser>
          <c:idx val="1"/>
          <c:order val="0"/>
          <c:tx>
            <c:strRef>
              <c:f>'UV exposure summary'!$A$2</c:f>
              <c:strCache>
                <c:ptCount val="1"/>
              </c:strCache>
            </c:strRef>
          </c:tx>
          <c:spPr>
            <a:ln>
              <a:solidFill>
                <a:sysClr val="windowText" lastClr="000000"/>
              </a:solidFill>
            </a:ln>
          </c:spPr>
          <c:invertIfNegative val="0"/>
          <c:dPt>
            <c:idx val="0"/>
            <c:invertIfNegative val="0"/>
            <c:bubble3D val="0"/>
            <c:spPr>
              <a:solidFill>
                <a:schemeClr val="tx1"/>
              </a:solidFill>
              <a:ln>
                <a:solidFill>
                  <a:sysClr val="windowText" lastClr="000000"/>
                </a:solidFill>
              </a:ln>
            </c:spPr>
          </c:dPt>
          <c:dPt>
            <c:idx val="1"/>
            <c:invertIfNegative val="0"/>
            <c:bubble3D val="0"/>
            <c:spPr>
              <a:solidFill>
                <a:srgbClr val="00B050"/>
              </a:solidFill>
              <a:ln>
                <a:solidFill>
                  <a:sysClr val="windowText" lastClr="000000"/>
                </a:solidFill>
              </a:ln>
            </c:spPr>
          </c:dPt>
          <c:dPt>
            <c:idx val="2"/>
            <c:invertIfNegative val="0"/>
            <c:bubble3D val="0"/>
            <c:spPr>
              <a:solidFill>
                <a:srgbClr val="FFC000"/>
              </a:solidFill>
              <a:ln>
                <a:solidFill>
                  <a:sysClr val="windowText" lastClr="000000"/>
                </a:solidFill>
              </a:ln>
            </c:spPr>
          </c:dPt>
          <c:dPt>
            <c:idx val="3"/>
            <c:invertIfNegative val="0"/>
            <c:bubble3D val="0"/>
            <c:spPr>
              <a:solidFill>
                <a:srgbClr val="00B0F0"/>
              </a:solidFill>
              <a:ln>
                <a:solidFill>
                  <a:sysClr val="windowText" lastClr="000000"/>
                </a:solidFill>
              </a:ln>
            </c:spPr>
          </c:dPt>
          <c:dPt>
            <c:idx val="4"/>
            <c:invertIfNegative val="0"/>
            <c:bubble3D val="0"/>
            <c:spPr>
              <a:solidFill>
                <a:srgbClr val="FFFF00"/>
              </a:solidFill>
              <a:ln>
                <a:solidFill>
                  <a:sysClr val="windowText" lastClr="000000"/>
                </a:solidFill>
              </a:ln>
            </c:spPr>
          </c:dPt>
          <c:errBars>
            <c:errBarType val="both"/>
            <c:errValType val="cust"/>
            <c:noEndCap val="0"/>
            <c:plus>
              <c:numRef>
                <c:f>('UV exposure summary'!$G$23,'UV exposure summary'!$G$24,'UV exposure summary'!$G$36,'UV exposure summary'!$G$32,'UV exposure summary'!$G$28)</c:f>
                <c:numCache>
                  <c:formatCode>General</c:formatCode>
                  <c:ptCount val="5"/>
                  <c:pt idx="0">
                    <c:v>2.5147711772791705</c:v>
                  </c:pt>
                  <c:pt idx="1">
                    <c:v>0.88191710368819709</c:v>
                  </c:pt>
                  <c:pt idx="2">
                    <c:v>16.513742873852038</c:v>
                  </c:pt>
                  <c:pt idx="3">
                    <c:v>1.3471506281091077</c:v>
                  </c:pt>
                  <c:pt idx="4">
                    <c:v>37.859388972001824</c:v>
                  </c:pt>
                </c:numCache>
              </c:numRef>
            </c:plus>
            <c:minus>
              <c:numRef>
                <c:f>('UV exposure summary'!$G$23,'UV exposure summary'!$G$24,'UV exposure summary'!$G$36,'UV exposure summary'!$G$32,'UV exposure summary'!$G$28)</c:f>
                <c:numCache>
                  <c:formatCode>General</c:formatCode>
                  <c:ptCount val="5"/>
                  <c:pt idx="0">
                    <c:v>2.5147711772791705</c:v>
                  </c:pt>
                  <c:pt idx="1">
                    <c:v>0.88191710368819709</c:v>
                  </c:pt>
                  <c:pt idx="2">
                    <c:v>16.513742873852038</c:v>
                  </c:pt>
                  <c:pt idx="3">
                    <c:v>1.3471506281091077</c:v>
                  </c:pt>
                  <c:pt idx="4">
                    <c:v>37.859388972001824</c:v>
                  </c:pt>
                </c:numCache>
              </c:numRef>
            </c:minus>
          </c:errBars>
          <c:val>
            <c:numRef>
              <c:f>('UV exposure summary'!$F$23,'UV exposure summary'!$F$24,'UV exposure summary'!$F$36,'UV exposure summary'!$F$32,'UV exposure summary'!$F$28)</c:f>
              <c:numCache>
                <c:formatCode>0.0</c:formatCode>
                <c:ptCount val="5"/>
                <c:pt idx="0">
                  <c:v>7.4166666666666661</c:v>
                </c:pt>
                <c:pt idx="1">
                  <c:v>19</c:v>
                </c:pt>
                <c:pt idx="2">
                  <c:v>203.888888888889</c:v>
                </c:pt>
                <c:pt idx="3">
                  <c:v>24.222222222222232</c:v>
                </c:pt>
                <c:pt idx="4">
                  <c:v>343.33333333333331</c:v>
                </c:pt>
              </c:numCache>
            </c:numRef>
          </c:val>
        </c:ser>
        <c:ser>
          <c:idx val="2"/>
          <c:order val="1"/>
          <c:tx>
            <c:strRef>
              <c:f>'UV exposure summary'!$A$38</c:f>
              <c:strCache>
                <c:ptCount val="1"/>
                <c:pt idx="0">
                  <c:v>combination</c:v>
                </c:pt>
              </c:strCache>
            </c:strRef>
          </c:tx>
          <c:spPr>
            <a:solidFill>
              <a:schemeClr val="bg1"/>
            </a:solidFill>
            <a:ln w="12700">
              <a:solidFill>
                <a:sysClr val="windowText" lastClr="000000"/>
              </a:solidFill>
            </a:ln>
          </c:spPr>
          <c:invertIfNegative val="0"/>
          <c:dPt>
            <c:idx val="0"/>
            <c:invertIfNegative val="0"/>
            <c:bubble3D val="0"/>
            <c:spPr>
              <a:pattFill prst="ltVert">
                <a:fgClr>
                  <a:srgbClr val="000000"/>
                </a:fgClr>
                <a:bgClr>
                  <a:srgbClr val="FFFF00"/>
                </a:bgClr>
              </a:pattFill>
              <a:ln w="12700">
                <a:solidFill>
                  <a:sysClr val="windowText" lastClr="000000"/>
                </a:solidFill>
              </a:ln>
            </c:spPr>
          </c:dPt>
          <c:dPt>
            <c:idx val="1"/>
            <c:invertIfNegative val="0"/>
            <c:bubble3D val="0"/>
            <c:spPr>
              <a:pattFill prst="wdUpDiag">
                <a:fgClr>
                  <a:schemeClr val="bg1"/>
                </a:fgClr>
                <a:bgClr>
                  <a:srgbClr val="00B050"/>
                </a:bgClr>
              </a:pattFill>
              <a:ln w="12700">
                <a:solidFill>
                  <a:sysClr val="windowText" lastClr="000000"/>
                </a:solidFill>
              </a:ln>
            </c:spPr>
          </c:dPt>
          <c:dPt>
            <c:idx val="2"/>
            <c:invertIfNegative val="0"/>
            <c:bubble3D val="0"/>
            <c:spPr>
              <a:pattFill prst="wdUpDiag">
                <a:fgClr>
                  <a:schemeClr val="bg1"/>
                </a:fgClr>
                <a:bgClr>
                  <a:srgbClr val="FFC000"/>
                </a:bgClr>
              </a:pattFill>
              <a:ln w="12700">
                <a:solidFill>
                  <a:sysClr val="windowText" lastClr="000000"/>
                </a:solidFill>
              </a:ln>
            </c:spPr>
          </c:dPt>
          <c:dPt>
            <c:idx val="3"/>
            <c:invertIfNegative val="0"/>
            <c:bubble3D val="0"/>
            <c:spPr>
              <a:pattFill prst="wdUpDiag">
                <a:fgClr>
                  <a:schemeClr val="bg1"/>
                </a:fgClr>
                <a:bgClr>
                  <a:srgbClr val="00B0F0"/>
                </a:bgClr>
              </a:pattFill>
              <a:ln w="12700">
                <a:solidFill>
                  <a:sysClr val="windowText" lastClr="000000"/>
                </a:solidFill>
              </a:ln>
            </c:spPr>
          </c:dPt>
          <c:dPt>
            <c:idx val="4"/>
            <c:invertIfNegative val="0"/>
            <c:bubble3D val="0"/>
            <c:spPr>
              <a:pattFill prst="wdUpDiag">
                <a:fgClr>
                  <a:schemeClr val="bg1"/>
                </a:fgClr>
                <a:bgClr>
                  <a:srgbClr val="FFFF00"/>
                </a:bgClr>
              </a:pattFill>
              <a:ln w="12700">
                <a:solidFill>
                  <a:sysClr val="windowText" lastClr="000000"/>
                </a:solidFill>
              </a:ln>
            </c:spPr>
          </c:dPt>
          <c:errBars>
            <c:errBarType val="both"/>
            <c:errValType val="cust"/>
            <c:noEndCap val="0"/>
            <c:plus>
              <c:numRef>
                <c:f>('UV exposure summary'!$H$38,'UV exposure summary'!$G$25,'UV exposure summary'!$G$37,'UV exposure summary'!$G$33,'UV exposure summary'!$G$29)</c:f>
                <c:numCache>
                  <c:formatCode>General</c:formatCode>
                  <c:ptCount val="5"/>
                  <c:pt idx="1">
                    <c:v>0.83887049280785853</c:v>
                  </c:pt>
                  <c:pt idx="2">
                    <c:v>2.0092379244472327</c:v>
                  </c:pt>
                  <c:pt idx="3">
                    <c:v>2.2194427061597972</c:v>
                  </c:pt>
                  <c:pt idx="4">
                    <c:v>1.0715167512214585</c:v>
                  </c:pt>
                </c:numCache>
              </c:numRef>
            </c:plus>
            <c:minus>
              <c:numRef>
                <c:f>('UV exposure summary'!$H$38,'UV exposure summary'!$G$25,'UV exposure summary'!$G$37,'UV exposure summary'!$G$33,'UV exposure summary'!$G$29)</c:f>
                <c:numCache>
                  <c:formatCode>General</c:formatCode>
                  <c:ptCount val="5"/>
                  <c:pt idx="1">
                    <c:v>0.83887049280785853</c:v>
                  </c:pt>
                  <c:pt idx="2">
                    <c:v>2.0092379244472327</c:v>
                  </c:pt>
                  <c:pt idx="3">
                    <c:v>2.2194427061597972</c:v>
                  </c:pt>
                  <c:pt idx="4">
                    <c:v>1.0715167512214585</c:v>
                  </c:pt>
                </c:numCache>
              </c:numRef>
            </c:minus>
          </c:errBars>
          <c:val>
            <c:numRef>
              <c:f>('UV exposure summary'!$H$38,'UV exposure summary'!$F$25,'UV exposure summary'!$F$37,'UV exposure summary'!$F$33,'UV exposure summary'!$F$29)</c:f>
              <c:numCache>
                <c:formatCode>0.0</c:formatCode>
                <c:ptCount val="5"/>
                <c:pt idx="1">
                  <c:v>14.222222222222213</c:v>
                </c:pt>
                <c:pt idx="2">
                  <c:v>7.8888888888888893</c:v>
                </c:pt>
                <c:pt idx="3">
                  <c:v>13.222222222222221</c:v>
                </c:pt>
                <c:pt idx="4">
                  <c:v>14.444444444444455</c:v>
                </c:pt>
              </c:numCache>
            </c:numRef>
          </c:val>
        </c:ser>
        <c:dLbls>
          <c:showLegendKey val="0"/>
          <c:showVal val="0"/>
          <c:showCatName val="0"/>
          <c:showSerName val="0"/>
          <c:showPercent val="0"/>
          <c:showBubbleSize val="0"/>
        </c:dLbls>
        <c:gapWidth val="150"/>
        <c:axId val="461129664"/>
        <c:axId val="461130056"/>
      </c:barChart>
      <c:catAx>
        <c:axId val="461129664"/>
        <c:scaling>
          <c:orientation val="minMax"/>
        </c:scaling>
        <c:delete val="1"/>
        <c:axPos val="b"/>
        <c:title>
          <c:tx>
            <c:rich>
              <a:bodyPr/>
              <a:lstStyle/>
              <a:p>
                <a:pPr>
                  <a:defRPr/>
                </a:pPr>
                <a:r>
                  <a:rPr lang="en-GB" sz="800" b="0" i="0" u="none" strike="noStrike" baseline="0">
                    <a:effectLst/>
                    <a:latin typeface="Arial" panose="020B0604020202020204" pitchFamily="34" charset="0"/>
                    <a:cs typeface="Arial" panose="020B0604020202020204" pitchFamily="34" charset="0"/>
                  </a:rPr>
                  <a:t>Co        A       Ce        Ci        Tr        </a:t>
                </a:r>
                <a:endParaRPr lang="en-GB" sz="800">
                  <a:latin typeface="Arial" panose="020B0604020202020204" pitchFamily="34" charset="0"/>
                  <a:cs typeface="Arial" panose="020B0604020202020204" pitchFamily="34" charset="0"/>
                </a:endParaRPr>
              </a:p>
            </c:rich>
          </c:tx>
          <c:layout>
            <c:manualLayout>
              <c:xMode val="edge"/>
              <c:yMode val="edge"/>
              <c:x val="0.25888066930268117"/>
              <c:y val="0.88714980295553758"/>
            </c:manualLayout>
          </c:layout>
          <c:overlay val="0"/>
        </c:title>
        <c:majorTickMark val="out"/>
        <c:minorTickMark val="none"/>
        <c:tickLblPos val="nextTo"/>
        <c:crossAx val="461130056"/>
        <c:crosses val="autoZero"/>
        <c:auto val="1"/>
        <c:lblAlgn val="ctr"/>
        <c:lblOffset val="100"/>
        <c:noMultiLvlLbl val="0"/>
      </c:catAx>
      <c:valAx>
        <c:axId val="461130056"/>
        <c:scaling>
          <c:orientation val="minMax"/>
        </c:scaling>
        <c:delete val="0"/>
        <c:axPos val="l"/>
        <c:majorGridlines/>
        <c:numFmt formatCode="General" sourceLinked="0"/>
        <c:majorTickMark val="out"/>
        <c:minorTickMark val="none"/>
        <c:tickLblPos val="nextTo"/>
        <c:txPr>
          <a:bodyPr/>
          <a:lstStyle/>
          <a:p>
            <a:pPr>
              <a:defRPr sz="900"/>
            </a:pPr>
            <a:endParaRPr lang="en-US"/>
          </a:p>
        </c:txPr>
        <c:crossAx val="461129664"/>
        <c:crosses val="autoZero"/>
        <c:crossBetween val="between"/>
      </c:valAx>
    </c:plotArea>
    <c:plotVisOnly val="1"/>
    <c:dispBlanksAs val="gap"/>
    <c:showDLblsOverMax val="0"/>
  </c:chart>
  <c:spPr>
    <a:ln>
      <a:noFill/>
    </a:ln>
  </c:spPr>
  <c:txPr>
    <a:bodyPr/>
    <a:lstStyle/>
    <a:p>
      <a:pPr>
        <a:defRPr>
          <a:ln>
            <a:noFill/>
          </a:ln>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6046487043169"/>
          <c:y val="0.15654883773265529"/>
          <c:w val="0.81124425817496071"/>
          <c:h val="0.74198423239965461"/>
        </c:manualLayout>
      </c:layout>
      <c:barChart>
        <c:barDir val="col"/>
        <c:grouping val="clustered"/>
        <c:varyColors val="0"/>
        <c:ser>
          <c:idx val="0"/>
          <c:order val="0"/>
          <c:tx>
            <c:strRef>
              <c:f>'summary 2'!$B$38</c:f>
              <c:strCache>
                <c:ptCount val="1"/>
                <c:pt idx="0">
                  <c:v>nuc</c:v>
                </c:pt>
              </c:strCache>
            </c:strRef>
          </c:tx>
          <c:spPr>
            <a:solidFill>
              <a:sysClr val="windowText" lastClr="000000"/>
            </a:solidFill>
            <a:ln>
              <a:solidFill>
                <a:sysClr val="windowText" lastClr="000000"/>
              </a:solidFill>
            </a:ln>
            <a:effectLst/>
          </c:spPr>
          <c:invertIfNegative val="0"/>
          <c:errBars>
            <c:errBarType val="both"/>
            <c:errValType val="cust"/>
            <c:noEndCap val="0"/>
            <c:plus>
              <c:numRef>
                <c:f>'summary 2'!$C$40:$C$43</c:f>
                <c:numCache>
                  <c:formatCode>General</c:formatCode>
                  <c:ptCount val="4"/>
                  <c:pt idx="0">
                    <c:v>0.87145472248036726</c:v>
                  </c:pt>
                  <c:pt idx="1">
                    <c:v>1.3077843858985305</c:v>
                  </c:pt>
                  <c:pt idx="2">
                    <c:v>0.8210714544626031</c:v>
                  </c:pt>
                  <c:pt idx="3">
                    <c:v>0.2211899636059465</c:v>
                  </c:pt>
                </c:numCache>
              </c:numRef>
            </c:plus>
            <c:minus>
              <c:numRef>
                <c:f>'summary 2'!$C$40:$C$43</c:f>
                <c:numCache>
                  <c:formatCode>General</c:formatCode>
                  <c:ptCount val="4"/>
                  <c:pt idx="0">
                    <c:v>0.87145472248036726</c:v>
                  </c:pt>
                  <c:pt idx="1">
                    <c:v>1.3077843858985305</c:v>
                  </c:pt>
                  <c:pt idx="2">
                    <c:v>0.8210714544626031</c:v>
                  </c:pt>
                  <c:pt idx="3">
                    <c:v>0.2211899636059465</c:v>
                  </c:pt>
                </c:numCache>
              </c:numRef>
            </c:minus>
            <c:spPr>
              <a:noFill/>
              <a:ln w="9525" cap="flat" cmpd="sng" algn="ctr">
                <a:solidFill>
                  <a:schemeClr val="tx1">
                    <a:lumMod val="65000"/>
                    <a:lumOff val="35000"/>
                  </a:schemeClr>
                </a:solidFill>
                <a:round/>
              </a:ln>
              <a:effectLst/>
            </c:spPr>
          </c:errBars>
          <c:val>
            <c:numRef>
              <c:f>'summary 2'!$B$40:$B$43</c:f>
              <c:numCache>
                <c:formatCode>0.00</c:formatCode>
                <c:ptCount val="4"/>
                <c:pt idx="0">
                  <c:v>3.52</c:v>
                </c:pt>
                <c:pt idx="1">
                  <c:v>4.7850000000000001</c:v>
                </c:pt>
                <c:pt idx="2">
                  <c:v>3.2816666666666663</c:v>
                </c:pt>
                <c:pt idx="3">
                  <c:v>4.4400000000000004</c:v>
                </c:pt>
              </c:numCache>
            </c:numRef>
          </c:val>
        </c:ser>
        <c:ser>
          <c:idx val="1"/>
          <c:order val="1"/>
          <c:tx>
            <c:strRef>
              <c:f>'summary 2'!$D$38</c:f>
              <c:strCache>
                <c:ptCount val="1"/>
                <c:pt idx="0">
                  <c:v>Φ1</c:v>
                </c:pt>
              </c:strCache>
            </c:strRef>
          </c:tx>
          <c:spPr>
            <a:noFill/>
            <a:ln>
              <a:solidFill>
                <a:sysClr val="windowText" lastClr="000000"/>
              </a:solidFill>
            </a:ln>
            <a:effectLst/>
          </c:spPr>
          <c:invertIfNegative val="0"/>
          <c:errBars>
            <c:errBarType val="both"/>
            <c:errValType val="cust"/>
            <c:noEndCap val="0"/>
            <c:plus>
              <c:numRef>
                <c:f>'summary 2'!$E$40:$E$43</c:f>
                <c:numCache>
                  <c:formatCode>General</c:formatCode>
                  <c:ptCount val="4"/>
                  <c:pt idx="0">
                    <c:v>78.008546540320367</c:v>
                  </c:pt>
                  <c:pt idx="1">
                    <c:v>305.66866593312</c:v>
                  </c:pt>
                  <c:pt idx="2">
                    <c:v>85.967047950556818</c:v>
                  </c:pt>
                  <c:pt idx="3">
                    <c:v>66.395280956806957</c:v>
                  </c:pt>
                </c:numCache>
              </c:numRef>
            </c:plus>
            <c:minus>
              <c:numRef>
                <c:f>'summary 2'!$E$40:$E$43</c:f>
                <c:numCache>
                  <c:formatCode>General</c:formatCode>
                  <c:ptCount val="4"/>
                  <c:pt idx="0">
                    <c:v>78.008546540320367</c:v>
                  </c:pt>
                  <c:pt idx="1">
                    <c:v>305.66866593312</c:v>
                  </c:pt>
                  <c:pt idx="2">
                    <c:v>85.967047950556818</c:v>
                  </c:pt>
                  <c:pt idx="3">
                    <c:v>66.395280956806957</c:v>
                  </c:pt>
                </c:numCache>
              </c:numRef>
            </c:minus>
            <c:spPr>
              <a:noFill/>
              <a:ln w="9525" cap="flat" cmpd="sng" algn="ctr">
                <a:solidFill>
                  <a:schemeClr val="tx1">
                    <a:lumMod val="65000"/>
                    <a:lumOff val="35000"/>
                  </a:schemeClr>
                </a:solidFill>
                <a:round/>
              </a:ln>
              <a:effectLst/>
            </c:spPr>
          </c:errBars>
          <c:val>
            <c:numRef>
              <c:f>'summary 2'!$D$40:$D$43</c:f>
              <c:numCache>
                <c:formatCode>0.00</c:formatCode>
                <c:ptCount val="4"/>
                <c:pt idx="0">
                  <c:v>254.66666666666666</c:v>
                </c:pt>
                <c:pt idx="1">
                  <c:v>7393.333333333333</c:v>
                </c:pt>
                <c:pt idx="2">
                  <c:v>202.33333333333334</c:v>
                </c:pt>
                <c:pt idx="3">
                  <c:v>2011.6666666666667</c:v>
                </c:pt>
              </c:numCache>
            </c:numRef>
          </c:val>
        </c:ser>
        <c:ser>
          <c:idx val="2"/>
          <c:order val="2"/>
          <c:tx>
            <c:strRef>
              <c:f>'summary 2'!$F$38</c:f>
              <c:strCache>
                <c:ptCount val="1"/>
                <c:pt idx="0">
                  <c:v>Φ2</c:v>
                </c:pt>
              </c:strCache>
            </c:strRef>
          </c:tx>
          <c:spPr>
            <a:pattFill prst="pct30">
              <a:fgClr>
                <a:srgbClr val="A5A5A5"/>
              </a:fgClr>
              <a:bgClr>
                <a:sysClr val="window" lastClr="FFFFFF"/>
              </a:bgClr>
            </a:pattFill>
            <a:ln>
              <a:solidFill>
                <a:sysClr val="windowText" lastClr="000000"/>
              </a:solidFill>
            </a:ln>
            <a:effectLst/>
          </c:spPr>
          <c:invertIfNegative val="0"/>
          <c:errBars>
            <c:errBarType val="both"/>
            <c:errValType val="cust"/>
            <c:noEndCap val="0"/>
            <c:plus>
              <c:numRef>
                <c:f>'summary 2'!$G$40:$G$43</c:f>
                <c:numCache>
                  <c:formatCode>General</c:formatCode>
                  <c:ptCount val="4"/>
                  <c:pt idx="0">
                    <c:v>7.2332565280100525</c:v>
                  </c:pt>
                  <c:pt idx="1">
                    <c:v>588.75575014884907</c:v>
                  </c:pt>
                  <c:pt idx="2">
                    <c:v>3.4688518753808641</c:v>
                  </c:pt>
                  <c:pt idx="3">
                    <c:v>148.28014027508877</c:v>
                  </c:pt>
                </c:numCache>
              </c:numRef>
            </c:plus>
            <c:minus>
              <c:numRef>
                <c:f>'summary 2'!$G$40:$G$43</c:f>
                <c:numCache>
                  <c:formatCode>General</c:formatCode>
                  <c:ptCount val="4"/>
                  <c:pt idx="0">
                    <c:v>7.2332565280100525</c:v>
                  </c:pt>
                  <c:pt idx="1">
                    <c:v>588.75575014884907</c:v>
                  </c:pt>
                  <c:pt idx="2">
                    <c:v>3.4688518753808641</c:v>
                  </c:pt>
                  <c:pt idx="3">
                    <c:v>148.28014027508877</c:v>
                  </c:pt>
                </c:numCache>
              </c:numRef>
            </c:minus>
            <c:spPr>
              <a:noFill/>
              <a:ln w="9525" cap="flat" cmpd="sng" algn="ctr">
                <a:solidFill>
                  <a:schemeClr val="tx1">
                    <a:lumMod val="65000"/>
                    <a:lumOff val="35000"/>
                  </a:schemeClr>
                </a:solidFill>
                <a:round/>
              </a:ln>
              <a:effectLst/>
            </c:spPr>
          </c:errBars>
          <c:val>
            <c:numRef>
              <c:f>'summary 2'!$F$40:$F$43</c:f>
              <c:numCache>
                <c:formatCode>0.00</c:formatCode>
                <c:ptCount val="4"/>
                <c:pt idx="0">
                  <c:v>189.20000000000002</c:v>
                </c:pt>
                <c:pt idx="1">
                  <c:v>2926.6666666666665</c:v>
                </c:pt>
                <c:pt idx="2">
                  <c:v>5.8766666666666678</c:v>
                </c:pt>
                <c:pt idx="3">
                  <c:v>633</c:v>
                </c:pt>
              </c:numCache>
            </c:numRef>
          </c:val>
        </c:ser>
        <c:ser>
          <c:idx val="3"/>
          <c:order val="3"/>
          <c:tx>
            <c:strRef>
              <c:f>'summary 2'!$H$38</c:f>
              <c:strCache>
                <c:ptCount val="1"/>
                <c:pt idx="0">
                  <c:v>ermC</c:v>
                </c:pt>
              </c:strCache>
            </c:strRef>
          </c:tx>
          <c:spPr>
            <a:pattFill prst="wdDnDiag">
              <a:fgClr>
                <a:sysClr val="windowText" lastClr="000000"/>
              </a:fgClr>
              <a:bgClr>
                <a:sysClr val="window" lastClr="FFFFFF"/>
              </a:bgClr>
            </a:pattFill>
            <a:ln>
              <a:solidFill>
                <a:sysClr val="windowText" lastClr="000000"/>
              </a:solidFill>
            </a:ln>
            <a:effectLst/>
          </c:spPr>
          <c:invertIfNegative val="0"/>
          <c:errBars>
            <c:errBarType val="both"/>
            <c:errValType val="cust"/>
            <c:noEndCap val="0"/>
            <c:plus>
              <c:numRef>
                <c:f>'summary 2'!$I$40:$I$43</c:f>
                <c:numCache>
                  <c:formatCode>General</c:formatCode>
                  <c:ptCount val="4"/>
                  <c:pt idx="0">
                    <c:v>3.0404440465168867</c:v>
                  </c:pt>
                  <c:pt idx="1">
                    <c:v>58.386642307979997</c:v>
                  </c:pt>
                  <c:pt idx="2">
                    <c:v>1.821585847551523</c:v>
                  </c:pt>
                  <c:pt idx="3">
                    <c:v>7.978773924189956</c:v>
                  </c:pt>
                </c:numCache>
              </c:numRef>
            </c:plus>
            <c:minus>
              <c:numRef>
                <c:f>'summary 2'!$I$40:$I$43</c:f>
                <c:numCache>
                  <c:formatCode>General</c:formatCode>
                  <c:ptCount val="4"/>
                  <c:pt idx="0">
                    <c:v>3.0404440465168867</c:v>
                  </c:pt>
                  <c:pt idx="1">
                    <c:v>58.386642307979997</c:v>
                  </c:pt>
                  <c:pt idx="2">
                    <c:v>1.821585847551523</c:v>
                  </c:pt>
                  <c:pt idx="3">
                    <c:v>7.978773924189956</c:v>
                  </c:pt>
                </c:numCache>
              </c:numRef>
            </c:minus>
            <c:spPr>
              <a:noFill/>
              <a:ln w="9525" cap="flat" cmpd="sng" algn="ctr">
                <a:solidFill>
                  <a:schemeClr val="tx1">
                    <a:lumMod val="65000"/>
                    <a:lumOff val="35000"/>
                  </a:schemeClr>
                </a:solidFill>
                <a:round/>
              </a:ln>
              <a:effectLst/>
            </c:spPr>
          </c:errBars>
          <c:val>
            <c:numRef>
              <c:f>'summary 2'!$H$40:$H$43</c:f>
              <c:numCache>
                <c:formatCode>0.00</c:formatCode>
                <c:ptCount val="4"/>
                <c:pt idx="0">
                  <c:v>11.19</c:v>
                </c:pt>
                <c:pt idx="1">
                  <c:v>362</c:v>
                </c:pt>
                <c:pt idx="2">
                  <c:v>2.8050000000000002</c:v>
                </c:pt>
                <c:pt idx="3">
                  <c:v>33.616666666666667</c:v>
                </c:pt>
              </c:numCache>
            </c:numRef>
          </c:val>
        </c:ser>
        <c:dLbls>
          <c:showLegendKey val="0"/>
          <c:showVal val="0"/>
          <c:showCatName val="0"/>
          <c:showSerName val="0"/>
          <c:showPercent val="0"/>
          <c:showBubbleSize val="0"/>
        </c:dLbls>
        <c:gapWidth val="219"/>
        <c:overlap val="-27"/>
        <c:axId val="461130840"/>
        <c:axId val="461131232"/>
      </c:barChart>
      <c:catAx>
        <c:axId val="461130840"/>
        <c:scaling>
          <c:orientation val="minMax"/>
        </c:scaling>
        <c:delete val="1"/>
        <c:axPos val="b"/>
        <c:numFmt formatCode="General" sourceLinked="1"/>
        <c:majorTickMark val="none"/>
        <c:minorTickMark val="none"/>
        <c:tickLblPos val="none"/>
        <c:crossAx val="461131232"/>
        <c:crosses val="autoZero"/>
        <c:auto val="1"/>
        <c:lblAlgn val="ctr"/>
        <c:lblOffset val="100"/>
        <c:noMultiLvlLbl val="0"/>
      </c:catAx>
      <c:valAx>
        <c:axId val="461131232"/>
        <c:scaling>
          <c:logBase val="10"/>
          <c:orientation val="minMax"/>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pl-PL" sz="800">
                    <a:solidFill>
                      <a:sysClr val="windowText" lastClr="000000"/>
                    </a:solidFill>
                  </a:rPr>
                  <a:t>log </a:t>
                </a:r>
                <a:r>
                  <a:rPr lang="pl-PL" sz="800" baseline="-25000">
                    <a:solidFill>
                      <a:sysClr val="windowText" lastClr="000000"/>
                    </a:solidFill>
                  </a:rPr>
                  <a:t>10</a:t>
                </a:r>
                <a:r>
                  <a:rPr lang="pl-PL" sz="800">
                    <a:solidFill>
                      <a:sysClr val="windowText" lastClr="000000"/>
                    </a:solidFill>
                  </a:rPr>
                  <a:t> </a:t>
                </a:r>
                <a:r>
                  <a:rPr lang="en-US" sz="800">
                    <a:solidFill>
                      <a:sysClr val="windowText" lastClr="000000"/>
                    </a:solidFill>
                  </a:rPr>
                  <a:t>gene</a:t>
                </a:r>
                <a:r>
                  <a:rPr lang="en-US" sz="800" baseline="0">
                    <a:solidFill>
                      <a:sysClr val="windowText" lastClr="000000"/>
                    </a:solidFill>
                  </a:rPr>
                  <a:t> copy number/µL</a:t>
                </a:r>
                <a:r>
                  <a:rPr lang="pl-PL" sz="800" baseline="0">
                    <a:solidFill>
                      <a:sysClr val="windowText" lastClr="000000"/>
                    </a:solidFill>
                  </a:rPr>
                  <a:t> lysate</a:t>
                </a:r>
                <a:endParaRPr lang="en-US" sz="800">
                  <a:solidFill>
                    <a:sysClr val="windowText" lastClr="000000"/>
                  </a:solidFill>
                </a:endParaRPr>
              </a:p>
            </c:rich>
          </c:tx>
          <c:layout>
            <c:manualLayout>
              <c:xMode val="edge"/>
              <c:yMode val="edge"/>
              <c:x val="1.0660101008378716E-2"/>
              <c:y val="0.17017609518288312"/>
            </c:manualLayout>
          </c:layout>
          <c:overlay val="0"/>
          <c:spPr>
            <a:noFill/>
            <a:ln>
              <a:noFill/>
            </a:ln>
            <a:effectLst/>
          </c:spPr>
        </c:title>
        <c:numFmt formatCode="General" sourceLinked="0"/>
        <c:majorTickMark val="none"/>
        <c:minorTickMark val="none"/>
        <c:tickLblPos val="nextTo"/>
        <c:spPr>
          <a:noFill/>
          <a:ln>
            <a:solidFill>
              <a:srgbClr val="000000"/>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461130840"/>
        <c:crosses val="autoZero"/>
        <c:crossBetween val="between"/>
      </c:valAx>
      <c:spPr>
        <a:noFill/>
        <a:ln>
          <a:solidFill>
            <a:srgbClr val="000000"/>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313579790674041"/>
          <c:y val="0.12121212121212122"/>
          <c:w val="0.70116680818239552"/>
          <c:h val="0.70238320209973748"/>
        </c:manualLayout>
      </c:layout>
      <c:scatterChart>
        <c:scatterStyle val="lineMarker"/>
        <c:varyColors val="0"/>
        <c:ser>
          <c:idx val="0"/>
          <c:order val="0"/>
          <c:spPr>
            <a:ln w="28575" cap="rnd">
              <a:noFill/>
              <a:round/>
            </a:ln>
            <a:effectLst/>
          </c:spPr>
          <c:marker>
            <c:symbol val="diamond"/>
            <c:size val="8"/>
            <c:spPr>
              <a:solidFill>
                <a:schemeClr val="accent1"/>
              </a:solidFill>
              <a:ln w="19050">
                <a:solidFill>
                  <a:schemeClr val="accent1"/>
                </a:solidFill>
              </a:ln>
              <a:effectLst/>
            </c:spPr>
          </c:marker>
          <c:dPt>
            <c:idx val="0"/>
            <c:marker>
              <c:symbol val="square"/>
              <c:size val="8"/>
              <c:spPr>
                <a:solidFill>
                  <a:srgbClr val="FFFF00"/>
                </a:solidFill>
                <a:ln w="19050">
                  <a:solidFill>
                    <a:schemeClr val="tx1"/>
                  </a:solidFill>
                </a:ln>
                <a:effectLst/>
              </c:spPr>
            </c:marker>
            <c:bubble3D val="0"/>
            <c:spPr>
              <a:effectLst/>
            </c:spPr>
          </c:dPt>
          <c:dPt>
            <c:idx val="1"/>
            <c:marker>
              <c:symbol val="square"/>
              <c:size val="8"/>
              <c:spPr>
                <a:solidFill>
                  <a:srgbClr val="FFFF00"/>
                </a:solidFill>
                <a:ln w="19050">
                  <a:solidFill>
                    <a:schemeClr val="tx1"/>
                  </a:solidFill>
                </a:ln>
                <a:effectLst/>
              </c:spPr>
            </c:marker>
            <c:bubble3D val="0"/>
          </c:dPt>
          <c:dPt>
            <c:idx val="2"/>
            <c:marker>
              <c:symbol val="square"/>
              <c:size val="8"/>
              <c:spPr>
                <a:solidFill>
                  <a:srgbClr val="FFFF00"/>
                </a:solidFill>
                <a:ln w="19050">
                  <a:solidFill>
                    <a:schemeClr val="tx1"/>
                  </a:solidFill>
                </a:ln>
                <a:effectLst/>
              </c:spPr>
            </c:marker>
            <c:bubble3D val="0"/>
          </c:dPt>
          <c:dPt>
            <c:idx val="3"/>
            <c:marker>
              <c:spPr>
                <a:solidFill>
                  <a:srgbClr val="FFFF00"/>
                </a:solidFill>
                <a:ln w="19050">
                  <a:solidFill>
                    <a:schemeClr val="tx1"/>
                  </a:solidFill>
                </a:ln>
                <a:effectLst/>
              </c:spPr>
            </c:marker>
            <c:bubble3D val="0"/>
          </c:dPt>
          <c:dPt>
            <c:idx val="4"/>
            <c:marker>
              <c:spPr>
                <a:solidFill>
                  <a:srgbClr val="FFFF00"/>
                </a:solidFill>
                <a:ln w="19050">
                  <a:solidFill>
                    <a:schemeClr val="tx1"/>
                  </a:solidFill>
                </a:ln>
                <a:effectLst/>
              </c:spPr>
            </c:marker>
            <c:bubble3D val="0"/>
          </c:dPt>
          <c:dPt>
            <c:idx val="5"/>
            <c:marker>
              <c:spPr>
                <a:solidFill>
                  <a:srgbClr val="FFFF00"/>
                </a:solidFill>
                <a:ln w="19050">
                  <a:solidFill>
                    <a:sysClr val="windowText" lastClr="000000"/>
                  </a:solidFill>
                </a:ln>
                <a:effectLst/>
              </c:spPr>
            </c:marker>
            <c:bubble3D val="0"/>
            <c:spPr>
              <a:ln w="28575" cap="rnd">
                <a:solidFill>
                  <a:sysClr val="windowText" lastClr="000000"/>
                </a:solidFill>
                <a:round/>
              </a:ln>
              <a:effectLst/>
            </c:spPr>
          </c:dPt>
          <c:dPt>
            <c:idx val="6"/>
            <c:marker>
              <c:symbol val="triangle"/>
              <c:size val="8"/>
              <c:spPr>
                <a:solidFill>
                  <a:srgbClr val="00B0F0"/>
                </a:solidFill>
                <a:ln w="19050">
                  <a:solidFill>
                    <a:schemeClr val="tx1"/>
                  </a:solidFill>
                </a:ln>
                <a:effectLst/>
              </c:spPr>
            </c:marker>
            <c:bubble3D val="0"/>
          </c:dPt>
          <c:dPt>
            <c:idx val="7"/>
            <c:marker>
              <c:symbol val="triangle"/>
              <c:size val="8"/>
              <c:spPr>
                <a:solidFill>
                  <a:srgbClr val="00B0F0"/>
                </a:solidFill>
                <a:ln w="19050">
                  <a:solidFill>
                    <a:schemeClr val="tx1"/>
                  </a:solidFill>
                </a:ln>
                <a:effectLst/>
              </c:spPr>
            </c:marker>
            <c:bubble3D val="0"/>
          </c:dPt>
          <c:dPt>
            <c:idx val="8"/>
            <c:marker>
              <c:symbol val="triangle"/>
              <c:size val="8"/>
              <c:spPr>
                <a:solidFill>
                  <a:srgbClr val="00B0F0"/>
                </a:solidFill>
                <a:ln w="19050">
                  <a:solidFill>
                    <a:schemeClr val="tx1"/>
                  </a:solidFill>
                </a:ln>
                <a:effectLst/>
              </c:spPr>
            </c:marker>
            <c:bubble3D val="0"/>
            <c:spPr>
              <a:ln w="3175" cap="rnd">
                <a:solidFill>
                  <a:schemeClr val="tx1"/>
                </a:solidFill>
                <a:round/>
              </a:ln>
              <a:effectLst/>
            </c:spPr>
          </c:dPt>
          <c:dPt>
            <c:idx val="9"/>
            <c:marker>
              <c:symbol val="circle"/>
              <c:size val="8"/>
              <c:spPr>
                <a:solidFill>
                  <a:srgbClr val="00B0F0"/>
                </a:solidFill>
                <a:ln w="19050">
                  <a:solidFill>
                    <a:schemeClr val="tx1"/>
                  </a:solidFill>
                </a:ln>
                <a:effectLst/>
              </c:spPr>
            </c:marker>
            <c:bubble3D val="0"/>
          </c:dPt>
          <c:dPt>
            <c:idx val="10"/>
            <c:marker>
              <c:symbol val="circle"/>
              <c:size val="8"/>
              <c:spPr>
                <a:solidFill>
                  <a:srgbClr val="00B0F0"/>
                </a:solidFill>
                <a:ln w="19050">
                  <a:solidFill>
                    <a:schemeClr val="tx1"/>
                  </a:solidFill>
                </a:ln>
                <a:effectLst/>
              </c:spPr>
            </c:marker>
            <c:bubble3D val="0"/>
          </c:dPt>
          <c:dPt>
            <c:idx val="11"/>
            <c:marker>
              <c:symbol val="circle"/>
              <c:size val="8"/>
              <c:spPr>
                <a:solidFill>
                  <a:srgbClr val="00B0F0"/>
                </a:solidFill>
                <a:ln w="19050">
                  <a:solidFill>
                    <a:schemeClr val="tx1"/>
                  </a:solidFill>
                </a:ln>
                <a:effectLst/>
              </c:spPr>
            </c:marker>
            <c:bubble3D val="0"/>
          </c:dPt>
          <c:trendline>
            <c:spPr>
              <a:ln w="9525" cap="flat" cmpd="sng" algn="ctr">
                <a:solidFill>
                  <a:schemeClr val="dk1">
                    <a:shade val="95000"/>
                    <a:satMod val="105000"/>
                  </a:schemeClr>
                </a:solidFill>
                <a:prstDash val="solid"/>
              </a:ln>
              <a:effectLst/>
            </c:spPr>
            <c:trendlineType val="linear"/>
            <c:intercept val="0"/>
            <c:dispRSqr val="1"/>
            <c:dispEq val="0"/>
            <c:trendlineLbl>
              <c:layout>
                <c:manualLayout>
                  <c:x val="-5.9625275372434394E-2"/>
                  <c:y val="-1.2558326042578013E-3"/>
                </c:manualLayout>
              </c:layout>
              <c:numFmt formatCode="General" sourceLinked="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trendlineLbl>
          </c:trendline>
          <c:xVal>
            <c:numRef>
              <c:f>'summary 3'!$D$26:$D$37</c:f>
              <c:numCache>
                <c:formatCode>General</c:formatCode>
                <c:ptCount val="12"/>
                <c:pt idx="0">
                  <c:v>7.2</c:v>
                </c:pt>
                <c:pt idx="1">
                  <c:v>8.3333333333333339</c:v>
                </c:pt>
                <c:pt idx="2">
                  <c:v>10.1</c:v>
                </c:pt>
                <c:pt idx="3">
                  <c:v>420</c:v>
                </c:pt>
                <c:pt idx="4">
                  <c:v>484</c:v>
                </c:pt>
                <c:pt idx="5">
                  <c:v>488</c:v>
                </c:pt>
                <c:pt idx="6">
                  <c:v>8</c:v>
                </c:pt>
                <c:pt idx="7">
                  <c:v>8</c:v>
                </c:pt>
                <c:pt idx="8">
                  <c:v>6.6660000000000004</c:v>
                </c:pt>
                <c:pt idx="9">
                  <c:v>9</c:v>
                </c:pt>
                <c:pt idx="10">
                  <c:v>9.6</c:v>
                </c:pt>
                <c:pt idx="11">
                  <c:v>10.666666666666666</c:v>
                </c:pt>
              </c:numCache>
            </c:numRef>
          </c:xVal>
          <c:yVal>
            <c:numRef>
              <c:f>'summary 3'!$C$26:$C$37</c:f>
              <c:numCache>
                <c:formatCode>General</c:formatCode>
                <c:ptCount val="12"/>
                <c:pt idx="0">
                  <c:v>14200</c:v>
                </c:pt>
                <c:pt idx="1">
                  <c:v>8119.9999999999991</c:v>
                </c:pt>
                <c:pt idx="2">
                  <c:v>11250</c:v>
                </c:pt>
                <c:pt idx="3">
                  <c:v>295000</c:v>
                </c:pt>
                <c:pt idx="4">
                  <c:v>402000</c:v>
                </c:pt>
                <c:pt idx="5">
                  <c:v>389000</c:v>
                </c:pt>
                <c:pt idx="6">
                  <c:v>4900</c:v>
                </c:pt>
                <c:pt idx="7">
                  <c:v>1920</c:v>
                </c:pt>
                <c:pt idx="8">
                  <c:v>1595.0000000000002</c:v>
                </c:pt>
                <c:pt idx="9">
                  <c:v>39000</c:v>
                </c:pt>
                <c:pt idx="10">
                  <c:v>24450</c:v>
                </c:pt>
                <c:pt idx="11">
                  <c:v>37400</c:v>
                </c:pt>
              </c:numCache>
            </c:numRef>
          </c:yVal>
          <c:smooth val="0"/>
        </c:ser>
        <c:dLbls>
          <c:showLegendKey val="0"/>
          <c:showVal val="0"/>
          <c:showCatName val="0"/>
          <c:showSerName val="0"/>
          <c:showPercent val="0"/>
          <c:showBubbleSize val="0"/>
        </c:dLbls>
        <c:axId val="461132016"/>
        <c:axId val="461132408"/>
      </c:scatterChart>
      <c:valAx>
        <c:axId val="461132016"/>
        <c:scaling>
          <c:logBase val="10"/>
          <c:orientation val="minMax"/>
          <c:min val="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GB" sz="900">
                    <a:solidFill>
                      <a:sysClr val="windowText" lastClr="000000"/>
                    </a:solidFill>
                  </a:rPr>
                  <a:t>log</a:t>
                </a:r>
                <a:r>
                  <a:rPr lang="en-GB" sz="900" baseline="-25000">
                    <a:solidFill>
                      <a:sysClr val="windowText" lastClr="000000"/>
                    </a:solidFill>
                  </a:rPr>
                  <a:t>10</a:t>
                </a:r>
                <a:r>
                  <a:rPr lang="en-GB" sz="900" baseline="0">
                    <a:solidFill>
                      <a:sysClr val="windowText" lastClr="000000"/>
                    </a:solidFill>
                  </a:rPr>
                  <a:t> transductant cells/mL</a:t>
                </a:r>
                <a:endParaRPr lang="en-GB" sz="900">
                  <a:solidFill>
                    <a:sysClr val="windowText" lastClr="000000"/>
                  </a:solidFill>
                </a:endParaRPr>
              </a:p>
            </c:rich>
          </c:tx>
          <c:layout>
            <c:manualLayout>
              <c:xMode val="edge"/>
              <c:yMode val="edge"/>
              <c:x val="0.33658562874778375"/>
              <c:y val="0.8862724886661894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461132408"/>
        <c:crosses val="autoZero"/>
        <c:crossBetween val="midCat"/>
      </c:valAx>
      <c:valAx>
        <c:axId val="461132408"/>
        <c:scaling>
          <c:logBase val="10"/>
          <c:orientation val="minMax"/>
          <c:min val="1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GB" sz="900">
                    <a:solidFill>
                      <a:sysClr val="windowText" lastClr="000000"/>
                    </a:solidFill>
                  </a:rPr>
                  <a:t>log</a:t>
                </a:r>
                <a:r>
                  <a:rPr lang="en-GB" sz="900" baseline="-25000">
                    <a:solidFill>
                      <a:sysClr val="windowText" lastClr="000000"/>
                    </a:solidFill>
                  </a:rPr>
                  <a:t>10 </a:t>
                </a:r>
                <a:r>
                  <a:rPr lang="en-GB" sz="900" i="1" baseline="0">
                    <a:solidFill>
                      <a:sysClr val="windowText" lastClr="000000"/>
                    </a:solidFill>
                  </a:rPr>
                  <a:t>ermC </a:t>
                </a:r>
                <a:r>
                  <a:rPr lang="en-GB" sz="900" baseline="0">
                    <a:solidFill>
                      <a:sysClr val="windowText" lastClr="000000"/>
                    </a:solidFill>
                  </a:rPr>
                  <a:t>gene copy/mL</a:t>
                </a:r>
                <a:endParaRPr lang="en-GB" sz="900" baseline="-25000">
                  <a:solidFill>
                    <a:sysClr val="windowText" lastClr="000000"/>
                  </a:solidFill>
                </a:endParaRPr>
              </a:p>
            </c:rich>
          </c:tx>
          <c:layout>
            <c:manualLayout>
              <c:xMode val="edge"/>
              <c:yMode val="edge"/>
              <c:x val="2.3280437246939813E-2"/>
              <c:y val="0.2093734192316869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461132016"/>
        <c:crosses val="autoZero"/>
        <c:crossBetween val="midCat"/>
      </c:valAx>
      <c:spPr>
        <a:noFill/>
        <a:ln>
          <a:solidFill>
            <a:schemeClr val="bg1">
              <a:lumMod val="7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752688377545044"/>
          <c:y val="0.12325237960275877"/>
          <c:w val="0.68021239456718396"/>
          <c:h val="0.69539737357104736"/>
        </c:manualLayout>
      </c:layout>
      <c:scatterChart>
        <c:scatterStyle val="lineMarker"/>
        <c:varyColors val="0"/>
        <c:ser>
          <c:idx val="0"/>
          <c:order val="0"/>
          <c:spPr>
            <a:ln w="25400" cap="rnd">
              <a:noFill/>
              <a:round/>
            </a:ln>
            <a:effectLst/>
          </c:spPr>
          <c:marker>
            <c:symbol val="diamond"/>
            <c:size val="8"/>
            <c:spPr>
              <a:solidFill>
                <a:schemeClr val="accent1"/>
              </a:solidFill>
              <a:ln w="19050">
                <a:noFill/>
                <a:round/>
              </a:ln>
              <a:effectLst/>
            </c:spPr>
          </c:marker>
          <c:dPt>
            <c:idx val="0"/>
            <c:marker>
              <c:symbol val="square"/>
              <c:size val="8"/>
              <c:spPr>
                <a:solidFill>
                  <a:srgbClr val="FFFF00"/>
                </a:solidFill>
                <a:ln w="19050">
                  <a:solidFill>
                    <a:schemeClr val="tx1"/>
                  </a:solidFill>
                  <a:round/>
                </a:ln>
                <a:effectLst/>
              </c:spPr>
            </c:marker>
            <c:bubble3D val="0"/>
          </c:dPt>
          <c:dPt>
            <c:idx val="1"/>
            <c:marker>
              <c:symbol val="square"/>
              <c:size val="8"/>
              <c:spPr>
                <a:solidFill>
                  <a:srgbClr val="FFFF00"/>
                </a:solidFill>
                <a:ln w="19050">
                  <a:solidFill>
                    <a:schemeClr val="tx1"/>
                  </a:solidFill>
                  <a:round/>
                </a:ln>
                <a:effectLst/>
              </c:spPr>
            </c:marker>
            <c:bubble3D val="0"/>
          </c:dPt>
          <c:dPt>
            <c:idx val="2"/>
            <c:marker>
              <c:symbol val="square"/>
              <c:size val="8"/>
              <c:spPr>
                <a:solidFill>
                  <a:srgbClr val="FFFF00"/>
                </a:solidFill>
                <a:ln w="19050">
                  <a:solidFill>
                    <a:schemeClr val="tx1"/>
                  </a:solidFill>
                  <a:round/>
                </a:ln>
                <a:effectLst/>
              </c:spPr>
            </c:marker>
            <c:bubble3D val="0"/>
          </c:dPt>
          <c:dPt>
            <c:idx val="3"/>
            <c:marker>
              <c:symbol val="diamond"/>
              <c:size val="8"/>
              <c:spPr>
                <a:solidFill>
                  <a:srgbClr val="FFFF00"/>
                </a:solidFill>
                <a:ln w="19050">
                  <a:solidFill>
                    <a:schemeClr val="tx1"/>
                  </a:solidFill>
                  <a:round/>
                </a:ln>
                <a:effectLst/>
              </c:spPr>
            </c:marker>
            <c:bubble3D val="0"/>
            <c:spPr>
              <a:ln w="25400" cap="rnd">
                <a:noFill/>
                <a:round/>
              </a:ln>
              <a:effectLst/>
            </c:spPr>
          </c:dPt>
          <c:dPt>
            <c:idx val="4"/>
            <c:marker>
              <c:symbol val="diamond"/>
              <c:size val="8"/>
              <c:spPr>
                <a:solidFill>
                  <a:srgbClr val="FFFF00"/>
                </a:solidFill>
                <a:ln w="19050">
                  <a:solidFill>
                    <a:schemeClr val="tx1"/>
                  </a:solidFill>
                  <a:round/>
                </a:ln>
                <a:effectLst/>
              </c:spPr>
            </c:marker>
            <c:bubble3D val="0"/>
            <c:spPr>
              <a:ln w="25400" cap="rnd">
                <a:noFill/>
                <a:round/>
              </a:ln>
              <a:effectLst/>
            </c:spPr>
          </c:dPt>
          <c:dPt>
            <c:idx val="5"/>
            <c:marker>
              <c:symbol val="diamond"/>
              <c:size val="8"/>
              <c:spPr>
                <a:solidFill>
                  <a:srgbClr val="FFFF00"/>
                </a:solidFill>
                <a:ln w="19050">
                  <a:solidFill>
                    <a:schemeClr val="tx1"/>
                  </a:solidFill>
                  <a:round/>
                </a:ln>
                <a:effectLst/>
              </c:spPr>
            </c:marker>
            <c:bubble3D val="0"/>
            <c:spPr>
              <a:ln w="25400" cap="rnd">
                <a:noFill/>
                <a:round/>
              </a:ln>
              <a:effectLst/>
            </c:spPr>
          </c:dPt>
          <c:dPt>
            <c:idx val="6"/>
            <c:marker>
              <c:symbol val="triangle"/>
              <c:size val="8"/>
              <c:spPr>
                <a:solidFill>
                  <a:srgbClr val="00B0F0"/>
                </a:solidFill>
                <a:ln w="19050">
                  <a:solidFill>
                    <a:schemeClr val="tx1"/>
                  </a:solidFill>
                  <a:round/>
                </a:ln>
                <a:effectLst/>
              </c:spPr>
            </c:marker>
            <c:bubble3D val="0"/>
            <c:spPr>
              <a:ln w="25400" cap="rnd">
                <a:noFill/>
                <a:round/>
              </a:ln>
              <a:effectLst/>
            </c:spPr>
          </c:dPt>
          <c:dPt>
            <c:idx val="7"/>
            <c:marker>
              <c:symbol val="triangle"/>
              <c:size val="8"/>
              <c:spPr>
                <a:solidFill>
                  <a:srgbClr val="00B0F0"/>
                </a:solidFill>
                <a:ln w="19050">
                  <a:solidFill>
                    <a:schemeClr val="tx1"/>
                  </a:solidFill>
                  <a:round/>
                </a:ln>
                <a:effectLst/>
              </c:spPr>
            </c:marker>
            <c:bubble3D val="0"/>
            <c:spPr>
              <a:ln w="25400" cap="rnd">
                <a:solidFill>
                  <a:schemeClr val="tx1"/>
                </a:solidFill>
                <a:round/>
              </a:ln>
              <a:effectLst/>
            </c:spPr>
          </c:dPt>
          <c:dPt>
            <c:idx val="8"/>
            <c:marker>
              <c:symbol val="triangle"/>
              <c:size val="8"/>
              <c:spPr>
                <a:solidFill>
                  <a:srgbClr val="00B0F0"/>
                </a:solidFill>
                <a:ln w="19050">
                  <a:solidFill>
                    <a:schemeClr val="tx1"/>
                  </a:solidFill>
                  <a:round/>
                </a:ln>
                <a:effectLst/>
              </c:spPr>
            </c:marker>
            <c:bubble3D val="0"/>
            <c:spPr>
              <a:ln w="25400" cap="rnd">
                <a:solidFill>
                  <a:schemeClr val="tx1"/>
                </a:solidFill>
                <a:round/>
              </a:ln>
              <a:effectLst/>
            </c:spPr>
          </c:dPt>
          <c:dPt>
            <c:idx val="9"/>
            <c:marker>
              <c:symbol val="circle"/>
              <c:size val="8"/>
              <c:spPr>
                <a:solidFill>
                  <a:srgbClr val="00B0F0"/>
                </a:solidFill>
                <a:ln w="19050">
                  <a:solidFill>
                    <a:schemeClr val="tx1"/>
                  </a:solidFill>
                  <a:round/>
                </a:ln>
                <a:effectLst/>
              </c:spPr>
            </c:marker>
            <c:bubble3D val="0"/>
            <c:spPr>
              <a:ln w="25400" cap="rnd">
                <a:noFill/>
                <a:round/>
              </a:ln>
              <a:effectLst/>
            </c:spPr>
          </c:dPt>
          <c:dPt>
            <c:idx val="10"/>
            <c:marker>
              <c:symbol val="circle"/>
              <c:size val="8"/>
              <c:spPr>
                <a:solidFill>
                  <a:srgbClr val="00B0F0"/>
                </a:solidFill>
                <a:ln w="19050">
                  <a:solidFill>
                    <a:schemeClr val="tx1"/>
                  </a:solidFill>
                  <a:round/>
                </a:ln>
                <a:effectLst/>
              </c:spPr>
            </c:marker>
            <c:bubble3D val="0"/>
            <c:spPr>
              <a:ln w="25400" cap="rnd">
                <a:noFill/>
                <a:round/>
              </a:ln>
              <a:effectLst/>
            </c:spPr>
          </c:dPt>
          <c:dPt>
            <c:idx val="11"/>
            <c:marker>
              <c:symbol val="circle"/>
              <c:size val="8"/>
              <c:spPr>
                <a:solidFill>
                  <a:srgbClr val="00B0F0"/>
                </a:solidFill>
                <a:ln w="19050">
                  <a:solidFill>
                    <a:schemeClr val="tx1"/>
                  </a:solidFill>
                  <a:round/>
                </a:ln>
                <a:effectLst/>
              </c:spPr>
            </c:marker>
            <c:bubble3D val="0"/>
            <c:spPr>
              <a:ln w="25400" cap="rnd">
                <a:noFill/>
                <a:round/>
              </a:ln>
              <a:effectLst/>
            </c:spPr>
          </c:dPt>
          <c:trendline>
            <c:spPr>
              <a:ln w="9525" cap="rnd">
                <a:solidFill>
                  <a:schemeClr val="tx1"/>
                </a:solidFill>
              </a:ln>
              <a:effectLst/>
            </c:spPr>
            <c:trendlineType val="linear"/>
            <c:intercept val="0"/>
            <c:dispRSqr val="1"/>
            <c:dispEq val="0"/>
            <c:trendlineLbl>
              <c:numFmt formatCode="General" sourceLinked="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trendlineLbl>
          </c:trendline>
          <c:xVal>
            <c:numRef>
              <c:f>'summary 3'!$F$11:$F$22</c:f>
              <c:numCache>
                <c:formatCode>General</c:formatCode>
                <c:ptCount val="12"/>
                <c:pt idx="0">
                  <c:v>13200</c:v>
                </c:pt>
                <c:pt idx="1">
                  <c:v>13300</c:v>
                </c:pt>
                <c:pt idx="2">
                  <c:v>13400</c:v>
                </c:pt>
                <c:pt idx="3">
                  <c:v>383999</c:v>
                </c:pt>
                <c:pt idx="4">
                  <c:v>383420</c:v>
                </c:pt>
                <c:pt idx="5">
                  <c:v>384000</c:v>
                </c:pt>
                <c:pt idx="6">
                  <c:v>3206</c:v>
                </c:pt>
                <c:pt idx="7">
                  <c:v>3240</c:v>
                </c:pt>
                <c:pt idx="8">
                  <c:v>3260</c:v>
                </c:pt>
                <c:pt idx="9">
                  <c:v>19000</c:v>
                </c:pt>
                <c:pt idx="10">
                  <c:v>19020</c:v>
                </c:pt>
                <c:pt idx="11">
                  <c:v>19060</c:v>
                </c:pt>
              </c:numCache>
            </c:numRef>
          </c:xVal>
          <c:yVal>
            <c:numRef>
              <c:f>'summary 3'!$E$11:$E$22</c:f>
              <c:numCache>
                <c:formatCode>General</c:formatCode>
                <c:ptCount val="12"/>
                <c:pt idx="0">
                  <c:v>410000</c:v>
                </c:pt>
                <c:pt idx="1">
                  <c:v>381600</c:v>
                </c:pt>
                <c:pt idx="2">
                  <c:v>540000</c:v>
                </c:pt>
                <c:pt idx="3">
                  <c:v>9750000</c:v>
                </c:pt>
                <c:pt idx="4">
                  <c:v>10650000</c:v>
                </c:pt>
                <c:pt idx="5">
                  <c:v>10560000</c:v>
                </c:pt>
                <c:pt idx="6">
                  <c:v>196150</c:v>
                </c:pt>
                <c:pt idx="7">
                  <c:v>125610</c:v>
                </c:pt>
                <c:pt idx="8">
                  <c:v>302870</c:v>
                </c:pt>
                <c:pt idx="9">
                  <c:v>2650000</c:v>
                </c:pt>
                <c:pt idx="10">
                  <c:v>2554000</c:v>
                </c:pt>
                <c:pt idx="11">
                  <c:v>2730000</c:v>
                </c:pt>
              </c:numCache>
            </c:numRef>
          </c:yVal>
          <c:smooth val="0"/>
        </c:ser>
        <c:dLbls>
          <c:showLegendKey val="0"/>
          <c:showVal val="0"/>
          <c:showCatName val="0"/>
          <c:showSerName val="0"/>
          <c:showPercent val="0"/>
          <c:showBubbleSize val="0"/>
        </c:dLbls>
        <c:axId val="461133584"/>
        <c:axId val="461133976"/>
      </c:scatterChart>
      <c:valAx>
        <c:axId val="461133584"/>
        <c:scaling>
          <c:logBase val="10"/>
          <c:orientation val="minMax"/>
          <c:max val="6000000"/>
          <c:min val="1000"/>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461133976"/>
        <c:crosses val="autoZero"/>
        <c:crossBetween val="midCat"/>
        <c:majorUnit val="10"/>
      </c:valAx>
      <c:valAx>
        <c:axId val="461133976"/>
        <c:scaling>
          <c:logBase val="10"/>
          <c:orientation val="minMax"/>
          <c:min val="1000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461133584"/>
        <c:crossesAt val="1000"/>
        <c:crossBetween val="midCat"/>
        <c:majorUnit val="10"/>
      </c:valAx>
      <c:spPr>
        <a:noFill/>
        <a:ln>
          <a:solidFill>
            <a:schemeClr val="bg1">
              <a:lumMod val="85000"/>
            </a:schemeClr>
          </a:solid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493832760573056"/>
          <c:y val="0.16996585603790676"/>
          <c:w val="0.62931382168337291"/>
          <c:h val="0.75622656542932132"/>
        </c:manualLayout>
      </c:layout>
      <c:barChart>
        <c:barDir val="col"/>
        <c:grouping val="clustered"/>
        <c:varyColors val="0"/>
        <c:ser>
          <c:idx val="9"/>
          <c:order val="0"/>
          <c:tx>
            <c:strRef>
              <c:f>'induction antibio'!$A$131</c:f>
              <c:strCache>
                <c:ptCount val="1"/>
                <c:pt idx="0">
                  <c:v>control</c:v>
                </c:pt>
              </c:strCache>
            </c:strRef>
          </c:tx>
          <c:spPr>
            <a:solidFill>
              <a:schemeClr val="tx1"/>
            </a:solidFill>
            <a:ln>
              <a:solidFill>
                <a:sysClr val="windowText" lastClr="000000"/>
              </a:solidFill>
            </a:ln>
          </c:spPr>
          <c:invertIfNegative val="0"/>
          <c:errBars>
            <c:errBarType val="both"/>
            <c:errValType val="cust"/>
            <c:noEndCap val="0"/>
            <c:plus>
              <c:numRef>
                <c:f>'induction antibio'!$C$68</c:f>
                <c:numCache>
                  <c:formatCode>General</c:formatCode>
                  <c:ptCount val="1"/>
                  <c:pt idx="0">
                    <c:v>1</c:v>
                  </c:pt>
                </c:numCache>
              </c:numRef>
            </c:plus>
            <c:minus>
              <c:numRef>
                <c:f>'induction antibio'!$C$68</c:f>
                <c:numCache>
                  <c:formatCode>General</c:formatCode>
                  <c:ptCount val="1"/>
                  <c:pt idx="0">
                    <c:v>1</c:v>
                  </c:pt>
                </c:numCache>
              </c:numRef>
            </c:minus>
          </c:errBars>
          <c:cat>
            <c:numRef>
              <c:f>'induction antibio'!$D$56</c:f>
              <c:numCache>
                <c:formatCode>General</c:formatCode>
                <c:ptCount val="1"/>
              </c:numCache>
            </c:numRef>
          </c:cat>
          <c:val>
            <c:numRef>
              <c:f>'induction antibio'!$B$68</c:f>
              <c:numCache>
                <c:formatCode>General</c:formatCode>
                <c:ptCount val="1"/>
                <c:pt idx="0">
                  <c:v>6</c:v>
                </c:pt>
              </c:numCache>
            </c:numRef>
          </c:val>
        </c:ser>
        <c:ser>
          <c:idx val="4"/>
          <c:order val="1"/>
          <c:tx>
            <c:strRef>
              <c:f>'induction antibio'!$A$135</c:f>
              <c:strCache>
                <c:ptCount val="1"/>
                <c:pt idx="0">
                  <c:v>ampicillin</c:v>
                </c:pt>
              </c:strCache>
            </c:strRef>
          </c:tx>
          <c:spPr>
            <a:solidFill>
              <a:srgbClr val="00B050"/>
            </a:solidFill>
            <a:ln>
              <a:solidFill>
                <a:sysClr val="windowText" lastClr="000000"/>
              </a:solidFill>
            </a:ln>
          </c:spPr>
          <c:invertIfNegative val="0"/>
          <c:errBars>
            <c:errBarType val="both"/>
            <c:errValType val="cust"/>
            <c:noEndCap val="0"/>
            <c:plus>
              <c:numRef>
                <c:f>'induction antibio'!$C$73</c:f>
                <c:numCache>
                  <c:formatCode>General</c:formatCode>
                  <c:ptCount val="1"/>
                  <c:pt idx="0">
                    <c:v>23.09401076758839</c:v>
                  </c:pt>
                </c:numCache>
              </c:numRef>
            </c:plus>
            <c:minus>
              <c:numRef>
                <c:f>'induction antibio'!$C$73</c:f>
                <c:numCache>
                  <c:formatCode>General</c:formatCode>
                  <c:ptCount val="1"/>
                  <c:pt idx="0">
                    <c:v>23.09401076758839</c:v>
                  </c:pt>
                </c:numCache>
              </c:numRef>
            </c:minus>
          </c:errBars>
          <c:cat>
            <c:numRef>
              <c:f>'induction antibio'!$D$56</c:f>
              <c:numCache>
                <c:formatCode>General</c:formatCode>
                <c:ptCount val="1"/>
              </c:numCache>
            </c:numRef>
          </c:cat>
          <c:val>
            <c:numRef>
              <c:f>'induction antibio'!$B$73</c:f>
              <c:numCache>
                <c:formatCode>General</c:formatCode>
                <c:ptCount val="1"/>
                <c:pt idx="0">
                  <c:v>1373.3333333333333</c:v>
                </c:pt>
              </c:numCache>
            </c:numRef>
          </c:val>
        </c:ser>
        <c:ser>
          <c:idx val="7"/>
          <c:order val="2"/>
          <c:tx>
            <c:strRef>
              <c:f>'induction antibio'!$A$139</c:f>
              <c:strCache>
                <c:ptCount val="1"/>
                <c:pt idx="0">
                  <c:v>gentamicin</c:v>
                </c:pt>
              </c:strCache>
            </c:strRef>
          </c:tx>
          <c:spPr>
            <a:solidFill>
              <a:schemeClr val="tx2">
                <a:lumMod val="20000"/>
                <a:lumOff val="80000"/>
              </a:schemeClr>
            </a:solidFill>
            <a:ln>
              <a:solidFill>
                <a:sysClr val="windowText" lastClr="000000"/>
              </a:solidFill>
            </a:ln>
          </c:spPr>
          <c:invertIfNegative val="0"/>
          <c:errBars>
            <c:errBarType val="both"/>
            <c:errValType val="cust"/>
            <c:noEndCap val="0"/>
            <c:plus>
              <c:numRef>
                <c:f>'induction antibio'!$F$115</c:f>
                <c:numCache>
                  <c:formatCode>General</c:formatCode>
                  <c:ptCount val="1"/>
                  <c:pt idx="0">
                    <c:v>30.138568866708521</c:v>
                  </c:pt>
                </c:numCache>
              </c:numRef>
            </c:plus>
            <c:minus>
              <c:numRef>
                <c:f>'induction antibio'!$F$115</c:f>
                <c:numCache>
                  <c:formatCode>General</c:formatCode>
                  <c:ptCount val="1"/>
                  <c:pt idx="0">
                    <c:v>30.138568866708521</c:v>
                  </c:pt>
                </c:numCache>
              </c:numRef>
            </c:minus>
          </c:errBars>
          <c:cat>
            <c:numRef>
              <c:f>'induction antibio'!$D$56</c:f>
              <c:numCache>
                <c:formatCode>General</c:formatCode>
                <c:ptCount val="1"/>
              </c:numCache>
            </c:numRef>
          </c:cat>
          <c:val>
            <c:numRef>
              <c:f>'induction antibio'!$E$115</c:f>
              <c:numCache>
                <c:formatCode>0.00E+00</c:formatCode>
                <c:ptCount val="1"/>
                <c:pt idx="0">
                  <c:v>113.33333333333333</c:v>
                </c:pt>
              </c:numCache>
            </c:numRef>
          </c:val>
        </c:ser>
        <c:ser>
          <c:idx val="6"/>
          <c:order val="3"/>
          <c:tx>
            <c:strRef>
              <c:f>'induction antibio'!$A$138</c:f>
              <c:strCache>
                <c:ptCount val="1"/>
                <c:pt idx="0">
                  <c:v>cefoxitin</c:v>
                </c:pt>
              </c:strCache>
            </c:strRef>
          </c:tx>
          <c:spPr>
            <a:solidFill>
              <a:srgbClr val="FFC000"/>
            </a:solidFill>
            <a:ln>
              <a:solidFill>
                <a:sysClr val="windowText" lastClr="000000"/>
              </a:solidFill>
            </a:ln>
          </c:spPr>
          <c:invertIfNegative val="0"/>
          <c:errBars>
            <c:errBarType val="both"/>
            <c:errValType val="cust"/>
            <c:noEndCap val="0"/>
            <c:plus>
              <c:numRef>
                <c:f>'induction antibio'!$C$75</c:f>
                <c:numCache>
                  <c:formatCode>General</c:formatCode>
                  <c:ptCount val="1"/>
                  <c:pt idx="0">
                    <c:v>80.829037686547579</c:v>
                  </c:pt>
                </c:numCache>
              </c:numRef>
            </c:plus>
            <c:minus>
              <c:numRef>
                <c:f>'induction antibio'!$C$75</c:f>
                <c:numCache>
                  <c:formatCode>General</c:formatCode>
                  <c:ptCount val="1"/>
                  <c:pt idx="0">
                    <c:v>80.829037686547579</c:v>
                  </c:pt>
                </c:numCache>
              </c:numRef>
            </c:minus>
          </c:errBars>
          <c:cat>
            <c:numRef>
              <c:f>'induction antibio'!$D$56</c:f>
              <c:numCache>
                <c:formatCode>General</c:formatCode>
                <c:ptCount val="1"/>
              </c:numCache>
            </c:numRef>
          </c:cat>
          <c:val>
            <c:numRef>
              <c:f>'induction antibio'!$B$75</c:f>
              <c:numCache>
                <c:formatCode>General</c:formatCode>
                <c:ptCount val="1"/>
                <c:pt idx="0">
                  <c:v>233.33333333333334</c:v>
                </c:pt>
              </c:numCache>
            </c:numRef>
          </c:val>
        </c:ser>
        <c:ser>
          <c:idx val="3"/>
          <c:order val="4"/>
          <c:tx>
            <c:strRef>
              <c:f>'induction antibio'!$A$137</c:f>
              <c:strCache>
                <c:ptCount val="1"/>
                <c:pt idx="0">
                  <c:v>novobiocin</c:v>
                </c:pt>
              </c:strCache>
            </c:strRef>
          </c:tx>
          <c:spPr>
            <a:solidFill>
              <a:schemeClr val="bg1">
                <a:lumMod val="65000"/>
              </a:schemeClr>
            </a:solidFill>
            <a:ln>
              <a:solidFill>
                <a:sysClr val="windowText" lastClr="000000"/>
              </a:solidFill>
            </a:ln>
          </c:spPr>
          <c:invertIfNegative val="0"/>
          <c:errBars>
            <c:errBarType val="both"/>
            <c:errValType val="cust"/>
            <c:noEndCap val="0"/>
            <c:plus>
              <c:numRef>
                <c:f>'induction antibio'!$C$72</c:f>
                <c:numCache>
                  <c:formatCode>General</c:formatCode>
                  <c:ptCount val="1"/>
                  <c:pt idx="0">
                    <c:v>0</c:v>
                  </c:pt>
                </c:numCache>
              </c:numRef>
            </c:plus>
            <c:minus>
              <c:numRef>
                <c:f>'induction antibio'!$C$72</c:f>
                <c:numCache>
                  <c:formatCode>General</c:formatCode>
                  <c:ptCount val="1"/>
                  <c:pt idx="0">
                    <c:v>0</c:v>
                  </c:pt>
                </c:numCache>
              </c:numRef>
            </c:minus>
          </c:errBars>
          <c:cat>
            <c:numRef>
              <c:f>'induction antibio'!$D$56</c:f>
              <c:numCache>
                <c:formatCode>General</c:formatCode>
                <c:ptCount val="1"/>
              </c:numCache>
            </c:numRef>
          </c:cat>
          <c:val>
            <c:numRef>
              <c:f>'induction antibio'!$B$72</c:f>
              <c:numCache>
                <c:formatCode>General</c:formatCode>
                <c:ptCount val="1"/>
                <c:pt idx="0">
                  <c:v>20</c:v>
                </c:pt>
              </c:numCache>
            </c:numRef>
          </c:val>
        </c:ser>
        <c:ser>
          <c:idx val="8"/>
          <c:order val="5"/>
          <c:tx>
            <c:strRef>
              <c:f>'induction antibio'!$A$140</c:f>
              <c:strCache>
                <c:ptCount val="1"/>
                <c:pt idx="0">
                  <c:v>ciprofloxacin</c:v>
                </c:pt>
              </c:strCache>
            </c:strRef>
          </c:tx>
          <c:spPr>
            <a:solidFill>
              <a:srgbClr val="00B0F0"/>
            </a:solidFill>
            <a:ln>
              <a:solidFill>
                <a:sysClr val="windowText" lastClr="000000"/>
              </a:solidFill>
            </a:ln>
          </c:spPr>
          <c:invertIfNegative val="0"/>
          <c:errBars>
            <c:errBarType val="both"/>
            <c:errValType val="cust"/>
            <c:noEndCap val="0"/>
            <c:plus>
              <c:numRef>
                <c:f>'induction antibio'!$C$77</c:f>
                <c:numCache>
                  <c:formatCode>General</c:formatCode>
                  <c:ptCount val="1"/>
                  <c:pt idx="0">
                    <c:v>23.094010767585029</c:v>
                  </c:pt>
                </c:numCache>
              </c:numRef>
            </c:plus>
            <c:minus>
              <c:numRef>
                <c:f>'induction antibio'!$C$77</c:f>
                <c:numCache>
                  <c:formatCode>General</c:formatCode>
                  <c:ptCount val="1"/>
                  <c:pt idx="0">
                    <c:v>23.094010767585029</c:v>
                  </c:pt>
                </c:numCache>
              </c:numRef>
            </c:minus>
          </c:errBars>
          <c:cat>
            <c:numRef>
              <c:f>'induction antibio'!$D$56</c:f>
              <c:numCache>
                <c:formatCode>General</c:formatCode>
                <c:ptCount val="1"/>
              </c:numCache>
            </c:numRef>
          </c:cat>
          <c:val>
            <c:numRef>
              <c:f>'induction antibio'!$B$77</c:f>
              <c:numCache>
                <c:formatCode>General</c:formatCode>
                <c:ptCount val="1"/>
                <c:pt idx="0">
                  <c:v>333.33333333333331</c:v>
                </c:pt>
              </c:numCache>
            </c:numRef>
          </c:val>
        </c:ser>
        <c:ser>
          <c:idx val="5"/>
          <c:order val="6"/>
          <c:tx>
            <c:strRef>
              <c:f>'induction antibio'!$A$136</c:f>
              <c:strCache>
                <c:ptCount val="1"/>
                <c:pt idx="0">
                  <c:v>tetracycline</c:v>
                </c:pt>
              </c:strCache>
            </c:strRef>
          </c:tx>
          <c:spPr>
            <a:solidFill>
              <a:srgbClr val="C00000"/>
            </a:solidFill>
            <a:ln>
              <a:solidFill>
                <a:sysClr val="windowText" lastClr="000000"/>
              </a:solidFill>
            </a:ln>
          </c:spPr>
          <c:invertIfNegative val="0"/>
          <c:dPt>
            <c:idx val="0"/>
            <c:invertIfNegative val="0"/>
            <c:bubble3D val="0"/>
            <c:spPr>
              <a:solidFill>
                <a:schemeClr val="accent2">
                  <a:lumMod val="75000"/>
                </a:schemeClr>
              </a:solidFill>
              <a:ln>
                <a:solidFill>
                  <a:sysClr val="windowText" lastClr="000000"/>
                </a:solidFill>
              </a:ln>
            </c:spPr>
          </c:dPt>
          <c:errBars>
            <c:errBarType val="both"/>
            <c:errValType val="cust"/>
            <c:noEndCap val="0"/>
            <c:plus>
              <c:numRef>
                <c:f>'induction antibio'!$C$74</c:f>
                <c:numCache>
                  <c:formatCode>General</c:formatCode>
                  <c:ptCount val="1"/>
                  <c:pt idx="0">
                    <c:v>4.1633319989322635</c:v>
                  </c:pt>
                </c:numCache>
              </c:numRef>
            </c:plus>
            <c:minus>
              <c:numRef>
                <c:f>'induction antibio'!$C$74</c:f>
                <c:numCache>
                  <c:formatCode>General</c:formatCode>
                  <c:ptCount val="1"/>
                  <c:pt idx="0">
                    <c:v>4.1633319989322635</c:v>
                  </c:pt>
                </c:numCache>
              </c:numRef>
            </c:minus>
          </c:errBars>
          <c:cat>
            <c:numRef>
              <c:f>'induction antibio'!$D$56</c:f>
              <c:numCache>
                <c:formatCode>General</c:formatCode>
                <c:ptCount val="1"/>
              </c:numCache>
            </c:numRef>
          </c:cat>
          <c:val>
            <c:numRef>
              <c:f>'induction antibio'!$B$74</c:f>
              <c:numCache>
                <c:formatCode>General</c:formatCode>
                <c:ptCount val="1"/>
                <c:pt idx="0">
                  <c:v>15.333333333333334</c:v>
                </c:pt>
              </c:numCache>
            </c:numRef>
          </c:val>
        </c:ser>
        <c:ser>
          <c:idx val="1"/>
          <c:order val="7"/>
          <c:tx>
            <c:strRef>
              <c:f>'induction antibio'!$A$133</c:f>
              <c:strCache>
                <c:ptCount val="1"/>
                <c:pt idx="0">
                  <c:v>trimethoprim</c:v>
                </c:pt>
              </c:strCache>
            </c:strRef>
          </c:tx>
          <c:spPr>
            <a:solidFill>
              <a:srgbClr val="FFFF00"/>
            </a:solidFill>
            <a:ln>
              <a:solidFill>
                <a:sysClr val="windowText" lastClr="000000"/>
              </a:solidFill>
            </a:ln>
          </c:spPr>
          <c:invertIfNegative val="0"/>
          <c:errBars>
            <c:errBarType val="both"/>
            <c:errValType val="cust"/>
            <c:noEndCap val="0"/>
            <c:plus>
              <c:numRef>
                <c:f>'induction antibio'!$C$70</c:f>
                <c:numCache>
                  <c:formatCode>General</c:formatCode>
                  <c:ptCount val="1"/>
                  <c:pt idx="0">
                    <c:v>550.75705472861034</c:v>
                  </c:pt>
                </c:numCache>
              </c:numRef>
            </c:plus>
            <c:minus>
              <c:numRef>
                <c:f>'induction antibio'!$C$70</c:f>
                <c:numCache>
                  <c:formatCode>General</c:formatCode>
                  <c:ptCount val="1"/>
                  <c:pt idx="0">
                    <c:v>550.75705472861034</c:v>
                  </c:pt>
                </c:numCache>
              </c:numRef>
            </c:minus>
          </c:errBars>
          <c:cat>
            <c:numRef>
              <c:f>'induction antibio'!$D$56</c:f>
              <c:numCache>
                <c:formatCode>General</c:formatCode>
                <c:ptCount val="1"/>
              </c:numCache>
            </c:numRef>
          </c:cat>
          <c:val>
            <c:numRef>
              <c:f>'induction antibio'!$B$70</c:f>
              <c:numCache>
                <c:formatCode>General</c:formatCode>
                <c:ptCount val="1"/>
                <c:pt idx="0">
                  <c:v>1366.6666666666667</c:v>
                </c:pt>
              </c:numCache>
            </c:numRef>
          </c:val>
        </c:ser>
        <c:ser>
          <c:idx val="0"/>
          <c:order val="8"/>
          <c:tx>
            <c:strRef>
              <c:f>'induction antibio'!$A$132</c:f>
              <c:strCache>
                <c:ptCount val="1"/>
                <c:pt idx="0">
                  <c:v>erythromycin</c:v>
                </c:pt>
              </c:strCache>
            </c:strRef>
          </c:tx>
          <c:spPr>
            <a:solidFill>
              <a:srgbClr val="FF0000"/>
            </a:solidFill>
            <a:ln>
              <a:solidFill>
                <a:sysClr val="windowText" lastClr="000000"/>
              </a:solidFill>
            </a:ln>
          </c:spPr>
          <c:invertIfNegative val="0"/>
          <c:errBars>
            <c:errBarType val="both"/>
            <c:errValType val="cust"/>
            <c:noEndCap val="0"/>
            <c:plus>
              <c:numRef>
                <c:f>'induction antibio'!$C$69</c:f>
                <c:numCache>
                  <c:formatCode>General</c:formatCode>
                  <c:ptCount val="1"/>
                  <c:pt idx="0">
                    <c:v>458.25756949558399</c:v>
                  </c:pt>
                </c:numCache>
              </c:numRef>
            </c:plus>
            <c:minus>
              <c:numRef>
                <c:f>'induction antibio'!$C$69</c:f>
                <c:numCache>
                  <c:formatCode>General</c:formatCode>
                  <c:ptCount val="1"/>
                  <c:pt idx="0">
                    <c:v>458.25756949558399</c:v>
                  </c:pt>
                </c:numCache>
              </c:numRef>
            </c:minus>
          </c:errBars>
          <c:cat>
            <c:numRef>
              <c:f>'induction antibio'!$D$56</c:f>
              <c:numCache>
                <c:formatCode>General</c:formatCode>
                <c:ptCount val="1"/>
              </c:numCache>
            </c:numRef>
          </c:cat>
          <c:val>
            <c:numRef>
              <c:f>'induction antibio'!$B$69</c:f>
              <c:numCache>
                <c:formatCode>General</c:formatCode>
                <c:ptCount val="1"/>
                <c:pt idx="0">
                  <c:v>2800</c:v>
                </c:pt>
              </c:numCache>
            </c:numRef>
          </c:val>
        </c:ser>
        <c:ser>
          <c:idx val="2"/>
          <c:order val="9"/>
          <c:tx>
            <c:strRef>
              <c:f>'induction antibio'!$A$134</c:f>
              <c:strCache>
                <c:ptCount val="1"/>
                <c:pt idx="0">
                  <c:v>mupirocin</c:v>
                </c:pt>
              </c:strCache>
            </c:strRef>
          </c:tx>
          <c:spPr>
            <a:solidFill>
              <a:srgbClr val="7030A0"/>
            </a:solidFill>
            <a:ln>
              <a:solidFill>
                <a:sysClr val="windowText" lastClr="000000"/>
              </a:solidFill>
            </a:ln>
          </c:spPr>
          <c:invertIfNegative val="0"/>
          <c:errBars>
            <c:errBarType val="both"/>
            <c:errValType val="cust"/>
            <c:noEndCap val="0"/>
            <c:plus>
              <c:numRef>
                <c:f>'induction antibio'!$C$71</c:f>
                <c:numCache>
                  <c:formatCode>General</c:formatCode>
                  <c:ptCount val="1"/>
                  <c:pt idx="0">
                    <c:v>1.1547005383792679</c:v>
                  </c:pt>
                </c:numCache>
              </c:numRef>
            </c:plus>
            <c:minus>
              <c:numRef>
                <c:f>'induction antibio'!$C$71</c:f>
                <c:numCache>
                  <c:formatCode>General</c:formatCode>
                  <c:ptCount val="1"/>
                  <c:pt idx="0">
                    <c:v>1.1547005383792679</c:v>
                  </c:pt>
                </c:numCache>
              </c:numRef>
            </c:minus>
          </c:errBars>
          <c:cat>
            <c:numRef>
              <c:f>'induction antibio'!$D$56</c:f>
              <c:numCache>
                <c:formatCode>General</c:formatCode>
                <c:ptCount val="1"/>
              </c:numCache>
            </c:numRef>
          </c:cat>
          <c:val>
            <c:numRef>
              <c:f>'induction antibio'!$B$71</c:f>
              <c:numCache>
                <c:formatCode>General</c:formatCode>
                <c:ptCount val="1"/>
                <c:pt idx="0">
                  <c:v>20.666666666666668</c:v>
                </c:pt>
              </c:numCache>
            </c:numRef>
          </c:val>
        </c:ser>
        <c:dLbls>
          <c:showLegendKey val="0"/>
          <c:showVal val="0"/>
          <c:showCatName val="0"/>
          <c:showSerName val="0"/>
          <c:showPercent val="0"/>
          <c:showBubbleSize val="0"/>
        </c:dLbls>
        <c:gapWidth val="150"/>
        <c:axId val="400198760"/>
        <c:axId val="400197584"/>
      </c:barChart>
      <c:catAx>
        <c:axId val="400198760"/>
        <c:scaling>
          <c:orientation val="minMax"/>
        </c:scaling>
        <c:delete val="1"/>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rgbClr val="000000"/>
                    </a:solidFill>
                    <a:latin typeface="Calibri"/>
                    <a:ea typeface="Calibri"/>
                    <a:cs typeface="Calibri"/>
                  </a:defRPr>
                </a:pPr>
                <a:r>
                  <a:rPr lang="en-GB" sz="800" b="0" i="0" baseline="0">
                    <a:effectLst/>
                    <a:latin typeface="Arial" panose="020B0604020202020204" pitchFamily="34" charset="0"/>
                    <a:cs typeface="Arial" panose="020B0604020202020204" pitchFamily="34" charset="0"/>
                  </a:rPr>
                  <a:t>Co   A   G  Ce  N   Ci  T   Tr   E   M</a:t>
                </a:r>
                <a:endParaRPr lang="en-GB" sz="800">
                  <a:effectLst/>
                  <a:latin typeface="Arial" panose="020B0604020202020204" pitchFamily="34" charset="0"/>
                  <a:cs typeface="Arial" panose="020B0604020202020204" pitchFamily="34" charset="0"/>
                </a:endParaRPr>
              </a:p>
            </c:rich>
          </c:tx>
          <c:layout>
            <c:manualLayout>
              <c:xMode val="edge"/>
              <c:yMode val="edge"/>
              <c:x val="0.15885000912143338"/>
              <c:y val="0.92229749631811497"/>
            </c:manualLayout>
          </c:layout>
          <c:overlay val="0"/>
        </c:title>
        <c:numFmt formatCode="General" sourceLinked="1"/>
        <c:majorTickMark val="out"/>
        <c:minorTickMark val="none"/>
        <c:tickLblPos val="nextTo"/>
        <c:crossAx val="400197584"/>
        <c:crosses val="autoZero"/>
        <c:auto val="1"/>
        <c:lblAlgn val="ctr"/>
        <c:lblOffset val="100"/>
        <c:noMultiLvlLbl val="0"/>
      </c:catAx>
      <c:valAx>
        <c:axId val="400197584"/>
        <c:scaling>
          <c:logBase val="10"/>
          <c:orientation val="minMax"/>
        </c:scaling>
        <c:delete val="0"/>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rgbClr val="000000"/>
                    </a:solidFill>
                    <a:latin typeface="Calibri"/>
                    <a:ea typeface="Calibri"/>
                    <a:cs typeface="Calibri"/>
                  </a:defRPr>
                </a:pPr>
                <a:r>
                  <a:rPr lang="pl-PL" sz="950" b="0">
                    <a:effectLst/>
                  </a:rPr>
                  <a:t>log</a:t>
                </a:r>
                <a:r>
                  <a:rPr lang="pl-PL" sz="950" b="0" baseline="-25000">
                    <a:effectLst/>
                  </a:rPr>
                  <a:t>10</a:t>
                </a:r>
                <a:r>
                  <a:rPr lang="pl-PL" sz="950" b="0" baseline="0">
                    <a:effectLst/>
                  </a:rPr>
                  <a:t> </a:t>
                </a:r>
                <a:r>
                  <a:rPr lang="en-GB" sz="950" b="0" baseline="0">
                    <a:effectLst/>
                  </a:rPr>
                  <a:t>pfu</a:t>
                </a:r>
                <a:r>
                  <a:rPr lang="en-GB" sz="950" b="0">
                    <a:effectLst/>
                  </a:rPr>
                  <a:t>/m</a:t>
                </a:r>
                <a:r>
                  <a:rPr lang="en-GB" sz="800" b="0">
                    <a:effectLst/>
                  </a:rPr>
                  <a:t>L</a:t>
                </a:r>
                <a:endParaRPr lang="en-GB" sz="800">
                  <a:effectLst/>
                </a:endParaRPr>
              </a:p>
            </c:rich>
          </c:tx>
          <c:layout>
            <c:manualLayout>
              <c:xMode val="edge"/>
              <c:yMode val="edge"/>
              <c:x val="0"/>
              <c:y val="0.39863857224032567"/>
            </c:manualLayout>
          </c:layout>
          <c:overlay val="0"/>
        </c:title>
        <c:numFmt formatCode="General" sourceLinked="0"/>
        <c:majorTickMark val="out"/>
        <c:minorTickMark val="none"/>
        <c:tickLblPos val="nextTo"/>
        <c:txPr>
          <a:bodyPr rot="0" vert="horz"/>
          <a:lstStyle/>
          <a:p>
            <a:pPr>
              <a:defRPr sz="6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400198760"/>
        <c:crosses val="autoZero"/>
        <c:crossBetween val="between"/>
        <c:majorUnit val="10"/>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2432380163005941"/>
          <c:y val="0.12146409519077803"/>
          <c:w val="0.72753392719003351"/>
          <c:h val="0.69742450931683253"/>
        </c:manualLayout>
      </c:layout>
      <c:scatterChart>
        <c:scatterStyle val="lineMarker"/>
        <c:varyColors val="0"/>
        <c:ser>
          <c:idx val="0"/>
          <c:order val="0"/>
          <c:spPr>
            <a:ln w="28575">
              <a:noFill/>
            </a:ln>
          </c:spPr>
          <c:marker>
            <c:symbol val="circle"/>
            <c:size val="5"/>
            <c:spPr>
              <a:solidFill>
                <a:schemeClr val="tx1"/>
              </a:solidFill>
              <a:ln w="9525">
                <a:solidFill>
                  <a:schemeClr val="tx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tx1"/>
                </a:solidFill>
                <a:prstDash val="sysDot"/>
              </a:ln>
              <a:effectLst/>
            </c:spPr>
            <c:trendlineType val="linear"/>
            <c:dispRSqr val="1"/>
            <c:dispEq val="0"/>
            <c:trendlineLbl>
              <c:layout>
                <c:manualLayout>
                  <c:x val="-1.8971312796426762E-2"/>
                  <c:y val="-8.8974358974358972E-2"/>
                </c:manualLayout>
              </c:layout>
              <c:numFmt formatCode="General" sourceLinked="0"/>
              <c:spPr>
                <a:noFill/>
                <a:ln w="25400">
                  <a:noFill/>
                </a:ln>
              </c:spPr>
              <c:txPr>
                <a:bodyPr/>
                <a:lstStyle/>
                <a:p>
                  <a:pPr>
                    <a:defRPr sz="900" b="0" i="0" u="none" strike="noStrike" baseline="0">
                      <a:solidFill>
                        <a:srgbClr val="333333"/>
                      </a:solidFill>
                      <a:latin typeface="Calibri"/>
                      <a:ea typeface="Calibri"/>
                      <a:cs typeface="Calibri"/>
                    </a:defRPr>
                  </a:pPr>
                  <a:endParaRPr lang="en-US"/>
                </a:p>
              </c:txPr>
            </c:trendlineLbl>
          </c:trendline>
          <c:xVal>
            <c:numRef>
              <c:f>'no phi summary '!$B$64:$B$73</c:f>
              <c:numCache>
                <c:formatCode>0.0</c:formatCode>
                <c:ptCount val="10"/>
                <c:pt idx="0">
                  <c:v>0</c:v>
                </c:pt>
                <c:pt idx="1">
                  <c:v>18.555555555555557</c:v>
                </c:pt>
                <c:pt idx="2">
                  <c:v>11.233333333333334</c:v>
                </c:pt>
                <c:pt idx="3">
                  <c:v>19.777777777777768</c:v>
                </c:pt>
                <c:pt idx="4">
                  <c:v>2.6666666666666665</c:v>
                </c:pt>
                <c:pt idx="5">
                  <c:v>10.777777777777755</c:v>
                </c:pt>
                <c:pt idx="6">
                  <c:v>7.333333333333333</c:v>
                </c:pt>
                <c:pt idx="7">
                  <c:v>4.2222222222222232</c:v>
                </c:pt>
                <c:pt idx="8">
                  <c:v>2.7777777777777781</c:v>
                </c:pt>
                <c:pt idx="9">
                  <c:v>8.2222222222222232</c:v>
                </c:pt>
              </c:numCache>
            </c:numRef>
          </c:xVal>
          <c:yVal>
            <c:numRef>
              <c:f>'no phi summary '!$C$64:$C$73</c:f>
              <c:numCache>
                <c:formatCode>General</c:formatCode>
                <c:ptCount val="10"/>
                <c:pt idx="0">
                  <c:v>6</c:v>
                </c:pt>
                <c:pt idx="1">
                  <c:v>2800</c:v>
                </c:pt>
                <c:pt idx="2">
                  <c:v>1366.6666666666667</c:v>
                </c:pt>
                <c:pt idx="3">
                  <c:v>20.666666666666668</c:v>
                </c:pt>
                <c:pt idx="4">
                  <c:v>1373.3333333333333</c:v>
                </c:pt>
                <c:pt idx="5">
                  <c:v>15.333333333333334</c:v>
                </c:pt>
                <c:pt idx="6">
                  <c:v>20</c:v>
                </c:pt>
                <c:pt idx="7">
                  <c:v>233.33333333333334</c:v>
                </c:pt>
                <c:pt idx="8">
                  <c:v>113.33333333333333</c:v>
                </c:pt>
                <c:pt idx="9">
                  <c:v>333.33333333333331</c:v>
                </c:pt>
              </c:numCache>
            </c:numRef>
          </c:yVal>
          <c:smooth val="0"/>
        </c:ser>
        <c:dLbls>
          <c:showLegendKey val="0"/>
          <c:showVal val="0"/>
          <c:showCatName val="0"/>
          <c:showSerName val="0"/>
          <c:showPercent val="0"/>
          <c:showBubbleSize val="0"/>
        </c:dLbls>
        <c:axId val="400201896"/>
        <c:axId val="400195624"/>
      </c:scatterChart>
      <c:valAx>
        <c:axId val="400201896"/>
        <c:scaling>
          <c:orientation val="minMax"/>
          <c:max val="20"/>
        </c:scaling>
        <c:delete val="0"/>
        <c:axPos val="b"/>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000000"/>
                    </a:solidFill>
                    <a:latin typeface="Calibri"/>
                    <a:ea typeface="Calibri"/>
                    <a:cs typeface="Calibri"/>
                  </a:defRPr>
                </a:pPr>
                <a:r>
                  <a:rPr lang="en-GB" sz="1000"/>
                  <a:t>transductant cells/mL</a:t>
                </a:r>
              </a:p>
            </c:rich>
          </c:tx>
          <c:overlay val="0"/>
          <c:spPr>
            <a:noFill/>
            <a:ln w="25400">
              <a:noFill/>
            </a:ln>
          </c:sp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000000"/>
                </a:solidFill>
                <a:latin typeface="Calibri"/>
                <a:ea typeface="Calibri"/>
                <a:cs typeface="Calibri"/>
              </a:defRPr>
            </a:pPr>
            <a:endParaRPr lang="en-US"/>
          </a:p>
        </c:txPr>
        <c:crossAx val="400195624"/>
        <c:crosses val="autoZero"/>
        <c:crossBetween val="midCat"/>
      </c:valAx>
      <c:valAx>
        <c:axId val="400195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000000"/>
                    </a:solidFill>
                    <a:latin typeface="Calibri"/>
                    <a:ea typeface="Calibri"/>
                    <a:cs typeface="Calibri"/>
                  </a:defRPr>
                </a:pPr>
                <a:r>
                  <a:rPr lang="en-GB" sz="1000"/>
                  <a:t>pfu/mL</a:t>
                </a:r>
              </a:p>
            </c:rich>
          </c:tx>
          <c:layout>
            <c:manualLayout>
              <c:xMode val="edge"/>
              <c:yMode val="edge"/>
              <c:x val="0"/>
              <c:y val="0.31472188572582271"/>
            </c:manualLayout>
          </c:layout>
          <c:overlay val="0"/>
          <c:spPr>
            <a:noFill/>
            <a:ln w="25400">
              <a:noFill/>
            </a:ln>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000000"/>
                </a:solidFill>
                <a:latin typeface="Calibri"/>
                <a:ea typeface="Calibri"/>
                <a:cs typeface="Calibri"/>
              </a:defRPr>
            </a:pPr>
            <a:endParaRPr lang="en-US"/>
          </a:p>
        </c:txPr>
        <c:crossAx val="400201896"/>
        <c:crosses val="autoZero"/>
        <c:crossBetween val="midCat"/>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51380492932476"/>
          <c:y val="0.17249308145095013"/>
          <c:w val="0.50966698311647218"/>
          <c:h val="0.75214307513886347"/>
        </c:manualLayout>
      </c:layout>
      <c:barChart>
        <c:barDir val="col"/>
        <c:grouping val="clustered"/>
        <c:varyColors val="0"/>
        <c:ser>
          <c:idx val="0"/>
          <c:order val="0"/>
          <c:tx>
            <c:strRef>
              <c:f>'antib vs antib+UV'!$A$25</c:f>
              <c:strCache>
                <c:ptCount val="1"/>
                <c:pt idx="0">
                  <c:v>control, UV only</c:v>
                </c:pt>
              </c:strCache>
            </c:strRef>
          </c:tx>
          <c:spPr>
            <a:solidFill>
              <a:schemeClr val="tx1"/>
            </a:solidFill>
            <a:ln w="12700">
              <a:solidFill>
                <a:srgbClr val="000000"/>
              </a:solidFill>
              <a:prstDash val="solid"/>
            </a:ln>
          </c:spPr>
          <c:invertIfNegative val="0"/>
          <c:errBars>
            <c:errBarType val="both"/>
            <c:errValType val="cust"/>
            <c:noEndCap val="0"/>
            <c:plus>
              <c:numRef>
                <c:f>'antib vs antib+UV'!$F$5</c:f>
                <c:numCache>
                  <c:formatCode>General</c:formatCode>
                  <c:ptCount val="1"/>
                  <c:pt idx="0">
                    <c:v>0.28867513459481292</c:v>
                  </c:pt>
                </c:numCache>
              </c:numRef>
            </c:plus>
            <c:minus>
              <c:numRef>
                <c:f>'antib vs antib+UV'!$F$5</c:f>
                <c:numCache>
                  <c:formatCode>General</c:formatCode>
                  <c:ptCount val="1"/>
                  <c:pt idx="0">
                    <c:v>0.28867513459481292</c:v>
                  </c:pt>
                </c:numCache>
              </c:numRef>
            </c:minus>
          </c:errBars>
          <c:cat>
            <c:numRef>
              <c:f>'no phi summary '!$K$53</c:f>
              <c:numCache>
                <c:formatCode>General</c:formatCode>
                <c:ptCount val="1"/>
              </c:numCache>
            </c:numRef>
          </c:cat>
          <c:val>
            <c:numRef>
              <c:f>'antib vs antib+UV'!$E$5</c:f>
              <c:numCache>
                <c:formatCode>0.0</c:formatCode>
                <c:ptCount val="1"/>
                <c:pt idx="0">
                  <c:v>18</c:v>
                </c:pt>
              </c:numCache>
            </c:numRef>
          </c:val>
        </c:ser>
        <c:ser>
          <c:idx val="10"/>
          <c:order val="1"/>
          <c:tx>
            <c:strRef>
              <c:f>'antib vs antib+UV'!$A$77</c:f>
              <c:strCache>
                <c:ptCount val="1"/>
                <c:pt idx="0">
                  <c:v>UV+  ampicillin</c:v>
                </c:pt>
              </c:strCache>
            </c:strRef>
          </c:tx>
          <c:spPr>
            <a:solidFill>
              <a:srgbClr val="00B050"/>
            </a:solidFill>
            <a:ln>
              <a:solidFill>
                <a:sysClr val="windowText" lastClr="000000"/>
              </a:solidFill>
            </a:ln>
          </c:spPr>
          <c:invertIfNegative val="0"/>
          <c:errBars>
            <c:errBarType val="both"/>
            <c:errValType val="cust"/>
            <c:noEndCap val="0"/>
            <c:plus>
              <c:numRef>
                <c:f>'antib vs antib+UV'!$F$14</c:f>
                <c:numCache>
                  <c:formatCode>General</c:formatCode>
                  <c:ptCount val="1"/>
                  <c:pt idx="0">
                    <c:v>1.5030832509409633</c:v>
                  </c:pt>
                </c:numCache>
              </c:numRef>
            </c:plus>
            <c:minus>
              <c:numRef>
                <c:f>'antib vs antib+UV'!$F$14</c:f>
                <c:numCache>
                  <c:formatCode>General</c:formatCode>
                  <c:ptCount val="1"/>
                  <c:pt idx="0">
                    <c:v>1.5030832509409633</c:v>
                  </c:pt>
                </c:numCache>
              </c:numRef>
            </c:minus>
          </c:errBars>
          <c:val>
            <c:numRef>
              <c:f>'antib vs antib+UV'!$E$14</c:f>
              <c:numCache>
                <c:formatCode>0.0</c:formatCode>
                <c:ptCount val="1"/>
                <c:pt idx="0">
                  <c:v>24.777777777777757</c:v>
                </c:pt>
              </c:numCache>
            </c:numRef>
          </c:val>
        </c:ser>
        <c:ser>
          <c:idx val="8"/>
          <c:order val="2"/>
          <c:tx>
            <c:strRef>
              <c:f>'antib vs antib+UV'!$A$81</c:f>
              <c:strCache>
                <c:ptCount val="1"/>
                <c:pt idx="0">
                  <c:v>UV +  gentamicin</c:v>
                </c:pt>
              </c:strCache>
            </c:strRef>
          </c:tx>
          <c:spPr>
            <a:solidFill>
              <a:schemeClr val="accent1">
                <a:lumMod val="20000"/>
                <a:lumOff val="80000"/>
              </a:schemeClr>
            </a:solidFill>
            <a:ln w="12700">
              <a:solidFill>
                <a:srgbClr val="000000"/>
              </a:solidFill>
              <a:prstDash val="solid"/>
            </a:ln>
          </c:spPr>
          <c:invertIfNegative val="0"/>
          <c:errBars>
            <c:errBarType val="both"/>
            <c:errValType val="cust"/>
            <c:noEndCap val="0"/>
            <c:plus>
              <c:numRef>
                <c:f>'antib vs antib+UV'!$F$22</c:f>
                <c:numCache>
                  <c:formatCode>General</c:formatCode>
                  <c:ptCount val="1"/>
                  <c:pt idx="0">
                    <c:v>1.9531550923607777</c:v>
                  </c:pt>
                </c:numCache>
              </c:numRef>
            </c:plus>
            <c:minus>
              <c:numRef>
                <c:f>'antib vs antib+UV'!$F$22</c:f>
                <c:numCache>
                  <c:formatCode>General</c:formatCode>
                  <c:ptCount val="1"/>
                  <c:pt idx="0">
                    <c:v>1.9531550923607777</c:v>
                  </c:pt>
                </c:numCache>
              </c:numRef>
            </c:minus>
            <c:spPr>
              <a:solidFill>
                <a:schemeClr val="accent5">
                  <a:lumMod val="60000"/>
                  <a:lumOff val="40000"/>
                </a:schemeClr>
              </a:solidFill>
              <a:ln w="12700">
                <a:solidFill>
                  <a:srgbClr val="000000"/>
                </a:solidFill>
                <a:prstDash val="solid"/>
              </a:ln>
            </c:spPr>
          </c:errBars>
          <c:cat>
            <c:numRef>
              <c:f>'no phi summary '!$K$53</c:f>
              <c:numCache>
                <c:formatCode>General</c:formatCode>
                <c:ptCount val="1"/>
              </c:numCache>
            </c:numRef>
          </c:cat>
          <c:val>
            <c:numRef>
              <c:f>'antib vs antib+UV'!$E$22</c:f>
              <c:numCache>
                <c:formatCode>0.0</c:formatCode>
                <c:ptCount val="1"/>
                <c:pt idx="0">
                  <c:v>7.5555555555555545</c:v>
                </c:pt>
              </c:numCache>
            </c:numRef>
          </c:val>
        </c:ser>
        <c:ser>
          <c:idx val="7"/>
          <c:order val="3"/>
          <c:tx>
            <c:strRef>
              <c:f>'antib vs antib+UV'!$A$80</c:f>
              <c:strCache>
                <c:ptCount val="1"/>
                <c:pt idx="0">
                  <c:v>UV+  cefoxitin</c:v>
                </c:pt>
              </c:strCache>
            </c:strRef>
          </c:tx>
          <c:spPr>
            <a:solidFill>
              <a:srgbClr val="FFC000"/>
            </a:solidFill>
            <a:ln w="12700">
              <a:solidFill>
                <a:srgbClr val="000000"/>
              </a:solidFill>
              <a:prstDash val="solid"/>
            </a:ln>
          </c:spPr>
          <c:invertIfNegative val="0"/>
          <c:errBars>
            <c:errBarType val="both"/>
            <c:errValType val="cust"/>
            <c:noEndCap val="0"/>
            <c:plus>
              <c:numRef>
                <c:f>'antib vs antib+UV'!$F$20</c:f>
                <c:numCache>
                  <c:formatCode>General</c:formatCode>
                  <c:ptCount val="1"/>
                  <c:pt idx="0">
                    <c:v>33.183552373851725</c:v>
                  </c:pt>
                </c:numCache>
              </c:numRef>
            </c:plus>
            <c:minus>
              <c:numRef>
                <c:f>'antib vs antib+UV'!$F$20</c:f>
                <c:numCache>
                  <c:formatCode>General</c:formatCode>
                  <c:ptCount val="1"/>
                  <c:pt idx="0">
                    <c:v>33.183552373851725</c:v>
                  </c:pt>
                </c:numCache>
              </c:numRef>
            </c:minus>
            <c:spPr>
              <a:solidFill>
                <a:schemeClr val="accent6">
                  <a:lumMod val="75000"/>
                </a:schemeClr>
              </a:solidFill>
              <a:ln w="12700">
                <a:solidFill>
                  <a:srgbClr val="000000"/>
                </a:solidFill>
                <a:prstDash val="solid"/>
              </a:ln>
            </c:spPr>
          </c:errBars>
          <c:cat>
            <c:numRef>
              <c:f>'no phi summary '!$K$53</c:f>
              <c:numCache>
                <c:formatCode>General</c:formatCode>
                <c:ptCount val="1"/>
              </c:numCache>
            </c:numRef>
          </c:cat>
          <c:val>
            <c:numRef>
              <c:f>'antib vs antib+UV'!$E$20</c:f>
              <c:numCache>
                <c:formatCode>0.0</c:formatCode>
                <c:ptCount val="1"/>
                <c:pt idx="0">
                  <c:v>193.44444444444443</c:v>
                </c:pt>
              </c:numCache>
            </c:numRef>
          </c:val>
        </c:ser>
        <c:ser>
          <c:idx val="6"/>
          <c:order val="4"/>
          <c:tx>
            <c:strRef>
              <c:f>'antib vs antib+UV'!$A$79</c:f>
              <c:strCache>
                <c:ptCount val="1"/>
                <c:pt idx="0">
                  <c:v>UV +  novobiocin</c:v>
                </c:pt>
              </c:strCache>
            </c:strRef>
          </c:tx>
          <c:spPr>
            <a:solidFill>
              <a:schemeClr val="bg1">
                <a:lumMod val="50000"/>
              </a:schemeClr>
            </a:solidFill>
            <a:ln w="12700">
              <a:solidFill>
                <a:srgbClr val="000000"/>
              </a:solidFill>
              <a:prstDash val="solid"/>
            </a:ln>
          </c:spPr>
          <c:invertIfNegative val="0"/>
          <c:errBars>
            <c:errBarType val="both"/>
            <c:errValType val="cust"/>
            <c:noEndCap val="0"/>
            <c:plus>
              <c:numRef>
                <c:f>'antib vs antib+UV'!$F$18</c:f>
                <c:numCache>
                  <c:formatCode>General</c:formatCode>
                  <c:ptCount val="1"/>
                  <c:pt idx="0">
                    <c:v>0.33333333333333304</c:v>
                  </c:pt>
                </c:numCache>
              </c:numRef>
            </c:plus>
            <c:minus>
              <c:numRef>
                <c:f>'antib vs antib+UV'!$F$18</c:f>
                <c:numCache>
                  <c:formatCode>General</c:formatCode>
                  <c:ptCount val="1"/>
                  <c:pt idx="0">
                    <c:v>0.33333333333333304</c:v>
                  </c:pt>
                </c:numCache>
              </c:numRef>
            </c:minus>
            <c:spPr>
              <a:solidFill>
                <a:schemeClr val="tx1">
                  <a:lumMod val="65000"/>
                  <a:lumOff val="35000"/>
                </a:schemeClr>
              </a:solidFill>
              <a:ln w="12700">
                <a:solidFill>
                  <a:srgbClr val="000000"/>
                </a:solidFill>
                <a:prstDash val="solid"/>
              </a:ln>
            </c:spPr>
          </c:errBars>
          <c:cat>
            <c:numRef>
              <c:f>'no phi summary '!$K$53</c:f>
              <c:numCache>
                <c:formatCode>General</c:formatCode>
                <c:ptCount val="1"/>
              </c:numCache>
            </c:numRef>
          </c:cat>
          <c:val>
            <c:numRef>
              <c:f>'antib vs antib+UV'!$E$18</c:f>
              <c:numCache>
                <c:formatCode>0.0</c:formatCode>
                <c:ptCount val="1"/>
                <c:pt idx="0">
                  <c:v>8.3333333333333339</c:v>
                </c:pt>
              </c:numCache>
            </c:numRef>
          </c:val>
        </c:ser>
        <c:ser>
          <c:idx val="9"/>
          <c:order val="5"/>
          <c:tx>
            <c:strRef>
              <c:f>'antib vs antib+UV'!$A$82</c:f>
              <c:strCache>
                <c:ptCount val="1"/>
                <c:pt idx="0">
                  <c:v>UV +  ciprofloxacin</c:v>
                </c:pt>
              </c:strCache>
            </c:strRef>
          </c:tx>
          <c:spPr>
            <a:solidFill>
              <a:srgbClr val="00B0F0"/>
            </a:solidFill>
            <a:ln w="12700">
              <a:solidFill>
                <a:srgbClr val="000000"/>
              </a:solidFill>
              <a:prstDash val="solid"/>
            </a:ln>
          </c:spPr>
          <c:invertIfNegative val="0"/>
          <c:errBars>
            <c:errBarType val="both"/>
            <c:errValType val="cust"/>
            <c:noEndCap val="0"/>
            <c:plus>
              <c:numRef>
                <c:f>'antib vs antib+UV'!$F$24</c:f>
                <c:numCache>
                  <c:formatCode>General</c:formatCode>
                  <c:ptCount val="1"/>
                  <c:pt idx="0">
                    <c:v>1.8583146486355135</c:v>
                  </c:pt>
                </c:numCache>
              </c:numRef>
            </c:plus>
            <c:minus>
              <c:numRef>
                <c:f>'antib vs antib+UV'!$F$24</c:f>
                <c:numCache>
                  <c:formatCode>General</c:formatCode>
                  <c:ptCount val="1"/>
                  <c:pt idx="0">
                    <c:v>1.8583146486355135</c:v>
                  </c:pt>
                </c:numCache>
              </c:numRef>
            </c:minus>
            <c:spPr>
              <a:ln w="12700">
                <a:solidFill>
                  <a:srgbClr val="000000"/>
                </a:solidFill>
                <a:prstDash val="solid"/>
              </a:ln>
            </c:spPr>
          </c:errBars>
          <c:cat>
            <c:numRef>
              <c:f>'no phi summary '!$K$53</c:f>
              <c:numCache>
                <c:formatCode>General</c:formatCode>
                <c:ptCount val="1"/>
              </c:numCache>
            </c:numRef>
          </c:cat>
          <c:val>
            <c:numRef>
              <c:f>'antib vs antib+UV'!$E$24</c:f>
              <c:numCache>
                <c:formatCode>0.0</c:formatCode>
                <c:ptCount val="1"/>
                <c:pt idx="0">
                  <c:v>26.133333333333336</c:v>
                </c:pt>
              </c:numCache>
            </c:numRef>
          </c:val>
        </c:ser>
        <c:ser>
          <c:idx val="5"/>
          <c:order val="6"/>
          <c:tx>
            <c:strRef>
              <c:f>'antib vs antib+UV'!$A$78</c:f>
              <c:strCache>
                <c:ptCount val="1"/>
                <c:pt idx="0">
                  <c:v>UV+  tetracycline</c:v>
                </c:pt>
              </c:strCache>
            </c:strRef>
          </c:tx>
          <c:spPr>
            <a:solidFill>
              <a:srgbClr val="C00000"/>
            </a:solidFill>
            <a:ln w="12700">
              <a:solidFill>
                <a:sysClr val="windowText" lastClr="000000"/>
              </a:solidFill>
              <a:prstDash val="solid"/>
            </a:ln>
          </c:spPr>
          <c:invertIfNegative val="0"/>
          <c:errBars>
            <c:errBarType val="both"/>
            <c:errValType val="cust"/>
            <c:noEndCap val="0"/>
            <c:plus>
              <c:numRef>
                <c:f>'antib vs antib+UV'!$F$16</c:f>
                <c:numCache>
                  <c:formatCode>General</c:formatCode>
                  <c:ptCount val="1"/>
                  <c:pt idx="0">
                    <c:v>1.5275252316519405</c:v>
                  </c:pt>
                </c:numCache>
              </c:numRef>
            </c:plus>
            <c:minus>
              <c:numRef>
                <c:f>'antib vs antib+UV'!$F$16</c:f>
                <c:numCache>
                  <c:formatCode>General</c:formatCode>
                  <c:ptCount val="1"/>
                  <c:pt idx="0">
                    <c:v>1.5275252316519405</c:v>
                  </c:pt>
                </c:numCache>
              </c:numRef>
            </c:minus>
            <c:spPr>
              <a:solidFill>
                <a:schemeClr val="accent2">
                  <a:lumMod val="75000"/>
                </a:schemeClr>
              </a:solidFill>
              <a:ln w="12700">
                <a:solidFill>
                  <a:srgbClr val="000000"/>
                </a:solidFill>
                <a:prstDash val="solid"/>
              </a:ln>
            </c:spPr>
          </c:errBars>
          <c:cat>
            <c:numRef>
              <c:f>'no phi summary '!$K$53</c:f>
              <c:numCache>
                <c:formatCode>General</c:formatCode>
                <c:ptCount val="1"/>
              </c:numCache>
            </c:numRef>
          </c:cat>
          <c:val>
            <c:numRef>
              <c:f>'antib vs antib+UV'!$E$15</c:f>
              <c:numCache>
                <c:formatCode>0.0</c:formatCode>
                <c:ptCount val="1"/>
                <c:pt idx="0">
                  <c:v>10.777777777777755</c:v>
                </c:pt>
              </c:numCache>
            </c:numRef>
          </c:val>
        </c:ser>
        <c:ser>
          <c:idx val="2"/>
          <c:order val="7"/>
          <c:tx>
            <c:strRef>
              <c:f>'antib vs antib+UV'!$A$75</c:f>
              <c:strCache>
                <c:ptCount val="1"/>
                <c:pt idx="0">
                  <c:v>UV+  trimethoprim</c:v>
                </c:pt>
              </c:strCache>
            </c:strRef>
          </c:tx>
          <c:spPr>
            <a:solidFill>
              <a:srgbClr val="FFFF00"/>
            </a:solidFill>
            <a:ln w="12700">
              <a:solidFill>
                <a:srgbClr val="000000"/>
              </a:solidFill>
              <a:prstDash val="solid"/>
            </a:ln>
          </c:spPr>
          <c:invertIfNegative val="0"/>
          <c:errBars>
            <c:errBarType val="both"/>
            <c:errValType val="cust"/>
            <c:noEndCap val="0"/>
            <c:plus>
              <c:numRef>
                <c:f>'antib vs antib+UV'!$F$10</c:f>
                <c:numCache>
                  <c:formatCode>General</c:formatCode>
                  <c:ptCount val="1"/>
                  <c:pt idx="0">
                    <c:v>19.36874152205457</c:v>
                  </c:pt>
                </c:numCache>
              </c:numRef>
            </c:plus>
            <c:minus>
              <c:numRef>
                <c:f>'antib vs antib+UV'!$F$10</c:f>
                <c:numCache>
                  <c:formatCode>General</c:formatCode>
                  <c:ptCount val="1"/>
                  <c:pt idx="0">
                    <c:v>19.36874152205457</c:v>
                  </c:pt>
                </c:numCache>
              </c:numRef>
            </c:minus>
            <c:spPr>
              <a:ln w="12700">
                <a:solidFill>
                  <a:srgbClr val="000000"/>
                </a:solidFill>
                <a:prstDash val="solid"/>
              </a:ln>
            </c:spPr>
          </c:errBars>
          <c:cat>
            <c:numRef>
              <c:f>'no phi summary '!$K$53</c:f>
              <c:numCache>
                <c:formatCode>General</c:formatCode>
                <c:ptCount val="1"/>
              </c:numCache>
            </c:numRef>
          </c:cat>
          <c:val>
            <c:numRef>
              <c:f>'antib vs antib+UV'!$E$10</c:f>
              <c:numCache>
                <c:formatCode>0.0</c:formatCode>
                <c:ptCount val="1"/>
                <c:pt idx="0">
                  <c:v>368.11111111111103</c:v>
                </c:pt>
              </c:numCache>
            </c:numRef>
          </c:val>
        </c:ser>
        <c:ser>
          <c:idx val="1"/>
          <c:order val="8"/>
          <c:tx>
            <c:strRef>
              <c:f>'antib vs antib+UV'!$A$74</c:f>
              <c:strCache>
                <c:ptCount val="1"/>
                <c:pt idx="0">
                  <c:v>UV+  erythromycin</c:v>
                </c:pt>
              </c:strCache>
            </c:strRef>
          </c:tx>
          <c:spPr>
            <a:solidFill>
              <a:srgbClr val="FF0000"/>
            </a:solidFill>
            <a:ln w="12700">
              <a:solidFill>
                <a:srgbClr val="000000"/>
              </a:solidFill>
              <a:prstDash val="solid"/>
            </a:ln>
          </c:spPr>
          <c:invertIfNegative val="0"/>
          <c:errBars>
            <c:errBarType val="both"/>
            <c:errValType val="cust"/>
            <c:noEndCap val="0"/>
            <c:plus>
              <c:numRef>
                <c:f>'antib vs antib+UV'!$F$7</c:f>
                <c:numCache>
                  <c:formatCode>General</c:formatCode>
                  <c:ptCount val="1"/>
                  <c:pt idx="0">
                    <c:v>1.8954135676924431</c:v>
                  </c:pt>
                </c:numCache>
              </c:numRef>
            </c:plus>
            <c:minus>
              <c:numRef>
                <c:f>'antib vs antib+UV'!$F$7</c:f>
                <c:numCache>
                  <c:formatCode>General</c:formatCode>
                  <c:ptCount val="1"/>
                  <c:pt idx="0">
                    <c:v>1.8954135676924431</c:v>
                  </c:pt>
                </c:numCache>
              </c:numRef>
            </c:minus>
            <c:spPr>
              <a:ln w="12700">
                <a:solidFill>
                  <a:srgbClr val="000000"/>
                </a:solidFill>
                <a:prstDash val="solid"/>
              </a:ln>
            </c:spPr>
          </c:errBars>
          <c:cat>
            <c:numRef>
              <c:f>'no phi summary '!$K$53</c:f>
              <c:numCache>
                <c:formatCode>General</c:formatCode>
                <c:ptCount val="1"/>
              </c:numCache>
            </c:numRef>
          </c:cat>
          <c:val>
            <c:numRef>
              <c:f>'antib vs antib+UV'!$E$8</c:f>
              <c:numCache>
                <c:formatCode>0.0</c:formatCode>
                <c:ptCount val="1"/>
                <c:pt idx="0">
                  <c:v>23.777777777777768</c:v>
                </c:pt>
              </c:numCache>
            </c:numRef>
          </c:val>
        </c:ser>
        <c:ser>
          <c:idx val="3"/>
          <c:order val="9"/>
          <c:tx>
            <c:strRef>
              <c:f>'antib vs antib+UV'!$A$76</c:f>
              <c:strCache>
                <c:ptCount val="1"/>
                <c:pt idx="0">
                  <c:v>UV + mupirocin</c:v>
                </c:pt>
              </c:strCache>
            </c:strRef>
          </c:tx>
          <c:spPr>
            <a:solidFill>
              <a:srgbClr val="7030A0"/>
            </a:solidFill>
            <a:ln w="12700">
              <a:solidFill>
                <a:srgbClr val="000000"/>
              </a:solidFill>
              <a:prstDash val="solid"/>
            </a:ln>
          </c:spPr>
          <c:invertIfNegative val="0"/>
          <c:errBars>
            <c:errBarType val="both"/>
            <c:errValType val="cust"/>
            <c:noEndCap val="0"/>
            <c:plus>
              <c:numRef>
                <c:f>'antib vs antib+UV'!$F$12</c:f>
                <c:numCache>
                  <c:formatCode>General</c:formatCode>
                  <c:ptCount val="1"/>
                  <c:pt idx="0">
                    <c:v>2.4570382652773319</c:v>
                  </c:pt>
                </c:numCache>
              </c:numRef>
            </c:plus>
            <c:minus>
              <c:numRef>
                <c:f>'antib vs antib+UV'!$F$12</c:f>
                <c:numCache>
                  <c:formatCode>General</c:formatCode>
                  <c:ptCount val="1"/>
                  <c:pt idx="0">
                    <c:v>2.4570382652773319</c:v>
                  </c:pt>
                </c:numCache>
              </c:numRef>
            </c:minus>
            <c:spPr>
              <a:ln w="12700">
                <a:solidFill>
                  <a:srgbClr val="000000"/>
                </a:solidFill>
                <a:prstDash val="solid"/>
              </a:ln>
            </c:spPr>
          </c:errBars>
          <c:cat>
            <c:numRef>
              <c:f>'no phi summary '!$K$53</c:f>
              <c:numCache>
                <c:formatCode>General</c:formatCode>
                <c:ptCount val="1"/>
              </c:numCache>
            </c:numRef>
          </c:cat>
          <c:val>
            <c:numRef>
              <c:f>'antib vs antib+UV'!$E$12</c:f>
              <c:numCache>
                <c:formatCode>0.0</c:formatCode>
                <c:ptCount val="1"/>
                <c:pt idx="0">
                  <c:v>21.222222222222218</c:v>
                </c:pt>
              </c:numCache>
            </c:numRef>
          </c:val>
        </c:ser>
        <c:dLbls>
          <c:showLegendKey val="0"/>
          <c:showVal val="0"/>
          <c:showCatName val="0"/>
          <c:showSerName val="0"/>
          <c:showPercent val="0"/>
          <c:showBubbleSize val="0"/>
        </c:dLbls>
        <c:gapWidth val="150"/>
        <c:axId val="400199544"/>
        <c:axId val="400198368"/>
      </c:barChart>
      <c:catAx>
        <c:axId val="400199544"/>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0" i="0" u="none" strike="noStrike" kern="1200" baseline="0">
                    <a:solidFill>
                      <a:srgbClr val="000000"/>
                    </a:solidFill>
                    <a:latin typeface="Arial"/>
                    <a:ea typeface="Arial"/>
                    <a:cs typeface="Arial"/>
                  </a:defRPr>
                </a:pPr>
                <a:r>
                  <a:rPr lang="en-GB" sz="800" b="0" i="0" baseline="0">
                    <a:effectLst/>
                  </a:rPr>
                  <a:t>Co   A   G  Ce  N   Ci  T   Tr   E   M</a:t>
                </a:r>
                <a:endParaRPr lang="en-GB" sz="800">
                  <a:effectLst/>
                </a:endParaRPr>
              </a:p>
            </c:rich>
          </c:tx>
          <c:layout>
            <c:manualLayout>
              <c:xMode val="edge"/>
              <c:yMode val="edge"/>
              <c:x val="0.18214304239638029"/>
              <c:y val="0.92712853677873475"/>
            </c:manualLayout>
          </c:layout>
          <c:overlay val="0"/>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00198368"/>
        <c:crosses val="autoZero"/>
        <c:auto val="1"/>
        <c:lblAlgn val="ctr"/>
        <c:lblOffset val="100"/>
        <c:tickLblSkip val="1"/>
        <c:tickMarkSkip val="1"/>
        <c:noMultiLvlLbl val="0"/>
      </c:catAx>
      <c:valAx>
        <c:axId val="400198368"/>
        <c:scaling>
          <c:orientation val="minMax"/>
          <c:max val="400"/>
          <c:min val="0"/>
        </c:scaling>
        <c:delete val="0"/>
        <c:axPos val="l"/>
        <c:majorGridlines>
          <c:spPr>
            <a:ln w="3175">
              <a:solidFill>
                <a:srgbClr val="000000"/>
              </a:solidFill>
              <a:prstDash val="solid"/>
            </a:ln>
          </c:spPr>
        </c:majorGridlines>
        <c:title>
          <c:tx>
            <c:rich>
              <a:bodyPr/>
              <a:lstStyle/>
              <a:p>
                <a:pPr>
                  <a:defRPr/>
                </a:pPr>
                <a:r>
                  <a:rPr lang="en-GB"/>
                  <a:t> log</a:t>
                </a:r>
                <a:r>
                  <a:rPr lang="en-GB" baseline="-25000"/>
                  <a:t>10</a:t>
                </a:r>
                <a:r>
                  <a:rPr lang="en-GB" baseline="0"/>
                  <a:t> pfu/ml</a:t>
                </a:r>
                <a:endParaRPr lang="en-GB"/>
              </a:p>
            </c:rich>
          </c:tx>
          <c:overlay val="0"/>
        </c:title>
        <c:numFmt formatCode="General" sourceLinked="0"/>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Calibri"/>
                <a:ea typeface="Calibri"/>
                <a:cs typeface="Calibri"/>
              </a:defRPr>
            </a:pPr>
            <a:endParaRPr lang="en-US"/>
          </a:p>
        </c:txPr>
        <c:crossAx val="400199544"/>
        <c:crosses val="autoZero"/>
        <c:crossBetween val="between"/>
      </c:valAx>
      <c:spPr>
        <a:solidFill>
          <a:schemeClr val="bg1"/>
        </a:solidFill>
        <a:ln w="25400">
          <a:noFill/>
        </a:ln>
      </c:spPr>
    </c:plotArea>
    <c:plotVisOnly val="1"/>
    <c:dispBlanksAs val="gap"/>
    <c:showDLblsOverMax val="0"/>
  </c:chart>
  <c:spPr>
    <a:solidFill>
      <a:schemeClr val="bg1"/>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033481852703083"/>
          <c:y val="0.13711458552280553"/>
          <c:w val="0.49783111937140628"/>
          <c:h val="0.77447115825100921"/>
        </c:manualLayout>
      </c:layout>
      <c:barChart>
        <c:barDir val="col"/>
        <c:grouping val="clustered"/>
        <c:varyColors val="0"/>
        <c:ser>
          <c:idx val="9"/>
          <c:order val="0"/>
          <c:tx>
            <c:strRef>
              <c:f>'induction bu UV and ant'!$A$3</c:f>
              <c:strCache>
                <c:ptCount val="1"/>
                <c:pt idx="0">
                  <c:v>control, UV only</c:v>
                </c:pt>
              </c:strCache>
            </c:strRef>
          </c:tx>
          <c:spPr>
            <a:solidFill>
              <a:schemeClr val="tx1"/>
            </a:solidFill>
            <a:ln>
              <a:solidFill>
                <a:sysClr val="windowText" lastClr="000000"/>
              </a:solidFill>
            </a:ln>
          </c:spPr>
          <c:invertIfNegative val="0"/>
          <c:errBars>
            <c:errBarType val="both"/>
            <c:errValType val="cust"/>
            <c:noEndCap val="0"/>
            <c:plus>
              <c:numRef>
                <c:f>'induction bu UV and ant'!$F$3</c:f>
                <c:numCache>
                  <c:formatCode>General</c:formatCode>
                  <c:ptCount val="1"/>
                  <c:pt idx="0">
                    <c:v>42.618462352991259</c:v>
                  </c:pt>
                </c:numCache>
              </c:numRef>
            </c:plus>
            <c:minus>
              <c:numRef>
                <c:f>'induction bu UV and ant'!$F$3</c:f>
                <c:numCache>
                  <c:formatCode>General</c:formatCode>
                  <c:ptCount val="1"/>
                  <c:pt idx="0">
                    <c:v>42.618462352991259</c:v>
                  </c:pt>
                </c:numCache>
              </c:numRef>
            </c:minus>
          </c:errBars>
          <c:cat>
            <c:numRef>
              <c:f>'induction antibio'!$D$56</c:f>
              <c:numCache>
                <c:formatCode>General</c:formatCode>
                <c:ptCount val="1"/>
              </c:numCache>
            </c:numRef>
          </c:cat>
          <c:val>
            <c:numRef>
              <c:f>'induction bu UV and ant'!$E$3</c:f>
              <c:numCache>
                <c:formatCode>0.00E+00</c:formatCode>
                <c:ptCount val="1"/>
                <c:pt idx="0">
                  <c:v>2452.6666666666665</c:v>
                </c:pt>
              </c:numCache>
            </c:numRef>
          </c:val>
        </c:ser>
        <c:ser>
          <c:idx val="4"/>
          <c:order val="1"/>
          <c:tx>
            <c:strRef>
              <c:f>'induction bu UV and ant'!$A$69</c:f>
              <c:strCache>
                <c:ptCount val="1"/>
                <c:pt idx="0">
                  <c:v>UV+  ampicillin</c:v>
                </c:pt>
              </c:strCache>
            </c:strRef>
          </c:tx>
          <c:spPr>
            <a:solidFill>
              <a:srgbClr val="00B050"/>
            </a:solidFill>
            <a:ln>
              <a:solidFill>
                <a:sysClr val="windowText" lastClr="000000"/>
              </a:solidFill>
            </a:ln>
          </c:spPr>
          <c:invertIfNegative val="0"/>
          <c:errBars>
            <c:errBarType val="both"/>
            <c:errValType val="cust"/>
            <c:noEndCap val="0"/>
            <c:plus>
              <c:numRef>
                <c:f>'induction bu UV and ant'!$F$12</c:f>
                <c:numCache>
                  <c:formatCode>General</c:formatCode>
                  <c:ptCount val="1"/>
                  <c:pt idx="0">
                    <c:v>92.376043070340117</c:v>
                  </c:pt>
                </c:numCache>
              </c:numRef>
            </c:plus>
            <c:minus>
              <c:numRef>
                <c:f>'induction bu UV and ant'!$F$12</c:f>
                <c:numCache>
                  <c:formatCode>General</c:formatCode>
                  <c:ptCount val="1"/>
                  <c:pt idx="0">
                    <c:v>92.376043070340117</c:v>
                  </c:pt>
                </c:numCache>
              </c:numRef>
            </c:minus>
          </c:errBars>
          <c:cat>
            <c:numRef>
              <c:f>'induction antibio'!$D$56</c:f>
              <c:numCache>
                <c:formatCode>General</c:formatCode>
                <c:ptCount val="1"/>
              </c:numCache>
            </c:numRef>
          </c:cat>
          <c:val>
            <c:numRef>
              <c:f>'induction bu UV and ant'!$E$12</c:f>
              <c:numCache>
                <c:formatCode>0.00E+00</c:formatCode>
                <c:ptCount val="1"/>
                <c:pt idx="0">
                  <c:v>8353.3333333333339</c:v>
                </c:pt>
              </c:numCache>
            </c:numRef>
          </c:val>
        </c:ser>
        <c:ser>
          <c:idx val="7"/>
          <c:order val="2"/>
          <c:tx>
            <c:strRef>
              <c:f>'induction bu UV and ant'!$A$73</c:f>
              <c:strCache>
                <c:ptCount val="1"/>
                <c:pt idx="0">
                  <c:v>UV +  gentamicin</c:v>
                </c:pt>
              </c:strCache>
            </c:strRef>
          </c:tx>
          <c:spPr>
            <a:solidFill>
              <a:schemeClr val="tx2">
                <a:lumMod val="20000"/>
                <a:lumOff val="80000"/>
              </a:schemeClr>
            </a:solidFill>
            <a:ln>
              <a:solidFill>
                <a:sysClr val="windowText" lastClr="000000"/>
              </a:solidFill>
            </a:ln>
          </c:spPr>
          <c:invertIfNegative val="0"/>
          <c:errBars>
            <c:errBarType val="both"/>
            <c:errValType val="cust"/>
            <c:noEndCap val="0"/>
            <c:plus>
              <c:numRef>
                <c:f>'induction bu UV and ant'!$F$18</c:f>
                <c:numCache>
                  <c:formatCode>General</c:formatCode>
                  <c:ptCount val="1"/>
                  <c:pt idx="0">
                    <c:v>414.28653530296162</c:v>
                  </c:pt>
                </c:numCache>
              </c:numRef>
            </c:plus>
            <c:minus>
              <c:numRef>
                <c:f>'induction bu UV and ant'!$F$18</c:f>
                <c:numCache>
                  <c:formatCode>General</c:formatCode>
                  <c:ptCount val="1"/>
                  <c:pt idx="0">
                    <c:v>414.28653530296162</c:v>
                  </c:pt>
                </c:numCache>
              </c:numRef>
            </c:minus>
          </c:errBars>
          <c:cat>
            <c:numRef>
              <c:f>'induction antibio'!$D$56</c:f>
              <c:numCache>
                <c:formatCode>General</c:formatCode>
                <c:ptCount val="1"/>
              </c:numCache>
            </c:numRef>
          </c:cat>
          <c:val>
            <c:numRef>
              <c:f>'induction bu UV and ant'!$E$18</c:f>
              <c:numCache>
                <c:formatCode>0.00E+00</c:formatCode>
                <c:ptCount val="1"/>
                <c:pt idx="0">
                  <c:v>3363.3333333333335</c:v>
                </c:pt>
              </c:numCache>
            </c:numRef>
          </c:val>
        </c:ser>
        <c:ser>
          <c:idx val="6"/>
          <c:order val="3"/>
          <c:tx>
            <c:strRef>
              <c:f>'induction bu UV and ant'!$A$72</c:f>
              <c:strCache>
                <c:ptCount val="1"/>
                <c:pt idx="0">
                  <c:v>UV+  cefoxitin</c:v>
                </c:pt>
              </c:strCache>
            </c:strRef>
          </c:tx>
          <c:spPr>
            <a:solidFill>
              <a:srgbClr val="FFC000"/>
            </a:solidFill>
            <a:ln>
              <a:solidFill>
                <a:sysClr val="windowText" lastClr="000000"/>
              </a:solidFill>
            </a:ln>
          </c:spPr>
          <c:invertIfNegative val="0"/>
          <c:errBars>
            <c:errBarType val="both"/>
            <c:errValType val="cust"/>
            <c:noEndCap val="0"/>
            <c:plus>
              <c:numRef>
                <c:f>'induction bu UV and ant'!$F$16</c:f>
                <c:numCache>
                  <c:formatCode>General</c:formatCode>
                  <c:ptCount val="1"/>
                  <c:pt idx="0">
                    <c:v>15275.252316519425</c:v>
                  </c:pt>
                </c:numCache>
              </c:numRef>
            </c:plus>
            <c:minus>
              <c:numRef>
                <c:f>'induction bu UV and ant'!$F$16</c:f>
                <c:numCache>
                  <c:formatCode>General</c:formatCode>
                  <c:ptCount val="1"/>
                  <c:pt idx="0">
                    <c:v>15275.252316519425</c:v>
                  </c:pt>
                </c:numCache>
              </c:numRef>
            </c:minus>
          </c:errBars>
          <c:cat>
            <c:numRef>
              <c:f>'induction antibio'!$D$56</c:f>
              <c:numCache>
                <c:formatCode>General</c:formatCode>
                <c:ptCount val="1"/>
              </c:numCache>
            </c:numRef>
          </c:cat>
          <c:val>
            <c:numRef>
              <c:f>'induction bu UV and ant'!$E$16</c:f>
              <c:numCache>
                <c:formatCode>0.00E+00</c:formatCode>
                <c:ptCount val="1"/>
                <c:pt idx="0">
                  <c:v>116666.66666666667</c:v>
                </c:pt>
              </c:numCache>
            </c:numRef>
          </c:val>
        </c:ser>
        <c:ser>
          <c:idx val="3"/>
          <c:order val="4"/>
          <c:tx>
            <c:strRef>
              <c:f>'induction bu UV and ant'!$A$71</c:f>
              <c:strCache>
                <c:ptCount val="1"/>
                <c:pt idx="0">
                  <c:v>UV +  novobiocin</c:v>
                </c:pt>
              </c:strCache>
            </c:strRef>
          </c:tx>
          <c:spPr>
            <a:solidFill>
              <a:schemeClr val="bg1">
                <a:lumMod val="65000"/>
              </a:schemeClr>
            </a:solidFill>
            <a:ln>
              <a:solidFill>
                <a:sysClr val="windowText" lastClr="000000"/>
              </a:solidFill>
            </a:ln>
          </c:spPr>
          <c:invertIfNegative val="0"/>
          <c:errBars>
            <c:errBarType val="both"/>
            <c:errValType val="cust"/>
            <c:noEndCap val="0"/>
            <c:plus>
              <c:numRef>
                <c:f>'induction bu UV and ant'!$F$10</c:f>
                <c:numCache>
                  <c:formatCode>General</c:formatCode>
                  <c:ptCount val="1"/>
                  <c:pt idx="0">
                    <c:v>1252.5706899545964</c:v>
                  </c:pt>
                </c:numCache>
              </c:numRef>
            </c:plus>
            <c:minus>
              <c:numRef>
                <c:f>'induction bu UV and ant'!$F$10</c:f>
                <c:numCache>
                  <c:formatCode>General</c:formatCode>
                  <c:ptCount val="1"/>
                  <c:pt idx="0">
                    <c:v>1252.5706899545964</c:v>
                  </c:pt>
                </c:numCache>
              </c:numRef>
            </c:minus>
          </c:errBars>
          <c:cat>
            <c:numRef>
              <c:f>'induction antibio'!$D$56</c:f>
              <c:numCache>
                <c:formatCode>General</c:formatCode>
                <c:ptCount val="1"/>
              </c:numCache>
            </c:numRef>
          </c:cat>
          <c:val>
            <c:numRef>
              <c:f>'induction bu UV and ant'!$E$10</c:f>
              <c:numCache>
                <c:formatCode>0.00E+00</c:formatCode>
                <c:ptCount val="1"/>
                <c:pt idx="0">
                  <c:v>3146.6666666666665</c:v>
                </c:pt>
              </c:numCache>
            </c:numRef>
          </c:val>
        </c:ser>
        <c:ser>
          <c:idx val="8"/>
          <c:order val="5"/>
          <c:tx>
            <c:strRef>
              <c:f>'induction bu UV and ant'!$A$74</c:f>
              <c:strCache>
                <c:ptCount val="1"/>
                <c:pt idx="0">
                  <c:v>UV +  ciprofloxacin</c:v>
                </c:pt>
              </c:strCache>
            </c:strRef>
          </c:tx>
          <c:spPr>
            <a:solidFill>
              <a:srgbClr val="00B0F0"/>
            </a:solidFill>
            <a:ln>
              <a:solidFill>
                <a:sysClr val="windowText" lastClr="000000"/>
              </a:solidFill>
            </a:ln>
          </c:spPr>
          <c:invertIfNegative val="0"/>
          <c:errBars>
            <c:errBarType val="both"/>
            <c:errValType val="cust"/>
            <c:noEndCap val="0"/>
            <c:plus>
              <c:numRef>
                <c:f>'induction bu UV and ant'!$F$20</c:f>
                <c:numCache>
                  <c:formatCode>General</c:formatCode>
                  <c:ptCount val="1"/>
                  <c:pt idx="0">
                    <c:v>529.15026221291816</c:v>
                  </c:pt>
                </c:numCache>
              </c:numRef>
            </c:plus>
            <c:minus>
              <c:numRef>
                <c:f>'induction bu UV and ant'!$F$20</c:f>
                <c:numCache>
                  <c:formatCode>General</c:formatCode>
                  <c:ptCount val="1"/>
                  <c:pt idx="0">
                    <c:v>529.15026221291816</c:v>
                  </c:pt>
                </c:numCache>
              </c:numRef>
            </c:minus>
          </c:errBars>
          <c:cat>
            <c:numRef>
              <c:f>'induction antibio'!$D$56</c:f>
              <c:numCache>
                <c:formatCode>General</c:formatCode>
                <c:ptCount val="1"/>
              </c:numCache>
            </c:numRef>
          </c:cat>
          <c:val>
            <c:numRef>
              <c:f>'induction bu UV and ant'!$E$20</c:f>
              <c:numCache>
                <c:formatCode>0.00E+00</c:formatCode>
                <c:ptCount val="1"/>
                <c:pt idx="0">
                  <c:v>8400</c:v>
                </c:pt>
              </c:numCache>
            </c:numRef>
          </c:val>
        </c:ser>
        <c:ser>
          <c:idx val="5"/>
          <c:order val="6"/>
          <c:tx>
            <c:strRef>
              <c:f>'induction bu UV and ant'!$A$70</c:f>
              <c:strCache>
                <c:ptCount val="1"/>
                <c:pt idx="0">
                  <c:v>UV+  tetracycline</c:v>
                </c:pt>
              </c:strCache>
            </c:strRef>
          </c:tx>
          <c:spPr>
            <a:solidFill>
              <a:srgbClr val="C00000"/>
            </a:solidFill>
            <a:ln>
              <a:solidFill>
                <a:sysClr val="windowText" lastClr="000000"/>
              </a:solidFill>
            </a:ln>
          </c:spPr>
          <c:invertIfNegative val="0"/>
          <c:errBars>
            <c:errBarType val="both"/>
            <c:errValType val="cust"/>
            <c:noEndCap val="0"/>
            <c:plus>
              <c:numRef>
                <c:f>'induction bu UV and ant'!$F$14</c:f>
                <c:numCache>
                  <c:formatCode>General</c:formatCode>
                  <c:ptCount val="1"/>
                  <c:pt idx="0">
                    <c:v>10.392304845413264</c:v>
                  </c:pt>
                </c:numCache>
              </c:numRef>
            </c:plus>
            <c:minus>
              <c:numRef>
                <c:f>'induction bu UV and ant'!$F$14</c:f>
                <c:numCache>
                  <c:formatCode>General</c:formatCode>
                  <c:ptCount val="1"/>
                  <c:pt idx="0">
                    <c:v>10.392304845413264</c:v>
                  </c:pt>
                </c:numCache>
              </c:numRef>
            </c:minus>
          </c:errBars>
          <c:cat>
            <c:numRef>
              <c:f>'induction antibio'!$D$56</c:f>
              <c:numCache>
                <c:formatCode>General</c:formatCode>
                <c:ptCount val="1"/>
              </c:numCache>
            </c:numRef>
          </c:cat>
          <c:val>
            <c:numRef>
              <c:f>'induction bu UV and ant'!$E$14</c:f>
              <c:numCache>
                <c:formatCode>0.00E+00</c:formatCode>
                <c:ptCount val="1"/>
                <c:pt idx="0">
                  <c:v>16</c:v>
                </c:pt>
              </c:numCache>
            </c:numRef>
          </c:val>
        </c:ser>
        <c:ser>
          <c:idx val="1"/>
          <c:order val="7"/>
          <c:tx>
            <c:strRef>
              <c:f>'induction bu UV and ant'!$A$67</c:f>
              <c:strCache>
                <c:ptCount val="1"/>
                <c:pt idx="0">
                  <c:v>UV+  trimethoprim</c:v>
                </c:pt>
              </c:strCache>
            </c:strRef>
          </c:tx>
          <c:spPr>
            <a:solidFill>
              <a:srgbClr val="FFFF00"/>
            </a:solidFill>
            <a:ln>
              <a:solidFill>
                <a:sysClr val="windowText" lastClr="000000"/>
              </a:solidFill>
            </a:ln>
          </c:spPr>
          <c:invertIfNegative val="0"/>
          <c:errBars>
            <c:errBarType val="both"/>
            <c:errValType val="cust"/>
            <c:noEndCap val="0"/>
            <c:plus>
              <c:numRef>
                <c:f>'induction bu UV and ant'!$F$6</c:f>
                <c:numCache>
                  <c:formatCode>General</c:formatCode>
                  <c:ptCount val="1"/>
                  <c:pt idx="0">
                    <c:v>4618.8021535170064</c:v>
                  </c:pt>
                </c:numCache>
              </c:numRef>
            </c:plus>
            <c:minus>
              <c:numRef>
                <c:f>'induction bu UV and ant'!$F$6</c:f>
                <c:numCache>
                  <c:formatCode>General</c:formatCode>
                  <c:ptCount val="1"/>
                  <c:pt idx="0">
                    <c:v>4618.8021535170064</c:v>
                  </c:pt>
                </c:numCache>
              </c:numRef>
            </c:minus>
          </c:errBars>
          <c:cat>
            <c:numRef>
              <c:f>'induction antibio'!$D$56</c:f>
              <c:numCache>
                <c:formatCode>General</c:formatCode>
                <c:ptCount val="1"/>
              </c:numCache>
            </c:numRef>
          </c:cat>
          <c:val>
            <c:numRef>
              <c:f>'induction bu UV and ant'!$E$6</c:f>
              <c:numCache>
                <c:formatCode>0.00E+00</c:formatCode>
                <c:ptCount val="1"/>
                <c:pt idx="0">
                  <c:v>222666.66666666666</c:v>
                </c:pt>
              </c:numCache>
            </c:numRef>
          </c:val>
        </c:ser>
        <c:ser>
          <c:idx val="0"/>
          <c:order val="8"/>
          <c:tx>
            <c:strRef>
              <c:f>'induction bu UV and ant'!$A$66</c:f>
              <c:strCache>
                <c:ptCount val="1"/>
                <c:pt idx="0">
                  <c:v>UV+  erythromycin</c:v>
                </c:pt>
              </c:strCache>
            </c:strRef>
          </c:tx>
          <c:spPr>
            <a:solidFill>
              <a:srgbClr val="FF0000"/>
            </a:solidFill>
            <a:ln>
              <a:solidFill>
                <a:sysClr val="windowText" lastClr="000000"/>
              </a:solidFill>
            </a:ln>
          </c:spPr>
          <c:invertIfNegative val="0"/>
          <c:errBars>
            <c:errBarType val="both"/>
            <c:errValType val="cust"/>
            <c:noEndCap val="0"/>
            <c:plus>
              <c:numRef>
                <c:f>'induction bu UV and ant'!$F$4</c:f>
                <c:numCache>
                  <c:formatCode>General</c:formatCode>
                  <c:ptCount val="1"/>
                  <c:pt idx="0">
                    <c:v>458.25756949558399</c:v>
                  </c:pt>
                </c:numCache>
              </c:numRef>
            </c:plus>
            <c:minus>
              <c:numRef>
                <c:f>'induction bu UV and ant'!$F$4</c:f>
                <c:numCache>
                  <c:formatCode>General</c:formatCode>
                  <c:ptCount val="1"/>
                  <c:pt idx="0">
                    <c:v>458.25756949558399</c:v>
                  </c:pt>
                </c:numCache>
              </c:numRef>
            </c:minus>
          </c:errBars>
          <c:cat>
            <c:numRef>
              <c:f>'induction antibio'!$D$56</c:f>
              <c:numCache>
                <c:formatCode>General</c:formatCode>
                <c:ptCount val="1"/>
              </c:numCache>
            </c:numRef>
          </c:cat>
          <c:val>
            <c:numRef>
              <c:f>'induction bu UV and ant'!$E$4</c:f>
              <c:numCache>
                <c:formatCode>0.00E+00</c:formatCode>
                <c:ptCount val="1"/>
                <c:pt idx="0">
                  <c:v>23900</c:v>
                </c:pt>
              </c:numCache>
            </c:numRef>
          </c:val>
        </c:ser>
        <c:ser>
          <c:idx val="2"/>
          <c:order val="9"/>
          <c:tx>
            <c:strRef>
              <c:f>'induction bu UV and ant'!$A$68</c:f>
              <c:strCache>
                <c:ptCount val="1"/>
                <c:pt idx="0">
                  <c:v>UV + mupirocin</c:v>
                </c:pt>
              </c:strCache>
            </c:strRef>
          </c:tx>
          <c:spPr>
            <a:solidFill>
              <a:srgbClr val="7030A0"/>
            </a:solidFill>
            <a:ln>
              <a:solidFill>
                <a:sysClr val="windowText" lastClr="000000"/>
              </a:solidFill>
            </a:ln>
          </c:spPr>
          <c:invertIfNegative val="0"/>
          <c:errBars>
            <c:errBarType val="both"/>
            <c:errValType val="cust"/>
            <c:noEndCap val="0"/>
            <c:plus>
              <c:numRef>
                <c:f>'induction bu UV and ant'!$F$8</c:f>
                <c:numCache>
                  <c:formatCode>General</c:formatCode>
                  <c:ptCount val="1"/>
                  <c:pt idx="0">
                    <c:v>21.221058723196009</c:v>
                  </c:pt>
                </c:numCache>
              </c:numRef>
            </c:plus>
            <c:minus>
              <c:numRef>
                <c:f>'induction bu UV and ant'!$F$8</c:f>
                <c:numCache>
                  <c:formatCode>General</c:formatCode>
                  <c:ptCount val="1"/>
                  <c:pt idx="0">
                    <c:v>21.221058723196009</c:v>
                  </c:pt>
                </c:numCache>
              </c:numRef>
            </c:minus>
          </c:errBars>
          <c:cat>
            <c:numRef>
              <c:f>'induction antibio'!$D$56</c:f>
              <c:numCache>
                <c:formatCode>General</c:formatCode>
                <c:ptCount val="1"/>
              </c:numCache>
            </c:numRef>
          </c:cat>
          <c:val>
            <c:numRef>
              <c:f>'induction bu UV and ant'!$E$8</c:f>
              <c:numCache>
                <c:formatCode>0.00E+00</c:formatCode>
                <c:ptCount val="1"/>
                <c:pt idx="0">
                  <c:v>50.333333333333336</c:v>
                </c:pt>
              </c:numCache>
            </c:numRef>
          </c:val>
        </c:ser>
        <c:dLbls>
          <c:showLegendKey val="0"/>
          <c:showVal val="0"/>
          <c:showCatName val="0"/>
          <c:showSerName val="0"/>
          <c:showPercent val="0"/>
          <c:showBubbleSize val="0"/>
        </c:dLbls>
        <c:gapWidth val="150"/>
        <c:axId val="400201112"/>
        <c:axId val="400202288"/>
      </c:barChart>
      <c:catAx>
        <c:axId val="400201112"/>
        <c:scaling>
          <c:orientation val="minMax"/>
        </c:scaling>
        <c:delete val="1"/>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rgbClr val="000000"/>
                    </a:solidFill>
                    <a:latin typeface="Calibri"/>
                    <a:ea typeface="Calibri"/>
                    <a:cs typeface="Calibri"/>
                  </a:defRPr>
                </a:pPr>
                <a:r>
                  <a:rPr lang="en-GB" sz="800" b="0" i="0" baseline="0">
                    <a:effectLst/>
                    <a:latin typeface="Arial" panose="020B0604020202020204" pitchFamily="34" charset="0"/>
                    <a:cs typeface="Arial" panose="020B0604020202020204" pitchFamily="34" charset="0"/>
                  </a:rPr>
                  <a:t>Co   A   G  Ce  N   Ci  T   Tr   E   M</a:t>
                </a:r>
              </a:p>
            </c:rich>
          </c:tx>
          <c:layout>
            <c:manualLayout>
              <c:xMode val="edge"/>
              <c:yMode val="edge"/>
              <c:x val="0.17624021970910117"/>
              <c:y val="0.90556947835319346"/>
            </c:manualLayout>
          </c:layout>
          <c:overlay val="0"/>
        </c:title>
        <c:numFmt formatCode="General" sourceLinked="1"/>
        <c:majorTickMark val="out"/>
        <c:minorTickMark val="none"/>
        <c:tickLblPos val="nextTo"/>
        <c:crossAx val="400202288"/>
        <c:crosses val="autoZero"/>
        <c:auto val="1"/>
        <c:lblAlgn val="ctr"/>
        <c:lblOffset val="100"/>
        <c:noMultiLvlLbl val="0"/>
      </c:catAx>
      <c:valAx>
        <c:axId val="400202288"/>
        <c:scaling>
          <c:logBase val="10"/>
          <c:orientation val="minMax"/>
        </c:scaling>
        <c:delete val="0"/>
        <c:axPos val="l"/>
        <c:majorGridlines/>
        <c:numFmt formatCode="General" sourceLinked="0"/>
        <c:majorTickMark val="out"/>
        <c:minorTickMark val="none"/>
        <c:tickLblPos val="nextTo"/>
        <c:txPr>
          <a:bodyPr rot="0" vert="horz"/>
          <a:lstStyle/>
          <a:p>
            <a:pPr>
              <a:defRPr sz="600" b="0" i="0" u="none" strike="noStrike" baseline="0">
                <a:solidFill>
                  <a:srgbClr val="000000"/>
                </a:solidFill>
                <a:latin typeface="Calibri"/>
                <a:ea typeface="Calibri"/>
                <a:cs typeface="Calibri"/>
              </a:defRPr>
            </a:pPr>
            <a:endParaRPr lang="en-US"/>
          </a:p>
        </c:txPr>
        <c:crossAx val="400201112"/>
        <c:crosses val="autoZero"/>
        <c:crossBetween val="between"/>
        <c:majorUnit val="10"/>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774552933358578"/>
          <c:y val="0.13195814648729448"/>
          <c:w val="0.69781376337858769"/>
          <c:h val="0.68562221202170359"/>
        </c:manualLayout>
      </c:layout>
      <c:scatterChart>
        <c:scatterStyle val="lineMarker"/>
        <c:varyColors val="0"/>
        <c:ser>
          <c:idx val="0"/>
          <c:order val="0"/>
          <c:spPr>
            <a:ln w="28575">
              <a:noFill/>
            </a:ln>
          </c:spPr>
          <c:marker>
            <c:symbol val="circle"/>
            <c:size val="5"/>
            <c:spPr>
              <a:solidFill>
                <a:schemeClr val="tx1"/>
              </a:solidFill>
              <a:ln w="9525">
                <a:solidFill>
                  <a:schemeClr val="tx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tx1"/>
                </a:solidFill>
                <a:prstDash val="sysDot"/>
              </a:ln>
              <a:effectLst/>
            </c:spPr>
            <c:trendlineType val="linear"/>
            <c:dispRSqr val="1"/>
            <c:dispEq val="0"/>
            <c:trendlineLbl>
              <c:layout>
                <c:manualLayout>
                  <c:x val="-5.1132764654418197E-2"/>
                  <c:y val="3.2179206765820936E-2"/>
                </c:manualLayout>
              </c:layout>
              <c:numFmt formatCode="General" sourceLinked="0"/>
              <c:spPr>
                <a:noFill/>
                <a:ln w="25400">
                  <a:noFill/>
                </a:ln>
              </c:spPr>
              <c:txPr>
                <a:bodyPr/>
                <a:lstStyle/>
                <a:p>
                  <a:pPr>
                    <a:defRPr sz="1000" b="0" i="0" u="none" strike="noStrike" baseline="0">
                      <a:solidFill>
                        <a:srgbClr val="000000"/>
                      </a:solidFill>
                      <a:latin typeface="Calibri"/>
                      <a:ea typeface="Calibri"/>
                      <a:cs typeface="Calibri"/>
                    </a:defRPr>
                  </a:pPr>
                  <a:endParaRPr lang="en-US"/>
                </a:p>
              </c:txPr>
            </c:trendlineLbl>
          </c:trendline>
          <c:xVal>
            <c:numRef>
              <c:f>'antib vs antib+UV'!$C$53:$C$61</c:f>
              <c:numCache>
                <c:formatCode>General</c:formatCode>
                <c:ptCount val="9"/>
                <c:pt idx="0">
                  <c:v>8.3333333333333339</c:v>
                </c:pt>
                <c:pt idx="1">
                  <c:v>21.222222222222218</c:v>
                </c:pt>
                <c:pt idx="2">
                  <c:v>12</c:v>
                </c:pt>
                <c:pt idx="3">
                  <c:v>7.5555555555555545</c:v>
                </c:pt>
                <c:pt idx="4">
                  <c:v>26.133333333333336</c:v>
                </c:pt>
                <c:pt idx="5">
                  <c:v>193.44444444444443</c:v>
                </c:pt>
                <c:pt idx="6">
                  <c:v>368.11111111111097</c:v>
                </c:pt>
                <c:pt idx="7">
                  <c:v>23.777777777777768</c:v>
                </c:pt>
                <c:pt idx="8">
                  <c:v>24.777777777777757</c:v>
                </c:pt>
              </c:numCache>
            </c:numRef>
          </c:xVal>
          <c:yVal>
            <c:numRef>
              <c:f>'antib vs antib+UV'!$D$53:$D$61</c:f>
              <c:numCache>
                <c:formatCode>General</c:formatCode>
                <c:ptCount val="9"/>
                <c:pt idx="0">
                  <c:v>3146.6666666666665</c:v>
                </c:pt>
                <c:pt idx="1">
                  <c:v>50.333333333333336</c:v>
                </c:pt>
                <c:pt idx="2">
                  <c:v>16</c:v>
                </c:pt>
                <c:pt idx="3">
                  <c:v>3363.3333333333335</c:v>
                </c:pt>
                <c:pt idx="4">
                  <c:v>8400</c:v>
                </c:pt>
                <c:pt idx="5">
                  <c:v>133333.33333333334</c:v>
                </c:pt>
                <c:pt idx="6">
                  <c:v>222666.66666666666</c:v>
                </c:pt>
                <c:pt idx="7">
                  <c:v>24566.666666666668</c:v>
                </c:pt>
                <c:pt idx="8">
                  <c:v>8353.3333333333339</c:v>
                </c:pt>
              </c:numCache>
            </c:numRef>
          </c:yVal>
          <c:smooth val="0"/>
        </c:ser>
        <c:dLbls>
          <c:showLegendKey val="0"/>
          <c:showVal val="0"/>
          <c:showCatName val="0"/>
          <c:showSerName val="0"/>
          <c:showPercent val="0"/>
          <c:showBubbleSize val="0"/>
        </c:dLbls>
        <c:axId val="393574304"/>
        <c:axId val="393573912"/>
      </c:scatterChart>
      <c:valAx>
        <c:axId val="393574304"/>
        <c:scaling>
          <c:orientation val="minMax"/>
        </c:scaling>
        <c:delete val="0"/>
        <c:axPos val="b"/>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000000"/>
                    </a:solidFill>
                    <a:latin typeface="Calibri"/>
                    <a:ea typeface="Calibri"/>
                    <a:cs typeface="Calibri"/>
                  </a:defRPr>
                </a:pPr>
                <a:r>
                  <a:rPr lang="en-GB" sz="1000"/>
                  <a:t>transductant cells/mL</a:t>
                </a:r>
              </a:p>
            </c:rich>
          </c:tx>
          <c:overlay val="0"/>
          <c:spPr>
            <a:noFill/>
            <a:ln w="25400">
              <a:noFill/>
            </a:ln>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000000"/>
                </a:solidFill>
                <a:latin typeface="Calibri"/>
                <a:ea typeface="Calibri"/>
                <a:cs typeface="Calibri"/>
              </a:defRPr>
            </a:pPr>
            <a:endParaRPr lang="en-US"/>
          </a:p>
        </c:txPr>
        <c:crossAx val="393573912"/>
        <c:crosses val="autoZero"/>
        <c:crossBetween val="midCat"/>
      </c:valAx>
      <c:valAx>
        <c:axId val="393573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000000"/>
                    </a:solidFill>
                    <a:latin typeface="Calibri"/>
                    <a:ea typeface="Calibri"/>
                    <a:cs typeface="Calibri"/>
                  </a:defRPr>
                </a:pPr>
                <a:r>
                  <a:rPr lang="en-GB" sz="1000"/>
                  <a:t>pfu/mL</a:t>
                </a:r>
              </a:p>
            </c:rich>
          </c:tx>
          <c:layout>
            <c:manualLayout>
              <c:xMode val="edge"/>
              <c:yMode val="edge"/>
              <c:x val="9.3386566115855243E-3"/>
              <c:y val="0.4081298621456102"/>
            </c:manualLayout>
          </c:layout>
          <c:overlay val="0"/>
          <c:spPr>
            <a:noFill/>
            <a:ln w="25400">
              <a:noFill/>
            </a:ln>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000000"/>
                </a:solidFill>
                <a:latin typeface="Calibri"/>
                <a:ea typeface="Calibri"/>
                <a:cs typeface="Calibri"/>
              </a:defRPr>
            </a:pPr>
            <a:endParaRPr lang="en-US"/>
          </a:p>
        </c:txPr>
        <c:crossAx val="393574304"/>
        <c:crosses val="autoZero"/>
        <c:crossBetween val="midCat"/>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420197569077309"/>
          <c:y val="8.7087894500992261E-2"/>
          <c:w val="0.73150571107343754"/>
          <c:h val="0.80387643852210777"/>
        </c:manualLayout>
      </c:layout>
      <c:barChart>
        <c:barDir val="col"/>
        <c:grouping val="clustered"/>
        <c:varyColors val="0"/>
        <c:ser>
          <c:idx val="1"/>
          <c:order val="0"/>
          <c:tx>
            <c:strRef>
              <c:f>'combination summary'!$H$3</c:f>
              <c:strCache>
                <c:ptCount val="1"/>
              </c:strCache>
            </c:strRef>
          </c:tx>
          <c:spPr>
            <a:ln>
              <a:solidFill>
                <a:sysClr val="windowText" lastClr="000000"/>
              </a:solidFill>
            </a:ln>
          </c:spPr>
          <c:invertIfNegative val="0"/>
          <c:dPt>
            <c:idx val="0"/>
            <c:invertIfNegative val="0"/>
            <c:bubble3D val="0"/>
            <c:spPr>
              <a:solidFill>
                <a:schemeClr val="tx1"/>
              </a:solidFill>
              <a:ln>
                <a:solidFill>
                  <a:sysClr val="windowText" lastClr="000000"/>
                </a:solidFill>
              </a:ln>
            </c:spPr>
          </c:dPt>
          <c:dPt>
            <c:idx val="1"/>
            <c:invertIfNegative val="0"/>
            <c:bubble3D val="0"/>
            <c:spPr>
              <a:solidFill>
                <a:srgbClr val="00B050"/>
              </a:solidFill>
              <a:ln>
                <a:solidFill>
                  <a:sysClr val="windowText" lastClr="000000"/>
                </a:solidFill>
              </a:ln>
            </c:spPr>
          </c:dPt>
          <c:dPt>
            <c:idx val="2"/>
            <c:invertIfNegative val="0"/>
            <c:bubble3D val="0"/>
            <c:spPr>
              <a:solidFill>
                <a:srgbClr val="FFC000"/>
              </a:solidFill>
              <a:ln>
                <a:solidFill>
                  <a:sysClr val="windowText" lastClr="000000"/>
                </a:solidFill>
              </a:ln>
            </c:spPr>
          </c:dPt>
          <c:dPt>
            <c:idx val="3"/>
            <c:invertIfNegative val="0"/>
            <c:bubble3D val="0"/>
            <c:spPr>
              <a:solidFill>
                <a:srgbClr val="00B0F0"/>
              </a:solidFill>
              <a:ln>
                <a:solidFill>
                  <a:sysClr val="windowText" lastClr="000000"/>
                </a:solidFill>
              </a:ln>
            </c:spPr>
          </c:dPt>
          <c:dPt>
            <c:idx val="4"/>
            <c:invertIfNegative val="0"/>
            <c:bubble3D val="0"/>
            <c:spPr>
              <a:solidFill>
                <a:srgbClr val="FFFF00"/>
              </a:solidFill>
              <a:ln>
                <a:solidFill>
                  <a:sysClr val="windowText" lastClr="000000"/>
                </a:solidFill>
              </a:ln>
            </c:spPr>
          </c:dPt>
          <c:dPt>
            <c:idx val="5"/>
            <c:invertIfNegative val="0"/>
            <c:bubble3D val="0"/>
            <c:spPr>
              <a:solidFill>
                <a:srgbClr val="7030A0"/>
              </a:solidFill>
              <a:ln>
                <a:solidFill>
                  <a:sysClr val="windowText" lastClr="000000"/>
                </a:solidFill>
              </a:ln>
            </c:spPr>
          </c:dPt>
          <c:errBars>
            <c:errBarType val="both"/>
            <c:errValType val="cust"/>
            <c:noEndCap val="0"/>
            <c:plus>
              <c:numRef>
                <c:f>('combination summary'!$G$6,'combination summary'!$G$23,'combination summary'!$G$7,'combination summary'!$G$19,'combination summary'!$G$15,'combination summary'!$G$11)</c:f>
                <c:numCache>
                  <c:formatCode>General</c:formatCode>
                  <c:ptCount val="6"/>
                  <c:pt idx="0">
                    <c:v>0.36565517048676294</c:v>
                  </c:pt>
                  <c:pt idx="1">
                    <c:v>0.83887049280785819</c:v>
                  </c:pt>
                  <c:pt idx="2">
                    <c:v>2.1430335024428802</c:v>
                  </c:pt>
                  <c:pt idx="3">
                    <c:v>1.0000000000000004</c:v>
                  </c:pt>
                  <c:pt idx="4">
                    <c:v>0.69388866648872538</c:v>
                  </c:pt>
                  <c:pt idx="5">
                    <c:v>2.3412563895228469</c:v>
                  </c:pt>
                </c:numCache>
              </c:numRef>
            </c:plus>
            <c:minus>
              <c:numRef>
                <c:f>('combination summary'!$G$6,'combination summary'!$G$23,'combination summary'!$G$7,'combination summary'!$G$19,'combination summary'!$G$15,'combination summary'!$G$11)</c:f>
                <c:numCache>
                  <c:formatCode>General</c:formatCode>
                  <c:ptCount val="6"/>
                  <c:pt idx="0">
                    <c:v>0.36565517048676294</c:v>
                  </c:pt>
                  <c:pt idx="1">
                    <c:v>0.83887049280785819</c:v>
                  </c:pt>
                  <c:pt idx="2">
                    <c:v>2.1430335024428802</c:v>
                  </c:pt>
                  <c:pt idx="3">
                    <c:v>1.0000000000000004</c:v>
                  </c:pt>
                  <c:pt idx="4">
                    <c:v>0.69388866648872538</c:v>
                  </c:pt>
                  <c:pt idx="5">
                    <c:v>2.3412563895228469</c:v>
                  </c:pt>
                </c:numCache>
              </c:numRef>
            </c:minus>
          </c:errBars>
          <c:val>
            <c:numRef>
              <c:f>('combination summary'!$F$6,'combination summary'!$F$23,'combination summary'!$F$7,'combination summary'!$F$19,'combination summary'!$F$15,'combination summary'!$F$11)</c:f>
              <c:numCache>
                <c:formatCode>0.0</c:formatCode>
                <c:ptCount val="6"/>
                <c:pt idx="0">
                  <c:v>3.1222222222222222</c:v>
                </c:pt>
                <c:pt idx="1">
                  <c:v>3.5555555555555549</c:v>
                </c:pt>
                <c:pt idx="2">
                  <c:v>4.4444444444444438</c:v>
                </c:pt>
                <c:pt idx="3">
                  <c:v>8.3333333333333339</c:v>
                </c:pt>
                <c:pt idx="4">
                  <c:v>8.1111111111111196</c:v>
                </c:pt>
                <c:pt idx="5">
                  <c:v>20.444444444444457</c:v>
                </c:pt>
              </c:numCache>
            </c:numRef>
          </c:val>
        </c:ser>
        <c:ser>
          <c:idx val="2"/>
          <c:order val="1"/>
          <c:tx>
            <c:strRef>
              <c:f>'combination summary'!$A$5</c:f>
              <c:strCache>
                <c:ptCount val="1"/>
                <c:pt idx="0">
                  <c:v>combination</c:v>
                </c:pt>
              </c:strCache>
            </c:strRef>
          </c:tx>
          <c:spPr>
            <a:pattFill prst="wdDnDiag">
              <a:fgClr>
                <a:schemeClr val="bg1"/>
              </a:fgClr>
              <a:bgClr>
                <a:srgbClr val="00B050"/>
              </a:bgClr>
            </a:pattFill>
            <a:ln w="53975">
              <a:solidFill>
                <a:sysClr val="windowText" lastClr="000000"/>
              </a:solidFill>
            </a:ln>
          </c:spPr>
          <c:invertIfNegative val="0"/>
          <c:dPt>
            <c:idx val="0"/>
            <c:invertIfNegative val="0"/>
            <c:bubble3D val="0"/>
          </c:dPt>
          <c:dPt>
            <c:idx val="1"/>
            <c:invertIfNegative val="0"/>
            <c:bubble3D val="0"/>
            <c:spPr>
              <a:pattFill prst="wdDnDiag">
                <a:fgClr>
                  <a:schemeClr val="bg1"/>
                </a:fgClr>
                <a:bgClr>
                  <a:srgbClr val="00B050"/>
                </a:bgClr>
              </a:pattFill>
              <a:ln w="12700">
                <a:solidFill>
                  <a:sysClr val="windowText" lastClr="000000"/>
                </a:solidFill>
              </a:ln>
            </c:spPr>
          </c:dPt>
          <c:dPt>
            <c:idx val="2"/>
            <c:invertIfNegative val="0"/>
            <c:bubble3D val="0"/>
            <c:spPr>
              <a:pattFill prst="wdDnDiag">
                <a:fgClr>
                  <a:schemeClr val="bg1"/>
                </a:fgClr>
                <a:bgClr>
                  <a:srgbClr val="FFC000"/>
                </a:bgClr>
              </a:pattFill>
              <a:ln w="12700">
                <a:solidFill>
                  <a:sysClr val="windowText" lastClr="000000"/>
                </a:solidFill>
              </a:ln>
            </c:spPr>
          </c:dPt>
          <c:dPt>
            <c:idx val="3"/>
            <c:invertIfNegative val="0"/>
            <c:bubble3D val="0"/>
            <c:spPr>
              <a:pattFill prst="wdDnDiag">
                <a:fgClr>
                  <a:schemeClr val="bg1"/>
                </a:fgClr>
                <a:bgClr>
                  <a:srgbClr val="00B0F0"/>
                </a:bgClr>
              </a:pattFill>
              <a:ln w="12700">
                <a:solidFill>
                  <a:sysClr val="windowText" lastClr="000000"/>
                </a:solidFill>
              </a:ln>
            </c:spPr>
          </c:dPt>
          <c:dPt>
            <c:idx val="4"/>
            <c:invertIfNegative val="0"/>
            <c:bubble3D val="0"/>
            <c:spPr>
              <a:pattFill prst="wdDnDiag">
                <a:fgClr>
                  <a:schemeClr val="bg1"/>
                </a:fgClr>
                <a:bgClr>
                  <a:srgbClr val="FFFF00"/>
                </a:bgClr>
              </a:pattFill>
              <a:ln w="12700">
                <a:solidFill>
                  <a:sysClr val="windowText" lastClr="000000"/>
                </a:solidFill>
              </a:ln>
            </c:spPr>
          </c:dPt>
          <c:dPt>
            <c:idx val="5"/>
            <c:invertIfNegative val="0"/>
            <c:bubble3D val="0"/>
            <c:spPr>
              <a:pattFill prst="wdDnDiag">
                <a:fgClr>
                  <a:schemeClr val="bg1"/>
                </a:fgClr>
                <a:bgClr>
                  <a:srgbClr val="7030A0"/>
                </a:bgClr>
              </a:pattFill>
              <a:ln w="12700">
                <a:solidFill>
                  <a:sysClr val="windowText" lastClr="000000"/>
                </a:solidFill>
              </a:ln>
            </c:spPr>
          </c:dPt>
          <c:errBars>
            <c:errBarType val="both"/>
            <c:errValType val="cust"/>
            <c:noEndCap val="0"/>
            <c:plus>
              <c:numRef>
                <c:f>('combination summary'!$H$5,'combination summary'!$G$24,'combination summary'!$G$8,'combination summary'!$G$20,'combination summary'!$G$16,'combination summary'!$G$12)</c:f>
                <c:numCache>
                  <c:formatCode>General</c:formatCode>
                  <c:ptCount val="6"/>
                  <c:pt idx="1">
                    <c:v>1.0183501544346334</c:v>
                  </c:pt>
                  <c:pt idx="2">
                    <c:v>0.50917507721731525</c:v>
                  </c:pt>
                  <c:pt idx="3">
                    <c:v>0.17320508075688776</c:v>
                  </c:pt>
                  <c:pt idx="4">
                    <c:v>0.88191710368820886</c:v>
                  </c:pt>
                  <c:pt idx="5">
                    <c:v>2.673602092336882</c:v>
                  </c:pt>
                </c:numCache>
              </c:numRef>
            </c:plus>
            <c:minus>
              <c:numRef>
                <c:f>('combination summary'!$H$5,'combination summary'!$G$24,'combination summary'!$G$8,'combination summary'!$G$20,'combination summary'!$G$16,'combination summary'!$G$12)</c:f>
                <c:numCache>
                  <c:formatCode>General</c:formatCode>
                  <c:ptCount val="6"/>
                  <c:pt idx="1">
                    <c:v>1.0183501544346334</c:v>
                  </c:pt>
                  <c:pt idx="2">
                    <c:v>0.50917507721731525</c:v>
                  </c:pt>
                  <c:pt idx="3">
                    <c:v>0.17320508075688776</c:v>
                  </c:pt>
                  <c:pt idx="4">
                    <c:v>0.88191710368820886</c:v>
                  </c:pt>
                  <c:pt idx="5">
                    <c:v>2.673602092336882</c:v>
                  </c:pt>
                </c:numCache>
              </c:numRef>
            </c:minus>
            <c:spPr>
              <a:ln w="12700"/>
            </c:spPr>
          </c:errBars>
          <c:val>
            <c:numRef>
              <c:f>('combination summary'!$G$5,'combination summary'!$F$24,'combination summary'!$F$8,'combination summary'!$F$20,'combination summary'!$F$16,'combination summary'!$F$12)</c:f>
              <c:numCache>
                <c:formatCode>0.0</c:formatCode>
                <c:ptCount val="6"/>
                <c:pt idx="1">
                  <c:v>3.7777777777777772</c:v>
                </c:pt>
                <c:pt idx="2">
                  <c:v>4.7777777777777786</c:v>
                </c:pt>
                <c:pt idx="3">
                  <c:v>1.9000000000000001</c:v>
                </c:pt>
                <c:pt idx="4">
                  <c:v>8.9999999999999911</c:v>
                </c:pt>
                <c:pt idx="5">
                  <c:v>9.2222222222222232</c:v>
                </c:pt>
              </c:numCache>
            </c:numRef>
          </c:val>
        </c:ser>
        <c:dLbls>
          <c:showLegendKey val="0"/>
          <c:showVal val="0"/>
          <c:showCatName val="0"/>
          <c:showSerName val="0"/>
          <c:showPercent val="0"/>
          <c:showBubbleSize val="0"/>
        </c:dLbls>
        <c:gapWidth val="160"/>
        <c:axId val="393573520"/>
        <c:axId val="396997368"/>
      </c:barChart>
      <c:catAx>
        <c:axId val="393573520"/>
        <c:scaling>
          <c:orientation val="minMax"/>
        </c:scaling>
        <c:delete val="1"/>
        <c:axPos val="b"/>
        <c:title>
          <c:tx>
            <c:rich>
              <a:bodyPr/>
              <a:lstStyle/>
              <a:p>
                <a:pPr>
                  <a:defRPr/>
                </a:pPr>
                <a:r>
                  <a:rPr lang="en-GB" b="0"/>
                  <a:t> </a:t>
                </a:r>
                <a:r>
                  <a:rPr lang="en-GB" sz="800" b="0">
                    <a:latin typeface="Arial" panose="020B0604020202020204" pitchFamily="34" charset="0"/>
                    <a:cs typeface="Arial" panose="020B0604020202020204" pitchFamily="34" charset="0"/>
                  </a:rPr>
                  <a:t>Co</a:t>
                </a:r>
                <a:r>
                  <a:rPr lang="en-GB" sz="800" b="0" baseline="0">
                    <a:latin typeface="Arial" panose="020B0604020202020204" pitchFamily="34" charset="0"/>
                    <a:cs typeface="Arial" panose="020B0604020202020204" pitchFamily="34" charset="0"/>
                  </a:rPr>
                  <a:t>        A       Ce        Ci        Tr        M                </a:t>
                </a:r>
                <a:endParaRPr lang="en-GB" sz="800" b="0">
                  <a:latin typeface="Arial" panose="020B0604020202020204" pitchFamily="34" charset="0"/>
                  <a:cs typeface="Arial" panose="020B0604020202020204" pitchFamily="34" charset="0"/>
                </a:endParaRPr>
              </a:p>
            </c:rich>
          </c:tx>
          <c:layout>
            <c:manualLayout>
              <c:xMode val="edge"/>
              <c:yMode val="edge"/>
              <c:x val="0.2241939009937445"/>
              <c:y val="0.90012507817385867"/>
            </c:manualLayout>
          </c:layout>
          <c:overlay val="0"/>
        </c:title>
        <c:majorTickMark val="out"/>
        <c:minorTickMark val="none"/>
        <c:tickLblPos val="nextTo"/>
        <c:crossAx val="396997368"/>
        <c:crosses val="autoZero"/>
        <c:auto val="1"/>
        <c:lblAlgn val="ctr"/>
        <c:lblOffset val="100"/>
        <c:noMultiLvlLbl val="0"/>
      </c:catAx>
      <c:valAx>
        <c:axId val="396997368"/>
        <c:scaling>
          <c:orientation val="minMax"/>
        </c:scaling>
        <c:delete val="0"/>
        <c:axPos val="l"/>
        <c:majorGridlines/>
        <c:numFmt formatCode="General" sourceLinked="0"/>
        <c:majorTickMark val="out"/>
        <c:minorTickMark val="none"/>
        <c:tickLblPos val="nextTo"/>
        <c:crossAx val="393573520"/>
        <c:crosses val="autoZero"/>
        <c:crossBetween val="between"/>
      </c:valAx>
    </c:plotArea>
    <c:plotVisOnly val="1"/>
    <c:dispBlanksAs val="gap"/>
    <c:showDLblsOverMax val="0"/>
  </c:chart>
  <c:spPr>
    <a:ln>
      <a:noFill/>
    </a:ln>
  </c:spPr>
  <c:txPr>
    <a:bodyPr/>
    <a:lstStyle/>
    <a:p>
      <a:pPr>
        <a:defRPr sz="900">
          <a:ln>
            <a:noFill/>
          </a:ln>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513559754610505"/>
          <c:y val="9.233034242812671E-2"/>
          <c:w val="0.78644927334613213"/>
          <c:h val="0.79885588720014644"/>
        </c:manualLayout>
      </c:layout>
      <c:barChart>
        <c:barDir val="col"/>
        <c:grouping val="clustered"/>
        <c:varyColors val="0"/>
        <c:ser>
          <c:idx val="1"/>
          <c:order val="0"/>
          <c:tx>
            <c:strRef>
              <c:f>'combination summary'!$H$3</c:f>
              <c:strCache>
                <c:ptCount val="1"/>
              </c:strCache>
            </c:strRef>
          </c:tx>
          <c:spPr>
            <a:ln>
              <a:solidFill>
                <a:sysClr val="windowText" lastClr="000000"/>
              </a:solidFill>
            </a:ln>
          </c:spPr>
          <c:invertIfNegative val="0"/>
          <c:dPt>
            <c:idx val="0"/>
            <c:invertIfNegative val="0"/>
            <c:bubble3D val="0"/>
            <c:spPr>
              <a:solidFill>
                <a:schemeClr val="tx1"/>
              </a:solidFill>
              <a:ln>
                <a:solidFill>
                  <a:sysClr val="windowText" lastClr="000000"/>
                </a:solidFill>
              </a:ln>
            </c:spPr>
          </c:dPt>
          <c:dPt>
            <c:idx val="1"/>
            <c:invertIfNegative val="0"/>
            <c:bubble3D val="0"/>
            <c:spPr>
              <a:solidFill>
                <a:srgbClr val="00B050"/>
              </a:solidFill>
              <a:ln>
                <a:solidFill>
                  <a:sysClr val="windowText" lastClr="000000"/>
                </a:solidFill>
              </a:ln>
            </c:spPr>
          </c:dPt>
          <c:dPt>
            <c:idx val="2"/>
            <c:invertIfNegative val="0"/>
            <c:bubble3D val="0"/>
            <c:spPr>
              <a:solidFill>
                <a:srgbClr val="FFC000"/>
              </a:solidFill>
              <a:ln>
                <a:solidFill>
                  <a:sysClr val="windowText" lastClr="000000"/>
                </a:solidFill>
              </a:ln>
            </c:spPr>
          </c:dPt>
          <c:dPt>
            <c:idx val="3"/>
            <c:invertIfNegative val="0"/>
            <c:bubble3D val="0"/>
            <c:spPr>
              <a:solidFill>
                <a:srgbClr val="00B0F0"/>
              </a:solidFill>
              <a:ln>
                <a:solidFill>
                  <a:sysClr val="windowText" lastClr="000000"/>
                </a:solidFill>
              </a:ln>
            </c:spPr>
          </c:dPt>
          <c:dPt>
            <c:idx val="4"/>
            <c:invertIfNegative val="0"/>
            <c:bubble3D val="0"/>
            <c:spPr>
              <a:solidFill>
                <a:srgbClr val="FFFF00"/>
              </a:solidFill>
              <a:ln>
                <a:solidFill>
                  <a:sysClr val="windowText" lastClr="000000"/>
                </a:solidFill>
              </a:ln>
            </c:spPr>
          </c:dPt>
          <c:errBars>
            <c:errBarType val="both"/>
            <c:errValType val="cust"/>
            <c:noEndCap val="0"/>
            <c:plus>
              <c:numRef>
                <c:f>('combination summary'!$G$26,'combination summary'!$G$27,'combination summary'!$G$39,'combination summary'!$G$35,'combination summary'!$G$31)</c:f>
                <c:numCache>
                  <c:formatCode>General</c:formatCode>
                  <c:ptCount val="5"/>
                  <c:pt idx="0">
                    <c:v>0.50917507721731492</c:v>
                  </c:pt>
                  <c:pt idx="1">
                    <c:v>0.83887049280785819</c:v>
                  </c:pt>
                  <c:pt idx="2">
                    <c:v>2.1430335024428802</c:v>
                  </c:pt>
                  <c:pt idx="3">
                    <c:v>1.0000000000000004</c:v>
                  </c:pt>
                  <c:pt idx="4">
                    <c:v>0.69388866648872538</c:v>
                  </c:pt>
                </c:numCache>
              </c:numRef>
            </c:plus>
            <c:minus>
              <c:numRef>
                <c:f>('combination summary'!$G$26,'combination summary'!$G$27,'combination summary'!$G$39,'combination summary'!$G$35,'combination summary'!$G$31)</c:f>
                <c:numCache>
                  <c:formatCode>General</c:formatCode>
                  <c:ptCount val="5"/>
                  <c:pt idx="0">
                    <c:v>0.50917507721731492</c:v>
                  </c:pt>
                  <c:pt idx="1">
                    <c:v>0.83887049280785819</c:v>
                  </c:pt>
                  <c:pt idx="2">
                    <c:v>2.1430335024428802</c:v>
                  </c:pt>
                  <c:pt idx="3">
                    <c:v>1.0000000000000004</c:v>
                  </c:pt>
                  <c:pt idx="4">
                    <c:v>0.69388866648872538</c:v>
                  </c:pt>
                </c:numCache>
              </c:numRef>
            </c:minus>
          </c:errBars>
          <c:val>
            <c:numRef>
              <c:f>('combination summary'!$F$26,'combination summary'!$F$27,'combination summary'!$F$39,'combination summary'!$F$35,'combination summary'!$F$31)</c:f>
              <c:numCache>
                <c:formatCode>0.0</c:formatCode>
                <c:ptCount val="5"/>
                <c:pt idx="0">
                  <c:v>6.7777777777777759</c:v>
                </c:pt>
                <c:pt idx="1">
                  <c:v>3.5555555555555549</c:v>
                </c:pt>
                <c:pt idx="2">
                  <c:v>4.4444444444444438</c:v>
                </c:pt>
                <c:pt idx="3">
                  <c:v>8.3333333333333339</c:v>
                </c:pt>
                <c:pt idx="4">
                  <c:v>8.3333333333333339</c:v>
                </c:pt>
              </c:numCache>
            </c:numRef>
          </c:val>
        </c:ser>
        <c:ser>
          <c:idx val="2"/>
          <c:order val="1"/>
          <c:tx>
            <c:strRef>
              <c:f>'combination summary'!$A$5</c:f>
              <c:strCache>
                <c:ptCount val="1"/>
                <c:pt idx="0">
                  <c:v>combination</c:v>
                </c:pt>
              </c:strCache>
            </c:strRef>
          </c:tx>
          <c:spPr>
            <a:pattFill prst="wdUpDiag">
              <a:fgClr>
                <a:schemeClr val="bg1"/>
              </a:fgClr>
              <a:bgClr>
                <a:srgbClr val="00B050"/>
              </a:bgClr>
            </a:pattFill>
            <a:ln w="12700">
              <a:solidFill>
                <a:sysClr val="windowText" lastClr="000000"/>
              </a:solidFill>
            </a:ln>
          </c:spPr>
          <c:invertIfNegative val="0"/>
          <c:dPt>
            <c:idx val="0"/>
            <c:invertIfNegative val="0"/>
            <c:bubble3D val="0"/>
          </c:dPt>
          <c:dPt>
            <c:idx val="1"/>
            <c:invertIfNegative val="0"/>
            <c:bubble3D val="0"/>
          </c:dPt>
          <c:dPt>
            <c:idx val="2"/>
            <c:invertIfNegative val="0"/>
            <c:bubble3D val="0"/>
            <c:spPr>
              <a:pattFill prst="wdUpDiag">
                <a:fgClr>
                  <a:schemeClr val="bg1"/>
                </a:fgClr>
                <a:bgClr>
                  <a:srgbClr val="FFC000"/>
                </a:bgClr>
              </a:pattFill>
              <a:ln w="12700">
                <a:solidFill>
                  <a:sysClr val="windowText" lastClr="000000"/>
                </a:solidFill>
              </a:ln>
            </c:spPr>
          </c:dPt>
          <c:dPt>
            <c:idx val="3"/>
            <c:invertIfNegative val="0"/>
            <c:bubble3D val="0"/>
            <c:spPr>
              <a:pattFill prst="wdUpDiag">
                <a:fgClr>
                  <a:schemeClr val="bg1"/>
                </a:fgClr>
                <a:bgClr>
                  <a:srgbClr val="00B0F0"/>
                </a:bgClr>
              </a:pattFill>
              <a:ln w="12700">
                <a:solidFill>
                  <a:sysClr val="windowText" lastClr="000000"/>
                </a:solidFill>
              </a:ln>
            </c:spPr>
          </c:dPt>
          <c:dPt>
            <c:idx val="4"/>
            <c:invertIfNegative val="0"/>
            <c:bubble3D val="0"/>
            <c:spPr>
              <a:pattFill prst="wdUpDiag">
                <a:fgClr>
                  <a:schemeClr val="bg1"/>
                </a:fgClr>
                <a:bgClr>
                  <a:srgbClr val="FFFF00"/>
                </a:bgClr>
              </a:pattFill>
              <a:ln w="12700">
                <a:solidFill>
                  <a:sysClr val="windowText" lastClr="000000"/>
                </a:solidFill>
              </a:ln>
            </c:spPr>
          </c:dPt>
          <c:errBars>
            <c:errBarType val="both"/>
            <c:errValType val="cust"/>
            <c:noEndCap val="0"/>
            <c:plus>
              <c:numRef>
                <c:f>('combination summary'!$F$25,'combination summary'!$G$28,'combination summary'!$G$40,'combination summary'!$G$36,'combination summary'!$G$32)</c:f>
                <c:numCache>
                  <c:formatCode>General</c:formatCode>
                  <c:ptCount val="5"/>
                  <c:pt idx="1">
                    <c:v>0.57735026918964472</c:v>
                  </c:pt>
                  <c:pt idx="2">
                    <c:v>0.76980035891950083</c:v>
                  </c:pt>
                  <c:pt idx="3">
                    <c:v>1.2203521046236143</c:v>
                  </c:pt>
                  <c:pt idx="4">
                    <c:v>1.8559214542766735</c:v>
                  </c:pt>
                </c:numCache>
              </c:numRef>
            </c:plus>
            <c:minus>
              <c:numRef>
                <c:f>('combination summary'!$G$25,'combination summary'!$G$28,'combination summary'!$G$40,'combination summary'!$G$36,'combination summary'!$G$32)</c:f>
                <c:numCache>
                  <c:formatCode>General</c:formatCode>
                  <c:ptCount val="5"/>
                  <c:pt idx="1">
                    <c:v>0.57735026918964472</c:v>
                  </c:pt>
                  <c:pt idx="2">
                    <c:v>0.76980035891950083</c:v>
                  </c:pt>
                  <c:pt idx="3">
                    <c:v>1.2203521046236143</c:v>
                  </c:pt>
                  <c:pt idx="4">
                    <c:v>1.8559214542766735</c:v>
                  </c:pt>
                </c:numCache>
              </c:numRef>
            </c:minus>
          </c:errBars>
          <c:val>
            <c:numRef>
              <c:f>('combination summary'!$F$42,'combination summary'!$F$28,'combination summary'!$F$40,'combination summary'!$F$36,'combination summary'!$F$32)</c:f>
              <c:numCache>
                <c:formatCode>0.0</c:formatCode>
                <c:ptCount val="5"/>
                <c:pt idx="1">
                  <c:v>5.3</c:v>
                </c:pt>
                <c:pt idx="2">
                  <c:v>6.4444444444444438</c:v>
                </c:pt>
                <c:pt idx="3">
                  <c:v>9.655555555555555</c:v>
                </c:pt>
                <c:pt idx="4">
                  <c:v>9.655555555555555</c:v>
                </c:pt>
              </c:numCache>
            </c:numRef>
          </c:val>
        </c:ser>
        <c:dLbls>
          <c:showLegendKey val="0"/>
          <c:showVal val="0"/>
          <c:showCatName val="0"/>
          <c:showSerName val="0"/>
          <c:showPercent val="0"/>
          <c:showBubbleSize val="0"/>
        </c:dLbls>
        <c:gapWidth val="150"/>
        <c:axId val="461127312"/>
        <c:axId val="461127704"/>
      </c:barChart>
      <c:catAx>
        <c:axId val="461127312"/>
        <c:scaling>
          <c:orientation val="minMax"/>
        </c:scaling>
        <c:delete val="1"/>
        <c:axPos val="b"/>
        <c:title>
          <c:tx>
            <c:rich>
              <a:bodyPr/>
              <a:lstStyle/>
              <a:p>
                <a:pPr>
                  <a:defRPr/>
                </a:pPr>
                <a:r>
                  <a:rPr lang="en-GB" sz="800" b="0" i="0" u="none" strike="noStrike" baseline="0">
                    <a:effectLst/>
                    <a:latin typeface="Arial" panose="020B0604020202020204" pitchFamily="34" charset="0"/>
                    <a:cs typeface="Arial" panose="020B0604020202020204" pitchFamily="34" charset="0"/>
                  </a:rPr>
                  <a:t>Co        A       Ce        Ci        Tr        </a:t>
                </a:r>
                <a:endParaRPr lang="en-GB" sz="800">
                  <a:latin typeface="Arial" panose="020B0604020202020204" pitchFamily="34" charset="0"/>
                  <a:cs typeface="Arial" panose="020B0604020202020204" pitchFamily="34" charset="0"/>
                </a:endParaRPr>
              </a:p>
            </c:rich>
          </c:tx>
          <c:overlay val="0"/>
        </c:title>
        <c:majorTickMark val="out"/>
        <c:minorTickMark val="none"/>
        <c:tickLblPos val="nextTo"/>
        <c:crossAx val="461127704"/>
        <c:crosses val="autoZero"/>
        <c:auto val="1"/>
        <c:lblAlgn val="ctr"/>
        <c:lblOffset val="100"/>
        <c:noMultiLvlLbl val="0"/>
      </c:catAx>
      <c:valAx>
        <c:axId val="461127704"/>
        <c:scaling>
          <c:orientation val="minMax"/>
          <c:max val="15"/>
        </c:scaling>
        <c:delete val="0"/>
        <c:axPos val="l"/>
        <c:majorGridlines/>
        <c:numFmt formatCode="General" sourceLinked="0"/>
        <c:majorTickMark val="out"/>
        <c:minorTickMark val="none"/>
        <c:tickLblPos val="nextTo"/>
        <c:txPr>
          <a:bodyPr/>
          <a:lstStyle/>
          <a:p>
            <a:pPr>
              <a:defRPr sz="900"/>
            </a:pPr>
            <a:endParaRPr lang="en-US"/>
          </a:p>
        </c:txPr>
        <c:crossAx val="461127312"/>
        <c:crosses val="autoZero"/>
        <c:crossBetween val="between"/>
        <c:majorUnit val="5"/>
      </c:valAx>
    </c:plotArea>
    <c:plotVisOnly val="1"/>
    <c:dispBlanksAs val="gap"/>
    <c:showDLblsOverMax val="0"/>
  </c:chart>
  <c:spPr>
    <a:ln>
      <a:noFill/>
    </a:ln>
  </c:spPr>
  <c:txPr>
    <a:bodyPr/>
    <a:lstStyle/>
    <a:p>
      <a:pPr>
        <a:defRPr>
          <a:ln>
            <a:noFill/>
          </a:ln>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336240623229678"/>
          <c:y val="0.10673262998523289"/>
          <c:w val="0.75898363984077066"/>
          <c:h val="0.7548782113136332"/>
        </c:manualLayout>
      </c:layout>
      <c:barChart>
        <c:barDir val="col"/>
        <c:grouping val="clustered"/>
        <c:varyColors val="0"/>
        <c:ser>
          <c:idx val="1"/>
          <c:order val="0"/>
          <c:tx>
            <c:strRef>
              <c:f>'UV exposure summary'!$A$2</c:f>
              <c:strCache>
                <c:ptCount val="1"/>
              </c:strCache>
            </c:strRef>
          </c:tx>
          <c:spPr>
            <a:ln>
              <a:solidFill>
                <a:sysClr val="windowText" lastClr="000000"/>
              </a:solidFill>
            </a:ln>
          </c:spPr>
          <c:invertIfNegative val="0"/>
          <c:dPt>
            <c:idx val="0"/>
            <c:invertIfNegative val="0"/>
            <c:bubble3D val="0"/>
            <c:spPr>
              <a:solidFill>
                <a:schemeClr val="tx1"/>
              </a:solidFill>
              <a:ln>
                <a:solidFill>
                  <a:sysClr val="windowText" lastClr="000000"/>
                </a:solidFill>
              </a:ln>
            </c:spPr>
          </c:dPt>
          <c:dPt>
            <c:idx val="1"/>
            <c:invertIfNegative val="0"/>
            <c:bubble3D val="0"/>
            <c:spPr>
              <a:solidFill>
                <a:srgbClr val="00B050"/>
              </a:solidFill>
              <a:ln>
                <a:solidFill>
                  <a:sysClr val="windowText" lastClr="000000"/>
                </a:solidFill>
              </a:ln>
            </c:spPr>
          </c:dPt>
          <c:dPt>
            <c:idx val="2"/>
            <c:invertIfNegative val="0"/>
            <c:bubble3D val="0"/>
            <c:spPr>
              <a:solidFill>
                <a:srgbClr val="FFC000"/>
              </a:solidFill>
              <a:ln>
                <a:solidFill>
                  <a:sysClr val="windowText" lastClr="000000"/>
                </a:solidFill>
              </a:ln>
            </c:spPr>
          </c:dPt>
          <c:dPt>
            <c:idx val="3"/>
            <c:invertIfNegative val="0"/>
            <c:bubble3D val="0"/>
            <c:spPr>
              <a:solidFill>
                <a:srgbClr val="00B0F0"/>
              </a:solidFill>
              <a:ln>
                <a:solidFill>
                  <a:sysClr val="windowText" lastClr="000000"/>
                </a:solidFill>
              </a:ln>
            </c:spPr>
          </c:dPt>
          <c:dPt>
            <c:idx val="4"/>
            <c:invertIfNegative val="0"/>
            <c:bubble3D val="0"/>
            <c:spPr>
              <a:solidFill>
                <a:srgbClr val="FFFF00"/>
              </a:solidFill>
              <a:ln>
                <a:solidFill>
                  <a:sysClr val="windowText" lastClr="000000"/>
                </a:solidFill>
              </a:ln>
            </c:spPr>
          </c:dPt>
          <c:dPt>
            <c:idx val="5"/>
            <c:invertIfNegative val="0"/>
            <c:bubble3D val="0"/>
            <c:spPr>
              <a:solidFill>
                <a:srgbClr val="7030A0"/>
              </a:solidFill>
              <a:ln>
                <a:solidFill>
                  <a:sysClr val="windowText" lastClr="000000"/>
                </a:solidFill>
              </a:ln>
            </c:spPr>
          </c:dPt>
          <c:errBars>
            <c:errBarType val="both"/>
            <c:errValType val="cust"/>
            <c:noEndCap val="0"/>
            <c:plus>
              <c:numRef>
                <c:f>('UV exposure summary'!$G$3,'UV exposure summary'!$G$24,'UV exposure summary'!$G$4,'UV exposure summary'!$G$16,'UV exposure summary'!$G$12,'UV exposure summary'!$G$8)</c:f>
                <c:numCache>
                  <c:formatCode>General</c:formatCode>
                  <c:ptCount val="6"/>
                  <c:pt idx="0">
                    <c:v>1.5752718754175405</c:v>
                  </c:pt>
                  <c:pt idx="1">
                    <c:v>0.88191710368819709</c:v>
                  </c:pt>
                  <c:pt idx="2">
                    <c:v>16.513742873852038</c:v>
                  </c:pt>
                  <c:pt idx="3">
                    <c:v>1.3471506281091077</c:v>
                  </c:pt>
                  <c:pt idx="4">
                    <c:v>37.859388972001824</c:v>
                  </c:pt>
                  <c:pt idx="5">
                    <c:v>1.3333333333333499</c:v>
                  </c:pt>
                </c:numCache>
              </c:numRef>
            </c:plus>
            <c:minus>
              <c:numRef>
                <c:f>('UV exposure summary'!$G$3,'UV exposure summary'!$G$20,'UV exposure summary'!$G$4,'UV exposure summary'!$G$16,'UV exposure summary'!$G$12,'UV exposure summary'!$G$8)</c:f>
                <c:numCache>
                  <c:formatCode>General</c:formatCode>
                  <c:ptCount val="6"/>
                  <c:pt idx="0">
                    <c:v>1.5752718754175405</c:v>
                  </c:pt>
                  <c:pt idx="1">
                    <c:v>0.88191710368819709</c:v>
                  </c:pt>
                  <c:pt idx="2">
                    <c:v>16.513742873852038</c:v>
                  </c:pt>
                  <c:pt idx="3">
                    <c:v>1.3471506281091077</c:v>
                  </c:pt>
                  <c:pt idx="4">
                    <c:v>37.859388972001824</c:v>
                  </c:pt>
                  <c:pt idx="5">
                    <c:v>1.3333333333333499</c:v>
                  </c:pt>
                </c:numCache>
              </c:numRef>
            </c:minus>
          </c:errBars>
          <c:val>
            <c:numRef>
              <c:f>('UV exposure summary'!$F$3,'UV exposure summary'!$F$20,'UV exposure summary'!$F$4,'UV exposure summary'!$F$16,'UV exposure summary'!$F$12,'UV exposure summary'!$F$8)</c:f>
              <c:numCache>
                <c:formatCode>0.0</c:formatCode>
                <c:ptCount val="6"/>
                <c:pt idx="0">
                  <c:v>7.8888888888888884</c:v>
                </c:pt>
                <c:pt idx="1">
                  <c:v>19</c:v>
                </c:pt>
                <c:pt idx="2">
                  <c:v>203.888888888889</c:v>
                </c:pt>
                <c:pt idx="3">
                  <c:v>24.222222222222232</c:v>
                </c:pt>
                <c:pt idx="4">
                  <c:v>343.33333333333331</c:v>
                </c:pt>
                <c:pt idx="5">
                  <c:v>21.333333333333332</c:v>
                </c:pt>
              </c:numCache>
            </c:numRef>
          </c:val>
        </c:ser>
        <c:ser>
          <c:idx val="2"/>
          <c:order val="1"/>
          <c:tx>
            <c:strRef>
              <c:f>'UV exposure summary'!$A$38</c:f>
              <c:strCache>
                <c:ptCount val="1"/>
                <c:pt idx="0">
                  <c:v>combination</c:v>
                </c:pt>
              </c:strCache>
            </c:strRef>
          </c:tx>
          <c:spPr>
            <a:pattFill prst="wdUpDiag">
              <a:fgClr>
                <a:srgbClr val="FFFF00"/>
              </a:fgClr>
              <a:bgClr>
                <a:schemeClr val="bg1"/>
              </a:bgClr>
            </a:pattFill>
            <a:ln w="12700">
              <a:solidFill>
                <a:sysClr val="windowText" lastClr="000000"/>
              </a:solidFill>
            </a:ln>
          </c:spPr>
          <c:invertIfNegative val="0"/>
          <c:dPt>
            <c:idx val="1"/>
            <c:invertIfNegative val="0"/>
            <c:bubble3D val="0"/>
            <c:spPr>
              <a:pattFill prst="wdUpDiag">
                <a:fgClr>
                  <a:schemeClr val="bg1"/>
                </a:fgClr>
                <a:bgClr>
                  <a:srgbClr val="00B050"/>
                </a:bgClr>
              </a:pattFill>
              <a:ln w="12700">
                <a:solidFill>
                  <a:sysClr val="windowText" lastClr="000000"/>
                </a:solidFill>
              </a:ln>
            </c:spPr>
          </c:dPt>
          <c:dPt>
            <c:idx val="2"/>
            <c:invertIfNegative val="0"/>
            <c:bubble3D val="0"/>
            <c:spPr>
              <a:pattFill prst="wdUpDiag">
                <a:fgClr>
                  <a:schemeClr val="bg1"/>
                </a:fgClr>
                <a:bgClr>
                  <a:srgbClr val="FFC000"/>
                </a:bgClr>
              </a:pattFill>
              <a:ln w="12700">
                <a:solidFill>
                  <a:sysClr val="windowText" lastClr="000000"/>
                </a:solidFill>
              </a:ln>
            </c:spPr>
          </c:dPt>
          <c:dPt>
            <c:idx val="3"/>
            <c:invertIfNegative val="0"/>
            <c:bubble3D val="0"/>
            <c:spPr>
              <a:pattFill prst="wdUpDiag">
                <a:fgClr>
                  <a:schemeClr val="bg1"/>
                </a:fgClr>
                <a:bgClr>
                  <a:srgbClr val="00B0F0"/>
                </a:bgClr>
              </a:pattFill>
              <a:ln w="12700">
                <a:solidFill>
                  <a:sysClr val="windowText" lastClr="000000"/>
                </a:solidFill>
              </a:ln>
            </c:spPr>
          </c:dPt>
          <c:dPt>
            <c:idx val="4"/>
            <c:invertIfNegative val="0"/>
            <c:bubble3D val="0"/>
            <c:spPr>
              <a:pattFill prst="wdUpDiag">
                <a:fgClr>
                  <a:schemeClr val="bg1"/>
                </a:fgClr>
                <a:bgClr>
                  <a:srgbClr val="FFFF00"/>
                </a:bgClr>
              </a:pattFill>
              <a:ln w="12700">
                <a:solidFill>
                  <a:sysClr val="windowText" lastClr="000000"/>
                </a:solidFill>
              </a:ln>
            </c:spPr>
          </c:dPt>
          <c:dPt>
            <c:idx val="5"/>
            <c:invertIfNegative val="0"/>
            <c:bubble3D val="0"/>
            <c:spPr>
              <a:pattFill prst="wdUpDiag">
                <a:fgClr>
                  <a:schemeClr val="bg1"/>
                </a:fgClr>
                <a:bgClr>
                  <a:srgbClr val="7030A0"/>
                </a:bgClr>
              </a:pattFill>
              <a:ln w="12700">
                <a:solidFill>
                  <a:sysClr val="windowText" lastClr="000000"/>
                </a:solidFill>
              </a:ln>
            </c:spPr>
          </c:dPt>
          <c:errBars>
            <c:errBarType val="both"/>
            <c:errValType val="cust"/>
            <c:noEndCap val="0"/>
            <c:plus>
              <c:numRef>
                <c:f>('UV exposure summary'!$G$1,'UV exposure summary'!$G$5,'UV exposure summary'!$G$9,'UV exposure summary'!$G$13,'UV exposure summary'!$G$17,'UV exposure summary'!$G$21)</c:f>
                <c:numCache>
                  <c:formatCode>General</c:formatCode>
                  <c:ptCount val="6"/>
                  <c:pt idx="1">
                    <c:v>1.0715167512214394</c:v>
                  </c:pt>
                  <c:pt idx="2">
                    <c:v>1.503083250941005</c:v>
                  </c:pt>
                  <c:pt idx="3">
                    <c:v>1.170628194761415</c:v>
                  </c:pt>
                  <c:pt idx="4">
                    <c:v>0.50917507721731314</c:v>
                  </c:pt>
                  <c:pt idx="5">
                    <c:v>0.8388704928078603</c:v>
                  </c:pt>
                </c:numCache>
              </c:numRef>
            </c:plus>
            <c:minus>
              <c:numRef>
                <c:f>('UV exposure summary'!$G$1,'UV exposure summary'!$G$5,'UV exposure summary'!$G$9,'UV exposure summary'!$G$13,'UV exposure summary'!$G$17,'UV exposure summary'!$G$21)</c:f>
                <c:numCache>
                  <c:formatCode>General</c:formatCode>
                  <c:ptCount val="6"/>
                  <c:pt idx="1">
                    <c:v>1.0715167512214394</c:v>
                  </c:pt>
                  <c:pt idx="2">
                    <c:v>1.503083250941005</c:v>
                  </c:pt>
                  <c:pt idx="3">
                    <c:v>1.170628194761415</c:v>
                  </c:pt>
                  <c:pt idx="4">
                    <c:v>0.50917507721731314</c:v>
                  </c:pt>
                  <c:pt idx="5">
                    <c:v>0.8388704928078603</c:v>
                  </c:pt>
                </c:numCache>
              </c:numRef>
            </c:minus>
          </c:errBars>
          <c:val>
            <c:numRef>
              <c:f>('UV exposure summary'!$F$1,'UV exposure summary'!$F$21,'UV exposure summary'!$F$5,'UV exposure summary'!$F$17,'UV exposure summary'!$F$13,'UV exposure summary'!$F$9)</c:f>
              <c:numCache>
                <c:formatCode>0.0</c:formatCode>
                <c:ptCount val="6"/>
                <c:pt idx="1">
                  <c:v>4.5555555555555562</c:v>
                </c:pt>
                <c:pt idx="2">
                  <c:v>8.7777777777777786</c:v>
                </c:pt>
                <c:pt idx="3">
                  <c:v>4.7777777777777874</c:v>
                </c:pt>
                <c:pt idx="4">
                  <c:v>34.777777777777786</c:v>
                </c:pt>
                <c:pt idx="5">
                  <c:v>12.111111111111088</c:v>
                </c:pt>
              </c:numCache>
            </c:numRef>
          </c:val>
        </c:ser>
        <c:dLbls>
          <c:showLegendKey val="0"/>
          <c:showVal val="0"/>
          <c:showCatName val="0"/>
          <c:showSerName val="0"/>
          <c:showPercent val="0"/>
          <c:showBubbleSize val="0"/>
        </c:dLbls>
        <c:gapWidth val="150"/>
        <c:axId val="461128488"/>
        <c:axId val="461128880"/>
      </c:barChart>
      <c:catAx>
        <c:axId val="461128488"/>
        <c:scaling>
          <c:orientation val="minMax"/>
        </c:scaling>
        <c:delete val="1"/>
        <c:axPos val="b"/>
        <c:title>
          <c:tx>
            <c:rich>
              <a:bodyPr/>
              <a:lstStyle/>
              <a:p>
                <a:pPr>
                  <a:defRPr/>
                </a:pPr>
                <a:r>
                  <a:rPr lang="en-GB" sz="800" b="0" i="0" u="none" strike="noStrike" baseline="0">
                    <a:effectLst/>
                    <a:latin typeface="Arial" panose="020B0604020202020204" pitchFamily="34" charset="0"/>
                    <a:cs typeface="Arial" panose="020B0604020202020204" pitchFamily="34" charset="0"/>
                  </a:rPr>
                  <a:t>Co        A       Ce        Ci        Tr        M </a:t>
                </a:r>
                <a:endParaRPr lang="en-GB" sz="800">
                  <a:latin typeface="Arial" panose="020B0604020202020204" pitchFamily="34" charset="0"/>
                  <a:cs typeface="Arial" panose="020B0604020202020204" pitchFamily="34" charset="0"/>
                </a:endParaRPr>
              </a:p>
            </c:rich>
          </c:tx>
          <c:layout>
            <c:manualLayout>
              <c:xMode val="edge"/>
              <c:yMode val="edge"/>
              <c:x val="0.22441134983670258"/>
              <c:y val="0.86161073825503343"/>
            </c:manualLayout>
          </c:layout>
          <c:overlay val="0"/>
        </c:title>
        <c:majorTickMark val="out"/>
        <c:minorTickMark val="none"/>
        <c:tickLblPos val="nextTo"/>
        <c:crossAx val="461128880"/>
        <c:crosses val="autoZero"/>
        <c:auto val="1"/>
        <c:lblAlgn val="ctr"/>
        <c:lblOffset val="100"/>
        <c:noMultiLvlLbl val="0"/>
      </c:catAx>
      <c:valAx>
        <c:axId val="461128880"/>
        <c:scaling>
          <c:orientation val="minMax"/>
          <c:min val="0"/>
        </c:scaling>
        <c:delete val="0"/>
        <c:axPos val="l"/>
        <c:majorGridlines/>
        <c:numFmt formatCode="General" sourceLinked="0"/>
        <c:majorTickMark val="out"/>
        <c:minorTickMark val="none"/>
        <c:tickLblPos val="nextTo"/>
        <c:txPr>
          <a:bodyPr/>
          <a:lstStyle/>
          <a:p>
            <a:pPr>
              <a:defRPr sz="900"/>
            </a:pPr>
            <a:endParaRPr lang="en-US"/>
          </a:p>
        </c:txPr>
        <c:crossAx val="461128488"/>
        <c:crosses val="autoZero"/>
        <c:crossBetween val="between"/>
      </c:valAx>
    </c:plotArea>
    <c:plotVisOnly val="1"/>
    <c:dispBlanksAs val="gap"/>
    <c:showDLblsOverMax val="0"/>
  </c:chart>
  <c:spPr>
    <a:ln>
      <a:noFill/>
    </a:ln>
  </c:spPr>
  <c:txPr>
    <a:bodyPr/>
    <a:lstStyle/>
    <a:p>
      <a:pPr>
        <a:defRPr>
          <a:ln>
            <a:noFill/>
          </a:ln>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rawings/_rels/drawing12.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13.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7.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0.22714</cdr:x>
      <cdr:y>0.12023</cdr:y>
    </cdr:from>
    <cdr:to>
      <cdr:x>0.72952</cdr:x>
      <cdr:y>0.81393</cdr:y>
    </cdr:to>
    <cdr:grpSp>
      <cdr:nvGrpSpPr>
        <cdr:cNvPr id="35" name="Grupa 34"/>
        <cdr:cNvGrpSpPr/>
      </cdr:nvGrpSpPr>
      <cdr:grpSpPr>
        <a:xfrm xmlns:a="http://schemas.openxmlformats.org/drawingml/2006/main">
          <a:off x="655536" y="253085"/>
          <a:ext cx="1449907" cy="1460256"/>
          <a:chOff x="1271959" y="219832"/>
          <a:chExt cx="2158974" cy="2248450"/>
        </a:xfrm>
      </cdr:grpSpPr>
      <cdr:sp macro="" textlink="">
        <cdr:nvSpPr>
          <cdr:cNvPr id="11" name="TextBox 1"/>
          <cdr:cNvSpPr txBox="1">
            <a:spLocks xmlns:a="http://schemas.openxmlformats.org/drawingml/2006/main" noChangeArrowheads="1"/>
          </cdr:cNvSpPr>
        </cdr:nvSpPr>
        <cdr:spPr bwMode="auto">
          <a:xfrm xmlns:a="http://schemas.openxmlformats.org/drawingml/2006/main">
            <a:off x="1271959" y="2276054"/>
            <a:ext cx="123676" cy="19222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wrap="square" lIns="27432"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GB" sz="1000" b="0" i="0" u="none" strike="noStrike" baseline="0">
                <a:solidFill>
                  <a:srgbClr val="000000"/>
                </a:solidFill>
                <a:latin typeface="Calibri"/>
              </a:rPr>
              <a:t>*</a:t>
            </a:r>
          </a:p>
        </cdr:txBody>
      </cdr:sp>
      <cdr:sp macro="" textlink="">
        <cdr:nvSpPr>
          <cdr:cNvPr id="6552577" name="TextBox 1"/>
          <cdr:cNvSpPr txBox="1">
            <a:spLocks xmlns:a="http://schemas.openxmlformats.org/drawingml/2006/main" noChangeArrowheads="1"/>
          </cdr:cNvSpPr>
        </cdr:nvSpPr>
        <cdr:spPr bwMode="auto">
          <a:xfrm xmlns:a="http://schemas.openxmlformats.org/drawingml/2006/main">
            <a:off x="2906916" y="333053"/>
            <a:ext cx="274211" cy="18840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vertOverflow="clip" wrap="square" lIns="27432" tIns="27432" rIns="0" bIns="0" anchor="t" upright="1"/>
          <a:lstStyle xmlns:a="http://schemas.openxmlformats.org/drawingml/2006/main"/>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r>
              <a:rPr lang="en-GB" sz="1000" b="0" i="0" baseline="0">
                <a:effectLst/>
                <a:latin typeface="+mn-lt"/>
                <a:ea typeface="+mn-ea"/>
                <a:cs typeface="+mn-cs"/>
              </a:rPr>
              <a:t>**</a:t>
            </a: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algn="l" rtl="0">
              <a:defRPr sz="1000"/>
            </a:pPr>
            <a:endParaRPr lang="en-GB" sz="1000" b="0" i="0" u="none" strike="noStrike" baseline="0">
              <a:solidFill>
                <a:srgbClr val="000000"/>
              </a:solidFill>
              <a:latin typeface="Calibri"/>
            </a:endParaRPr>
          </a:p>
        </cdr:txBody>
      </cdr:sp>
      <cdr:sp macro="" textlink="">
        <cdr:nvSpPr>
          <cdr:cNvPr id="12" name="TextBox 1"/>
          <cdr:cNvSpPr txBox="1">
            <a:spLocks xmlns:a="http://schemas.openxmlformats.org/drawingml/2006/main" noChangeArrowheads="1"/>
          </cdr:cNvSpPr>
        </cdr:nvSpPr>
        <cdr:spPr bwMode="auto">
          <a:xfrm xmlns:a="http://schemas.openxmlformats.org/drawingml/2006/main">
            <a:off x="2673181" y="1287217"/>
            <a:ext cx="251581" cy="17775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wrap="square" lIns="27432"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r>
              <a:rPr lang="en-GB" sz="1000" b="0" i="0" baseline="0">
                <a:effectLst/>
                <a:latin typeface="+mn-lt"/>
                <a:ea typeface="+mn-ea"/>
                <a:cs typeface="+mn-cs"/>
              </a:rPr>
              <a:t>**</a:t>
            </a: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algn="l" rtl="0">
              <a:defRPr sz="1000"/>
            </a:pPr>
            <a:endParaRPr lang="en-GB" sz="1000" b="0" i="0" u="none" strike="noStrike" baseline="0">
              <a:solidFill>
                <a:srgbClr val="000000"/>
              </a:solidFill>
              <a:latin typeface="Calibri"/>
            </a:endParaRPr>
          </a:p>
        </cdr:txBody>
      </cdr:sp>
      <cdr:sp macro="" textlink="">
        <cdr:nvSpPr>
          <cdr:cNvPr id="13" name="TextBox 1"/>
          <cdr:cNvSpPr txBox="1">
            <a:spLocks xmlns:a="http://schemas.openxmlformats.org/drawingml/2006/main" noChangeArrowheads="1"/>
          </cdr:cNvSpPr>
        </cdr:nvSpPr>
        <cdr:spPr bwMode="auto">
          <a:xfrm xmlns:a="http://schemas.openxmlformats.org/drawingml/2006/main">
            <a:off x="2443407" y="1291870"/>
            <a:ext cx="325678" cy="21610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wrap="square" lIns="27432"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r>
              <a:rPr lang="en-GB" sz="1000" b="0" i="0" baseline="0">
                <a:effectLst/>
                <a:latin typeface="+mn-lt"/>
                <a:ea typeface="+mn-ea"/>
                <a:cs typeface="+mn-cs"/>
              </a:rPr>
              <a:t>**</a:t>
            </a: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algn="l" rtl="0">
              <a:defRPr sz="1000"/>
            </a:pPr>
            <a:endParaRPr lang="en-GB" sz="1000" b="0" i="0" u="none" strike="noStrike" baseline="0">
              <a:solidFill>
                <a:srgbClr val="000000"/>
              </a:solidFill>
              <a:latin typeface="Calibri"/>
            </a:endParaRPr>
          </a:p>
        </cdr:txBody>
      </cdr:sp>
      <cdr:sp macro="" textlink="">
        <cdr:nvSpPr>
          <cdr:cNvPr id="14" name="TextBox 1"/>
          <cdr:cNvSpPr txBox="1">
            <a:spLocks xmlns:a="http://schemas.openxmlformats.org/drawingml/2006/main" noChangeArrowheads="1"/>
          </cdr:cNvSpPr>
        </cdr:nvSpPr>
        <cdr:spPr bwMode="auto">
          <a:xfrm xmlns:a="http://schemas.openxmlformats.org/drawingml/2006/main">
            <a:off x="2193604" y="1603461"/>
            <a:ext cx="312054" cy="23725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wrap="square" lIns="27432"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r>
              <a:rPr lang="en-GB" sz="1000" b="0" i="0" baseline="0">
                <a:effectLst/>
                <a:latin typeface="+mn-lt"/>
                <a:ea typeface="+mn-ea"/>
                <a:cs typeface="+mn-cs"/>
              </a:rPr>
              <a:t>**</a:t>
            </a: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cdr:txBody>
      </cdr:sp>
      <cdr:sp macro="" textlink="">
        <cdr:nvSpPr>
          <cdr:cNvPr id="16" name="TextBox 1"/>
          <cdr:cNvSpPr txBox="1">
            <a:spLocks xmlns:a="http://schemas.openxmlformats.org/drawingml/2006/main" noChangeArrowheads="1"/>
          </cdr:cNvSpPr>
        </cdr:nvSpPr>
        <cdr:spPr bwMode="auto">
          <a:xfrm xmlns:a="http://schemas.openxmlformats.org/drawingml/2006/main">
            <a:off x="1961194" y="1769729"/>
            <a:ext cx="293004" cy="17862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wrap="square" lIns="27432"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r>
              <a:rPr lang="en-GB" sz="1000" b="0" i="0" baseline="0">
                <a:effectLst/>
                <a:latin typeface="+mn-lt"/>
                <a:ea typeface="+mn-ea"/>
                <a:cs typeface="+mn-cs"/>
              </a:rPr>
              <a:t>*</a:t>
            </a:r>
            <a:r>
              <a:rPr lang="pl-PL" sz="1000" b="0" i="0" baseline="0">
                <a:effectLst/>
                <a:latin typeface="+mn-lt"/>
                <a:ea typeface="+mn-ea"/>
                <a:cs typeface="+mn-cs"/>
              </a:rPr>
              <a:t>*</a:t>
            </a: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cdr:txBody>
      </cdr:sp>
      <cdr:sp macro="" textlink="">
        <cdr:nvSpPr>
          <cdr:cNvPr id="17" name="TextBox 1"/>
          <cdr:cNvSpPr txBox="1">
            <a:spLocks xmlns:a="http://schemas.openxmlformats.org/drawingml/2006/main" noChangeArrowheads="1"/>
          </cdr:cNvSpPr>
        </cdr:nvSpPr>
        <cdr:spPr bwMode="auto">
          <a:xfrm xmlns:a="http://schemas.openxmlformats.org/drawingml/2006/main" flipH="1">
            <a:off x="3160311" y="219832"/>
            <a:ext cx="270622" cy="2389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wrap="square" lIns="27432"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r>
              <a:rPr lang="en-GB" sz="1000" b="0" i="0" baseline="0">
                <a:effectLst/>
                <a:latin typeface="+mn-lt"/>
                <a:ea typeface="+mn-ea"/>
                <a:cs typeface="+mn-cs"/>
              </a:rPr>
              <a:t>**</a:t>
            </a: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algn="l" rtl="0">
              <a:defRPr sz="1000"/>
            </a:pPr>
            <a:endParaRPr lang="en-GB" sz="1000" b="0" i="0" u="none" strike="noStrike" baseline="0">
              <a:solidFill>
                <a:srgbClr val="000000"/>
              </a:solidFill>
              <a:latin typeface="Calibri"/>
            </a:endParaRPr>
          </a:p>
        </cdr:txBody>
      </cdr:sp>
      <cdr:sp macro="" textlink="">
        <cdr:nvSpPr>
          <cdr:cNvPr id="19" name="TextBox 1"/>
          <cdr:cNvSpPr txBox="1">
            <a:spLocks xmlns:a="http://schemas.openxmlformats.org/drawingml/2006/main" noChangeArrowheads="1"/>
          </cdr:cNvSpPr>
        </cdr:nvSpPr>
        <cdr:spPr bwMode="auto">
          <a:xfrm xmlns:a="http://schemas.openxmlformats.org/drawingml/2006/main">
            <a:off x="1753530" y="2091104"/>
            <a:ext cx="122493" cy="19222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wrap="square" lIns="27432"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GB" sz="1000" b="0" i="0" u="none" strike="noStrike" baseline="0">
                <a:solidFill>
                  <a:srgbClr val="000000"/>
                </a:solidFill>
                <a:latin typeface="Calibri"/>
              </a:rPr>
              <a:t>*</a:t>
            </a:r>
          </a:p>
        </cdr:txBody>
      </cdr:sp>
      <cdr:sp macro="" textlink="">
        <cdr:nvSpPr>
          <cdr:cNvPr id="20" name="TextBox 1"/>
          <cdr:cNvSpPr txBox="1">
            <a:spLocks xmlns:a="http://schemas.openxmlformats.org/drawingml/2006/main" noChangeArrowheads="1"/>
          </cdr:cNvSpPr>
        </cdr:nvSpPr>
        <cdr:spPr bwMode="auto">
          <a:xfrm xmlns:a="http://schemas.openxmlformats.org/drawingml/2006/main">
            <a:off x="1518055" y="2149856"/>
            <a:ext cx="123676" cy="19222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wrap="square" lIns="27432"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GB" sz="1000" b="0" i="0" u="none" strike="noStrike" baseline="0">
                <a:solidFill>
                  <a:srgbClr val="000000"/>
                </a:solidFill>
                <a:latin typeface="Calibri"/>
              </a:rPr>
              <a:t>*</a:t>
            </a:r>
          </a:p>
        </cdr:txBody>
      </cdr:sp>
    </cdr:grpSp>
  </cdr:relSizeAnchor>
  <cdr:relSizeAnchor xmlns:cdr="http://schemas.openxmlformats.org/drawingml/2006/chartDrawing">
    <cdr:from>
      <cdr:x>0</cdr:x>
      <cdr:y>0.00299</cdr:y>
    </cdr:from>
    <cdr:to>
      <cdr:x>0.1284</cdr:x>
      <cdr:y>0.11947</cdr:y>
    </cdr:to>
    <cdr:sp macro="" textlink="">
      <cdr:nvSpPr>
        <cdr:cNvPr id="2" name="pole tekstowe 1"/>
        <cdr:cNvSpPr txBox="1"/>
      </cdr:nvSpPr>
      <cdr:spPr>
        <a:xfrm xmlns:a="http://schemas.openxmlformats.org/drawingml/2006/main">
          <a:off x="-914400" y="5958"/>
          <a:ext cx="353531" cy="2321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t>(a)</a:t>
          </a:r>
        </a:p>
      </cdr:txBody>
    </cdr:sp>
  </cdr:relSizeAnchor>
  <cdr:relSizeAnchor xmlns:cdr="http://schemas.openxmlformats.org/drawingml/2006/chartDrawing">
    <cdr:from>
      <cdr:x>0.25743</cdr:x>
      <cdr:y>0.00452</cdr:y>
    </cdr:from>
    <cdr:to>
      <cdr:x>0.72277</cdr:x>
      <cdr:y>0.09502</cdr:y>
    </cdr:to>
    <cdr:sp macro="" textlink="">
      <cdr:nvSpPr>
        <cdr:cNvPr id="3" name="Pole tekstowe 2"/>
        <cdr:cNvSpPr txBox="1"/>
      </cdr:nvSpPr>
      <cdr:spPr>
        <a:xfrm xmlns:a="http://schemas.openxmlformats.org/drawingml/2006/main">
          <a:off x="742950" y="9525"/>
          <a:ext cx="1343025"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Transduction</a:t>
          </a: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0.21709</cdr:y>
    </cdr:from>
    <cdr:to>
      <cdr:x>0.05208</cdr:x>
      <cdr:y>0.84904</cdr:y>
    </cdr:to>
    <cdr:sp macro="" textlink="">
      <cdr:nvSpPr>
        <cdr:cNvPr id="15" name="pole tekstowe 14"/>
        <cdr:cNvSpPr txBox="1"/>
      </cdr:nvSpPr>
      <cdr:spPr>
        <a:xfrm xmlns:a="http://schemas.openxmlformats.org/drawingml/2006/main">
          <a:off x="-914400" y="420445"/>
          <a:ext cx="139460" cy="1223929"/>
        </a:xfrm>
        <a:prstGeom xmlns:a="http://schemas.openxmlformats.org/drawingml/2006/main" prst="rect">
          <a:avLst/>
        </a:prstGeom>
      </cdr:spPr>
      <cdr:txBody>
        <a:bodyPr xmlns:a="http://schemas.openxmlformats.org/drawingml/2006/main" vert="vert270" wrap="square" rtlCol="0"/>
        <a:lstStyle xmlns:a="http://schemas.openxmlformats.org/drawingml/2006/main"/>
        <a:p xmlns:a="http://schemas.openxmlformats.org/drawingml/2006/main">
          <a:r>
            <a:rPr lang="pl-PL" sz="900"/>
            <a:t>transduci</a:t>
          </a:r>
          <a:r>
            <a:rPr lang="en-GB" sz="900"/>
            <a:t>tant</a:t>
          </a:r>
          <a:r>
            <a:rPr lang="en-GB" sz="900" baseline="0"/>
            <a:t> cells</a:t>
          </a:r>
          <a:r>
            <a:rPr lang="pl-PL" sz="900"/>
            <a:t>/m</a:t>
          </a:r>
          <a:r>
            <a:rPr lang="en-GB" sz="900"/>
            <a:t>L</a:t>
          </a:r>
          <a:endParaRPr lang="pl-PL" sz="900"/>
        </a:p>
      </cdr:txBody>
    </cdr:sp>
  </cdr:relSizeAnchor>
  <cdr:relSizeAnchor xmlns:cdr="http://schemas.openxmlformats.org/drawingml/2006/chartDrawing">
    <cdr:from>
      <cdr:x>0.53453</cdr:x>
      <cdr:y>0.49029</cdr:y>
    </cdr:from>
    <cdr:to>
      <cdr:x>0.60536</cdr:x>
      <cdr:y>0.49029</cdr:y>
    </cdr:to>
    <cdr:sp macro="" textlink="">
      <cdr:nvSpPr>
        <cdr:cNvPr id="6" name="Łącznik prosty 5"/>
        <cdr:cNvSpPr/>
      </cdr:nvSpPr>
      <cdr:spPr>
        <a:xfrm xmlns:a="http://schemas.openxmlformats.org/drawingml/2006/main" flipV="1">
          <a:off x="1178146" y="947395"/>
          <a:ext cx="156115" cy="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0.49901</cdr:x>
      <cdr:y>0.37735</cdr:y>
    </cdr:from>
    <cdr:to>
      <cdr:x>0.64132</cdr:x>
      <cdr:y>0.44086</cdr:y>
    </cdr:to>
    <cdr:sp macro="" textlink="">
      <cdr:nvSpPr>
        <cdr:cNvPr id="7" name="pole tekstowe 6"/>
        <cdr:cNvSpPr txBox="1"/>
      </cdr:nvSpPr>
      <cdr:spPr>
        <a:xfrm xmlns:a="http://schemas.openxmlformats.org/drawingml/2006/main">
          <a:off x="1099857" y="729163"/>
          <a:ext cx="313670" cy="12272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l-PL" sz="1000"/>
            <a:t>**</a:t>
          </a:r>
        </a:p>
      </cdr:txBody>
    </cdr:sp>
  </cdr:relSizeAnchor>
  <cdr:relSizeAnchor xmlns:cdr="http://schemas.openxmlformats.org/drawingml/2006/chartDrawing">
    <cdr:from>
      <cdr:x>0.39304</cdr:x>
      <cdr:y>0.80955</cdr:y>
    </cdr:from>
    <cdr:to>
      <cdr:x>0.46596</cdr:x>
      <cdr:y>0.80955</cdr:y>
    </cdr:to>
    <cdr:sp macro="" textlink="">
      <cdr:nvSpPr>
        <cdr:cNvPr id="9" name="Łącznik prosty 8"/>
        <cdr:cNvSpPr/>
      </cdr:nvSpPr>
      <cdr:spPr>
        <a:xfrm xmlns:a="http://schemas.openxmlformats.org/drawingml/2006/main" flipV="1">
          <a:off x="866297" y="1564288"/>
          <a:ext cx="160722" cy="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0.82611</cdr:x>
      <cdr:y>0.12569</cdr:y>
    </cdr:from>
    <cdr:to>
      <cdr:x>0.98553</cdr:x>
      <cdr:y>0.19611</cdr:y>
    </cdr:to>
    <cdr:sp macro="" textlink="">
      <cdr:nvSpPr>
        <cdr:cNvPr id="10" name="pole tekstowe 1"/>
        <cdr:cNvSpPr txBox="1"/>
      </cdr:nvSpPr>
      <cdr:spPr>
        <a:xfrm xmlns:a="http://schemas.openxmlformats.org/drawingml/2006/main">
          <a:off x="1820814" y="242880"/>
          <a:ext cx="351386" cy="13607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l-PL" sz="1000"/>
            <a:t>**</a:t>
          </a:r>
        </a:p>
      </cdr:txBody>
    </cdr:sp>
  </cdr:relSizeAnchor>
  <cdr:relSizeAnchor xmlns:cdr="http://schemas.openxmlformats.org/drawingml/2006/chartDrawing">
    <cdr:from>
      <cdr:x>0.70598</cdr:x>
      <cdr:y>0.8024</cdr:y>
    </cdr:from>
    <cdr:to>
      <cdr:x>0.77681</cdr:x>
      <cdr:y>0.8024</cdr:y>
    </cdr:to>
    <cdr:sp macro="" textlink="">
      <cdr:nvSpPr>
        <cdr:cNvPr id="14" name="Łącznik prosty 13"/>
        <cdr:cNvSpPr/>
      </cdr:nvSpPr>
      <cdr:spPr>
        <a:xfrm xmlns:a="http://schemas.openxmlformats.org/drawingml/2006/main">
          <a:off x="1556036" y="1550483"/>
          <a:ext cx="156116" cy="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0.35901</cdr:x>
      <cdr:y>0.7012</cdr:y>
    </cdr:from>
    <cdr:to>
      <cdr:x>0.51088</cdr:x>
      <cdr:y>0.78611</cdr:y>
    </cdr:to>
    <cdr:sp macro="" textlink="">
      <cdr:nvSpPr>
        <cdr:cNvPr id="17" name="pole tekstowe 1"/>
        <cdr:cNvSpPr txBox="1"/>
      </cdr:nvSpPr>
      <cdr:spPr>
        <a:xfrm xmlns:a="http://schemas.openxmlformats.org/drawingml/2006/main">
          <a:off x="791289" y="1354923"/>
          <a:ext cx="334741" cy="1640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l-PL" sz="1000"/>
            <a:t>**</a:t>
          </a:r>
        </a:p>
      </cdr:txBody>
    </cdr:sp>
  </cdr:relSizeAnchor>
  <cdr:relSizeAnchor xmlns:cdr="http://schemas.openxmlformats.org/drawingml/2006/chartDrawing">
    <cdr:from>
      <cdr:x>0.85925</cdr:x>
      <cdr:y>0.22359</cdr:y>
    </cdr:from>
    <cdr:to>
      <cdr:x>0.93805</cdr:x>
      <cdr:y>0.22537</cdr:y>
    </cdr:to>
    <cdr:sp macro="" textlink="">
      <cdr:nvSpPr>
        <cdr:cNvPr id="19" name="Łącznik prosty 18"/>
        <cdr:cNvSpPr/>
      </cdr:nvSpPr>
      <cdr:spPr>
        <a:xfrm xmlns:a="http://schemas.openxmlformats.org/drawingml/2006/main">
          <a:off x="1893864" y="432046"/>
          <a:ext cx="173682" cy="344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0.69007</cdr:x>
      <cdr:y>0.71538</cdr:y>
    </cdr:from>
    <cdr:to>
      <cdr:x>0.77341</cdr:x>
      <cdr:y>0.75357</cdr:y>
    </cdr:to>
    <cdr:sp macro="" textlink="">
      <cdr:nvSpPr>
        <cdr:cNvPr id="20" name="pole tekstowe 1"/>
        <cdr:cNvSpPr txBox="1"/>
      </cdr:nvSpPr>
      <cdr:spPr>
        <a:xfrm xmlns:a="http://schemas.openxmlformats.org/drawingml/2006/main">
          <a:off x="1520962" y="1382328"/>
          <a:ext cx="183689" cy="7379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l-PL" sz="1000"/>
            <a:t>*</a:t>
          </a:r>
        </a:p>
      </cdr:txBody>
    </cdr:sp>
  </cdr:relSizeAnchor>
  <cdr:relSizeAnchor xmlns:cdr="http://schemas.openxmlformats.org/drawingml/2006/chartDrawing">
    <cdr:from>
      <cdr:x>0.00109</cdr:x>
      <cdr:y>0</cdr:y>
    </cdr:from>
    <cdr:to>
      <cdr:x>0.14174</cdr:x>
      <cdr:y>0.14253</cdr:y>
    </cdr:to>
    <cdr:sp macro="" textlink="">
      <cdr:nvSpPr>
        <cdr:cNvPr id="2" name="pole tekstowe 1"/>
        <cdr:cNvSpPr txBox="1"/>
      </cdr:nvSpPr>
      <cdr:spPr>
        <a:xfrm xmlns:a="http://schemas.openxmlformats.org/drawingml/2006/main">
          <a:off x="2919" y="0"/>
          <a:ext cx="376643" cy="2760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a:t>(d)</a:t>
          </a:r>
        </a:p>
      </cdr:txBody>
    </cdr:sp>
  </cdr:relSizeAnchor>
  <cdr:relSizeAnchor xmlns:cdr="http://schemas.openxmlformats.org/drawingml/2006/chartDrawing">
    <cdr:from>
      <cdr:x>0.33792</cdr:x>
      <cdr:y>0.00492</cdr:y>
    </cdr:from>
    <cdr:to>
      <cdr:x>0.92127</cdr:x>
      <cdr:y>0.1082</cdr:y>
    </cdr:to>
    <cdr:sp macro="" textlink="">
      <cdr:nvSpPr>
        <cdr:cNvPr id="4" name="Pole tekstowe 3"/>
        <cdr:cNvSpPr txBox="1"/>
      </cdr:nvSpPr>
      <cdr:spPr>
        <a:xfrm xmlns:a="http://schemas.openxmlformats.org/drawingml/2006/main">
          <a:off x="904875" y="9525"/>
          <a:ext cx="156210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effectLst/>
              <a:latin typeface="+mn-lt"/>
              <a:ea typeface="+mn-ea"/>
              <a:cs typeface="+mn-cs"/>
            </a:rPr>
            <a:t>UV and Novobiocin</a:t>
          </a:r>
          <a:endParaRPr lang="en-GB" sz="1000"/>
        </a:p>
      </cdr:txBody>
    </cdr:sp>
  </cdr:relSizeAnchor>
</c:userShapes>
</file>

<file path=word/drawings/drawing11.xml><?xml version="1.0" encoding="utf-8"?>
<c:userShapes xmlns:c="http://schemas.openxmlformats.org/drawingml/2006/chart">
  <cdr:relSizeAnchor xmlns:cdr="http://schemas.openxmlformats.org/drawingml/2006/chartDrawing">
    <cdr:from>
      <cdr:x>0.10296</cdr:x>
      <cdr:y>0.91157</cdr:y>
    </cdr:from>
    <cdr:to>
      <cdr:x>1</cdr:x>
      <cdr:y>1</cdr:y>
    </cdr:to>
    <cdr:sp macro="" textlink="">
      <cdr:nvSpPr>
        <cdr:cNvPr id="2" name="pole tekstowe 1"/>
        <cdr:cNvSpPr txBox="1"/>
      </cdr:nvSpPr>
      <cdr:spPr>
        <a:xfrm xmlns:a="http://schemas.openxmlformats.org/drawingml/2006/main">
          <a:off x="301924" y="1863305"/>
          <a:ext cx="2630505" cy="1807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600"/>
            <a:t>     </a:t>
          </a:r>
          <a:r>
            <a:rPr lang="en-GB" sz="600" baseline="0"/>
            <a:t>   </a:t>
          </a:r>
          <a:r>
            <a:rPr lang="en-GB" sz="600"/>
            <a:t>trimethoprim          trimethoprim+UV</a:t>
          </a:r>
          <a:r>
            <a:rPr lang="en-GB" sz="600" baseline="0"/>
            <a:t>       ciprofloxacin       ciprofloxacin+UV</a:t>
          </a:r>
          <a:endParaRPr lang="en-GB" sz="600"/>
        </a:p>
      </cdr:txBody>
    </cdr:sp>
  </cdr:relSizeAnchor>
  <cdr:relSizeAnchor xmlns:cdr="http://schemas.openxmlformats.org/drawingml/2006/chartDrawing">
    <cdr:from>
      <cdr:x>0</cdr:x>
      <cdr:y>0</cdr:y>
    </cdr:from>
    <cdr:to>
      <cdr:x>0.13238</cdr:x>
      <cdr:y>0.10129</cdr:y>
    </cdr:to>
    <cdr:sp macro="" textlink="">
      <cdr:nvSpPr>
        <cdr:cNvPr id="3" name="Pole tekstowe 2"/>
        <cdr:cNvSpPr txBox="1"/>
      </cdr:nvSpPr>
      <cdr:spPr>
        <a:xfrm xmlns:a="http://schemas.openxmlformats.org/drawingml/2006/main">
          <a:off x="0" y="-1362974"/>
          <a:ext cx="388188" cy="2070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t>(a)</a:t>
          </a:r>
        </a:p>
      </cdr:txBody>
    </cdr:sp>
  </cdr:relSizeAnchor>
</c:userShapes>
</file>

<file path=word/drawings/drawing12.xml><?xml version="1.0" encoding="utf-8"?>
<c:userShapes xmlns:c="http://schemas.openxmlformats.org/drawingml/2006/chart">
  <cdr:relSizeAnchor xmlns:cdr="http://schemas.openxmlformats.org/drawingml/2006/chartDrawing">
    <cdr:from>
      <cdr:x>0.00635</cdr:x>
      <cdr:y>0</cdr:y>
    </cdr:from>
    <cdr:to>
      <cdr:x>0.1223</cdr:x>
      <cdr:y>0.11949</cdr:y>
    </cdr:to>
    <cdr:sp macro="" textlink="">
      <cdr:nvSpPr>
        <cdr:cNvPr id="3" name="pole tekstowe 2"/>
        <cdr:cNvSpPr txBox="1"/>
      </cdr:nvSpPr>
      <cdr:spPr>
        <a:xfrm xmlns:a="http://schemas.openxmlformats.org/drawingml/2006/main">
          <a:off x="17381" y="0"/>
          <a:ext cx="317436" cy="2503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a:t>(b)</a:t>
          </a:r>
        </a:p>
      </cdr:txBody>
    </cdr:sp>
  </cdr:relSizeAnchor>
  <cdr:relSizeAnchor xmlns:cdr="http://schemas.openxmlformats.org/drawingml/2006/chartDrawing">
    <cdr:from>
      <cdr:x>0.58291</cdr:x>
      <cdr:y>0.49345</cdr:y>
    </cdr:from>
    <cdr:to>
      <cdr:x>0.92849</cdr:x>
      <cdr:y>0.81773</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767092" y="1043426"/>
          <a:ext cx="1047619" cy="685714"/>
        </a:xfrm>
        <a:prstGeom xmlns:a="http://schemas.openxmlformats.org/drawingml/2006/main" prst="rect">
          <a:avLst/>
        </a:prstGeom>
      </cdr:spPr>
    </cdr:pic>
  </cdr:relSizeAnchor>
</c:userShapes>
</file>

<file path=word/drawings/drawing13.xml><?xml version="1.0" encoding="utf-8"?>
<c:userShapes xmlns:c="http://schemas.openxmlformats.org/drawingml/2006/chart">
  <cdr:relSizeAnchor xmlns:cdr="http://schemas.openxmlformats.org/drawingml/2006/chartDrawing">
    <cdr:from>
      <cdr:x>0.16667</cdr:x>
      <cdr:y>0.10938</cdr:y>
    </cdr:from>
    <cdr:to>
      <cdr:x>0.25208</cdr:x>
      <cdr:y>0.87674</cdr:y>
    </cdr:to>
    <cdr:sp macro="" textlink="">
      <cdr:nvSpPr>
        <cdr:cNvPr id="2" name="TextBox 1"/>
        <cdr:cNvSpPr txBox="1"/>
      </cdr:nvSpPr>
      <cdr:spPr>
        <a:xfrm xmlns:a="http://schemas.openxmlformats.org/drawingml/2006/main">
          <a:off x="762000" y="300038"/>
          <a:ext cx="390525" cy="2105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dr:relSizeAnchor xmlns:cdr="http://schemas.openxmlformats.org/drawingml/2006/chartDrawing">
    <cdr:from>
      <cdr:x>0</cdr:x>
      <cdr:y>0.05093</cdr:y>
    </cdr:from>
    <cdr:to>
      <cdr:x>0.09097</cdr:x>
      <cdr:y>1</cdr:y>
    </cdr:to>
    <cdr:sp macro="" textlink="">
      <cdr:nvSpPr>
        <cdr:cNvPr id="3" name="TextBox 7"/>
        <cdr:cNvSpPr txBox="1"/>
      </cdr:nvSpPr>
      <cdr:spPr>
        <a:xfrm xmlns:a="http://schemas.openxmlformats.org/drawingml/2006/main">
          <a:off x="-914400" y="116426"/>
          <a:ext cx="285595" cy="216957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vert270"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GB" sz="900"/>
            <a:t>log </a:t>
          </a:r>
          <a:r>
            <a:rPr lang="en-GB" sz="900" baseline="-25000"/>
            <a:t>10</a:t>
          </a:r>
          <a:r>
            <a:rPr lang="en-GB" sz="900" baseline="0"/>
            <a:t> </a:t>
          </a:r>
          <a:r>
            <a:rPr lang="en-GB" sz="900"/>
            <a:t>copy number/mL of lysate</a:t>
          </a:r>
          <a:r>
            <a:rPr lang="en-GB" sz="900" baseline="0"/>
            <a:t> </a:t>
          </a:r>
          <a:endParaRPr lang="en-GB" sz="900"/>
        </a:p>
      </cdr:txBody>
    </cdr:sp>
  </cdr:relSizeAnchor>
  <cdr:relSizeAnchor xmlns:cdr="http://schemas.openxmlformats.org/drawingml/2006/chartDrawing">
    <cdr:from>
      <cdr:x>0.23437</cdr:x>
      <cdr:y>0.89549</cdr:y>
    </cdr:from>
    <cdr:to>
      <cdr:x>0.94024</cdr:x>
      <cdr:y>1</cdr:y>
    </cdr:to>
    <cdr:sp macro="" textlink="">
      <cdr:nvSpPr>
        <cdr:cNvPr id="4" name="TextBox 3"/>
        <cdr:cNvSpPr txBox="1"/>
      </cdr:nvSpPr>
      <cdr:spPr>
        <a:xfrm xmlns:a="http://schemas.openxmlformats.org/drawingml/2006/main">
          <a:off x="735779" y="2047090"/>
          <a:ext cx="2216036" cy="2389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a:effectLst/>
              <a:latin typeface="+mn-lt"/>
              <a:ea typeface="+mn-ea"/>
              <a:cs typeface="+mn-cs"/>
            </a:rPr>
            <a:t>log </a:t>
          </a:r>
          <a:r>
            <a:rPr lang="en-GB" sz="900" baseline="-25000">
              <a:effectLst/>
              <a:latin typeface="+mn-lt"/>
              <a:ea typeface="+mn-ea"/>
              <a:cs typeface="+mn-cs"/>
            </a:rPr>
            <a:t>10</a:t>
          </a:r>
          <a:r>
            <a:rPr lang="en-GB" sz="900" baseline="0">
              <a:effectLst/>
              <a:latin typeface="+mn-lt"/>
              <a:ea typeface="+mn-ea"/>
              <a:cs typeface="+mn-cs"/>
            </a:rPr>
            <a:t> pfu</a:t>
          </a:r>
          <a:r>
            <a:rPr lang="en-GB" sz="900"/>
            <a:t>/mL detected by plaque assay</a:t>
          </a:r>
        </a:p>
      </cdr:txBody>
    </cdr:sp>
  </cdr:relSizeAnchor>
  <cdr:relSizeAnchor xmlns:cdr="http://schemas.openxmlformats.org/drawingml/2006/chartDrawing">
    <cdr:from>
      <cdr:x>0</cdr:x>
      <cdr:y>0</cdr:y>
    </cdr:from>
    <cdr:to>
      <cdr:x>0.11857</cdr:x>
      <cdr:y>0.11076</cdr:y>
    </cdr:to>
    <cdr:sp macro="" textlink="">
      <cdr:nvSpPr>
        <cdr:cNvPr id="6" name="pole tekstowe 5"/>
        <cdr:cNvSpPr txBox="1"/>
      </cdr:nvSpPr>
      <cdr:spPr>
        <a:xfrm xmlns:a="http://schemas.openxmlformats.org/drawingml/2006/main">
          <a:off x="0" y="0"/>
          <a:ext cx="332561" cy="2301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a:t>(c)</a:t>
          </a:r>
        </a:p>
      </cdr:txBody>
    </cdr:sp>
  </cdr:relSizeAnchor>
  <cdr:relSizeAnchor xmlns:cdr="http://schemas.openxmlformats.org/drawingml/2006/chartDrawing">
    <cdr:from>
      <cdr:x>0.56644</cdr:x>
      <cdr:y>0.51288</cdr:y>
    </cdr:from>
    <cdr:to>
      <cdr:x>0.90014</cdr:x>
      <cdr:y>0.81285</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778311" y="1172452"/>
          <a:ext cx="1047619" cy="685714"/>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0.35562</cdr:y>
    </cdr:from>
    <cdr:to>
      <cdr:x>0.05791</cdr:x>
      <cdr:y>0.72751</cdr:y>
    </cdr:to>
    <cdr:sp macro="" textlink="">
      <cdr:nvSpPr>
        <cdr:cNvPr id="12" name="TextBox 1"/>
        <cdr:cNvSpPr txBox="1"/>
      </cdr:nvSpPr>
      <cdr:spPr>
        <a:xfrm xmlns:a="http://schemas.openxmlformats.org/drawingml/2006/main">
          <a:off x="0" y="766659"/>
          <a:ext cx="176179" cy="801725"/>
        </a:xfrm>
        <a:prstGeom xmlns:a="http://schemas.openxmlformats.org/drawingml/2006/main" prst="rect">
          <a:avLst/>
        </a:prstGeom>
      </cdr:spPr>
      <cdr:txBody>
        <a:bodyPr xmlns:a="http://schemas.openxmlformats.org/drawingml/2006/main" vert="vert270"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en-GB" sz="1000" b="0"/>
        </a:p>
      </cdr:txBody>
    </cdr:sp>
  </cdr:relSizeAnchor>
  <cdr:relSizeAnchor xmlns:cdr="http://schemas.openxmlformats.org/drawingml/2006/chartDrawing">
    <cdr:from>
      <cdr:x>0.2232</cdr:x>
      <cdr:y>0.16813</cdr:y>
    </cdr:from>
    <cdr:to>
      <cdr:x>0.72984</cdr:x>
      <cdr:y>0.64321</cdr:y>
    </cdr:to>
    <cdr:grpSp>
      <cdr:nvGrpSpPr>
        <cdr:cNvPr id="17" name="Grupa 16"/>
        <cdr:cNvGrpSpPr/>
      </cdr:nvGrpSpPr>
      <cdr:grpSpPr>
        <a:xfrm xmlns:a="http://schemas.openxmlformats.org/drawingml/2006/main">
          <a:off x="663030" y="362457"/>
          <a:ext cx="1504968" cy="1024199"/>
          <a:chOff x="1213819" y="467931"/>
          <a:chExt cx="2570611" cy="1568018"/>
        </a:xfrm>
      </cdr:grpSpPr>
      <cdr:sp macro="" textlink="">
        <cdr:nvSpPr>
          <cdr:cNvPr id="3" name="TextBox 1"/>
          <cdr:cNvSpPr txBox="1">
            <a:spLocks xmlns:a="http://schemas.openxmlformats.org/drawingml/2006/main" noChangeArrowheads="1"/>
          </cdr:cNvSpPr>
        </cdr:nvSpPr>
        <cdr:spPr bwMode="auto">
          <a:xfrm xmlns:a="http://schemas.openxmlformats.org/drawingml/2006/main">
            <a:off x="3113655" y="467931"/>
            <a:ext cx="444068" cy="21089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wrap="square" lIns="27432"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r>
              <a:rPr lang="en-GB" sz="1000" b="0" i="0" baseline="0">
                <a:effectLst/>
                <a:latin typeface="+mn-lt"/>
                <a:ea typeface="+mn-ea"/>
                <a:cs typeface="+mn-cs"/>
              </a:rPr>
              <a:t>**</a:t>
            </a: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algn="l" rtl="0">
              <a:defRPr sz="1000"/>
            </a:pPr>
            <a:endParaRPr lang="en-GB" sz="1000" b="0" i="0" u="none" strike="noStrike" baseline="0">
              <a:solidFill>
                <a:srgbClr val="000000"/>
              </a:solidFill>
              <a:latin typeface="Calibri"/>
            </a:endParaRPr>
          </a:p>
        </cdr:txBody>
      </cdr:sp>
      <cdr:sp macro="" textlink="">
        <cdr:nvSpPr>
          <cdr:cNvPr id="5" name="TextBox 1"/>
          <cdr:cNvSpPr txBox="1">
            <a:spLocks xmlns:a="http://schemas.openxmlformats.org/drawingml/2006/main" noChangeArrowheads="1"/>
          </cdr:cNvSpPr>
        </cdr:nvSpPr>
        <cdr:spPr bwMode="auto">
          <a:xfrm xmlns:a="http://schemas.openxmlformats.org/drawingml/2006/main">
            <a:off x="2607200" y="1801857"/>
            <a:ext cx="123144" cy="17282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wrap="square" lIns="27432"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r>
              <a:rPr lang="en-GB" sz="1000" b="0" i="0" baseline="0">
                <a:effectLst/>
                <a:latin typeface="+mn-lt"/>
                <a:ea typeface="+mn-ea"/>
                <a:cs typeface="+mn-cs"/>
              </a:rPr>
              <a:t>*</a:t>
            </a: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algn="l" rtl="0">
              <a:defRPr sz="1000"/>
            </a:pPr>
            <a:endParaRPr lang="en-GB" sz="1000" b="0" i="0" u="none" strike="noStrike" baseline="0">
              <a:solidFill>
                <a:srgbClr val="000000"/>
              </a:solidFill>
              <a:latin typeface="Calibri"/>
            </a:endParaRPr>
          </a:p>
        </cdr:txBody>
      </cdr:sp>
      <cdr:sp macro="" textlink="">
        <cdr:nvSpPr>
          <cdr:cNvPr id="6" name="TextBox 1"/>
          <cdr:cNvSpPr txBox="1">
            <a:spLocks xmlns:a="http://schemas.openxmlformats.org/drawingml/2006/main" noChangeArrowheads="1"/>
          </cdr:cNvSpPr>
        </cdr:nvSpPr>
        <cdr:spPr bwMode="auto">
          <a:xfrm xmlns:a="http://schemas.openxmlformats.org/drawingml/2006/main">
            <a:off x="3389514" y="1802900"/>
            <a:ext cx="394916" cy="23304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wrap="square" lIns="27432"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r>
              <a:rPr lang="en-GB" sz="1000" b="0" i="0" baseline="0">
                <a:effectLst/>
                <a:latin typeface="+mn-lt"/>
                <a:ea typeface="+mn-ea"/>
                <a:cs typeface="+mn-cs"/>
              </a:rPr>
              <a:t>**</a:t>
            </a: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algn="l" rtl="0">
              <a:defRPr sz="1000"/>
            </a:pPr>
            <a:endParaRPr lang="en-GB" sz="1000" b="0" i="0" u="none" strike="noStrike" baseline="0">
              <a:solidFill>
                <a:srgbClr val="000000"/>
              </a:solidFill>
              <a:latin typeface="Calibri"/>
            </a:endParaRPr>
          </a:p>
        </cdr:txBody>
      </cdr:sp>
      <cdr:sp macro="" textlink="">
        <cdr:nvSpPr>
          <cdr:cNvPr id="7" name="TextBox 1"/>
          <cdr:cNvSpPr txBox="1">
            <a:spLocks xmlns:a="http://schemas.openxmlformats.org/drawingml/2006/main" noChangeArrowheads="1"/>
          </cdr:cNvSpPr>
        </cdr:nvSpPr>
        <cdr:spPr bwMode="auto">
          <a:xfrm xmlns:a="http://schemas.openxmlformats.org/drawingml/2006/main">
            <a:off x="1808328" y="1097738"/>
            <a:ext cx="161691" cy="18531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wrap="square" lIns="27432"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r>
              <a:rPr lang="en-GB" sz="1000" b="0" i="0" baseline="0">
                <a:effectLst/>
                <a:latin typeface="+mn-lt"/>
                <a:ea typeface="+mn-ea"/>
                <a:cs typeface="+mn-cs"/>
              </a:rPr>
              <a:t>*</a:t>
            </a: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algn="l" rtl="0">
              <a:defRPr sz="1000"/>
            </a:pPr>
            <a:endParaRPr lang="en-GB" sz="1000" b="0" i="0" u="none" strike="noStrike" baseline="0">
              <a:solidFill>
                <a:srgbClr val="000000"/>
              </a:solidFill>
              <a:latin typeface="Calibri"/>
            </a:endParaRPr>
          </a:p>
        </cdr:txBody>
      </cdr:sp>
      <cdr:sp macro="" textlink="">
        <cdr:nvSpPr>
          <cdr:cNvPr id="9" name="TextBox 1"/>
          <cdr:cNvSpPr txBox="1">
            <a:spLocks xmlns:a="http://schemas.openxmlformats.org/drawingml/2006/main" noChangeArrowheads="1"/>
          </cdr:cNvSpPr>
        </cdr:nvSpPr>
        <cdr:spPr bwMode="auto">
          <a:xfrm xmlns:a="http://schemas.openxmlformats.org/drawingml/2006/main">
            <a:off x="2848281" y="666937"/>
            <a:ext cx="360964" cy="20426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wrap="square" lIns="27432"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r>
              <a:rPr lang="en-GB" sz="1000" b="0" i="0" baseline="0">
                <a:effectLst/>
                <a:latin typeface="+mn-lt"/>
                <a:ea typeface="+mn-ea"/>
                <a:cs typeface="+mn-cs"/>
              </a:rPr>
              <a:t>**</a:t>
            </a: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algn="l" rtl="0">
              <a:defRPr sz="1000"/>
            </a:pPr>
            <a:endParaRPr lang="en-GB" sz="1000" b="0" i="0" u="none" strike="noStrike" baseline="0">
              <a:solidFill>
                <a:srgbClr val="000000"/>
              </a:solidFill>
              <a:latin typeface="Calibri"/>
            </a:endParaRPr>
          </a:p>
        </cdr:txBody>
      </cdr:sp>
      <cdr:sp macro="" textlink="">
        <cdr:nvSpPr>
          <cdr:cNvPr id="11" name="TextBox 1"/>
          <cdr:cNvSpPr txBox="1">
            <a:spLocks xmlns:a="http://schemas.openxmlformats.org/drawingml/2006/main" noChangeArrowheads="1"/>
          </cdr:cNvSpPr>
        </cdr:nvSpPr>
        <cdr:spPr bwMode="auto">
          <a:xfrm xmlns:a="http://schemas.openxmlformats.org/drawingml/2006/main">
            <a:off x="1213819" y="658276"/>
            <a:ext cx="543816" cy="20260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wrap="square" lIns="27432"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r>
              <a:rPr lang="en-GB" sz="1000" b="0" i="0" baseline="0">
                <a:effectLst/>
                <a:latin typeface="+mn-lt"/>
                <a:ea typeface="+mn-ea"/>
                <a:cs typeface="+mn-cs"/>
              </a:rPr>
              <a:t>**</a:t>
            </a: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algn="l" rtl="0">
              <a:defRPr sz="1000"/>
            </a:pPr>
            <a:endParaRPr lang="en-GB" sz="1000" b="0" i="0" u="none" strike="noStrike" baseline="0">
              <a:solidFill>
                <a:srgbClr val="000000"/>
              </a:solidFill>
              <a:latin typeface="Calibri"/>
            </a:endParaRPr>
          </a:p>
        </cdr:txBody>
      </cdr:sp>
      <cdr:sp macro="" textlink="">
        <cdr:nvSpPr>
          <cdr:cNvPr id="10" name="TextBox 1"/>
          <cdr:cNvSpPr txBox="1">
            <a:spLocks xmlns:a="http://schemas.openxmlformats.org/drawingml/2006/main" noChangeArrowheads="1"/>
          </cdr:cNvSpPr>
        </cdr:nvSpPr>
        <cdr:spPr bwMode="auto">
          <a:xfrm xmlns:a="http://schemas.openxmlformats.org/drawingml/2006/main">
            <a:off x="2293531" y="1119758"/>
            <a:ext cx="440771" cy="19973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wrap="square" lIns="27432"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r>
              <a:rPr lang="en-GB" sz="1000" b="0" i="0" baseline="0">
                <a:effectLst/>
                <a:latin typeface="+mn-lt"/>
                <a:ea typeface="+mn-ea"/>
                <a:cs typeface="+mn-cs"/>
              </a:rPr>
              <a:t>**</a:t>
            </a: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algn="l" rtl="0">
              <a:defRPr sz="1000"/>
            </a:pPr>
            <a:endParaRPr lang="en-GB" sz="1000" b="0" i="0" u="none" strike="noStrike" baseline="0">
              <a:solidFill>
                <a:srgbClr val="000000"/>
              </a:solidFill>
              <a:latin typeface="Calibri"/>
            </a:endParaRPr>
          </a:p>
        </cdr:txBody>
      </cdr:sp>
      <cdr:sp macro="" textlink="">
        <cdr:nvSpPr>
          <cdr:cNvPr id="13" name="TextBox 1"/>
          <cdr:cNvSpPr txBox="1">
            <a:spLocks xmlns:a="http://schemas.openxmlformats.org/drawingml/2006/main" noChangeArrowheads="1"/>
          </cdr:cNvSpPr>
        </cdr:nvSpPr>
        <cdr:spPr bwMode="auto">
          <a:xfrm xmlns:a="http://schemas.openxmlformats.org/drawingml/2006/main">
            <a:off x="2026973" y="1817169"/>
            <a:ext cx="426556" cy="16656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wrap="square" lIns="27432"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r>
              <a:rPr lang="en-GB" sz="1000" b="0" i="0" baseline="0">
                <a:effectLst/>
                <a:latin typeface="+mn-lt"/>
                <a:ea typeface="+mn-ea"/>
                <a:cs typeface="+mn-cs"/>
              </a:rPr>
              <a:t>**</a:t>
            </a: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algn="l" rtl="0">
              <a:defRPr sz="1000"/>
            </a:pPr>
            <a:endParaRPr lang="en-GB" sz="1000" b="0" i="0" u="none" strike="noStrike" baseline="0">
              <a:solidFill>
                <a:srgbClr val="000000"/>
              </a:solidFill>
              <a:latin typeface="Calibri"/>
            </a:endParaRPr>
          </a:p>
        </cdr:txBody>
      </cdr:sp>
      <cdr:sp macro="" textlink="">
        <cdr:nvSpPr>
          <cdr:cNvPr id="14" name="TextBox 1"/>
          <cdr:cNvSpPr txBox="1">
            <a:spLocks xmlns:a="http://schemas.openxmlformats.org/drawingml/2006/main" noChangeArrowheads="1"/>
          </cdr:cNvSpPr>
        </cdr:nvSpPr>
        <cdr:spPr bwMode="auto">
          <a:xfrm xmlns:a="http://schemas.openxmlformats.org/drawingml/2006/main">
            <a:off x="1491080" y="1282511"/>
            <a:ext cx="484879" cy="18847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wrap="square" lIns="27432"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r>
              <a:rPr lang="en-GB" sz="1000" b="0" i="0" baseline="0">
                <a:effectLst/>
                <a:latin typeface="+mn-lt"/>
                <a:ea typeface="+mn-ea"/>
                <a:cs typeface="+mn-cs"/>
              </a:rPr>
              <a:t>**</a:t>
            </a: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algn="l" rtl="0">
              <a:defRPr sz="1000"/>
            </a:pPr>
            <a:endParaRPr lang="en-GB" sz="1000" b="0" i="0" u="none" strike="noStrike" baseline="0">
              <a:solidFill>
                <a:srgbClr val="000000"/>
              </a:solidFill>
              <a:latin typeface="Calibri"/>
            </a:endParaRPr>
          </a:p>
        </cdr:txBody>
      </cdr:sp>
    </cdr:grpSp>
  </cdr:relSizeAnchor>
  <cdr:relSizeAnchor xmlns:cdr="http://schemas.openxmlformats.org/drawingml/2006/chartDrawing">
    <cdr:from>
      <cdr:x>0.30872</cdr:x>
      <cdr:y>0.01327</cdr:y>
    </cdr:from>
    <cdr:to>
      <cdr:x>0.70134</cdr:x>
      <cdr:y>0.14602</cdr:y>
    </cdr:to>
    <cdr:sp macro="" textlink="">
      <cdr:nvSpPr>
        <cdr:cNvPr id="2" name="Pole tekstowe 1"/>
        <cdr:cNvSpPr txBox="1"/>
      </cdr:nvSpPr>
      <cdr:spPr>
        <a:xfrm xmlns:a="http://schemas.openxmlformats.org/drawingml/2006/main">
          <a:off x="876299" y="28575"/>
          <a:ext cx="111442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Lytic phage</a:t>
          </a:r>
        </a:p>
      </cdr:txBody>
    </cdr:sp>
  </cdr:relSizeAnchor>
  <cdr:relSizeAnchor xmlns:cdr="http://schemas.openxmlformats.org/drawingml/2006/chartDrawing">
    <cdr:from>
      <cdr:x>0.0302</cdr:x>
      <cdr:y>0</cdr:y>
    </cdr:from>
    <cdr:to>
      <cdr:x>0.19128</cdr:x>
      <cdr:y>0.12832</cdr:y>
    </cdr:to>
    <cdr:sp macro="" textlink="">
      <cdr:nvSpPr>
        <cdr:cNvPr id="4" name="Pole tekstowe 3"/>
        <cdr:cNvSpPr txBox="1"/>
      </cdr:nvSpPr>
      <cdr:spPr>
        <a:xfrm xmlns:a="http://schemas.openxmlformats.org/drawingml/2006/main">
          <a:off x="85725" y="0"/>
          <a:ext cx="45720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t>(b)</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0.11758</cdr:x>
      <cdr:y>0.11321</cdr:y>
    </cdr:to>
    <cdr:sp macro="" textlink="">
      <cdr:nvSpPr>
        <cdr:cNvPr id="2" name="Pole tekstowe 1"/>
        <cdr:cNvSpPr txBox="1"/>
      </cdr:nvSpPr>
      <cdr:spPr>
        <a:xfrm xmlns:a="http://schemas.openxmlformats.org/drawingml/2006/main">
          <a:off x="0" y="-6771736"/>
          <a:ext cx="319178" cy="2242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t>(c)</a:t>
          </a:r>
        </a:p>
      </cdr:txBody>
    </cdr:sp>
  </cdr:relSizeAnchor>
  <cdr:relSizeAnchor xmlns:cdr="http://schemas.openxmlformats.org/drawingml/2006/chartDrawing">
    <cdr:from>
      <cdr:x>0.45133</cdr:x>
      <cdr:y>0</cdr:y>
    </cdr:from>
    <cdr:to>
      <cdr:x>0.72829</cdr:x>
      <cdr:y>0.10038</cdr:y>
    </cdr:to>
    <cdr:sp macro="" textlink="">
      <cdr:nvSpPr>
        <cdr:cNvPr id="3" name="Pole tekstowe 2"/>
        <cdr:cNvSpPr txBox="1"/>
      </cdr:nvSpPr>
      <cdr:spPr>
        <a:xfrm xmlns:a="http://schemas.openxmlformats.org/drawingml/2006/main">
          <a:off x="1257300" y="-6772275"/>
          <a:ext cx="771525"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Ratio</a:t>
          </a:r>
        </a:p>
      </cdr:txBody>
    </cdr:sp>
  </cdr:relSizeAnchor>
</c:userShapes>
</file>

<file path=word/drawings/drawing4.xml><?xml version="1.0" encoding="utf-8"?>
<c:userShapes xmlns:c="http://schemas.openxmlformats.org/drawingml/2006/chart">
  <cdr:relSizeAnchor xmlns:cdr="http://schemas.openxmlformats.org/drawingml/2006/chartDrawing">
    <cdr:from>
      <cdr:x>0.56119</cdr:x>
      <cdr:y>0.80038</cdr:y>
    </cdr:from>
    <cdr:to>
      <cdr:x>0.58675</cdr:x>
      <cdr:y>0.85939</cdr:y>
    </cdr:to>
    <cdr:sp macro="" textlink="">
      <cdr:nvSpPr>
        <cdr:cNvPr id="19" name="TextBox 1"/>
        <cdr:cNvSpPr txBox="1">
          <a:spLocks xmlns:a="http://schemas.openxmlformats.org/drawingml/2006/main" noChangeArrowheads="1"/>
        </cdr:cNvSpPr>
      </cdr:nvSpPr>
      <cdr:spPr bwMode="auto">
        <a:xfrm xmlns:a="http://schemas.openxmlformats.org/drawingml/2006/main">
          <a:off x="1983118" y="1701093"/>
          <a:ext cx="90323" cy="12541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wrap="square" lIns="27432"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GB" sz="1000" b="0" i="0" u="none" strike="noStrike" baseline="0">
              <a:solidFill>
                <a:srgbClr val="000000"/>
              </a:solidFill>
              <a:latin typeface="Calibri"/>
            </a:rPr>
            <a:t>*</a:t>
          </a:r>
        </a:p>
      </cdr:txBody>
    </cdr:sp>
  </cdr:relSizeAnchor>
  <cdr:relSizeAnchor xmlns:cdr="http://schemas.openxmlformats.org/drawingml/2006/chartDrawing">
    <cdr:from>
      <cdr:x>0.24754</cdr:x>
      <cdr:y>0.12991</cdr:y>
    </cdr:from>
    <cdr:to>
      <cdr:x>0.55813</cdr:x>
      <cdr:y>0.8746</cdr:y>
    </cdr:to>
    <cdr:grpSp>
      <cdr:nvGrpSpPr>
        <cdr:cNvPr id="14" name="Grupa 13"/>
        <cdr:cNvGrpSpPr/>
      </cdr:nvGrpSpPr>
      <cdr:grpSpPr>
        <a:xfrm xmlns:a="http://schemas.openxmlformats.org/drawingml/2006/main">
          <a:off x="874761" y="276104"/>
          <a:ext cx="1097546" cy="1582730"/>
          <a:chOff x="1275181" y="426472"/>
          <a:chExt cx="1622226" cy="2134583"/>
        </a:xfrm>
      </cdr:grpSpPr>
      <cdr:sp macro="" textlink="">
        <cdr:nvSpPr>
          <cdr:cNvPr id="11" name="TextBox 1"/>
          <cdr:cNvSpPr txBox="1">
            <a:spLocks xmlns:a="http://schemas.openxmlformats.org/drawingml/2006/main" noChangeArrowheads="1"/>
          </cdr:cNvSpPr>
        </cdr:nvSpPr>
        <cdr:spPr bwMode="auto">
          <a:xfrm xmlns:a="http://schemas.openxmlformats.org/drawingml/2006/main">
            <a:off x="1275181" y="2358223"/>
            <a:ext cx="134801" cy="12316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wrap="square" lIns="27432"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GB" sz="1000" b="0" i="0" u="none" strike="noStrike" baseline="0">
                <a:solidFill>
                  <a:srgbClr val="000000"/>
                </a:solidFill>
                <a:latin typeface="Calibri"/>
              </a:rPr>
              <a:t>*</a:t>
            </a:r>
          </a:p>
        </cdr:txBody>
      </cdr:sp>
      <cdr:sp macro="" textlink="">
        <cdr:nvSpPr>
          <cdr:cNvPr id="15" name="TextBox 1"/>
          <cdr:cNvSpPr txBox="1">
            <a:spLocks xmlns:a="http://schemas.openxmlformats.org/drawingml/2006/main" noChangeArrowheads="1"/>
          </cdr:cNvSpPr>
        </cdr:nvSpPr>
        <cdr:spPr bwMode="auto">
          <a:xfrm xmlns:a="http://schemas.openxmlformats.org/drawingml/2006/main">
            <a:off x="1652460" y="1293143"/>
            <a:ext cx="321272" cy="1327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wrap="square" lIns="27432"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r>
              <a:rPr lang="en-GB" sz="1000" b="0" i="0" baseline="0">
                <a:effectLst/>
                <a:latin typeface="+mn-lt"/>
                <a:ea typeface="+mn-ea"/>
                <a:cs typeface="+mn-cs"/>
              </a:rPr>
              <a:t>**</a:t>
            </a:r>
            <a:r>
              <a:rPr lang="pl-PL" sz="1000" b="0" i="0" baseline="0">
                <a:effectLst/>
                <a:latin typeface="+mn-lt"/>
                <a:ea typeface="+mn-ea"/>
                <a:cs typeface="+mn-cs"/>
              </a:rPr>
              <a:t>*</a:t>
            </a: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algn="l" rtl="0">
              <a:defRPr sz="1000"/>
            </a:pPr>
            <a:endParaRPr lang="en-GB" sz="1000" b="0" i="0" u="none" strike="noStrike" baseline="0">
              <a:solidFill>
                <a:srgbClr val="000000"/>
              </a:solidFill>
              <a:latin typeface="Calibri"/>
            </a:endParaRPr>
          </a:p>
        </cdr:txBody>
      </cdr:sp>
      <cdr:sp macro="" textlink="">
        <cdr:nvSpPr>
          <cdr:cNvPr id="16" name="TextBox 1"/>
          <cdr:cNvSpPr txBox="1">
            <a:spLocks xmlns:a="http://schemas.openxmlformats.org/drawingml/2006/main" noChangeArrowheads="1"/>
          </cdr:cNvSpPr>
        </cdr:nvSpPr>
        <cdr:spPr bwMode="auto">
          <a:xfrm xmlns:a="http://schemas.openxmlformats.org/drawingml/2006/main">
            <a:off x="1659045" y="2041936"/>
            <a:ext cx="127392" cy="16385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wrap="square" lIns="27432"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cdr:txBody>
      </cdr:sp>
      <cdr:sp macro="" textlink="">
        <cdr:nvSpPr>
          <cdr:cNvPr id="26" name="TextBox 1"/>
          <cdr:cNvSpPr txBox="1">
            <a:spLocks xmlns:a="http://schemas.openxmlformats.org/drawingml/2006/main" noChangeArrowheads="1"/>
          </cdr:cNvSpPr>
        </cdr:nvSpPr>
        <cdr:spPr bwMode="auto">
          <a:xfrm xmlns:a="http://schemas.openxmlformats.org/drawingml/2006/main">
            <a:off x="2576096" y="426472"/>
            <a:ext cx="321311" cy="15665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wrap="square" lIns="27432"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r>
              <a:rPr lang="en-GB" sz="1000" b="0" i="0" baseline="0">
                <a:effectLst/>
                <a:latin typeface="+mn-lt"/>
                <a:ea typeface="+mn-ea"/>
                <a:cs typeface="+mn-cs"/>
              </a:rPr>
              <a:t>**</a:t>
            </a:r>
            <a:r>
              <a:rPr lang="pl-PL" sz="1000" b="0" i="0" baseline="0">
                <a:effectLst/>
                <a:latin typeface="+mn-lt"/>
                <a:ea typeface="+mn-ea"/>
                <a:cs typeface="+mn-cs"/>
              </a:rPr>
              <a:t>*</a:t>
            </a: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marL="0" marR="0" indent="0" algn="l" defTabSz="914400" rtl="0" eaLnBrk="1" fontAlgn="auto" latinLnBrk="0" hangingPunct="1">
              <a:lnSpc>
                <a:spcPct val="100000"/>
              </a:lnSpc>
              <a:spcBef>
                <a:spcPts val="0"/>
              </a:spcBef>
              <a:spcAft>
                <a:spcPts val="0"/>
              </a:spcAft>
              <a:buClrTx/>
              <a:buSzTx/>
              <a:buFontTx/>
              <a:buNone/>
              <a:tabLst/>
              <a:defRPr sz="1000"/>
            </a:pPr>
            <a:endParaRPr lang="en-GB" sz="1000">
              <a:effectLst/>
            </a:endParaRPr>
          </a:p>
          <a:p xmlns:a="http://schemas.openxmlformats.org/drawingml/2006/main">
            <a:pPr algn="l" rtl="0">
              <a:defRPr sz="1000"/>
            </a:pPr>
            <a:endParaRPr lang="en-GB" sz="1000" b="0" i="0" u="none" strike="noStrike" baseline="0">
              <a:solidFill>
                <a:srgbClr val="000000"/>
              </a:solidFill>
              <a:latin typeface="Calibri"/>
            </a:endParaRPr>
          </a:p>
        </cdr:txBody>
      </cdr:sp>
      <cdr:sp macro="" textlink="">
        <cdr:nvSpPr>
          <cdr:cNvPr id="27" name="TextBox 1"/>
          <cdr:cNvSpPr txBox="1">
            <a:spLocks xmlns:a="http://schemas.openxmlformats.org/drawingml/2006/main" noChangeArrowheads="1"/>
          </cdr:cNvSpPr>
        </cdr:nvSpPr>
        <cdr:spPr bwMode="auto">
          <a:xfrm xmlns:a="http://schemas.openxmlformats.org/drawingml/2006/main">
            <a:off x="2399710" y="2364647"/>
            <a:ext cx="248510" cy="16783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wrap="square" lIns="27432"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GB" sz="900" b="0" i="0" u="none" strike="noStrike" baseline="0">
                <a:solidFill>
                  <a:srgbClr val="000000"/>
                </a:solidFill>
                <a:latin typeface="Calibri"/>
              </a:rPr>
              <a:t>##</a:t>
            </a:r>
          </a:p>
        </cdr:txBody>
      </cdr:sp>
      <cdr:sp macro="" textlink="">
        <cdr:nvSpPr>
          <cdr:cNvPr id="28" name="TextBox 1"/>
          <cdr:cNvSpPr txBox="1">
            <a:spLocks xmlns:a="http://schemas.openxmlformats.org/drawingml/2006/main" noChangeArrowheads="1"/>
          </cdr:cNvSpPr>
        </cdr:nvSpPr>
        <cdr:spPr bwMode="auto">
          <a:xfrm xmlns:a="http://schemas.openxmlformats.org/drawingml/2006/main">
            <a:off x="1929863" y="2373114"/>
            <a:ext cx="237769" cy="18794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wrap="square" lIns="27432"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GB" sz="900" b="0" i="0" u="none" strike="noStrike" baseline="0">
                <a:solidFill>
                  <a:srgbClr val="000000"/>
                </a:solidFill>
                <a:latin typeface="Calibri"/>
              </a:rPr>
              <a:t>##</a:t>
            </a:r>
          </a:p>
        </cdr:txBody>
      </cdr:sp>
      <cdr:sp macro="" textlink="">
        <cdr:nvSpPr>
          <cdr:cNvPr id="29" name="TextBox 1"/>
          <cdr:cNvSpPr txBox="1">
            <a:spLocks xmlns:a="http://schemas.openxmlformats.org/drawingml/2006/main" noChangeArrowheads="1"/>
          </cdr:cNvSpPr>
        </cdr:nvSpPr>
        <cdr:spPr bwMode="auto">
          <a:xfrm xmlns:a="http://schemas.openxmlformats.org/drawingml/2006/main">
            <a:off x="1475279" y="2378555"/>
            <a:ext cx="221236" cy="14564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wrap="square" lIns="27432"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GB" sz="900" b="0" i="0" u="none" strike="noStrike" baseline="0">
                <a:solidFill>
                  <a:srgbClr val="000000"/>
                </a:solidFill>
                <a:latin typeface="Calibri"/>
              </a:rPr>
              <a:t>##</a:t>
            </a:r>
          </a:p>
        </cdr:txBody>
      </cdr:sp>
    </cdr:grpSp>
  </cdr:relSizeAnchor>
  <cdr:relSizeAnchor xmlns:cdr="http://schemas.openxmlformats.org/drawingml/2006/chartDrawing">
    <cdr:from>
      <cdr:x>0.21322</cdr:x>
      <cdr:y>0</cdr:y>
    </cdr:from>
    <cdr:to>
      <cdr:x>0.79957</cdr:x>
      <cdr:y>0.121</cdr:y>
    </cdr:to>
    <cdr:sp macro="" textlink="">
      <cdr:nvSpPr>
        <cdr:cNvPr id="2" name="Pole tekstowe 1"/>
        <cdr:cNvSpPr txBox="1"/>
      </cdr:nvSpPr>
      <cdr:spPr>
        <a:xfrm xmlns:a="http://schemas.openxmlformats.org/drawingml/2006/main">
          <a:off x="571499" y="0"/>
          <a:ext cx="1571625" cy="257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Transduction + UV</a:t>
          </a:r>
        </a:p>
      </cdr:txBody>
    </cdr:sp>
  </cdr:relSizeAnchor>
  <cdr:relSizeAnchor xmlns:cdr="http://schemas.openxmlformats.org/drawingml/2006/chartDrawing">
    <cdr:from>
      <cdr:x>0.02132</cdr:x>
      <cdr:y>0</cdr:y>
    </cdr:from>
    <cdr:to>
      <cdr:x>0.17768</cdr:x>
      <cdr:y>0.11652</cdr:y>
    </cdr:to>
    <cdr:sp macro="" textlink="">
      <cdr:nvSpPr>
        <cdr:cNvPr id="3" name="Pole tekstowe 2"/>
        <cdr:cNvSpPr txBox="1"/>
      </cdr:nvSpPr>
      <cdr:spPr>
        <a:xfrm xmlns:a="http://schemas.openxmlformats.org/drawingml/2006/main">
          <a:off x="57150" y="-1362075"/>
          <a:ext cx="4191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t>(a)</a:t>
          </a:r>
        </a:p>
      </cdr:txBody>
    </cdr:sp>
  </cdr:relSizeAnchor>
</c:userShapes>
</file>

<file path=word/drawings/drawing5.xml><?xml version="1.0" encoding="utf-8"?>
<c:userShapes xmlns:c="http://schemas.openxmlformats.org/drawingml/2006/chart">
  <cdr:relSizeAnchor xmlns:cdr="http://schemas.openxmlformats.org/drawingml/2006/chartDrawing">
    <cdr:from>
      <cdr:x>0.01155</cdr:x>
      <cdr:y>0.38042</cdr:y>
    </cdr:from>
    <cdr:to>
      <cdr:x>0.09973</cdr:x>
      <cdr:y>0.74801</cdr:y>
    </cdr:to>
    <cdr:sp macro="" textlink="">
      <cdr:nvSpPr>
        <cdr:cNvPr id="12" name="TextBox 1"/>
        <cdr:cNvSpPr txBox="1"/>
      </cdr:nvSpPr>
      <cdr:spPr>
        <a:xfrm xmlns:a="http://schemas.openxmlformats.org/drawingml/2006/main">
          <a:off x="39930" y="663587"/>
          <a:ext cx="304889" cy="641204"/>
        </a:xfrm>
        <a:prstGeom xmlns:a="http://schemas.openxmlformats.org/drawingml/2006/main" prst="rect">
          <a:avLst/>
        </a:prstGeom>
      </cdr:spPr>
      <cdr:txBody>
        <a:bodyPr xmlns:a="http://schemas.openxmlformats.org/drawingml/2006/main" vert="vert270"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l-PL" sz="800" b="0"/>
            <a:t>log</a:t>
          </a:r>
          <a:r>
            <a:rPr lang="pl-PL" sz="800" b="0" baseline="-25000"/>
            <a:t>10</a:t>
          </a:r>
          <a:r>
            <a:rPr lang="en-GB" sz="1000" b="0" baseline="0"/>
            <a:t>pfu</a:t>
          </a:r>
          <a:r>
            <a:rPr lang="en-GB" sz="1000" b="0"/>
            <a:t>/mL</a:t>
          </a:r>
        </a:p>
      </cdr:txBody>
    </cdr:sp>
  </cdr:relSizeAnchor>
  <cdr:relSizeAnchor xmlns:cdr="http://schemas.openxmlformats.org/drawingml/2006/chartDrawing">
    <cdr:from>
      <cdr:x>0.23228</cdr:x>
      <cdr:y>0.10964</cdr:y>
    </cdr:from>
    <cdr:to>
      <cdr:x>0.67316</cdr:x>
      <cdr:y>0.70221</cdr:y>
    </cdr:to>
    <cdr:grpSp>
      <cdr:nvGrpSpPr>
        <cdr:cNvPr id="15" name="Grupa 14"/>
        <cdr:cNvGrpSpPr/>
      </cdr:nvGrpSpPr>
      <cdr:grpSpPr>
        <a:xfrm xmlns:a="http://schemas.openxmlformats.org/drawingml/2006/main">
          <a:off x="839863" y="203427"/>
          <a:ext cx="1594065" cy="1099495"/>
          <a:chOff x="1549229" y="443728"/>
          <a:chExt cx="3323386" cy="2062209"/>
        </a:xfrm>
      </cdr:grpSpPr>
      <cdr:sp macro="" textlink="">
        <cdr:nvSpPr>
          <cdr:cNvPr id="33" name="pole tekstowe 32"/>
          <cdr:cNvSpPr txBox="1"/>
        </cdr:nvSpPr>
        <cdr:spPr>
          <a:xfrm xmlns:a="http://schemas.openxmlformats.org/drawingml/2006/main">
            <a:off x="2076740" y="531641"/>
            <a:ext cx="788396" cy="34616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l-PL" sz="1000"/>
              <a:t>**</a:t>
            </a:r>
          </a:p>
        </cdr:txBody>
      </cdr:sp>
      <cdr:sp macro="" textlink="">
        <cdr:nvSpPr>
          <cdr:cNvPr id="34" name="pole tekstowe 1"/>
          <cdr:cNvSpPr txBox="1"/>
        </cdr:nvSpPr>
        <cdr:spPr>
          <a:xfrm xmlns:a="http://schemas.openxmlformats.org/drawingml/2006/main">
            <a:off x="3375956" y="443728"/>
            <a:ext cx="842083" cy="2964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l-PL" sz="1000"/>
              <a:t>**</a:t>
            </a:r>
            <a:r>
              <a:rPr lang="en-GB" sz="1000"/>
              <a:t>*</a:t>
            </a:r>
            <a:endParaRPr lang="pl-PL" sz="1000"/>
          </a:p>
        </cdr:txBody>
      </cdr:sp>
      <cdr:sp macro="" textlink="">
        <cdr:nvSpPr>
          <cdr:cNvPr id="35" name="pole tekstowe 1"/>
          <cdr:cNvSpPr txBox="1"/>
        </cdr:nvSpPr>
        <cdr:spPr>
          <a:xfrm xmlns:a="http://schemas.openxmlformats.org/drawingml/2006/main">
            <a:off x="2814130" y="1084019"/>
            <a:ext cx="373388" cy="2353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l-PL" sz="1000"/>
              <a:t>*</a:t>
            </a:r>
          </a:p>
        </cdr:txBody>
      </cdr:sp>
      <cdr:sp macro="" textlink="">
        <cdr:nvSpPr>
          <cdr:cNvPr id="36" name="pole tekstowe 1"/>
          <cdr:cNvSpPr txBox="1"/>
        </cdr:nvSpPr>
        <cdr:spPr>
          <a:xfrm xmlns:a="http://schemas.openxmlformats.org/drawingml/2006/main">
            <a:off x="3737444" y="907244"/>
            <a:ext cx="813475" cy="4457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l-PL" sz="1000"/>
              <a:t>***</a:t>
            </a:r>
          </a:p>
        </cdr:txBody>
      </cdr:sp>
      <cdr:sp macro="" textlink="">
        <cdr:nvSpPr>
          <cdr:cNvPr id="37" name="pole tekstowe 1"/>
          <cdr:cNvSpPr txBox="1"/>
        </cdr:nvSpPr>
        <cdr:spPr>
          <a:xfrm xmlns:a="http://schemas.openxmlformats.org/drawingml/2006/main">
            <a:off x="1549229" y="1088738"/>
            <a:ext cx="177677" cy="19960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l-PL" sz="1000"/>
              <a:t>*</a:t>
            </a:r>
          </a:p>
        </cdr:txBody>
      </cdr:sp>
      <cdr:sp macro="" textlink="">
        <cdr:nvSpPr>
          <cdr:cNvPr id="38" name="pole tekstowe 1"/>
          <cdr:cNvSpPr txBox="1"/>
        </cdr:nvSpPr>
        <cdr:spPr>
          <a:xfrm xmlns:a="http://schemas.openxmlformats.org/drawingml/2006/main">
            <a:off x="3083522" y="2226409"/>
            <a:ext cx="666733" cy="27952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l-PL" sz="900"/>
              <a:t>##</a:t>
            </a:r>
          </a:p>
        </cdr:txBody>
      </cdr:sp>
      <cdr:sp macro="" textlink="">
        <cdr:nvSpPr>
          <cdr:cNvPr id="39" name="pole tekstowe 1"/>
          <cdr:cNvSpPr txBox="1"/>
        </cdr:nvSpPr>
        <cdr:spPr>
          <a:xfrm xmlns:a="http://schemas.openxmlformats.org/drawingml/2006/main">
            <a:off x="4100345" y="2024900"/>
            <a:ext cx="772270" cy="3296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l-PL" sz="900"/>
              <a:t>##</a:t>
            </a:r>
          </a:p>
        </cdr:txBody>
      </cdr:sp>
    </cdr:grpSp>
  </cdr:relSizeAnchor>
  <cdr:relSizeAnchor xmlns:cdr="http://schemas.openxmlformats.org/drawingml/2006/chartDrawing">
    <cdr:from>
      <cdr:x>0.22834</cdr:x>
      <cdr:y>0.24857</cdr:y>
    </cdr:from>
    <cdr:to>
      <cdr:x>0.29849</cdr:x>
      <cdr:y>0.29714</cdr:y>
    </cdr:to>
    <cdr:sp macro="" textlink="">
      <cdr:nvSpPr>
        <cdr:cNvPr id="41" name="pole tekstowe 1"/>
        <cdr:cNvSpPr txBox="1"/>
      </cdr:nvSpPr>
      <cdr:spPr>
        <a:xfrm xmlns:a="http://schemas.openxmlformats.org/drawingml/2006/main">
          <a:off x="1581150" y="828675"/>
          <a:ext cx="485775" cy="1619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GB"/>
        </a:p>
      </cdr:txBody>
    </cdr:sp>
  </cdr:relSizeAnchor>
  <cdr:relSizeAnchor xmlns:cdr="http://schemas.openxmlformats.org/drawingml/2006/chartDrawing">
    <cdr:from>
      <cdr:x>0.26811</cdr:x>
      <cdr:y>0</cdr:y>
    </cdr:from>
    <cdr:to>
      <cdr:x>0.75847</cdr:x>
      <cdr:y>0.13431</cdr:y>
    </cdr:to>
    <cdr:sp macro="" textlink="">
      <cdr:nvSpPr>
        <cdr:cNvPr id="2" name="Pole tekstowe 1"/>
        <cdr:cNvSpPr txBox="1"/>
      </cdr:nvSpPr>
      <cdr:spPr>
        <a:xfrm xmlns:a="http://schemas.openxmlformats.org/drawingml/2006/main">
          <a:off x="723900" y="0"/>
          <a:ext cx="132397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Lytic phage + UV</a:t>
          </a:r>
        </a:p>
      </cdr:txBody>
    </cdr:sp>
  </cdr:relSizeAnchor>
  <cdr:relSizeAnchor xmlns:cdr="http://schemas.openxmlformats.org/drawingml/2006/chartDrawing">
    <cdr:from>
      <cdr:x>0.01411</cdr:x>
      <cdr:y>0</cdr:y>
    </cdr:from>
    <cdr:to>
      <cdr:x>0.14817</cdr:x>
      <cdr:y>0.12472</cdr:y>
    </cdr:to>
    <cdr:sp macro="" textlink="">
      <cdr:nvSpPr>
        <cdr:cNvPr id="3" name="Pole tekstowe 2"/>
        <cdr:cNvSpPr txBox="1"/>
      </cdr:nvSpPr>
      <cdr:spPr>
        <a:xfrm xmlns:a="http://schemas.openxmlformats.org/drawingml/2006/main">
          <a:off x="38099" y="-3619500"/>
          <a:ext cx="361951"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a:t>(b)</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0.16333</cdr:x>
      <cdr:y>0.09747</cdr:y>
    </cdr:to>
    <cdr:sp macro="" textlink="">
      <cdr:nvSpPr>
        <cdr:cNvPr id="2" name="Pole tekstowe 1"/>
        <cdr:cNvSpPr txBox="1"/>
      </cdr:nvSpPr>
      <cdr:spPr>
        <a:xfrm xmlns:a="http://schemas.openxmlformats.org/drawingml/2006/main">
          <a:off x="-914400" y="0"/>
          <a:ext cx="439948" cy="2070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(c)</a:t>
          </a:r>
        </a:p>
      </cdr:txBody>
    </cdr:sp>
  </cdr:relSizeAnchor>
  <cdr:relSizeAnchor xmlns:cdr="http://schemas.openxmlformats.org/drawingml/2006/chartDrawing">
    <cdr:from>
      <cdr:x>0.44837</cdr:x>
      <cdr:y>0</cdr:y>
    </cdr:from>
    <cdr:to>
      <cdr:x>0.65417</cdr:x>
      <cdr:y>0.11659</cdr:y>
    </cdr:to>
    <cdr:sp macro="" textlink="">
      <cdr:nvSpPr>
        <cdr:cNvPr id="3" name="Pole tekstowe 2"/>
        <cdr:cNvSpPr txBox="1"/>
      </cdr:nvSpPr>
      <cdr:spPr>
        <a:xfrm xmlns:a="http://schemas.openxmlformats.org/drawingml/2006/main">
          <a:off x="1207770" y="-6410325"/>
          <a:ext cx="55435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Ratio</a:t>
          </a:r>
        </a:p>
      </cdr:txBody>
    </cdr:sp>
  </cdr:relSizeAnchor>
</c:userShapes>
</file>

<file path=word/drawings/drawing7.xml><?xml version="1.0" encoding="utf-8"?>
<c:userShapes xmlns:c="http://schemas.openxmlformats.org/drawingml/2006/chart">
  <cdr:relSizeAnchor xmlns:cdr="http://schemas.openxmlformats.org/drawingml/2006/chartDrawing">
    <cdr:from>
      <cdr:x>0.59502</cdr:x>
      <cdr:y>0.58914</cdr:y>
    </cdr:from>
    <cdr:to>
      <cdr:x>0.68005</cdr:x>
      <cdr:y>0.59046</cdr:y>
    </cdr:to>
    <cdr:sp macro="" textlink="">
      <cdr:nvSpPr>
        <cdr:cNvPr id="7" name="Łącznik prosty 6"/>
        <cdr:cNvSpPr/>
      </cdr:nvSpPr>
      <cdr:spPr>
        <a:xfrm xmlns:a="http://schemas.openxmlformats.org/drawingml/2006/main">
          <a:off x="1592577" y="1196391"/>
          <a:ext cx="227598" cy="2679"/>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0.84375</cdr:x>
      <cdr:y>0.01992</cdr:y>
    </cdr:from>
    <cdr:to>
      <cdr:x>0.94204</cdr:x>
      <cdr:y>0.08806</cdr:y>
    </cdr:to>
    <cdr:sp macro="" textlink="">
      <cdr:nvSpPr>
        <cdr:cNvPr id="12" name="pole tekstowe 1"/>
        <cdr:cNvSpPr txBox="1"/>
      </cdr:nvSpPr>
      <cdr:spPr>
        <a:xfrm xmlns:a="http://schemas.openxmlformats.org/drawingml/2006/main">
          <a:off x="2199929" y="40459"/>
          <a:ext cx="256272" cy="1383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l-PL" sz="1000"/>
            <a:t>*</a:t>
          </a:r>
        </a:p>
      </cdr:txBody>
    </cdr:sp>
  </cdr:relSizeAnchor>
  <cdr:relSizeAnchor xmlns:cdr="http://schemas.openxmlformats.org/drawingml/2006/chartDrawing">
    <cdr:from>
      <cdr:x>0.579</cdr:x>
      <cdr:y>0.50902</cdr:y>
    </cdr:from>
    <cdr:to>
      <cdr:x>0.72459</cdr:x>
      <cdr:y>0.59322</cdr:y>
    </cdr:to>
    <cdr:sp macro="" textlink="">
      <cdr:nvSpPr>
        <cdr:cNvPr id="13" name="pole tekstowe 1"/>
        <cdr:cNvSpPr txBox="1"/>
      </cdr:nvSpPr>
      <cdr:spPr>
        <a:xfrm xmlns:a="http://schemas.openxmlformats.org/drawingml/2006/main">
          <a:off x="1549715" y="1033690"/>
          <a:ext cx="389675" cy="1709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l-PL" sz="1000"/>
            <a:t>**</a:t>
          </a:r>
        </a:p>
      </cdr:txBody>
    </cdr:sp>
  </cdr:relSizeAnchor>
  <cdr:relSizeAnchor xmlns:cdr="http://schemas.openxmlformats.org/drawingml/2006/chartDrawing">
    <cdr:from>
      <cdr:x>0.00322</cdr:x>
      <cdr:y>0.18163</cdr:y>
    </cdr:from>
    <cdr:to>
      <cdr:x>0.0553</cdr:x>
      <cdr:y>0.81357</cdr:y>
    </cdr:to>
    <cdr:sp macro="" textlink="">
      <cdr:nvSpPr>
        <cdr:cNvPr id="15" name="pole tekstowe 1"/>
        <cdr:cNvSpPr txBox="1"/>
      </cdr:nvSpPr>
      <cdr:spPr>
        <a:xfrm xmlns:a="http://schemas.openxmlformats.org/drawingml/2006/main">
          <a:off x="8626" y="368842"/>
          <a:ext cx="139393" cy="1283299"/>
        </a:xfrm>
        <a:prstGeom xmlns:a="http://schemas.openxmlformats.org/drawingml/2006/main" prst="rect">
          <a:avLst/>
        </a:prstGeom>
      </cdr:spPr>
      <cdr:txBody>
        <a:bodyPr xmlns:a="http://schemas.openxmlformats.org/drawingml/2006/main" vert="vert270"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900"/>
            <a:t>transductant cell/mL</a:t>
          </a:r>
          <a:endParaRPr lang="pl-PL" sz="900"/>
        </a:p>
      </cdr:txBody>
    </cdr:sp>
  </cdr:relSizeAnchor>
  <cdr:relSizeAnchor xmlns:cdr="http://schemas.openxmlformats.org/drawingml/2006/chartDrawing">
    <cdr:from>
      <cdr:x>0.36787</cdr:x>
      <cdr:y>0.32292</cdr:y>
    </cdr:from>
    <cdr:to>
      <cdr:x>0.39936</cdr:x>
      <cdr:y>0.36806</cdr:y>
    </cdr:to>
    <cdr:sp macro="" textlink="">
      <cdr:nvSpPr>
        <cdr:cNvPr id="20" name="pole tekstowe 19"/>
        <cdr:cNvSpPr txBox="1"/>
      </cdr:nvSpPr>
      <cdr:spPr>
        <a:xfrm xmlns:a="http://schemas.openxmlformats.org/drawingml/2006/main">
          <a:off x="1676400" y="885825"/>
          <a:ext cx="142875" cy="123825"/>
        </a:xfrm>
        <a:prstGeom xmlns:a="http://schemas.openxmlformats.org/drawingml/2006/main" prst="rect">
          <a:avLst/>
        </a:prstGeom>
        <a:pattFill xmlns:a="http://schemas.openxmlformats.org/drawingml/2006/main" prst="dkVert">
          <a:fgClr>
            <a:srgbClr val="000000">
              <a:alpha val="0"/>
            </a:srgbClr>
          </a:fgClr>
          <a:bgClr>
            <a:srgbClr val="FFFFFF">
              <a:alpha val="0"/>
            </a:srgbClr>
          </a:bgClr>
        </a:pattFill>
      </cdr:spPr>
      <cdr:txBody>
        <a:bodyPr xmlns:a="http://schemas.openxmlformats.org/drawingml/2006/main" wrap="square" rtlCol="0"/>
        <a:lstStyle xmlns:a="http://schemas.openxmlformats.org/drawingml/2006/main"/>
        <a:p xmlns:a="http://schemas.openxmlformats.org/drawingml/2006/main">
          <a:endParaRPr lang="en-GB"/>
        </a:p>
      </cdr:txBody>
    </cdr:sp>
  </cdr:relSizeAnchor>
  <cdr:relSizeAnchor xmlns:cdr="http://schemas.openxmlformats.org/drawingml/2006/chartDrawing">
    <cdr:from>
      <cdr:x>0.85325</cdr:x>
      <cdr:y>0.10853</cdr:y>
    </cdr:from>
    <cdr:to>
      <cdr:x>0.92224</cdr:x>
      <cdr:y>0.1091</cdr:y>
    </cdr:to>
    <cdr:sp macro="" textlink="">
      <cdr:nvSpPr>
        <cdr:cNvPr id="14" name="Łącznik prosty 13"/>
        <cdr:cNvSpPr/>
      </cdr:nvSpPr>
      <cdr:spPr>
        <a:xfrm xmlns:a="http://schemas.openxmlformats.org/drawingml/2006/main">
          <a:off x="2224694" y="220389"/>
          <a:ext cx="179879" cy="1157"/>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0.02549</cdr:y>
    </cdr:from>
    <cdr:to>
      <cdr:x>0.12748</cdr:x>
      <cdr:y>0.12185</cdr:y>
    </cdr:to>
    <cdr:sp macro="" textlink="">
      <cdr:nvSpPr>
        <cdr:cNvPr id="9" name="pole tekstowe 1"/>
        <cdr:cNvSpPr txBox="1"/>
      </cdr:nvSpPr>
      <cdr:spPr>
        <a:xfrm xmlns:a="http://schemas.openxmlformats.org/drawingml/2006/main">
          <a:off x="-3726611" y="51758"/>
          <a:ext cx="341203" cy="195681"/>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900"/>
            <a:t>(a)</a:t>
          </a:r>
        </a:p>
      </cdr:txBody>
    </cdr:sp>
  </cdr:relSizeAnchor>
  <cdr:relSizeAnchor xmlns:cdr="http://schemas.openxmlformats.org/drawingml/2006/chartDrawing">
    <cdr:from>
      <cdr:x>0.39349</cdr:x>
      <cdr:y>0</cdr:y>
    </cdr:from>
    <cdr:to>
      <cdr:x>0.77071</cdr:x>
      <cdr:y>0.08443</cdr:y>
    </cdr:to>
    <cdr:sp macro="" textlink="">
      <cdr:nvSpPr>
        <cdr:cNvPr id="2" name="Pole tekstowe 1"/>
        <cdr:cNvSpPr txBox="1"/>
      </cdr:nvSpPr>
      <cdr:spPr>
        <a:xfrm xmlns:a="http://schemas.openxmlformats.org/drawingml/2006/main">
          <a:off x="1025947" y="-1748940"/>
          <a:ext cx="983529" cy="1714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t>Gentamicin</a:t>
          </a:r>
        </a:p>
      </cdr:txBody>
    </cdr:sp>
  </cdr:relSizeAnchor>
  <cdr:relSizeAnchor xmlns:cdr="http://schemas.openxmlformats.org/drawingml/2006/chartDrawing">
    <cdr:from>
      <cdr:x>0.22682</cdr:x>
      <cdr:y>0.11863</cdr:y>
    </cdr:from>
    <cdr:to>
      <cdr:x>0.47827</cdr:x>
      <cdr:y>0.54946</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07098" y="240906"/>
          <a:ext cx="673012" cy="874900"/>
        </a:xfrm>
        <a:prstGeom xmlns:a="http://schemas.openxmlformats.org/drawingml/2006/main" prst="rect">
          <a:avLst/>
        </a:prstGeom>
      </cdr:spPr>
    </cdr:pic>
  </cdr:relSizeAnchor>
</c:userShapes>
</file>

<file path=word/drawings/drawing8.xml><?xml version="1.0" encoding="utf-8"?>
<c:userShapes xmlns:c="http://schemas.openxmlformats.org/drawingml/2006/chart">
  <cdr:relSizeAnchor xmlns:cdr="http://schemas.openxmlformats.org/drawingml/2006/chartDrawing">
    <cdr:from>
      <cdr:x>0.00695</cdr:x>
      <cdr:y>0.1629</cdr:y>
    </cdr:from>
    <cdr:to>
      <cdr:x>0.05903</cdr:x>
      <cdr:y>0.79484</cdr:y>
    </cdr:to>
    <cdr:sp macro="" textlink="">
      <cdr:nvSpPr>
        <cdr:cNvPr id="19" name="pole tekstowe 1"/>
        <cdr:cNvSpPr txBox="1"/>
      </cdr:nvSpPr>
      <cdr:spPr>
        <a:xfrm xmlns:a="http://schemas.openxmlformats.org/drawingml/2006/main">
          <a:off x="18739" y="322729"/>
          <a:ext cx="140386" cy="1252000"/>
        </a:xfrm>
        <a:prstGeom xmlns:a="http://schemas.openxmlformats.org/drawingml/2006/main" prst="rect">
          <a:avLst/>
        </a:prstGeom>
      </cdr:spPr>
      <cdr:txBody>
        <a:bodyPr xmlns:a="http://schemas.openxmlformats.org/drawingml/2006/main" vert="vert270"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900"/>
            <a:t>transductant cells/mL</a:t>
          </a:r>
          <a:endParaRPr lang="pl-PL" sz="900"/>
        </a:p>
      </cdr:txBody>
    </cdr:sp>
  </cdr:relSizeAnchor>
  <cdr:relSizeAnchor xmlns:cdr="http://schemas.openxmlformats.org/drawingml/2006/chartDrawing">
    <cdr:from>
      <cdr:x>0.36667</cdr:x>
      <cdr:y>0.32292</cdr:y>
    </cdr:from>
    <cdr:to>
      <cdr:x>0.39792</cdr:x>
      <cdr:y>0.36806</cdr:y>
    </cdr:to>
    <cdr:sp macro="" textlink="">
      <cdr:nvSpPr>
        <cdr:cNvPr id="22" name="pole tekstowe 19"/>
        <cdr:cNvSpPr txBox="1"/>
      </cdr:nvSpPr>
      <cdr:spPr>
        <a:xfrm xmlns:a="http://schemas.openxmlformats.org/drawingml/2006/main">
          <a:off x="1676400" y="885825"/>
          <a:ext cx="142875" cy="123825"/>
        </a:xfrm>
        <a:prstGeom xmlns:a="http://schemas.openxmlformats.org/drawingml/2006/main" prst="rect">
          <a:avLst/>
        </a:prstGeom>
        <a:pattFill xmlns:a="http://schemas.openxmlformats.org/drawingml/2006/main" prst="dkVert">
          <a:fgClr>
            <a:srgbClr val="000000">
              <a:alpha val="0"/>
            </a:srgbClr>
          </a:fgClr>
          <a:bgClr>
            <a:srgbClr val="FFFFFF">
              <a:alpha val="0"/>
            </a:srgbClr>
          </a:bgClr>
        </a:pattFill>
      </cdr:spPr>
      <cdr:txBody>
        <a:bodyPr xmlns:a="http://schemas.openxmlformats.org/drawingml/2006/main" wrap="square" rtlCol="0"/>
        <a:lstStyle xmlns:a="http://schemas.openxmlformats.org/drawingml/2006/main"/>
        <a:p xmlns:a="http://schemas.openxmlformats.org/drawingml/2006/main">
          <a:endParaRPr lang="en-GB"/>
        </a:p>
      </cdr:txBody>
    </cdr:sp>
  </cdr:relSizeAnchor>
  <cdr:relSizeAnchor xmlns:cdr="http://schemas.openxmlformats.org/drawingml/2006/chartDrawing">
    <cdr:from>
      <cdr:x>0</cdr:x>
      <cdr:y>0</cdr:y>
    </cdr:from>
    <cdr:to>
      <cdr:x>0.12161</cdr:x>
      <cdr:y>0.13933</cdr:y>
    </cdr:to>
    <cdr:sp macro="" textlink="">
      <cdr:nvSpPr>
        <cdr:cNvPr id="2" name="Pole tekstowe 1"/>
        <cdr:cNvSpPr txBox="1"/>
      </cdr:nvSpPr>
      <cdr:spPr>
        <a:xfrm xmlns:a="http://schemas.openxmlformats.org/drawingml/2006/main">
          <a:off x="-914400" y="-1362974"/>
          <a:ext cx="327804" cy="276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900"/>
            <a:t>(b)</a:t>
          </a:r>
        </a:p>
      </cdr:txBody>
    </cdr:sp>
  </cdr:relSizeAnchor>
  <cdr:relSizeAnchor xmlns:cdr="http://schemas.openxmlformats.org/drawingml/2006/chartDrawing">
    <cdr:from>
      <cdr:x>0.38516</cdr:x>
      <cdr:y>0</cdr:y>
    </cdr:from>
    <cdr:to>
      <cdr:x>0.86926</cdr:x>
      <cdr:y>0.14904</cdr:y>
    </cdr:to>
    <cdr:sp macro="" textlink="">
      <cdr:nvSpPr>
        <cdr:cNvPr id="4" name="Pole tekstowe 3"/>
        <cdr:cNvSpPr txBox="1"/>
      </cdr:nvSpPr>
      <cdr:spPr>
        <a:xfrm xmlns:a="http://schemas.openxmlformats.org/drawingml/2006/main">
          <a:off x="1038225" y="-1419225"/>
          <a:ext cx="1304925"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t>Novobiocin</a:t>
          </a:r>
        </a:p>
      </cdr:txBody>
    </cdr:sp>
  </cdr:relSizeAnchor>
</c:userShapes>
</file>

<file path=word/drawings/drawing9.xml><?xml version="1.0" encoding="utf-8"?>
<c:userShapes xmlns:c="http://schemas.openxmlformats.org/drawingml/2006/chart">
  <cdr:relSizeAnchor xmlns:cdr="http://schemas.openxmlformats.org/drawingml/2006/chartDrawing">
    <cdr:from>
      <cdr:x>0.48514</cdr:x>
      <cdr:y>0.49485</cdr:y>
    </cdr:from>
    <cdr:to>
      <cdr:x>0.54139</cdr:x>
      <cdr:y>0.49485</cdr:y>
    </cdr:to>
    <cdr:sp macro="" textlink="">
      <cdr:nvSpPr>
        <cdr:cNvPr id="5" name="Łącznik prosty 4"/>
        <cdr:cNvSpPr/>
      </cdr:nvSpPr>
      <cdr:spPr>
        <a:xfrm xmlns:a="http://schemas.openxmlformats.org/drawingml/2006/main">
          <a:off x="1275994" y="953679"/>
          <a:ext cx="147947" cy="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0.37144</cdr:x>
      <cdr:y>0.85891</cdr:y>
    </cdr:from>
    <cdr:to>
      <cdr:x>0.4152</cdr:x>
      <cdr:y>0.85891</cdr:y>
    </cdr:to>
    <cdr:sp macro="" textlink="">
      <cdr:nvSpPr>
        <cdr:cNvPr id="7" name="Łącznik prosty 6"/>
        <cdr:cNvSpPr/>
      </cdr:nvSpPr>
      <cdr:spPr>
        <a:xfrm xmlns:a="http://schemas.openxmlformats.org/drawingml/2006/main" flipV="1">
          <a:off x="976942" y="1655322"/>
          <a:ext cx="115096" cy="0"/>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0.4595</cdr:x>
      <cdr:y>0.40651</cdr:y>
    </cdr:from>
    <cdr:to>
      <cdr:x>0.60676</cdr:x>
      <cdr:y>0.49684</cdr:y>
    </cdr:to>
    <cdr:sp macro="" textlink="">
      <cdr:nvSpPr>
        <cdr:cNvPr id="11" name="pole tekstowe 10"/>
        <cdr:cNvSpPr txBox="1"/>
      </cdr:nvSpPr>
      <cdr:spPr>
        <a:xfrm xmlns:a="http://schemas.openxmlformats.org/drawingml/2006/main">
          <a:off x="1208558" y="783439"/>
          <a:ext cx="387329" cy="17409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l-PL" sz="1000"/>
            <a:t>**</a:t>
          </a:r>
        </a:p>
      </cdr:txBody>
    </cdr:sp>
  </cdr:relSizeAnchor>
  <cdr:relSizeAnchor xmlns:cdr="http://schemas.openxmlformats.org/drawingml/2006/chartDrawing">
    <cdr:from>
      <cdr:x>0.34618</cdr:x>
      <cdr:y>0.77243</cdr:y>
    </cdr:from>
    <cdr:to>
      <cdr:x>0.45589</cdr:x>
      <cdr:y>0.85493</cdr:y>
    </cdr:to>
    <cdr:sp macro="" textlink="">
      <cdr:nvSpPr>
        <cdr:cNvPr id="12" name="pole tekstowe 1"/>
        <cdr:cNvSpPr txBox="1"/>
      </cdr:nvSpPr>
      <cdr:spPr>
        <a:xfrm xmlns:a="http://schemas.openxmlformats.org/drawingml/2006/main">
          <a:off x="910505" y="1488639"/>
          <a:ext cx="288566" cy="1590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l-PL" sz="1000"/>
            <a:t>*</a:t>
          </a:r>
        </a:p>
      </cdr:txBody>
    </cdr:sp>
  </cdr:relSizeAnchor>
  <cdr:relSizeAnchor xmlns:cdr="http://schemas.openxmlformats.org/drawingml/2006/chartDrawing">
    <cdr:from>
      <cdr:x>0.71494</cdr:x>
      <cdr:y>0.10276</cdr:y>
    </cdr:from>
    <cdr:to>
      <cdr:x>0.86313</cdr:x>
      <cdr:y>0.1955</cdr:y>
    </cdr:to>
    <cdr:sp macro="" textlink="">
      <cdr:nvSpPr>
        <cdr:cNvPr id="13" name="pole tekstowe 1"/>
        <cdr:cNvSpPr txBox="1"/>
      </cdr:nvSpPr>
      <cdr:spPr>
        <a:xfrm xmlns:a="http://schemas.openxmlformats.org/drawingml/2006/main">
          <a:off x="1880404" y="198043"/>
          <a:ext cx="389765" cy="1787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l-PL" sz="1000"/>
            <a:t>**</a:t>
          </a:r>
        </a:p>
      </cdr:txBody>
    </cdr:sp>
  </cdr:relSizeAnchor>
  <cdr:relSizeAnchor xmlns:cdr="http://schemas.openxmlformats.org/drawingml/2006/chartDrawing">
    <cdr:from>
      <cdr:x>0</cdr:x>
      <cdr:y>0.16966</cdr:y>
    </cdr:from>
    <cdr:to>
      <cdr:x>0.05208</cdr:x>
      <cdr:y>0.8016</cdr:y>
    </cdr:to>
    <cdr:sp macro="" textlink="">
      <cdr:nvSpPr>
        <cdr:cNvPr id="15" name="pole tekstowe 1"/>
        <cdr:cNvSpPr txBox="1"/>
      </cdr:nvSpPr>
      <cdr:spPr>
        <a:xfrm xmlns:a="http://schemas.openxmlformats.org/drawingml/2006/main">
          <a:off x="-3717985" y="326967"/>
          <a:ext cx="136979" cy="1217890"/>
        </a:xfrm>
        <a:prstGeom xmlns:a="http://schemas.openxmlformats.org/drawingml/2006/main" prst="rect">
          <a:avLst/>
        </a:prstGeom>
      </cdr:spPr>
      <cdr:txBody>
        <a:bodyPr xmlns:a="http://schemas.openxmlformats.org/drawingml/2006/main" vert="vert270"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l-PL" sz="900" baseline="0"/>
            <a:t>transduc</a:t>
          </a:r>
          <a:r>
            <a:rPr lang="en-GB" sz="900" baseline="0"/>
            <a:t>tant cells</a:t>
          </a:r>
          <a:r>
            <a:rPr lang="pl-PL" sz="900" baseline="0"/>
            <a:t>/m</a:t>
          </a:r>
          <a:r>
            <a:rPr lang="en-GB" sz="900" baseline="0"/>
            <a:t>L</a:t>
          </a:r>
          <a:endParaRPr lang="pl-PL" sz="900" baseline="0"/>
        </a:p>
      </cdr:txBody>
    </cdr:sp>
  </cdr:relSizeAnchor>
  <cdr:relSizeAnchor xmlns:cdr="http://schemas.openxmlformats.org/drawingml/2006/chartDrawing">
    <cdr:from>
      <cdr:x>0.73999</cdr:x>
      <cdr:y>0.18744</cdr:y>
    </cdr:from>
    <cdr:to>
      <cdr:x>0.79624</cdr:x>
      <cdr:y>0.18802</cdr:y>
    </cdr:to>
    <cdr:sp macro="" textlink="">
      <cdr:nvSpPr>
        <cdr:cNvPr id="20" name="Łącznik prosty 19"/>
        <cdr:cNvSpPr/>
      </cdr:nvSpPr>
      <cdr:spPr>
        <a:xfrm xmlns:a="http://schemas.openxmlformats.org/drawingml/2006/main">
          <a:off x="1946299" y="361239"/>
          <a:ext cx="147948" cy="1118"/>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0.60842</cdr:x>
      <cdr:y>0.85412</cdr:y>
    </cdr:from>
    <cdr:to>
      <cdr:x>0.67092</cdr:x>
      <cdr:y>0.85469</cdr:y>
    </cdr:to>
    <cdr:sp macro="" textlink="">
      <cdr:nvSpPr>
        <cdr:cNvPr id="22" name="Łącznik prosty 21"/>
        <cdr:cNvSpPr/>
      </cdr:nvSpPr>
      <cdr:spPr>
        <a:xfrm xmlns:a="http://schemas.openxmlformats.org/drawingml/2006/main">
          <a:off x="1600241" y="1646072"/>
          <a:ext cx="164385" cy="1117"/>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0.59696</cdr:x>
      <cdr:y>0.76442</cdr:y>
    </cdr:from>
    <cdr:to>
      <cdr:x>0.68043</cdr:x>
      <cdr:y>0.83709</cdr:y>
    </cdr:to>
    <cdr:sp macro="" textlink="">
      <cdr:nvSpPr>
        <cdr:cNvPr id="23" name="pole tekstowe 1"/>
        <cdr:cNvSpPr txBox="1"/>
      </cdr:nvSpPr>
      <cdr:spPr>
        <a:xfrm xmlns:a="http://schemas.openxmlformats.org/drawingml/2006/main">
          <a:off x="1570099" y="1473209"/>
          <a:ext cx="219540" cy="1400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l-PL" sz="1000"/>
            <a:t>*</a:t>
          </a:r>
        </a:p>
      </cdr:txBody>
    </cdr:sp>
  </cdr:relSizeAnchor>
  <cdr:relSizeAnchor xmlns:cdr="http://schemas.openxmlformats.org/drawingml/2006/chartDrawing">
    <cdr:from>
      <cdr:x>0.84011</cdr:x>
      <cdr:y>0.74584</cdr:y>
    </cdr:from>
    <cdr:to>
      <cdr:x>0.93146</cdr:x>
      <cdr:y>0.8236</cdr:y>
    </cdr:to>
    <cdr:sp macro="" textlink="">
      <cdr:nvSpPr>
        <cdr:cNvPr id="24" name="pole tekstowe 1"/>
        <cdr:cNvSpPr txBox="1"/>
      </cdr:nvSpPr>
      <cdr:spPr>
        <a:xfrm xmlns:a="http://schemas.openxmlformats.org/drawingml/2006/main">
          <a:off x="2209626" y="1437401"/>
          <a:ext cx="240275" cy="1498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l-PL" sz="1000"/>
            <a:t>*</a:t>
          </a:r>
        </a:p>
      </cdr:txBody>
    </cdr:sp>
  </cdr:relSizeAnchor>
  <cdr:relSizeAnchor xmlns:cdr="http://schemas.openxmlformats.org/drawingml/2006/chartDrawing">
    <cdr:from>
      <cdr:x>0.85618</cdr:x>
      <cdr:y>0.82659</cdr:y>
    </cdr:from>
    <cdr:to>
      <cdr:x>0.92007</cdr:x>
      <cdr:y>0.82774</cdr:y>
    </cdr:to>
    <cdr:sp macro="" textlink="">
      <cdr:nvSpPr>
        <cdr:cNvPr id="14" name="Łącznik prosty 13"/>
        <cdr:cNvSpPr/>
      </cdr:nvSpPr>
      <cdr:spPr>
        <a:xfrm xmlns:a="http://schemas.openxmlformats.org/drawingml/2006/main" flipV="1">
          <a:off x="2251892" y="1593029"/>
          <a:ext cx="168042" cy="2217"/>
        </a:xfrm>
        <a:prstGeom xmlns:a="http://schemas.openxmlformats.org/drawingml/2006/main" prst="line">
          <a:avLst/>
        </a:prstGeom>
        <a:ln xmlns:a="http://schemas.openxmlformats.org/drawingml/2006/main">
          <a:solidFill>
            <a:sysClr val="windowText" lastClr="0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cdr:x>
      <cdr:y>0.01791</cdr:y>
    </cdr:from>
    <cdr:to>
      <cdr:x>0.13119</cdr:x>
      <cdr:y>0.12533</cdr:y>
    </cdr:to>
    <cdr:sp macro="" textlink="">
      <cdr:nvSpPr>
        <cdr:cNvPr id="2" name="pole tekstowe 1"/>
        <cdr:cNvSpPr txBox="1"/>
      </cdr:nvSpPr>
      <cdr:spPr>
        <a:xfrm xmlns:a="http://schemas.openxmlformats.org/drawingml/2006/main">
          <a:off x="-3717985" y="34507"/>
          <a:ext cx="345056" cy="2070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a:t>(c)</a:t>
          </a:r>
        </a:p>
      </cdr:txBody>
    </cdr:sp>
  </cdr:relSizeAnchor>
  <cdr:relSizeAnchor xmlns:cdr="http://schemas.openxmlformats.org/drawingml/2006/chartDrawing">
    <cdr:from>
      <cdr:x>0.32592</cdr:x>
      <cdr:y>0</cdr:y>
    </cdr:from>
    <cdr:to>
      <cdr:x>0.81294</cdr:x>
      <cdr:y>0.10379</cdr:y>
    </cdr:to>
    <cdr:sp macro="" textlink="">
      <cdr:nvSpPr>
        <cdr:cNvPr id="4" name="Pole tekstowe 3"/>
        <cdr:cNvSpPr txBox="1"/>
      </cdr:nvSpPr>
      <cdr:spPr>
        <a:xfrm xmlns:a="http://schemas.openxmlformats.org/drawingml/2006/main">
          <a:off x="834046" y="0"/>
          <a:ext cx="1246314" cy="1946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effectLst/>
              <a:latin typeface="+mn-lt"/>
              <a:ea typeface="+mn-ea"/>
              <a:cs typeface="+mn-cs"/>
            </a:rPr>
            <a:t>UV and</a:t>
          </a:r>
          <a:r>
            <a:rPr lang="en-GB" sz="1000" baseline="0">
              <a:effectLst/>
              <a:latin typeface="+mn-lt"/>
              <a:ea typeface="+mn-ea"/>
              <a:cs typeface="+mn-cs"/>
            </a:rPr>
            <a:t> </a:t>
          </a:r>
          <a:r>
            <a:rPr lang="en-GB" sz="1000">
              <a:effectLst/>
              <a:latin typeface="+mn-lt"/>
              <a:ea typeface="+mn-ea"/>
              <a:cs typeface="+mn-cs"/>
            </a:rPr>
            <a:t>Gentamicin</a:t>
          </a:r>
          <a:endParaRPr lang="en-GB" sz="1000"/>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BC91-CD18-4608-A753-B3547D117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6288</Words>
  <Characters>35842</Characters>
  <Application>Microsoft Office Word</Application>
  <DocSecurity>0</DocSecurity>
  <Lines>298</Lines>
  <Paragraphs>84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 Georges, University of London.</Company>
  <LinksUpToDate>false</LinksUpToDate>
  <CharactersWithSpaces>42046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Kinga</dc:creator>
  <cp:lastModifiedBy>Jodi Lindsay</cp:lastModifiedBy>
  <cp:revision>2</cp:revision>
  <cp:lastPrinted>2015-11-04T19:10:00Z</cp:lastPrinted>
  <dcterms:created xsi:type="dcterms:W3CDTF">2017-03-21T12:33:00Z</dcterms:created>
  <dcterms:modified xsi:type="dcterms:W3CDTF">2017-03-21T12:33:00Z</dcterms:modified>
</cp:coreProperties>
</file>