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305D" w14:textId="77777777" w:rsidR="00433BFF" w:rsidRDefault="00433BFF" w:rsidP="00BF22C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Pharmacokinetics and pharmacodynamics of antimicrobials in</w:t>
      </w:r>
      <w:r w:rsidRPr="00BF22CB">
        <w:rPr>
          <w:b/>
          <w:u w:val="single"/>
        </w:rPr>
        <w:t xml:space="preserve"> critically ill patients with lower respiratory tract infections</w:t>
      </w:r>
      <w:r>
        <w:rPr>
          <w:b/>
          <w:u w:val="single"/>
        </w:rPr>
        <w:t>. Are ‘one size fits all’ doses appropriate?</w:t>
      </w:r>
    </w:p>
    <w:p w14:paraId="75754B01" w14:textId="77777777" w:rsidR="00433BFF" w:rsidRPr="00617067" w:rsidRDefault="00433BFF" w:rsidP="00BF22CB">
      <w:pPr>
        <w:rPr>
          <w:b/>
          <w:i/>
        </w:rPr>
      </w:pPr>
      <w:r>
        <w:rPr>
          <w:b/>
        </w:rPr>
        <w:t xml:space="preserve">Authors </w:t>
      </w:r>
      <w:r w:rsidR="00617067">
        <w:t>IO Oldfield</w:t>
      </w:r>
      <w:r>
        <w:t xml:space="preserve">, </w:t>
      </w:r>
      <w:r w:rsidR="00617067">
        <w:t>K Kipper</w:t>
      </w:r>
      <w:r>
        <w:t xml:space="preserve">, </w:t>
      </w:r>
      <w:r w:rsidR="00617067">
        <w:t>CI Barker</w:t>
      </w:r>
      <w:r>
        <w:t xml:space="preserve">, </w:t>
      </w:r>
      <w:r w:rsidR="00617067">
        <w:t>BJ Philips</w:t>
      </w:r>
      <w:r w:rsidR="0022368A">
        <w:t>,</w:t>
      </w:r>
      <w:r w:rsidR="00617067">
        <w:t xml:space="preserve"> </w:t>
      </w:r>
      <w:r w:rsidR="00950DBF">
        <w:t xml:space="preserve">A Johnston, </w:t>
      </w:r>
      <w:r w:rsidR="00617067">
        <w:t>JF</w:t>
      </w:r>
      <w:r w:rsidR="0022368A">
        <w:t xml:space="preserve"> </w:t>
      </w:r>
      <w:r>
        <w:t xml:space="preserve">Standing, </w:t>
      </w:r>
      <w:r w:rsidR="00617067">
        <w:t>EH Baker</w:t>
      </w:r>
      <w:r>
        <w:t>,</w:t>
      </w:r>
      <w:r w:rsidR="00617067">
        <w:t xml:space="preserve"> M</w:t>
      </w:r>
      <w:r>
        <w:t xml:space="preserve"> </w:t>
      </w:r>
      <w:r w:rsidR="00617067">
        <w:t xml:space="preserve">Sharland, DO </w:t>
      </w:r>
      <w:r>
        <w:t xml:space="preserve">Lonsdale </w:t>
      </w:r>
      <w:r w:rsidR="00CB4094">
        <w:rPr>
          <w:i/>
        </w:rPr>
        <w:t xml:space="preserve">all at </w:t>
      </w:r>
      <w:r w:rsidR="00617067">
        <w:rPr>
          <w:i/>
        </w:rPr>
        <w:t>St George’s, University of London</w:t>
      </w:r>
      <w:r w:rsidR="005C1D98">
        <w:rPr>
          <w:i/>
        </w:rPr>
        <w:t xml:space="preserve"> and St George’s University Hospitals NHS Foundation Trust</w:t>
      </w:r>
    </w:p>
    <w:p w14:paraId="2FCB62DF" w14:textId="77777777" w:rsidR="00433BFF" w:rsidRDefault="00433BFF" w:rsidP="00BF22CB">
      <w:r w:rsidRPr="008F3F84">
        <w:rPr>
          <w:b/>
        </w:rPr>
        <w:t>Introduction</w:t>
      </w:r>
      <w:r>
        <w:rPr>
          <w:b/>
        </w:rPr>
        <w:t xml:space="preserve">. </w:t>
      </w:r>
      <w:r>
        <w:t>Respiratory infection is a common cause of severe sepsis</w:t>
      </w:r>
      <w:r>
        <w:rPr>
          <w:vertAlign w:val="superscript"/>
        </w:rPr>
        <w:t>1</w:t>
      </w:r>
      <w:r>
        <w:t>. Current therapeutic guidelines emphasise the importance of early initiation of antibiotic therapy, but make no recommendations on dose</w:t>
      </w:r>
      <w:r>
        <w:rPr>
          <w:vertAlign w:val="superscript"/>
        </w:rPr>
        <w:t>2</w:t>
      </w:r>
      <w:r>
        <w:t>. Recent studies have suggested that some critically ill patients fail to achieve sufficient plasma antibiotic concentrations to treat infection effectively</w:t>
      </w:r>
      <w:r>
        <w:rPr>
          <w:vertAlign w:val="superscript"/>
        </w:rPr>
        <w:t>3</w:t>
      </w:r>
      <w:r>
        <w:t xml:space="preserve">. </w:t>
      </w:r>
    </w:p>
    <w:p w14:paraId="289CC214" w14:textId="77777777" w:rsidR="00433BFF" w:rsidRDefault="00433BFF" w:rsidP="00BF22CB">
      <w:r>
        <w:t>We determined whether critically-ill patients with respiratory infection achieved pharmacokinetic/pharmacodynamic (PK/PD) targets during antibiotic treatment and investigated factors associated with failure to meet these targets.</w:t>
      </w:r>
    </w:p>
    <w:p w14:paraId="20CE5488" w14:textId="77777777" w:rsidR="00433BFF" w:rsidRPr="00433BFF" w:rsidRDefault="00433BFF" w:rsidP="001F6078">
      <w:r w:rsidRPr="008F3F84">
        <w:rPr>
          <w:b/>
        </w:rPr>
        <w:t>Methods</w:t>
      </w:r>
      <w:r>
        <w:rPr>
          <w:b/>
        </w:rPr>
        <w:t xml:space="preserve">. </w:t>
      </w:r>
      <w:r>
        <w:t xml:space="preserve">This was a subgroup, interim analysis of an ongoing study, ABDose. Participants were adults in intensive care receiving piperacillin-tazobactam or co-amoxiclav for respiratory infection. Demographics and measures of organ function were recorded. Antibiotic concentrations were measured in </w:t>
      </w:r>
      <w:r w:rsidR="00950DBF">
        <w:t>plasma</w:t>
      </w:r>
      <w:r>
        <w:t xml:space="preserve"> at 50% and 100% of the dosing interval. Efficacy of beta-lactam antibiotics is dependent upon time above minimum inhibitory concentration (MIC). We chose PK/PD targets of antibiotic concentration &gt;MIC and</w:t>
      </w:r>
      <w:r w:rsidR="00BB334C">
        <w:t xml:space="preserve"> a more conservative</w:t>
      </w:r>
      <w:r>
        <w:t xml:space="preserve"> &gt;4xMIC of likely </w:t>
      </w:r>
      <w:r w:rsidR="00BB334C">
        <w:t>pathogen</w:t>
      </w:r>
      <w:r>
        <w:t xml:space="preserve"> or microbiological isolate (if available). These targets have been used previously</w:t>
      </w:r>
      <w:r>
        <w:rPr>
          <w:vertAlign w:val="superscript"/>
        </w:rPr>
        <w:t>3</w:t>
      </w:r>
      <w:r>
        <w:t>. During 28-days follow up, need for additional antibiotics was recorded.</w:t>
      </w:r>
    </w:p>
    <w:p w14:paraId="268DA206" w14:textId="77777777" w:rsidR="00433BFF" w:rsidRDefault="00433BFF" w:rsidP="00C76062">
      <w:r w:rsidRPr="00C76062">
        <w:rPr>
          <w:b/>
        </w:rPr>
        <w:t>Results</w:t>
      </w:r>
      <w:r>
        <w:rPr>
          <w:b/>
        </w:rPr>
        <w:t xml:space="preserve">. </w:t>
      </w:r>
      <w:r>
        <w:t>24 participants (median age 61, IQR [50-70] years), received co-amoxiclav (n=7), piperacillin-tazobactam (n=15) or both (n=2). At 100% of the dosing interval, 12 achieved plasma antibiotic concentrations &gt;MIC and 8 achieved &gt;4xMIC.</w:t>
      </w:r>
      <w:r w:rsidRPr="00C76062">
        <w:t xml:space="preserve"> </w:t>
      </w:r>
      <w:r>
        <w:t xml:space="preserve">Participants who did not achieve PK/PD targets were younger (48 [39-59] years vs 68 [61-80] years, p=0.002*) and had a higher eGFR (131±58 </w:t>
      </w:r>
      <w:r w:rsidRPr="00530F84">
        <w:t>mls/min/1.73m2</w:t>
      </w:r>
      <w:r>
        <w:t xml:space="preserve"> vs 64±28 </w:t>
      </w:r>
      <w:r w:rsidRPr="00530F84">
        <w:t>mls/min/1.73m2</w:t>
      </w:r>
      <w:r>
        <w:t>, p=0.004*) than those who did. Antibiotic concentrations were correlated with age and negatively correlated with eGFR (figure 1).</w:t>
      </w:r>
      <w:r w:rsidRPr="00B72A34">
        <w:t xml:space="preserve"> </w:t>
      </w:r>
      <w:r>
        <w:t>All participants failing to achieve antibiotic concentrations &gt;4xMIC at 100% of the dosing interval required further courses of antibiotics during follow-up compared to 50% of patients achieving this target (p=0.02*).</w:t>
      </w:r>
    </w:p>
    <w:p w14:paraId="228D97FF" w14:textId="77777777" w:rsidR="00433BFF" w:rsidRPr="00433BFF" w:rsidRDefault="00433BFF" w:rsidP="00BF22CB">
      <w:r>
        <w:rPr>
          <w:b/>
        </w:rPr>
        <w:t xml:space="preserve">Conclusion. </w:t>
      </w:r>
      <w:r>
        <w:t>In critically-ill patients with respiratory infection, uniform dosing of beta lactam antibiotics does not consistently achieve PK/PD targets required for optimal antibiotic efficacy. Younger patients, with better renal function may be under-dosed. These interim findings identify a need for further work to determine whether personalised dynamic dosing regimens could improve outcomes for patients with severe respiratory infection.</w:t>
      </w:r>
    </w:p>
    <w:p w14:paraId="2D0CE6FB" w14:textId="77777777" w:rsidR="00433BFF" w:rsidRDefault="00433BFF" w:rsidP="001F6078"/>
    <w:p w14:paraId="630600C0" w14:textId="77777777" w:rsidR="00433BFF" w:rsidRPr="00CA1AD4" w:rsidRDefault="00433BFF" w:rsidP="00CA1AD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A1AD4">
        <w:t>1.</w:t>
      </w:r>
      <w:r w:rsidRPr="00CA1AD4">
        <w:tab/>
        <w:t>Virulence. 2014;5(1):4-11.</w:t>
      </w:r>
    </w:p>
    <w:p w14:paraId="7857B038" w14:textId="77777777" w:rsidR="00433BFF" w:rsidRPr="00CA1AD4" w:rsidRDefault="00433BFF" w:rsidP="00CA1AD4">
      <w:pPr>
        <w:pStyle w:val="EndNoteBibliography"/>
        <w:spacing w:after="0"/>
      </w:pPr>
      <w:r>
        <w:t>2.</w:t>
      </w:r>
      <w:r>
        <w:tab/>
        <w:t>NICE</w:t>
      </w:r>
      <w:r w:rsidRPr="00CA1AD4">
        <w:t xml:space="preserve"> </w:t>
      </w:r>
      <w:r>
        <w:t xml:space="preserve">Guidelines, </w:t>
      </w:r>
      <w:r w:rsidRPr="00CA1AD4">
        <w:t>Sepsis</w:t>
      </w:r>
      <w:r>
        <w:t>. 2016</w:t>
      </w:r>
    </w:p>
    <w:p w14:paraId="571058D1" w14:textId="77777777" w:rsidR="00433BFF" w:rsidRPr="00CA1AD4" w:rsidRDefault="00433BFF" w:rsidP="00CA1AD4">
      <w:pPr>
        <w:pStyle w:val="EndNoteBibliography"/>
      </w:pPr>
      <w:r w:rsidRPr="00CA1AD4">
        <w:t>3.</w:t>
      </w:r>
      <w:r w:rsidRPr="00CA1AD4">
        <w:tab/>
        <w:t>Clinical Infectious Diseases. 2014:ciu027.</w:t>
      </w:r>
    </w:p>
    <w:p w14:paraId="292C2929" w14:textId="77777777" w:rsidR="00433BFF" w:rsidRDefault="00433BFF" w:rsidP="001F6078">
      <w:r>
        <w:fldChar w:fldCharType="end"/>
      </w:r>
    </w:p>
    <w:p w14:paraId="1E33DE91" w14:textId="77777777" w:rsidR="00433BFF" w:rsidRDefault="00433BFF" w:rsidP="00CA1AD4"/>
    <w:p w14:paraId="46EE1DE4" w14:textId="77777777" w:rsidR="00433BFF" w:rsidRDefault="00433BFF" w:rsidP="00CA1AD4"/>
    <w:p w14:paraId="37FD9D07" w14:textId="77777777" w:rsidR="00433BFF" w:rsidRDefault="00433BFF" w:rsidP="00CA1AD4"/>
    <w:p w14:paraId="177DF049" w14:textId="77777777" w:rsidR="00433BFF" w:rsidRPr="001B2B9D" w:rsidRDefault="00433BFF" w:rsidP="00CA1AD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820AAC" wp14:editId="0BE02987">
                <wp:simplePos x="0" y="0"/>
                <wp:positionH relativeFrom="column">
                  <wp:posOffset>47708</wp:posOffset>
                </wp:positionH>
                <wp:positionV relativeFrom="paragraph">
                  <wp:posOffset>97542</wp:posOffset>
                </wp:positionV>
                <wp:extent cx="6011600" cy="3005123"/>
                <wp:effectExtent l="0" t="0" r="0" b="508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600" cy="3005123"/>
                          <a:chOff x="0" y="0"/>
                          <a:chExt cx="6011600" cy="3005123"/>
                        </a:xfrm>
                      </wpg:grpSpPr>
                      <wpg:graphicFrame>
                        <wpg:cNvPr id="12" name="Chart 12"/>
                        <wpg:cNvFrPr/>
                        <wpg:xfrm>
                          <a:off x="0" y="0"/>
                          <a:ext cx="2762250" cy="2362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11" name="Chart 11"/>
                        <wpg:cNvFrPr/>
                        <wpg:xfrm>
                          <a:off x="2592125" y="79513"/>
                          <a:ext cx="3419475" cy="23971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202" y="246490"/>
                            <a:ext cx="1911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FCDD1" w14:textId="77777777" w:rsidR="00433BFF" w:rsidRDefault="00433BFF" w:rsidP="00CA1AD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• </w:t>
                              </w:r>
                              <w:r w:rsidRPr="001E08E5">
                                <w:rPr>
                                  <w:sz w:val="16"/>
                                </w:rPr>
                                <w:t>Amoxicillin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 w:rsidRPr="001E08E5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7FE77F39" w14:textId="77777777" w:rsidR="00433BFF" w:rsidRDefault="00433BFF" w:rsidP="00CA1AD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  <w:r w:rsidRPr="001E08E5">
                                <w:rPr>
                                  <w:sz w:val="16"/>
                                </w:rPr>
                                <w:t>=0.8</w:t>
                              </w:r>
                              <w:r w:rsidR="0072568F">
                                <w:rPr>
                                  <w:sz w:val="16"/>
                                </w:rPr>
                                <w:t>3</w:t>
                              </w:r>
                              <w:r w:rsidRPr="001E08E5">
                                <w:rPr>
                                  <w:sz w:val="16"/>
                                </w:rPr>
                                <w:t>, p=0.02*</w:t>
                              </w:r>
                            </w:p>
                            <w:p w14:paraId="6F08A5AA" w14:textId="77777777" w:rsidR="00433BFF" w:rsidRPr="001E08E5" w:rsidRDefault="00433BFF" w:rsidP="00CA1AD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</w:p>
                            <w:p w14:paraId="39C8639E" w14:textId="77777777" w:rsidR="00433BFF" w:rsidRDefault="00433BFF" w:rsidP="00CA1AD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sym w:font="Wingdings 3" w:char="F081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08E5">
                                <w:rPr>
                                  <w:sz w:val="16"/>
                                </w:rPr>
                                <w:t>Piperacillin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57A27DC9" w14:textId="77777777" w:rsidR="00433BFF" w:rsidRPr="001E08E5" w:rsidRDefault="00433BFF" w:rsidP="00CA1AD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  <w:r w:rsidR="0072568F">
                                <w:rPr>
                                  <w:sz w:val="16"/>
                                </w:rPr>
                                <w:t>=0.43</w:t>
                              </w:r>
                              <w:r w:rsidRPr="001E08E5">
                                <w:rPr>
                                  <w:sz w:val="16"/>
                                </w:rPr>
                                <w:t>, p=0.04*</w:t>
                              </w:r>
                            </w:p>
                            <w:p w14:paraId="0FC07C9C" w14:textId="77777777" w:rsidR="00433BFF" w:rsidRDefault="00433BFF" w:rsidP="00CA1AD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8" y="2369488"/>
                            <a:ext cx="5639435" cy="635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67993" w14:textId="77777777" w:rsidR="00433BFF" w:rsidRPr="001E08E5" w:rsidRDefault="00433BFF" w:rsidP="00CA1AD4">
                              <w:r w:rsidRPr="001E08E5">
                                <w:rPr>
                                  <w:b/>
                                </w:rPr>
                                <w:t>Figure 1</w:t>
                              </w: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  <w:r>
                                <w:t>Antimicrobial concentration measured at 50% of the dosing interval plotted against age (left) and eGFR (right). Line of best fit and associated coefficients suggest correlation with age and negative correlation with eGFR.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0925" y="826935"/>
                            <a:ext cx="1097280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00E09" w14:textId="77777777" w:rsidR="00433BFF" w:rsidRDefault="00433BFF" w:rsidP="00433BF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• </w:t>
                              </w: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 xml:space="preserve">Amoxicillin: </w:t>
                              </w:r>
                            </w:p>
                            <w:p w14:paraId="10776B48" w14:textId="77777777" w:rsidR="00433BFF" w:rsidRPr="001B2B9D" w:rsidRDefault="00433BFF" w:rsidP="00433BF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>r=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-0.78</w:t>
                              </w: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>, p=0.02*</w:t>
                              </w:r>
                            </w:p>
                            <w:p w14:paraId="505B64E0" w14:textId="77777777" w:rsidR="00433BFF" w:rsidRDefault="00433BFF" w:rsidP="00433BF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sym w:font="Wingdings 3" w:char="F081"/>
                              </w: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 xml:space="preserve">Piperacillin: </w:t>
                              </w:r>
                            </w:p>
                            <w:p w14:paraId="5D39B64C" w14:textId="77777777" w:rsidR="00433BFF" w:rsidRPr="001B2B9D" w:rsidRDefault="00433BFF" w:rsidP="00CA1A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>r=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-0.70</w:t>
                              </w: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>, p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&lt;0.001</w:t>
                              </w:r>
                              <w:r w:rsidRPr="001B2B9D">
                                <w:rPr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8A3D6" id="Group 14" o:spid="_x0000_s1026" style="position:absolute;margin-left:3.75pt;margin-top:7.7pt;width:473.35pt;height:236.6pt;z-index:251661312" coordsize="60116,30051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2" o:spid="_x0000_s1027" type="#_x0000_t75" style="position:absolute;width:27675;height:236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JZU&#10;AL4AAADbAAAADwAAAGRycy9kb3ducmV2LnhtbERPzYrCMBC+C75DGMGLaLoiItUoKgoeV+0DDM3Y&#10;VptJSbJt9+03C4K3+fh+Z7PrTS1acr6yrOBrloAgzq2uuFCQ3c/TFQgfkDXWlknBL3nYbYeDDaba&#10;dnyl9hYKEUPYp6igDKFJpfR5SQb9zDbEkXtYZzBE6AqpHXYx3NRyniRLabDi2FBiQ8eS8tftxyg4&#10;L5w8yOxRUzFpV/T9PF0WXabUeNTv1yAC9eEjfrsvOs6fw/8v8QC5/QM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BcllQAvgAAANsAAAAPAAAAAAAAAAAAAAAAAJsCAABkcnMvZG93bnJl&#10;di54bWxQSwUGAAAAAAQABADzAAAAhgMAAAAA&#10;">
                  <v:imagedata r:id="rId9" o:title=""/>
                  <o:lock v:ext="edit" aspectratio="f"/>
                </v:shape>
                <v:shape id="Chart 11" o:spid="_x0000_s1028" type="#_x0000_t75" style="position:absolute;left:27553;top:1767;width:25177;height:2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0Ft&#10;dMIAAADbAAAADwAAAGRycy9kb3ducmV2LnhtbERPTWsCMRC9F/wPYQRvmigoujVKWxGU1sNuS8/D&#10;ZrrZdjNZNlHXf98UhN7m8T5nve1dIy7UhdqzhulEgSAuvam50vDxvh8vQYSIbLDxTBpuFGC7GTys&#10;MTP+yjldiliJFMIhQw02xjaTMpSWHIaJb4kT9+U7hzHBrpKmw2sKd42cKbWQDmtODRZberFU/hRn&#10;p6Hd7z7VQclT/rZ8/X6u3dwWq6PWo2H/9AgiUh//xXf3waT5U/j7JR0gN7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0FtdMIAAADbAAAADwAAAAAAAAAAAAAAAACbAgAAZHJzL2Rv&#10;d25yZXYueG1sUEsFBgAAAAAEAAQA8wAAAIo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202;top:2464;width:1911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33BFF" w:rsidRDefault="00433BFF" w:rsidP="00CA1AD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• </w:t>
                        </w:r>
                        <w:r w:rsidRPr="001E08E5">
                          <w:rPr>
                            <w:sz w:val="16"/>
                          </w:rPr>
                          <w:t>Amoxicillin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 w:rsidRPr="001E08E5">
                          <w:rPr>
                            <w:sz w:val="16"/>
                          </w:rPr>
                          <w:t xml:space="preserve"> </w:t>
                        </w:r>
                      </w:p>
                      <w:p w:rsidR="00433BFF" w:rsidRDefault="00433BFF" w:rsidP="00CA1AD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</w:t>
                        </w:r>
                        <w:r w:rsidRPr="001E08E5">
                          <w:rPr>
                            <w:sz w:val="16"/>
                          </w:rPr>
                          <w:t>=0.8</w:t>
                        </w:r>
                        <w:r w:rsidR="0072568F">
                          <w:rPr>
                            <w:sz w:val="16"/>
                          </w:rPr>
                          <w:t>3</w:t>
                        </w:r>
                        <w:r w:rsidRPr="001E08E5">
                          <w:rPr>
                            <w:sz w:val="16"/>
                          </w:rPr>
                          <w:t>, p=0.02*</w:t>
                        </w:r>
                      </w:p>
                      <w:p w:rsidR="00433BFF" w:rsidRPr="001E08E5" w:rsidRDefault="00433BFF" w:rsidP="00CA1AD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433BFF" w:rsidRDefault="00433BFF" w:rsidP="00CA1AD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sym w:font="Wingdings 3" w:char="F081"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E08E5">
                          <w:rPr>
                            <w:sz w:val="16"/>
                          </w:rPr>
                          <w:t>Piperacillin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  <w:p w:rsidR="00433BFF" w:rsidRPr="001E08E5" w:rsidRDefault="00433BFF" w:rsidP="00CA1AD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</w:t>
                        </w:r>
                        <w:r w:rsidR="0072568F">
                          <w:rPr>
                            <w:sz w:val="16"/>
                          </w:rPr>
                          <w:t>=0.43</w:t>
                        </w:r>
                        <w:r w:rsidRPr="001E08E5">
                          <w:rPr>
                            <w:sz w:val="16"/>
                          </w:rPr>
                          <w:t>, p=0.04*</w:t>
                        </w:r>
                      </w:p>
                      <w:p w:rsidR="00433BFF" w:rsidRDefault="00433BFF" w:rsidP="00CA1AD4"/>
                    </w:txbxContent>
                  </v:textbox>
                </v:shape>
                <v:shape id="Text Box 2" o:spid="_x0000_s1030" type="#_x0000_t202" style="position:absolute;left:477;top:23694;width:56394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33BFF" w:rsidRPr="001E08E5" w:rsidRDefault="00433BFF" w:rsidP="00CA1AD4">
                        <w:r w:rsidRPr="001E08E5">
                          <w:rPr>
                            <w:b/>
                          </w:rPr>
                          <w:t>Figure 1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>
                          <w:t>Antimicrobial concentration measured at 50% of the dosing interval plotted against age (left) and eGFR (right). Line of best fit and associated coefficients suggest correlation with age and negative correlation with eGFR.</w:t>
                        </w:r>
                      </w:p>
                    </w:txbxContent>
                  </v:textbox>
                </v:shape>
                <v:shape id="Text Box 2" o:spid="_x0000_s1031" type="#_x0000_t202" style="position:absolute;left:44209;top:8269;width:10973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33BFF" w:rsidRDefault="00433BFF" w:rsidP="00433BF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• </w:t>
                        </w:r>
                        <w:r w:rsidRPr="001B2B9D">
                          <w:rPr>
                            <w:sz w:val="16"/>
                            <w:szCs w:val="16"/>
                          </w:rPr>
                          <w:t xml:space="preserve">Amoxicillin: </w:t>
                        </w:r>
                      </w:p>
                      <w:p w:rsidR="00433BFF" w:rsidRPr="001B2B9D" w:rsidRDefault="00433BFF" w:rsidP="00433BF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1B2B9D">
                          <w:rPr>
                            <w:sz w:val="16"/>
                            <w:szCs w:val="16"/>
                          </w:rPr>
                          <w:t>r=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-0.78</w:t>
                        </w:r>
                        <w:r w:rsidRPr="001B2B9D">
                          <w:rPr>
                            <w:sz w:val="16"/>
                            <w:szCs w:val="16"/>
                          </w:rPr>
                          <w:t>, p=0.02*</w:t>
                        </w:r>
                      </w:p>
                      <w:p w:rsidR="00433BFF" w:rsidRDefault="00433BFF" w:rsidP="00433BF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sym w:font="Wingdings 3" w:char="F081"/>
                        </w:r>
                        <w:r w:rsidRPr="001B2B9D">
                          <w:rPr>
                            <w:sz w:val="16"/>
                            <w:szCs w:val="16"/>
                          </w:rPr>
                          <w:t xml:space="preserve">Piperacillin: </w:t>
                        </w:r>
                      </w:p>
                      <w:p w:rsidR="00433BFF" w:rsidRPr="001B2B9D" w:rsidRDefault="00433BFF" w:rsidP="00CA1AD4">
                        <w:pPr>
                          <w:rPr>
                            <w:sz w:val="16"/>
                            <w:szCs w:val="16"/>
                          </w:rPr>
                        </w:pPr>
                        <w:r w:rsidRPr="001B2B9D">
                          <w:rPr>
                            <w:sz w:val="16"/>
                            <w:szCs w:val="16"/>
                          </w:rPr>
                          <w:t>r=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-0.70</w:t>
                        </w:r>
                        <w:r w:rsidRPr="001B2B9D">
                          <w:rPr>
                            <w:sz w:val="16"/>
                            <w:szCs w:val="16"/>
                          </w:rPr>
                          <w:t>, p</w:t>
                        </w:r>
                        <w:r>
                          <w:rPr>
                            <w:sz w:val="16"/>
                            <w:szCs w:val="16"/>
                          </w:rPr>
                          <w:t>&lt;0.001</w:t>
                        </w:r>
                        <w:r w:rsidRPr="001B2B9D"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577D2B8" w14:textId="77777777" w:rsidR="00433BFF" w:rsidRPr="001B2B9D" w:rsidRDefault="00433BFF" w:rsidP="00CA1AD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0DBD181" w14:textId="77777777" w:rsidR="00433BFF" w:rsidRDefault="00433BFF" w:rsidP="00BF22CB"/>
    <w:p w14:paraId="3C013AF3" w14:textId="77777777" w:rsidR="00433BFF" w:rsidRDefault="00433BFF" w:rsidP="00BF22CB"/>
    <w:p w14:paraId="163F4423" w14:textId="77777777" w:rsidR="00433BFF" w:rsidRDefault="00433BFF"/>
    <w:p w14:paraId="1425AD9D" w14:textId="77777777" w:rsidR="00E66319" w:rsidRDefault="00E66319"/>
    <w:sectPr w:rsidR="00E6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67A"/>
    <w:multiLevelType w:val="hybridMultilevel"/>
    <w:tmpl w:val="67D8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881"/>
    <w:multiLevelType w:val="hybridMultilevel"/>
    <w:tmpl w:val="80D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3FDA"/>
    <w:multiLevelType w:val="hybridMultilevel"/>
    <w:tmpl w:val="BF5E237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33BFF"/>
    <w:rsid w:val="0022368A"/>
    <w:rsid w:val="00433BFF"/>
    <w:rsid w:val="004E0B20"/>
    <w:rsid w:val="005037F3"/>
    <w:rsid w:val="005C1D98"/>
    <w:rsid w:val="00617067"/>
    <w:rsid w:val="0072568F"/>
    <w:rsid w:val="00950DBF"/>
    <w:rsid w:val="00BB334C"/>
    <w:rsid w:val="00CB4094"/>
    <w:rsid w:val="00E14866"/>
    <w:rsid w:val="00E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6EB1"/>
  <w15:chartTrackingRefBased/>
  <w15:docId w15:val="{CC06129E-3D15-4F71-8D31-328DD526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F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33BF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3BF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3BF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3BFF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3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B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3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bold_000\Downloads\altered%20pathogen%20database%20co-amox%20and%20tz%20onl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bold_000\Downloads\altered%20pathogen%20database%20co-amox%20and%20tz%20on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Co-amoxiclav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'COAMOX GRAPHS'!$B$3:$B$15</c:f>
              <c:numCache>
                <c:formatCode>General</c:formatCode>
                <c:ptCount val="13"/>
                <c:pt idx="0">
                  <c:v>80.2</c:v>
                </c:pt>
                <c:pt idx="3">
                  <c:v>77.599999999999994</c:v>
                </c:pt>
                <c:pt idx="6">
                  <c:v>34.1</c:v>
                </c:pt>
                <c:pt idx="7">
                  <c:v>40.6</c:v>
                </c:pt>
                <c:pt idx="8">
                  <c:v>66</c:v>
                </c:pt>
                <c:pt idx="9">
                  <c:v>69.099999999999994</c:v>
                </c:pt>
                <c:pt idx="11">
                  <c:v>55.9</c:v>
                </c:pt>
              </c:numCache>
            </c:numRef>
          </c:xVal>
          <c:yVal>
            <c:numRef>
              <c:f>'COAMOX GRAPHS'!$E$3:$E$14</c:f>
              <c:numCache>
                <c:formatCode>General</c:formatCode>
                <c:ptCount val="12"/>
                <c:pt idx="0">
                  <c:v>19.28</c:v>
                </c:pt>
                <c:pt idx="3">
                  <c:v>20.55</c:v>
                </c:pt>
                <c:pt idx="6">
                  <c:v>1.05</c:v>
                </c:pt>
                <c:pt idx="7">
                  <c:v>1.38</c:v>
                </c:pt>
                <c:pt idx="8">
                  <c:v>15.18</c:v>
                </c:pt>
                <c:pt idx="9">
                  <c:v>3.39</c:v>
                </c:pt>
                <c:pt idx="11">
                  <c:v>10.220000000000001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1EC-438F-A348-DA2C4A4F45E2}"/>
            </c:ext>
          </c:extLst>
        </c:ser>
        <c:ser>
          <c:idx val="1"/>
          <c:order val="1"/>
          <c:tx>
            <c:v>Tazocin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'COAMOX GRAPHS'!$M$2:$M$36</c:f>
              <c:numCache>
                <c:formatCode>General</c:formatCode>
                <c:ptCount val="35"/>
                <c:pt idx="0">
                  <c:v>60.5</c:v>
                </c:pt>
                <c:pt idx="1">
                  <c:v>60.5</c:v>
                </c:pt>
                <c:pt idx="2">
                  <c:v>60.5</c:v>
                </c:pt>
                <c:pt idx="3">
                  <c:v>60.5</c:v>
                </c:pt>
                <c:pt idx="4">
                  <c:v>81.7</c:v>
                </c:pt>
                <c:pt idx="5">
                  <c:v>81.7</c:v>
                </c:pt>
                <c:pt idx="6">
                  <c:v>70.7</c:v>
                </c:pt>
                <c:pt idx="7">
                  <c:v>70.7</c:v>
                </c:pt>
                <c:pt idx="8">
                  <c:v>70.7</c:v>
                </c:pt>
                <c:pt idx="9">
                  <c:v>44.9</c:v>
                </c:pt>
                <c:pt idx="10">
                  <c:v>44.9</c:v>
                </c:pt>
                <c:pt idx="11">
                  <c:v>59.2</c:v>
                </c:pt>
                <c:pt idx="12">
                  <c:v>59.2</c:v>
                </c:pt>
                <c:pt idx="13">
                  <c:v>59.2</c:v>
                </c:pt>
                <c:pt idx="14">
                  <c:v>84.2</c:v>
                </c:pt>
                <c:pt idx="15">
                  <c:v>84.2</c:v>
                </c:pt>
                <c:pt idx="16">
                  <c:v>69.8</c:v>
                </c:pt>
                <c:pt idx="17">
                  <c:v>69.8</c:v>
                </c:pt>
                <c:pt idx="18">
                  <c:v>69.8</c:v>
                </c:pt>
                <c:pt idx="19">
                  <c:v>87.5</c:v>
                </c:pt>
                <c:pt idx="20">
                  <c:v>56.7</c:v>
                </c:pt>
                <c:pt idx="21">
                  <c:v>56.7</c:v>
                </c:pt>
                <c:pt idx="22">
                  <c:v>67.8</c:v>
                </c:pt>
                <c:pt idx="23">
                  <c:v>60.4</c:v>
                </c:pt>
                <c:pt idx="24">
                  <c:v>60.4</c:v>
                </c:pt>
                <c:pt idx="25">
                  <c:v>47.9</c:v>
                </c:pt>
                <c:pt idx="26">
                  <c:v>47.9</c:v>
                </c:pt>
                <c:pt idx="27">
                  <c:v>47.9</c:v>
                </c:pt>
                <c:pt idx="28">
                  <c:v>47.9</c:v>
                </c:pt>
                <c:pt idx="29">
                  <c:v>37</c:v>
                </c:pt>
                <c:pt idx="30">
                  <c:v>37</c:v>
                </c:pt>
              </c:numCache>
            </c:numRef>
          </c:xVal>
          <c:yVal>
            <c:numRef>
              <c:f>'COAMOX GRAPHS'!$N$2:$N$36</c:f>
              <c:numCache>
                <c:formatCode>General</c:formatCode>
                <c:ptCount val="35"/>
                <c:pt idx="0">
                  <c:v>89.38</c:v>
                </c:pt>
                <c:pt idx="2">
                  <c:v>98.72</c:v>
                </c:pt>
                <c:pt idx="4">
                  <c:v>102.06</c:v>
                </c:pt>
                <c:pt idx="5">
                  <c:v>118</c:v>
                </c:pt>
                <c:pt idx="6">
                  <c:v>83.84</c:v>
                </c:pt>
                <c:pt idx="8">
                  <c:v>84.54</c:v>
                </c:pt>
                <c:pt idx="10">
                  <c:v>92.46</c:v>
                </c:pt>
                <c:pt idx="11">
                  <c:v>228.83</c:v>
                </c:pt>
                <c:pt idx="12">
                  <c:v>236.84</c:v>
                </c:pt>
                <c:pt idx="15">
                  <c:v>93.81</c:v>
                </c:pt>
                <c:pt idx="16">
                  <c:v>134.44</c:v>
                </c:pt>
                <c:pt idx="17">
                  <c:v>113.57</c:v>
                </c:pt>
                <c:pt idx="19">
                  <c:v>155.08000000000001</c:v>
                </c:pt>
                <c:pt idx="20">
                  <c:v>75.17</c:v>
                </c:pt>
                <c:pt idx="22">
                  <c:v>161.51</c:v>
                </c:pt>
                <c:pt idx="23">
                  <c:v>196.01</c:v>
                </c:pt>
                <c:pt idx="25">
                  <c:v>48.39</c:v>
                </c:pt>
                <c:pt idx="26">
                  <c:v>50.61</c:v>
                </c:pt>
                <c:pt idx="27">
                  <c:v>53.7</c:v>
                </c:pt>
                <c:pt idx="29">
                  <c:v>29.28</c:v>
                </c:pt>
                <c:pt idx="30">
                  <c:v>29.87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1EC-438F-A348-DA2C4A4F4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538432"/>
        <c:axId val="237541568"/>
      </c:scatterChart>
      <c:valAx>
        <c:axId val="237538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</a:t>
                </a:r>
                <a:r>
                  <a:rPr lang="en-GB" baseline="0"/>
                  <a:t> (years)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541568"/>
        <c:crosses val="autoZero"/>
        <c:crossBetween val="midCat"/>
      </c:valAx>
      <c:valAx>
        <c:axId val="23754156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Concentration</a:t>
                </a:r>
                <a:r>
                  <a:rPr lang="en-GB" baseline="0"/>
                  <a:t> (mg/L)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5384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1810292515664"/>
          <c:y val="6.1491995619752819E-2"/>
          <c:w val="0.57298366392725497"/>
          <c:h val="0.65461932201003614"/>
        </c:manualLayout>
      </c:layout>
      <c:scatterChart>
        <c:scatterStyle val="lineMarker"/>
        <c:varyColors val="0"/>
        <c:ser>
          <c:idx val="0"/>
          <c:order val="0"/>
          <c:tx>
            <c:v>Amoxicillin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'COAMOX GRAPHS'!$D$3:$D$15</c:f>
              <c:numCache>
                <c:formatCode>General</c:formatCode>
                <c:ptCount val="13"/>
                <c:pt idx="0">
                  <c:v>55</c:v>
                </c:pt>
                <c:pt idx="3">
                  <c:v>25</c:v>
                </c:pt>
                <c:pt idx="6">
                  <c:v>227</c:v>
                </c:pt>
                <c:pt idx="7">
                  <c:v>86</c:v>
                </c:pt>
                <c:pt idx="8">
                  <c:v>82</c:v>
                </c:pt>
                <c:pt idx="9">
                  <c:v>139</c:v>
                </c:pt>
                <c:pt idx="11">
                  <c:v>84</c:v>
                </c:pt>
              </c:numCache>
            </c:numRef>
          </c:xVal>
          <c:yVal>
            <c:numRef>
              <c:f>'COAMOX GRAPHS'!$E$3:$E$15</c:f>
              <c:numCache>
                <c:formatCode>General</c:formatCode>
                <c:ptCount val="13"/>
                <c:pt idx="0">
                  <c:v>19.28</c:v>
                </c:pt>
                <c:pt idx="3">
                  <c:v>20.55</c:v>
                </c:pt>
                <c:pt idx="6">
                  <c:v>1.05</c:v>
                </c:pt>
                <c:pt idx="7">
                  <c:v>1.38</c:v>
                </c:pt>
                <c:pt idx="8">
                  <c:v>15.18</c:v>
                </c:pt>
                <c:pt idx="9">
                  <c:v>3.39</c:v>
                </c:pt>
                <c:pt idx="11">
                  <c:v>10.220000000000001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84-4985-8A77-482E26A2B20A}"/>
            </c:ext>
          </c:extLst>
        </c:ser>
        <c:ser>
          <c:idx val="1"/>
          <c:order val="1"/>
          <c:tx>
            <c:v>Piperacillin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'COAMOX GRAPHS'!$O$2:$O$34</c:f>
              <c:numCache>
                <c:formatCode>General</c:formatCode>
                <c:ptCount val="33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  <c:pt idx="4">
                  <c:v>36</c:v>
                </c:pt>
                <c:pt idx="5">
                  <c:v>36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90</c:v>
                </c:pt>
                <c:pt idx="10">
                  <c:v>90</c:v>
                </c:pt>
                <c:pt idx="11">
                  <c:v>46</c:v>
                </c:pt>
                <c:pt idx="12">
                  <c:v>46</c:v>
                </c:pt>
                <c:pt idx="13">
                  <c:v>46</c:v>
                </c:pt>
                <c:pt idx="14">
                  <c:v>97</c:v>
                </c:pt>
                <c:pt idx="15">
                  <c:v>97</c:v>
                </c:pt>
                <c:pt idx="16">
                  <c:v>65</c:v>
                </c:pt>
                <c:pt idx="17">
                  <c:v>65</c:v>
                </c:pt>
                <c:pt idx="18">
                  <c:v>65</c:v>
                </c:pt>
                <c:pt idx="19">
                  <c:v>51</c:v>
                </c:pt>
                <c:pt idx="20">
                  <c:v>83</c:v>
                </c:pt>
                <c:pt idx="21">
                  <c:v>83</c:v>
                </c:pt>
                <c:pt idx="22">
                  <c:v>96</c:v>
                </c:pt>
                <c:pt idx="23">
                  <c:v>38</c:v>
                </c:pt>
                <c:pt idx="24">
                  <c:v>38</c:v>
                </c:pt>
                <c:pt idx="25">
                  <c:v>147</c:v>
                </c:pt>
                <c:pt idx="26">
                  <c:v>147</c:v>
                </c:pt>
                <c:pt idx="27">
                  <c:v>147</c:v>
                </c:pt>
                <c:pt idx="28">
                  <c:v>147</c:v>
                </c:pt>
                <c:pt idx="29">
                  <c:v>185</c:v>
                </c:pt>
                <c:pt idx="30">
                  <c:v>185</c:v>
                </c:pt>
              </c:numCache>
            </c:numRef>
          </c:xVal>
          <c:yVal>
            <c:numRef>
              <c:f>'COAMOX GRAPHS'!$N$2:$N$37</c:f>
              <c:numCache>
                <c:formatCode>General</c:formatCode>
                <c:ptCount val="36"/>
                <c:pt idx="0">
                  <c:v>89.38</c:v>
                </c:pt>
                <c:pt idx="2">
                  <c:v>98.72</c:v>
                </c:pt>
                <c:pt idx="4">
                  <c:v>102.06</c:v>
                </c:pt>
                <c:pt idx="5">
                  <c:v>118</c:v>
                </c:pt>
                <c:pt idx="6">
                  <c:v>83.84</c:v>
                </c:pt>
                <c:pt idx="8">
                  <c:v>84.54</c:v>
                </c:pt>
                <c:pt idx="10">
                  <c:v>92.46</c:v>
                </c:pt>
                <c:pt idx="11">
                  <c:v>228.83</c:v>
                </c:pt>
                <c:pt idx="12">
                  <c:v>236.84</c:v>
                </c:pt>
                <c:pt idx="15">
                  <c:v>93.81</c:v>
                </c:pt>
                <c:pt idx="16">
                  <c:v>134.44</c:v>
                </c:pt>
                <c:pt idx="17">
                  <c:v>113.57</c:v>
                </c:pt>
                <c:pt idx="19">
                  <c:v>155.08000000000001</c:v>
                </c:pt>
                <c:pt idx="20">
                  <c:v>75.17</c:v>
                </c:pt>
                <c:pt idx="22">
                  <c:v>161.51</c:v>
                </c:pt>
                <c:pt idx="23">
                  <c:v>196.01</c:v>
                </c:pt>
                <c:pt idx="25">
                  <c:v>48.39</c:v>
                </c:pt>
                <c:pt idx="26">
                  <c:v>50.61</c:v>
                </c:pt>
                <c:pt idx="27">
                  <c:v>53.7</c:v>
                </c:pt>
                <c:pt idx="29">
                  <c:v>29.28</c:v>
                </c:pt>
                <c:pt idx="30">
                  <c:v>29.87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84-4985-8A77-482E26A2B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540784"/>
        <c:axId val="237541960"/>
      </c:scatterChart>
      <c:valAx>
        <c:axId val="237540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Estimated</a:t>
                </a:r>
                <a:r>
                  <a:rPr lang="en-GB" baseline="0"/>
                  <a:t> Glomerular Filtration Rate (</a:t>
                </a:r>
                <a:r>
                  <a:rPr lang="en-GB" sz="1000" b="0" i="0" u="none" strike="noStrike" baseline="0">
                    <a:effectLst/>
                  </a:rPr>
                  <a:t>mls/min/1.73m2)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541960"/>
        <c:crosses val="autoZero"/>
        <c:crossBetween val="midCat"/>
      </c:valAx>
      <c:valAx>
        <c:axId val="23754196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Concentration</a:t>
                </a:r>
                <a:r>
                  <a:rPr lang="en-GB" baseline="0"/>
                  <a:t> (mg/L)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540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Dagan Lonsdale</dc:creator>
  <cp:keywords/>
  <dc:description/>
  <cp:lastModifiedBy>Emma Baker</cp:lastModifiedBy>
  <cp:revision>3</cp:revision>
  <dcterms:created xsi:type="dcterms:W3CDTF">2016-07-20T10:03:00Z</dcterms:created>
  <dcterms:modified xsi:type="dcterms:W3CDTF">2017-03-29T08:45:00Z</dcterms:modified>
</cp:coreProperties>
</file>