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E331E" w14:textId="77777777" w:rsidR="00C63E0B" w:rsidRDefault="00C63E0B" w:rsidP="00EA3E7A">
      <w:pPr>
        <w:pStyle w:val="Heading1"/>
      </w:pPr>
      <w:r w:rsidRPr="00C63E0B">
        <w:t>The Relationship between Distance and Change in Surface ECG Morphology during Pacemapping as a guide to Ablation of Ventricular Arrhythmias</w:t>
      </w:r>
      <w:r w:rsidR="00A3152A">
        <w:t xml:space="preserve"> –Implications for the spatial resolution of pacemapping</w:t>
      </w:r>
      <w:r w:rsidR="00B83627">
        <w:t>.</w:t>
      </w:r>
    </w:p>
    <w:p w14:paraId="67E3B6B5" w14:textId="54B71475" w:rsidR="00C6258B" w:rsidRPr="00C6258B" w:rsidRDefault="00C6258B" w:rsidP="00C6258B">
      <w:r w:rsidRPr="00C6258B">
        <w:rPr>
          <w:b/>
        </w:rPr>
        <w:t>Short title:</w:t>
      </w:r>
      <w:r>
        <w:t xml:space="preserve"> Li et al. Quantitative analysis of pacemapping.</w:t>
      </w:r>
    </w:p>
    <w:p w14:paraId="751BF829" w14:textId="53318B08" w:rsidR="00C63E0B" w:rsidRDefault="00C63E0B" w:rsidP="00C63E0B">
      <w:r>
        <w:t>Anthony Li</w:t>
      </w:r>
      <w:r w:rsidR="00DC5D9F">
        <w:t>,</w:t>
      </w:r>
      <w:r w:rsidR="001B0930">
        <w:t xml:space="preserve"> M</w:t>
      </w:r>
      <w:r w:rsidR="00B65B9C">
        <w:t>D</w:t>
      </w:r>
      <w:r w:rsidR="00E94920" w:rsidRPr="00E94920">
        <w:rPr>
          <w:vertAlign w:val="superscript"/>
        </w:rPr>
        <w:t>1</w:t>
      </w:r>
      <w:r>
        <w:t xml:space="preserve">, </w:t>
      </w:r>
      <w:r w:rsidR="00907E89">
        <w:t>J</w:t>
      </w:r>
      <w:r w:rsidR="004E5359">
        <w:t>o</w:t>
      </w:r>
      <w:r w:rsidR="00E24390">
        <w:t>s</w:t>
      </w:r>
      <w:r w:rsidR="004E5359">
        <w:t>e</w:t>
      </w:r>
      <w:r w:rsidR="00E24390">
        <w:t xml:space="preserve">ph </w:t>
      </w:r>
      <w:r w:rsidR="00907E89">
        <w:t>Sam</w:t>
      </w:r>
      <w:r w:rsidR="00E24390">
        <w:t>uel</w:t>
      </w:r>
      <w:r w:rsidR="00907E89">
        <w:t xml:space="preserve"> Davis</w:t>
      </w:r>
      <w:r w:rsidR="00DC5D9F">
        <w:t>,</w:t>
      </w:r>
      <w:r w:rsidR="001B0930">
        <w:t xml:space="preserve"> MS</w:t>
      </w:r>
      <w:r w:rsidR="00E94920" w:rsidRPr="00E94920">
        <w:rPr>
          <w:vertAlign w:val="superscript"/>
        </w:rPr>
        <w:t>2</w:t>
      </w:r>
      <w:r w:rsidR="00907E89">
        <w:t xml:space="preserve">, </w:t>
      </w:r>
      <w:r>
        <w:t>Jeremiah Wierwille</w:t>
      </w:r>
      <w:r w:rsidR="00DC5D9F">
        <w:t>,</w:t>
      </w:r>
      <w:r w:rsidR="001B0930">
        <w:t xml:space="preserve"> PhD</w:t>
      </w:r>
      <w:r w:rsidR="00E94920" w:rsidRPr="00E94920">
        <w:rPr>
          <w:vertAlign w:val="superscript"/>
        </w:rPr>
        <w:t>2</w:t>
      </w:r>
      <w:r>
        <w:t>, Keith Herold</w:t>
      </w:r>
      <w:r w:rsidR="00DC5D9F">
        <w:t>,</w:t>
      </w:r>
      <w:r w:rsidR="001B0930">
        <w:t xml:space="preserve"> PhD</w:t>
      </w:r>
      <w:r w:rsidR="00E94920" w:rsidRPr="00E94920">
        <w:rPr>
          <w:vertAlign w:val="superscript"/>
        </w:rPr>
        <w:t>2</w:t>
      </w:r>
      <w:r>
        <w:t xml:space="preserve">, </w:t>
      </w:r>
      <w:r w:rsidR="00D17C96">
        <w:t>Dennis Morgan</w:t>
      </w:r>
      <w:r w:rsidR="00DC5D9F">
        <w:t>, MS</w:t>
      </w:r>
      <w:r w:rsidR="00E94920" w:rsidRPr="00E94920">
        <w:rPr>
          <w:vertAlign w:val="superscript"/>
        </w:rPr>
        <w:t>3</w:t>
      </w:r>
      <w:r w:rsidR="00D17C96">
        <w:t xml:space="preserve">, </w:t>
      </w:r>
      <w:r w:rsidR="00907E89">
        <w:t>Elijah Behr</w:t>
      </w:r>
      <w:r w:rsidR="00DC5D9F">
        <w:t>, MD</w:t>
      </w:r>
      <w:r w:rsidR="00E94920" w:rsidRPr="00E94920">
        <w:rPr>
          <w:vertAlign w:val="superscript"/>
        </w:rPr>
        <w:t>1</w:t>
      </w:r>
      <w:r w:rsidR="00907E89">
        <w:t xml:space="preserve">, </w:t>
      </w:r>
      <w:r>
        <w:t>Stephen Shorofsky</w:t>
      </w:r>
      <w:r w:rsidR="00DC5D9F">
        <w:t xml:space="preserve"> PhD</w:t>
      </w:r>
      <w:r w:rsidR="00E94920" w:rsidRPr="00E94920">
        <w:rPr>
          <w:vertAlign w:val="superscript"/>
        </w:rPr>
        <w:t>4</w:t>
      </w:r>
      <w:r>
        <w:t>, Magdi Saba</w:t>
      </w:r>
      <w:r w:rsidR="00DC5D9F">
        <w:t>, MD</w:t>
      </w:r>
      <w:r w:rsidR="00E94920" w:rsidRPr="00E94920">
        <w:rPr>
          <w:vertAlign w:val="superscript"/>
        </w:rPr>
        <w:t>1</w:t>
      </w:r>
    </w:p>
    <w:p w14:paraId="5E796464" w14:textId="3CB8B372" w:rsidR="00D17C96" w:rsidRDefault="00E94920" w:rsidP="001B0930">
      <w:pPr>
        <w:pStyle w:val="NoSpacing"/>
        <w:spacing w:line="480" w:lineRule="auto"/>
      </w:pPr>
      <w:r w:rsidRPr="00E94920">
        <w:rPr>
          <w:vertAlign w:val="superscript"/>
        </w:rPr>
        <w:t>1</w:t>
      </w:r>
      <w:r w:rsidR="00C63E0B">
        <w:t>Cardio</w:t>
      </w:r>
      <w:r w:rsidR="00C05B0C">
        <w:t>vascular Sciences Research Cent</w:t>
      </w:r>
      <w:r w:rsidR="00C63E0B">
        <w:t>r</w:t>
      </w:r>
      <w:r w:rsidR="00C05B0C">
        <w:t>e</w:t>
      </w:r>
      <w:r w:rsidR="00C63E0B">
        <w:t>, St. Ge</w:t>
      </w:r>
      <w:r>
        <w:t xml:space="preserve">orge’s University of London, London, UK; </w:t>
      </w:r>
      <w:r w:rsidRPr="00E94920">
        <w:rPr>
          <w:vertAlign w:val="superscript"/>
        </w:rPr>
        <w:t>2</w:t>
      </w:r>
      <w:r w:rsidR="00C63E0B">
        <w:t xml:space="preserve">Fischell Department of Bioengineering, Clark School of Engineering, University of Maryland, </w:t>
      </w:r>
      <w:r w:rsidR="00AB586A">
        <w:t>C</w:t>
      </w:r>
      <w:r>
        <w:t xml:space="preserve">ollege Park, Maryland; </w:t>
      </w:r>
      <w:r w:rsidRPr="00E94920">
        <w:rPr>
          <w:vertAlign w:val="superscript"/>
        </w:rPr>
        <w:t>3</w:t>
      </w:r>
      <w:r>
        <w:t xml:space="preserve">St. Jude Medical, St. Paul, Minnesota, USA; </w:t>
      </w:r>
      <w:r w:rsidRPr="00E94920">
        <w:rPr>
          <w:vertAlign w:val="superscript"/>
        </w:rPr>
        <w:t>4</w:t>
      </w:r>
      <w:r w:rsidR="00D17C96">
        <w:t xml:space="preserve">Division of Cardiology, Department of Medicine, University of Maryland Medical </w:t>
      </w:r>
      <w:r w:rsidR="00786F4C">
        <w:t>S</w:t>
      </w:r>
      <w:r w:rsidR="00D17C96">
        <w:t>ystem, Baltimore, Maryland.</w:t>
      </w:r>
    </w:p>
    <w:p w14:paraId="56F3240E" w14:textId="77777777" w:rsidR="00E16571" w:rsidRPr="00C43339" w:rsidRDefault="00C63E0B" w:rsidP="001B0930">
      <w:pPr>
        <w:pStyle w:val="NoSpacing"/>
        <w:spacing w:line="480" w:lineRule="auto"/>
        <w:rPr>
          <w:b/>
        </w:rPr>
      </w:pPr>
      <w:r w:rsidRPr="00C43339">
        <w:rPr>
          <w:b/>
        </w:rPr>
        <w:t>Corresponding Author:</w:t>
      </w:r>
    </w:p>
    <w:p w14:paraId="48BB0FD8" w14:textId="77777777" w:rsidR="00C63E0B" w:rsidRPr="00651F43" w:rsidRDefault="00C63E0B" w:rsidP="001B0930">
      <w:pPr>
        <w:pStyle w:val="NoSpacing"/>
        <w:spacing w:line="480" w:lineRule="auto"/>
      </w:pPr>
      <w:r w:rsidRPr="00651F43">
        <w:t>Dr Anthony Li</w:t>
      </w:r>
    </w:p>
    <w:p w14:paraId="4B5BAB62" w14:textId="77777777" w:rsidR="00C63E0B" w:rsidRPr="00651F43" w:rsidRDefault="00C63E0B" w:rsidP="001B0930">
      <w:pPr>
        <w:pStyle w:val="NoSpacing"/>
        <w:spacing w:line="480" w:lineRule="auto"/>
      </w:pPr>
      <w:r w:rsidRPr="00651F43">
        <w:lastRenderedPageBreak/>
        <w:t>Cardio</w:t>
      </w:r>
      <w:r w:rsidR="00E05E54">
        <w:t>vascular Sciences Research Cent</w:t>
      </w:r>
      <w:r w:rsidRPr="00651F43">
        <w:t>r</w:t>
      </w:r>
      <w:r w:rsidR="00E05E54">
        <w:t>e</w:t>
      </w:r>
    </w:p>
    <w:p w14:paraId="16CAA73F" w14:textId="77777777" w:rsidR="00C63E0B" w:rsidRPr="00651F43" w:rsidRDefault="00C63E0B" w:rsidP="001B0930">
      <w:pPr>
        <w:pStyle w:val="NoSpacing"/>
        <w:spacing w:line="480" w:lineRule="auto"/>
      </w:pPr>
      <w:r w:rsidRPr="00651F43">
        <w:t>St. George’s University of London</w:t>
      </w:r>
    </w:p>
    <w:p w14:paraId="777ECACA" w14:textId="77777777" w:rsidR="00C63E0B" w:rsidRPr="00651F43" w:rsidRDefault="00C63E0B" w:rsidP="001B0930">
      <w:pPr>
        <w:pStyle w:val="NoSpacing"/>
        <w:spacing w:line="480" w:lineRule="auto"/>
      </w:pPr>
      <w:r w:rsidRPr="00651F43">
        <w:t>Blackshaw road</w:t>
      </w:r>
    </w:p>
    <w:p w14:paraId="56369C58" w14:textId="77777777" w:rsidR="00C63E0B" w:rsidRPr="00651F43" w:rsidRDefault="00C63E0B" w:rsidP="001B0930">
      <w:pPr>
        <w:pStyle w:val="NoSpacing"/>
        <w:spacing w:line="480" w:lineRule="auto"/>
      </w:pPr>
      <w:r w:rsidRPr="00651F43">
        <w:t>London. SW17 0RE</w:t>
      </w:r>
    </w:p>
    <w:p w14:paraId="0818CAA4" w14:textId="77777777" w:rsidR="00C63E0B" w:rsidRPr="00651F43" w:rsidRDefault="00C63E0B" w:rsidP="001B0930">
      <w:pPr>
        <w:pStyle w:val="NoSpacing"/>
        <w:spacing w:line="480" w:lineRule="auto"/>
      </w:pPr>
      <w:r w:rsidRPr="00651F43">
        <w:t>Tel 0208</w:t>
      </w:r>
      <w:r w:rsidR="003B721B">
        <w:t xml:space="preserve"> 725 1390</w:t>
      </w:r>
    </w:p>
    <w:p w14:paraId="3A22B3EB" w14:textId="77777777" w:rsidR="00651F43" w:rsidRDefault="00C63E0B" w:rsidP="001B0930">
      <w:pPr>
        <w:pStyle w:val="NoSpacing"/>
        <w:spacing w:line="480" w:lineRule="auto"/>
        <w:rPr>
          <w:rStyle w:val="Hyperlink"/>
          <w:color w:val="auto"/>
          <w:u w:val="none"/>
        </w:rPr>
      </w:pPr>
      <w:r w:rsidRPr="00651F43">
        <w:t xml:space="preserve">Email: </w:t>
      </w:r>
      <w:hyperlink r:id="rId8" w:history="1">
        <w:r w:rsidR="00EA3E7A" w:rsidRPr="00651F43">
          <w:rPr>
            <w:rStyle w:val="Hyperlink"/>
            <w:color w:val="auto"/>
            <w:u w:val="none"/>
          </w:rPr>
          <w:t>ali@sgul.ac.uk</w:t>
        </w:r>
      </w:hyperlink>
    </w:p>
    <w:p w14:paraId="14C8F774" w14:textId="538615E0" w:rsidR="00E94920" w:rsidRPr="00E94920" w:rsidRDefault="00E94920" w:rsidP="001B0930">
      <w:pPr>
        <w:pStyle w:val="NoSpacing"/>
        <w:spacing w:line="480" w:lineRule="auto"/>
      </w:pPr>
      <w:r w:rsidRPr="00E94920">
        <w:rPr>
          <w:b/>
        </w:rPr>
        <w:t>Journal Subject Terms:</w:t>
      </w:r>
      <w:r>
        <w:rPr>
          <w:b/>
        </w:rPr>
        <w:t xml:space="preserve"> </w:t>
      </w:r>
      <w:r>
        <w:t>Arrhythmias, Catheter Ablation and Implantable Cardioverter-Defibrillator, Electrophysiology, Clinical Studies, Cardiomyopathy, Chronic Ischemic Heart Disease.</w:t>
      </w:r>
    </w:p>
    <w:p w14:paraId="4FF3F399" w14:textId="603FB5E7" w:rsidR="00DC5D9F" w:rsidRPr="00C6258B" w:rsidRDefault="00E16571" w:rsidP="001B0930">
      <w:r w:rsidRPr="00E16571">
        <w:rPr>
          <w:b/>
        </w:rPr>
        <w:t>Word count:</w:t>
      </w:r>
      <w:r w:rsidR="003034D9">
        <w:t xml:space="preserve"> 5,083</w:t>
      </w:r>
    </w:p>
    <w:p w14:paraId="52C3684D" w14:textId="77777777" w:rsidR="00EA3E7A" w:rsidRPr="00EA3E7A" w:rsidRDefault="00EA3E7A" w:rsidP="00EA3E7A">
      <w:pPr>
        <w:pStyle w:val="Heading2"/>
      </w:pPr>
      <w:r w:rsidRPr="00EA3E7A">
        <w:lastRenderedPageBreak/>
        <w:t>Abstract</w:t>
      </w:r>
    </w:p>
    <w:p w14:paraId="2D852F43" w14:textId="77777777" w:rsidR="00EA3E7A" w:rsidRDefault="00EA3E7A" w:rsidP="00B01AF1">
      <w:pPr>
        <w:pStyle w:val="Heading3"/>
      </w:pPr>
      <w:r w:rsidRPr="00EA3E7A">
        <w:t>Background</w:t>
      </w:r>
    </w:p>
    <w:p w14:paraId="6972D648" w14:textId="471B8955" w:rsidR="00B01AF1" w:rsidRPr="00B01AF1" w:rsidRDefault="00986782" w:rsidP="00B01AF1">
      <w:r>
        <w:t xml:space="preserve">Pace-mapping is </w:t>
      </w:r>
      <w:r w:rsidR="00584D68">
        <w:t xml:space="preserve">used to localise </w:t>
      </w:r>
      <w:r>
        <w:t xml:space="preserve">the exit site of ventricular arrhythmia (VA). </w:t>
      </w:r>
      <w:r w:rsidR="0088319F">
        <w:t xml:space="preserve"> Although the relationship between distance and change in </w:t>
      </w:r>
      <w:r w:rsidR="003C7921">
        <w:t xml:space="preserve">QRS </w:t>
      </w:r>
      <w:r w:rsidR="0088319F">
        <w:t>morphology</w:t>
      </w:r>
      <w:r w:rsidR="003C7921">
        <w:t xml:space="preserve"> is </w:t>
      </w:r>
      <w:r w:rsidR="00584D68">
        <w:t>its</w:t>
      </w:r>
      <w:r w:rsidR="003C7921">
        <w:t xml:space="preserve"> b</w:t>
      </w:r>
      <w:r w:rsidR="00584D68">
        <w:t>asis</w:t>
      </w:r>
      <w:r w:rsidR="003C7921">
        <w:t>, this relationship</w:t>
      </w:r>
      <w:r w:rsidR="0088319F">
        <w:t xml:space="preserve"> ha</w:t>
      </w:r>
      <w:r w:rsidR="003C7921">
        <w:t>s not been systematically quantified.</w:t>
      </w:r>
    </w:p>
    <w:p w14:paraId="719476A2" w14:textId="1136A23D" w:rsidR="00D5083D" w:rsidRDefault="00D5083D" w:rsidP="00B01AF1">
      <w:pPr>
        <w:pStyle w:val="Heading3"/>
      </w:pPr>
      <w:r>
        <w:t>Methods</w:t>
      </w:r>
      <w:r w:rsidR="00DC5D9F">
        <w:t xml:space="preserve"> and Results</w:t>
      </w:r>
    </w:p>
    <w:p w14:paraId="67980A01" w14:textId="58807E75" w:rsidR="00B01AF1" w:rsidRPr="00B01AF1" w:rsidRDefault="00942A54" w:rsidP="00B01AF1">
      <w:r>
        <w:t>P</w:t>
      </w:r>
      <w:r w:rsidR="00B01AF1">
        <w:t xml:space="preserve">atients (n=68) undergoing </w:t>
      </w:r>
      <w:r w:rsidR="00A40D76">
        <w:t>VA</w:t>
      </w:r>
      <w:r w:rsidR="00B01AF1">
        <w:t xml:space="preserve"> </w:t>
      </w:r>
      <w:r w:rsidR="00584D68">
        <w:t xml:space="preserve">ablation </w:t>
      </w:r>
      <w:r w:rsidR="00B01AF1">
        <w:t xml:space="preserve">between </w:t>
      </w:r>
      <w:r w:rsidR="00B01AF1" w:rsidRPr="00B01AF1">
        <w:t xml:space="preserve">March 2012 </w:t>
      </w:r>
      <w:r w:rsidR="00A40D76">
        <w:t xml:space="preserve">and </w:t>
      </w:r>
      <w:r w:rsidR="00B01AF1" w:rsidRPr="00B01AF1">
        <w:t>July 2013</w:t>
      </w:r>
      <w:r w:rsidR="00B01AF1">
        <w:t xml:space="preserve"> were </w:t>
      </w:r>
      <w:r>
        <w:t>recruited</w:t>
      </w:r>
      <w:r w:rsidR="00B01AF1">
        <w:t xml:space="preserve">. Pace-mapping was </w:t>
      </w:r>
      <w:r w:rsidR="00A40D76">
        <w:t>targeted to</w:t>
      </w:r>
      <w:r w:rsidR="00B01AF1">
        <w:t xml:space="preserve"> areas of voltage &gt;</w:t>
      </w:r>
      <w:r w:rsidR="00986782">
        <w:t xml:space="preserve"> </w:t>
      </w:r>
      <w:r w:rsidR="00B01AF1">
        <w:t xml:space="preserve">0.5mV. </w:t>
      </w:r>
      <w:r w:rsidR="00FF378C">
        <w:t>Linear m</w:t>
      </w:r>
      <w:r w:rsidR="00230A7C">
        <w:t>ixed effects models were constructed of distance against morphology difference measured by the root mean square error (RMSE) sum</w:t>
      </w:r>
      <w:r w:rsidR="00B01AF1">
        <w:t xml:space="preserve"> </w:t>
      </w:r>
      <w:r w:rsidR="00230A7C">
        <w:t>across all 12 ECG leads (E12).</w:t>
      </w:r>
    </w:p>
    <w:p w14:paraId="69D16813" w14:textId="073FA779" w:rsidR="003D2C70" w:rsidRDefault="000D1789" w:rsidP="003D2C70">
      <w:r w:rsidRPr="000D1789">
        <w:t>40</w:t>
      </w:r>
      <w:r w:rsidR="009E31B3">
        <w:t>/68</w:t>
      </w:r>
      <w:r w:rsidR="00584D68">
        <w:t xml:space="preserve"> </w:t>
      </w:r>
      <w:r w:rsidRPr="000D1789">
        <w:t>(5</w:t>
      </w:r>
      <w:r w:rsidR="00584D68">
        <w:t xml:space="preserve">8%) </w:t>
      </w:r>
      <w:r w:rsidR="00A40D76">
        <w:t>patients had structural</w:t>
      </w:r>
      <w:r w:rsidRPr="000D1789">
        <w:t xml:space="preserve"> </w:t>
      </w:r>
      <w:r w:rsidR="009409D3">
        <w:t>heart di</w:t>
      </w:r>
      <w:r w:rsidR="00A40D76">
        <w:t>s</w:t>
      </w:r>
      <w:r w:rsidR="009409D3">
        <w:t>ease</w:t>
      </w:r>
      <w:r w:rsidR="007E3738">
        <w:t>,</w:t>
      </w:r>
      <w:r w:rsidR="009409D3">
        <w:t xml:space="preserve"> </w:t>
      </w:r>
      <w:r w:rsidR="00CC033C">
        <w:t>21</w:t>
      </w:r>
      <w:r w:rsidR="00584D68">
        <w:t xml:space="preserve">/40 </w:t>
      </w:r>
      <w:r w:rsidR="007E3738">
        <w:t>(</w:t>
      </w:r>
      <w:r w:rsidR="00A40D76" w:rsidRPr="000D1789">
        <w:t>53%</w:t>
      </w:r>
      <w:r w:rsidR="007E3738">
        <w:t>)</w:t>
      </w:r>
      <w:r w:rsidR="00A40D76">
        <w:t xml:space="preserve"> </w:t>
      </w:r>
      <w:r w:rsidRPr="000D1789">
        <w:t>ischaemic</w:t>
      </w:r>
      <w:r>
        <w:t xml:space="preserve">. </w:t>
      </w:r>
      <w:r w:rsidR="00085313">
        <w:t>935 pacing point</w:t>
      </w:r>
      <w:r w:rsidRPr="000D1789">
        <w:t xml:space="preserve">s were </w:t>
      </w:r>
      <w:r w:rsidR="009409D3">
        <w:t>collected</w:t>
      </w:r>
      <w:r>
        <w:t xml:space="preserve">, generating </w:t>
      </w:r>
      <w:r w:rsidR="00085313">
        <w:t>6219 pacing site</w:t>
      </w:r>
      <w:r w:rsidRPr="000D1789">
        <w:t xml:space="preserve"> pair combinations </w:t>
      </w:r>
      <w:r w:rsidR="009409D3">
        <w:t>(</w:t>
      </w:r>
      <w:r w:rsidR="003D2C70">
        <w:t>3087 (50</w:t>
      </w:r>
      <w:r w:rsidRPr="000D1789">
        <w:t xml:space="preserve">%) </w:t>
      </w:r>
      <w:r w:rsidR="003D2C70">
        <w:t>ventricular bodies</w:t>
      </w:r>
      <w:r w:rsidRPr="000D1789">
        <w:t xml:space="preserve">, </w:t>
      </w:r>
      <w:r w:rsidR="003D2C70">
        <w:t>756</w:t>
      </w:r>
      <w:r w:rsidRPr="000D1789">
        <w:t xml:space="preserve"> (</w:t>
      </w:r>
      <w:r w:rsidR="003D2C70">
        <w:t>12</w:t>
      </w:r>
      <w:r w:rsidRPr="000D1789">
        <w:t>%)</w:t>
      </w:r>
      <w:r w:rsidR="003D2C70">
        <w:t xml:space="preserve"> outflow</w:t>
      </w:r>
      <w:r w:rsidR="009409D3">
        <w:t xml:space="preserve"> tract</w:t>
      </w:r>
      <w:r w:rsidR="003D2C70">
        <w:t xml:space="preserve">, </w:t>
      </w:r>
      <w:r w:rsidR="00584D68">
        <w:t>162 (3%) epicardial</w:t>
      </w:r>
      <w:r>
        <w:t>. In multivariable analysis,</w:t>
      </w:r>
      <w:r w:rsidR="009E31B3">
        <w:t xml:space="preserve"> increase in </w:t>
      </w:r>
      <w:r w:rsidR="00EA1A07" w:rsidRPr="000D1789">
        <w:t>E12</w:t>
      </w:r>
      <w:r w:rsidRPr="000D1789">
        <w:t xml:space="preserve"> was </w:t>
      </w:r>
      <w:r w:rsidR="009E31B3">
        <w:t xml:space="preserve">predicted by increasing </w:t>
      </w:r>
      <w:r w:rsidR="00EA1A07">
        <w:t xml:space="preserve"> distance</w:t>
      </w:r>
      <w:r w:rsidRPr="000D1789">
        <w:t xml:space="preserve"> (0.07</w:t>
      </w:r>
      <w:r w:rsidR="00A40D76">
        <w:t xml:space="preserve"> per mm</w:t>
      </w:r>
      <w:r w:rsidRPr="000D1789">
        <w:t>; 95% CI 0.07, 0.08; p&lt;0.001).</w:t>
      </w:r>
      <w:r>
        <w:t xml:space="preserve"> </w:t>
      </w:r>
      <w:r w:rsidR="003D2C70">
        <w:t>Compared to the LV, E12 values were lower in the RV (p</w:t>
      </w:r>
      <w:r w:rsidR="007710FA">
        <w:t xml:space="preserve"> </w:t>
      </w:r>
      <w:r w:rsidR="003D2C70">
        <w:t>=</w:t>
      </w:r>
      <w:r w:rsidR="007710FA">
        <w:t xml:space="preserve"> </w:t>
      </w:r>
      <w:r w:rsidR="003D2C70">
        <w:t>0.037) and LVOT (p</w:t>
      </w:r>
      <w:r w:rsidR="007710FA">
        <w:t xml:space="preserve"> </w:t>
      </w:r>
      <w:r w:rsidR="003D2C70">
        <w:t>&lt;</w:t>
      </w:r>
      <w:r w:rsidR="007710FA">
        <w:t xml:space="preserve"> </w:t>
      </w:r>
      <w:r w:rsidR="003D2C70">
        <w:t>0.001) and higher in LV-RV pairs (p</w:t>
      </w:r>
      <w:r w:rsidR="007710FA">
        <w:t xml:space="preserve"> </w:t>
      </w:r>
      <w:r w:rsidR="003D2C70">
        <w:t>=</w:t>
      </w:r>
      <w:r w:rsidR="007710FA">
        <w:t xml:space="preserve"> </w:t>
      </w:r>
      <w:r w:rsidR="003D2C70">
        <w:t>0.021)</w:t>
      </w:r>
      <w:r w:rsidR="009409D3">
        <w:t xml:space="preserve"> and LV epicardium (p</w:t>
      </w:r>
      <w:r w:rsidR="007710FA">
        <w:t xml:space="preserve"> </w:t>
      </w:r>
      <w:r w:rsidR="009409D3">
        <w:t>=</w:t>
      </w:r>
      <w:r w:rsidR="007710FA">
        <w:t xml:space="preserve"> </w:t>
      </w:r>
      <w:r w:rsidR="009409D3">
        <w:t>0.08)</w:t>
      </w:r>
      <w:r w:rsidR="003D2C70">
        <w:t xml:space="preserve">. </w:t>
      </w:r>
      <w:r w:rsidR="00942A54">
        <w:t>T</w:t>
      </w:r>
      <w:r w:rsidR="003D2C70">
        <w:t xml:space="preserve">here was no </w:t>
      </w:r>
      <w:r w:rsidR="003D2C70">
        <w:lastRenderedPageBreak/>
        <w:t xml:space="preserve">difference in E12 </w:t>
      </w:r>
      <w:r w:rsidR="00942A54">
        <w:t xml:space="preserve">in the RVOT </w:t>
      </w:r>
      <w:r w:rsidR="003D2C70">
        <w:t>compared to RVOT-LVOT (p</w:t>
      </w:r>
      <w:r w:rsidR="007710FA">
        <w:t xml:space="preserve"> </w:t>
      </w:r>
      <w:r w:rsidR="003D2C70">
        <w:t>=</w:t>
      </w:r>
      <w:r w:rsidR="007710FA">
        <w:t xml:space="preserve"> </w:t>
      </w:r>
      <w:r w:rsidR="003D2C70">
        <w:t>0.75) pairs.</w:t>
      </w:r>
      <w:r w:rsidR="009409D3">
        <w:t xml:space="preserve"> </w:t>
      </w:r>
      <w:r w:rsidR="00584D68">
        <w:t>S</w:t>
      </w:r>
      <w:r w:rsidR="009409D3">
        <w:t xml:space="preserve">tructural heart disease </w:t>
      </w:r>
      <w:r w:rsidR="00085313">
        <w:t>or inadvertent pacing</w:t>
      </w:r>
      <w:r w:rsidR="00CD24D6">
        <w:t xml:space="preserve"> in scar </w:t>
      </w:r>
      <w:r w:rsidR="009409D3">
        <w:t xml:space="preserve">was not associated with </w:t>
      </w:r>
      <w:r w:rsidR="00EA1A07">
        <w:t xml:space="preserve">changes in </w:t>
      </w:r>
      <w:r w:rsidR="009409D3">
        <w:t>E12</w:t>
      </w:r>
      <w:r w:rsidR="00CD24D6">
        <w:t>,</w:t>
      </w:r>
      <w:r w:rsidR="009409D3">
        <w:t xml:space="preserve"> however the presence of latency</w:t>
      </w:r>
      <w:r w:rsidR="00CD24D6">
        <w:t xml:space="preserve"> </w:t>
      </w:r>
      <w:r w:rsidR="009409D3">
        <w:t xml:space="preserve">and split potentials were associated with </w:t>
      </w:r>
      <w:r w:rsidR="00085313">
        <w:t xml:space="preserve">higher and </w:t>
      </w:r>
      <w:r w:rsidR="009409D3">
        <w:t>lower E12 values</w:t>
      </w:r>
      <w:r w:rsidR="007710FA">
        <w:t>,</w:t>
      </w:r>
      <w:r w:rsidR="00085313">
        <w:t xml:space="preserve"> respectively</w:t>
      </w:r>
      <w:r w:rsidR="009409D3">
        <w:t xml:space="preserve"> (p&lt;0.001). </w:t>
      </w:r>
    </w:p>
    <w:p w14:paraId="21929F75" w14:textId="77777777" w:rsidR="00EA3E7A" w:rsidRDefault="00D5083D" w:rsidP="00B01AF1">
      <w:pPr>
        <w:pStyle w:val="Heading3"/>
      </w:pPr>
      <w:r>
        <w:t>Conclusion</w:t>
      </w:r>
      <w:r w:rsidR="00E8579D">
        <w:t>s</w:t>
      </w:r>
    </w:p>
    <w:p w14:paraId="1782E8D0" w14:textId="3151487A" w:rsidR="00DC5D9F" w:rsidRDefault="00CD24D6">
      <w:r>
        <w:t>A</w:t>
      </w:r>
      <w:r w:rsidRPr="00CD24D6">
        <w:t xml:space="preserve"> robust </w:t>
      </w:r>
      <w:r w:rsidR="007710FA">
        <w:t>positive</w:t>
      </w:r>
      <w:r w:rsidRPr="00CD24D6">
        <w:t xml:space="preserve"> relationship exists between distance and </w:t>
      </w:r>
      <w:r w:rsidR="00463006">
        <w:t>QRS</w:t>
      </w:r>
      <w:r w:rsidR="00463006" w:rsidRPr="00CD24D6">
        <w:t xml:space="preserve"> </w:t>
      </w:r>
      <w:r w:rsidRPr="00CD24D6">
        <w:t>morphological change when restricting pa</w:t>
      </w:r>
      <w:r w:rsidR="00AB586A">
        <w:t>cing points</w:t>
      </w:r>
      <w:r w:rsidRPr="00CD24D6">
        <w:t xml:space="preserve"> to areas of </w:t>
      </w:r>
      <w:r w:rsidR="00CE7D4D">
        <w:t>voltage &gt;0.5mV</w:t>
      </w:r>
      <w:r w:rsidRPr="00CD24D6">
        <w:t>.</w:t>
      </w:r>
      <w:r>
        <w:t xml:space="preserve"> </w:t>
      </w:r>
      <w:r w:rsidR="00EA1A07">
        <w:t xml:space="preserve">Significant differences in the spatial resolution of pace-mapping </w:t>
      </w:r>
      <w:r w:rsidR="00CE7D4D">
        <w:t>exist</w:t>
      </w:r>
      <w:r w:rsidR="00EA1A07">
        <w:t xml:space="preserve"> within the heart. </w:t>
      </w:r>
    </w:p>
    <w:p w14:paraId="509994AA" w14:textId="3C57B36F" w:rsidR="00EA3E7A" w:rsidRPr="00CD24D6" w:rsidRDefault="00DC5D9F">
      <w:r w:rsidRPr="00DC5D9F">
        <w:rPr>
          <w:b/>
        </w:rPr>
        <w:t>Keywords:</w:t>
      </w:r>
      <w:r>
        <w:t xml:space="preserve"> Pacemapping, Spatial resolution, VT ablation, VE ablation</w:t>
      </w:r>
      <w:r w:rsidRPr="00CD24D6">
        <w:t xml:space="preserve"> </w:t>
      </w:r>
      <w:r w:rsidR="00EA3E7A" w:rsidRPr="00CD24D6">
        <w:br w:type="page"/>
      </w:r>
    </w:p>
    <w:p w14:paraId="2EE930A0" w14:textId="77777777" w:rsidR="00EA3E7A" w:rsidRDefault="00EA3E7A" w:rsidP="00EA3E7A">
      <w:pPr>
        <w:pStyle w:val="Heading2"/>
      </w:pPr>
      <w:r>
        <w:lastRenderedPageBreak/>
        <w:t>Introduction</w:t>
      </w:r>
    </w:p>
    <w:p w14:paraId="42FB2F0F" w14:textId="6F693612" w:rsidR="00EA3E7A" w:rsidRDefault="00EF4AFB" w:rsidP="00EA3E7A">
      <w:r>
        <w:t>Pace</w:t>
      </w:r>
      <w:r w:rsidR="00786F4C">
        <w:t>-</w:t>
      </w:r>
      <w:r>
        <w:t xml:space="preserve">mapping has been shown to be useful </w:t>
      </w:r>
      <w:r w:rsidR="00463006">
        <w:t>in determining</w:t>
      </w:r>
      <w:r>
        <w:t xml:space="preserve"> the </w:t>
      </w:r>
      <w:r w:rsidR="00463006">
        <w:t xml:space="preserve">site of origin or </w:t>
      </w:r>
      <w:r>
        <w:t>exit site of ventricular arrhythmias</w:t>
      </w:r>
      <w:r w:rsidR="000D38F8">
        <w:t xml:space="preserve"> (VA)</w:t>
      </w:r>
      <w:r w:rsidR="00F07D8F">
        <w:t xml:space="preserve"> in both idiopathic and scar related</w:t>
      </w:r>
      <w:r w:rsidR="00F07D8F" w:rsidRPr="00442C5F">
        <w:rPr>
          <w:lang w:val="en-US"/>
        </w:rPr>
        <w:t xml:space="preserve"> etiologies</w:t>
      </w:r>
      <w:r w:rsidR="0015504D">
        <w:t>,</w:t>
      </w:r>
      <w:r w:rsidR="00CE7D4D">
        <w:t xml:space="preserve"> particularly whe</w:t>
      </w:r>
      <w:r w:rsidR="00463006">
        <w:t xml:space="preserve">n sustained ventricular tachycardia is poorly tolerated or ventricular ectopy </w:t>
      </w:r>
      <w:r w:rsidR="00CE7D4D">
        <w:t xml:space="preserve"> occur</w:t>
      </w:r>
      <w:r w:rsidR="00463006">
        <w:t>s</w:t>
      </w:r>
      <w:r w:rsidR="00CE7D4D">
        <w:t xml:space="preserve"> at </w:t>
      </w:r>
      <w:r w:rsidR="00463006">
        <w:t xml:space="preserve">a </w:t>
      </w:r>
      <w:r w:rsidR="00CE7D4D">
        <w:t>low frequency</w:t>
      </w:r>
      <w:r>
        <w:t>.</w:t>
      </w:r>
      <w:r w:rsidR="00F07D8F">
        <w:fldChar w:fldCharType="begin" w:fldLock="1"/>
      </w:r>
      <w:r w:rsidR="00BB4297">
        <w:instrText>ADDIN CSL_CITATION { "citationItems" : [ { "id" : "ITEM-1", "itemData" : { "ISSN" : "0002-9149", "PMID" : "7090993", "abstract" : "Intraoperative pace-mapping has been proposed as a method of identifying the origin of ventricular tachycardia; however, both epicardial activation and electrocardiographic configuration have limitations in localizing the origin of ventricular tachycardia. Because most ventricular tachycardias associated with ischemic heart disease appear to arise near the endocardium, this study evaluated the ability of bipolar catheter endocardial pacing at or near the endocardial site of origin of spontaneous ventricular tachycardia to mimic the QRS configuration of the spontaneous tachycardia. Twelve patients were studied who had ventricular tachycardia whose origin was determined with catheter endocardial mapping. Three patients had ventricular tachycardia with two distinct configurations. The electrocardiogram of ventricular tachycardia was compared with the electrocardiogram produced by pacing at the site of origin (10 patients) and at multiple (two to nine) additional sites in 8 patients. It was observed that (1) pacing at the known site of origin of ventricular tachycardia produced an electrocardiogram and activation sequence similar to those produced by the ventricular tachycardia; (2) pacing at sites in close proximity to the site of origin of ventricular tachycardia produced either a similar or a grossly different electrocardiographic pattern from that during ventricular tachycardia. It is concluded that catheter endocardial pace-mapping (1) is a corroborative method of identifying the origin of ventricular tachycardia; (2) may be useful in patients with noninducible ventricular tachycardia or rapid ventricular tachycardia who cannot undergo catheter or intraoperative mapping; and (3) is neither easier, more accurate nor quicker than direct localization by mapping during ventricular tachycardia.", "author" : [ { "dropping-particle" : "", "family" : "Josephson", "given" : "M E", "non-dropping-particle" : "", "parse-names" : false, "suffix" : "" }, { "dropping-particle" : "", "family" : "Waxman", "given" : "H L", "non-dropping-particle" : "", "parse-names" : false, "suffix" : "" }, { "dropping-particle" : "", "family" : "Cain", "given" : "M E", "non-dropping-particle" : "", "parse-names" : false, "suffix" : "" }, { "dropping-particle" : "", "family" : "Gardner", "given" : "M J", "non-dropping-particle" : "", "parse-names" : false, "suffix" : "" }, { "dropping-particle" : "", "family" : "Buxton", "given" : "A E", "non-dropping-particle" : "", "parse-names" : false, "suffix" : "" } ], "container-title" : "The American journal of cardiology", "id" : "ITEM-1", "issue" : "1", "issued" : { "date-parts" : [ [ "1982", "7" ] ] }, "page" : "11-22", "title" : "Ventricular activation during ventricular endocardial pacing. II. Role of pace-mapping to localize origin of ventricular tachycardia.", "type" : "article-journal", "volume" : "50" }, "uris" : [ "http://www.mendeley.com/documents/?uuid=04454e4d-11be-49c5-a567-51723e03c870" ] }, { "id" : "ITEM-2", "itemData" : { "DOI" : "10.1016/j.hrthm.2007.11.011", "ISSN" : "1547-5271", "PMID" : "18313589", "abstract" : "Pace mapping has been used to identify the site of origin of focal ventricular arrhythmias. The spatial resolution of pace mapping has not been adequately quantified using currently available three-dimensional mapping systems.", "author" : [ { "dropping-particle" : "", "family" : "Bogun", "given" : "Frank", "non-dropping-particle" : "", "parse-names" : false, "suffix" : "" }, { "dropping-particle" : "", "family" : "Taj", "given" : "Majid", "non-dropping-particle" : "", "parse-names" : false, "suffix" : "" }, { "dropping-particle" : "", "family" : "Ting", "given" : "Michael", "non-dropping-particle" : "", "parse-names" : false, "suffix" : "" }, { "dropping-particle" : "", "family" : "Kim", "given" : "Hyungjin Myra", "non-dropping-particle" : "", "parse-names" : false, "suffix" : "" }, { "dropping-particle" : "", "family" : "Reich", "given" : "Stephen", "non-dropping-particle" : "", "parse-names" : false, "suffix" : "" }, { "dropping-particle" : "", "family" : "Good", "given" : "Eric", "non-dropping-particle" : "", "parse-names" : false, "suffix" : "" }, { "dropping-particle" : "", "family" : "Jongnarangsin", "given" : "Krit", "non-dropping-particle" : "", "parse-names" : false, "suffix" : "" }, { "dropping-particle" : "", "family" : "Chugh", "given" : "Aman", "non-dropping-particle" : "", "parse-names" : false, "suffix" : "" }, { "dropping-particle" : "", "family" : "Pelosi", "given" : "Frank", "non-dropping-particle" : "", "parse-names" : false, "suffix" : "" }, { "dropping-particle" : "", "family" : "Oral", "given" : "Hakan", "non-dropping-particle" : "", "parse-names" : false, "suffix" : "" }, { "dropping-particle" : "", "family" : "Morady", "given" : "Fred", "non-dropping-particle" : "", "parse-names" : false, "suffix" : "" } ], "container-title" : "Heart rhythm : the official journal of the Heart Rhythm Society", "id" : "ITEM-2", "issue" : "3", "issued" : { "date-parts" : [ [ "2008", "3" ] ] }, "page" : "339-344", "title" : "Spatial resolution of pace mapping of idiopathic ventricular tachycardia/ectopy originating in the right ventricular outflow tract.", "type" : "article-journal", "volume" : "5" }, "uris" : [ "http://www.mendeley.com/documents/?uuid=b2457647-bec8-47a3-8e0c-2db047a6903a" ] } ], "mendeley" : { "formattedCitation" : "&lt;sup&gt;1,2&lt;/sup&gt;", "plainTextFormattedCitation" : "1,2", "previouslyFormattedCitation" : "&lt;sup&gt;1,2&lt;/sup&gt;" }, "properties" : { "noteIndex" : 0 }, "schema" : "https://github.com/citation-style-language/schema/raw/master/csl-citation.json" }</w:instrText>
      </w:r>
      <w:r w:rsidR="00F07D8F">
        <w:fldChar w:fldCharType="separate"/>
      </w:r>
      <w:r w:rsidR="00942A54" w:rsidRPr="00942A54">
        <w:rPr>
          <w:noProof/>
          <w:vertAlign w:val="superscript"/>
        </w:rPr>
        <w:t>1,2</w:t>
      </w:r>
      <w:r w:rsidR="00F07D8F">
        <w:fldChar w:fldCharType="end"/>
      </w:r>
      <w:r w:rsidR="00F07D8F">
        <w:t xml:space="preserve"> </w:t>
      </w:r>
    </w:p>
    <w:p w14:paraId="47D5DD50" w14:textId="08D32D0D" w:rsidR="004D772F" w:rsidRDefault="002338FA" w:rsidP="00EA3E7A">
      <w:r>
        <w:t xml:space="preserve">The aim of this study is to </w:t>
      </w:r>
      <w:r w:rsidR="004B7D04">
        <w:t>quantify</w:t>
      </w:r>
      <w:r>
        <w:t xml:space="preserve"> the </w:t>
      </w:r>
      <w:r w:rsidR="004B7D04">
        <w:t xml:space="preserve">effect of change in distance between </w:t>
      </w:r>
      <w:r w:rsidR="00C91A03">
        <w:t xml:space="preserve">pacing </w:t>
      </w:r>
      <w:r w:rsidR="0063686B">
        <w:t>sites</w:t>
      </w:r>
      <w:r w:rsidR="004B7D04">
        <w:t xml:space="preserve"> on the change in QRS morphology</w:t>
      </w:r>
      <w:r w:rsidR="005E092E">
        <w:t xml:space="preserve"> in different regions of the heart</w:t>
      </w:r>
      <w:r w:rsidR="004B7D04">
        <w:t>. To our knowledge</w:t>
      </w:r>
      <w:r w:rsidR="005E092E">
        <w:t>,</w:t>
      </w:r>
      <w:r w:rsidR="004B7D04">
        <w:t xml:space="preserve"> there has been no systematic study of this relationship across the whole heart reported in the literature to date.</w:t>
      </w:r>
      <w:r w:rsidR="006D4232">
        <w:t xml:space="preserve"> </w:t>
      </w:r>
      <w:r w:rsidR="00533E6B">
        <w:t>Establishing this relationship could form the basis for a pace</w:t>
      </w:r>
      <w:r w:rsidR="00786F4C">
        <w:t>-</w:t>
      </w:r>
      <w:r w:rsidR="00533E6B">
        <w:t xml:space="preserve">mapping guidance system that could lead to improvements in the mapping process and ultimately </w:t>
      </w:r>
      <w:r w:rsidR="002404C1">
        <w:t>to improved procedural efficiency</w:t>
      </w:r>
      <w:r w:rsidR="00533E6B">
        <w:t>.</w:t>
      </w:r>
    </w:p>
    <w:p w14:paraId="72981EDA" w14:textId="77777777" w:rsidR="00DB3E6D" w:rsidRDefault="00DB3E6D" w:rsidP="00DB3E6D">
      <w:pPr>
        <w:pStyle w:val="Heading2"/>
      </w:pPr>
      <w:r>
        <w:t>Methods</w:t>
      </w:r>
    </w:p>
    <w:p w14:paraId="50E47466" w14:textId="77777777" w:rsidR="004E3B61" w:rsidRDefault="004E3B61" w:rsidP="005504F3">
      <w:pPr>
        <w:pStyle w:val="Heading3"/>
        <w:rPr>
          <w:lang w:val="en-US"/>
        </w:rPr>
      </w:pPr>
      <w:r>
        <w:rPr>
          <w:lang w:val="en-US"/>
        </w:rPr>
        <w:t xml:space="preserve">Patient </w:t>
      </w:r>
      <w:r w:rsidR="005504F3">
        <w:rPr>
          <w:lang w:val="en-US"/>
        </w:rPr>
        <w:t>characteristics</w:t>
      </w:r>
    </w:p>
    <w:p w14:paraId="675259C6" w14:textId="60522B0A" w:rsidR="00DB3E6D" w:rsidRDefault="00DB3E6D" w:rsidP="00DB3E6D">
      <w:pPr>
        <w:rPr>
          <w:lang w:val="en-US"/>
        </w:rPr>
      </w:pPr>
      <w:r w:rsidRPr="001D1AE8">
        <w:rPr>
          <w:lang w:val="en-US"/>
        </w:rPr>
        <w:t xml:space="preserve">The subjects of this study were </w:t>
      </w:r>
      <w:r w:rsidR="005504F3">
        <w:rPr>
          <w:lang w:val="en-US"/>
        </w:rPr>
        <w:t xml:space="preserve">68 </w:t>
      </w:r>
      <w:r w:rsidRPr="001D1AE8">
        <w:rPr>
          <w:lang w:val="en-US"/>
        </w:rPr>
        <w:t xml:space="preserve">consecutive patients who underwent </w:t>
      </w:r>
      <w:r w:rsidR="005504F3">
        <w:rPr>
          <w:lang w:val="en-US"/>
        </w:rPr>
        <w:t xml:space="preserve">74 </w:t>
      </w:r>
      <w:r w:rsidR="005504F3" w:rsidRPr="001D1AE8">
        <w:rPr>
          <w:lang w:val="en-US"/>
        </w:rPr>
        <w:t>VA</w:t>
      </w:r>
      <w:r w:rsidR="005504F3">
        <w:rPr>
          <w:lang w:val="en-US"/>
        </w:rPr>
        <w:t xml:space="preserve"> </w:t>
      </w:r>
      <w:r w:rsidRPr="001D1AE8">
        <w:rPr>
          <w:lang w:val="en-US"/>
        </w:rPr>
        <w:t>ablation</w:t>
      </w:r>
      <w:r w:rsidR="005504F3">
        <w:rPr>
          <w:lang w:val="en-US"/>
        </w:rPr>
        <w:t xml:space="preserve"> procedures</w:t>
      </w:r>
      <w:r w:rsidRPr="001D1AE8">
        <w:rPr>
          <w:lang w:val="en-US"/>
        </w:rPr>
        <w:t xml:space="preserve"> </w:t>
      </w:r>
      <w:r>
        <w:rPr>
          <w:lang w:val="en-US"/>
        </w:rPr>
        <w:t xml:space="preserve">at </w:t>
      </w:r>
      <w:r w:rsidRPr="001D1AE8">
        <w:rPr>
          <w:lang w:val="en-US"/>
        </w:rPr>
        <w:t>St. George’s Hospital</w:t>
      </w:r>
      <w:r>
        <w:rPr>
          <w:lang w:val="en-US"/>
        </w:rPr>
        <w:t xml:space="preserve"> </w:t>
      </w:r>
      <w:r w:rsidRPr="001D1AE8">
        <w:rPr>
          <w:lang w:val="en-US"/>
        </w:rPr>
        <w:t xml:space="preserve">between </w:t>
      </w:r>
      <w:r>
        <w:rPr>
          <w:lang w:val="en-US"/>
        </w:rPr>
        <w:t>March 2012</w:t>
      </w:r>
      <w:r w:rsidRPr="001D1AE8">
        <w:rPr>
          <w:lang w:val="en-US"/>
        </w:rPr>
        <w:t xml:space="preserve"> and </w:t>
      </w:r>
      <w:r>
        <w:rPr>
          <w:lang w:val="en-US"/>
        </w:rPr>
        <w:t>July</w:t>
      </w:r>
      <w:r w:rsidRPr="001D1AE8">
        <w:rPr>
          <w:lang w:val="en-US"/>
        </w:rPr>
        <w:t xml:space="preserve"> 2013. The study was approved by the </w:t>
      </w:r>
      <w:r>
        <w:rPr>
          <w:lang w:val="en-US"/>
        </w:rPr>
        <w:t xml:space="preserve">National Research Ethics Service </w:t>
      </w:r>
      <w:r w:rsidRPr="001D1AE8">
        <w:rPr>
          <w:lang w:val="en-US"/>
        </w:rPr>
        <w:t>and</w:t>
      </w:r>
      <w:r w:rsidR="0015504D">
        <w:rPr>
          <w:lang w:val="en-US"/>
        </w:rPr>
        <w:t xml:space="preserve"> individual</w:t>
      </w:r>
      <w:r w:rsidRPr="001D1AE8">
        <w:rPr>
          <w:lang w:val="en-US"/>
        </w:rPr>
        <w:t xml:space="preserve"> written informed </w:t>
      </w:r>
      <w:r w:rsidRPr="001D1AE8">
        <w:rPr>
          <w:lang w:val="en-US"/>
        </w:rPr>
        <w:lastRenderedPageBreak/>
        <w:t xml:space="preserve">consent was obtained. </w:t>
      </w:r>
      <w:r w:rsidR="0015504D">
        <w:rPr>
          <w:lang w:val="en-US"/>
        </w:rPr>
        <w:t>C</w:t>
      </w:r>
      <w:r w:rsidRPr="001D1AE8">
        <w:rPr>
          <w:lang w:val="en-US"/>
        </w:rPr>
        <w:t xml:space="preserve">ardiac </w:t>
      </w:r>
      <w:r w:rsidR="0015504D">
        <w:rPr>
          <w:lang w:val="en-US"/>
        </w:rPr>
        <w:t>etiology</w:t>
      </w:r>
      <w:r w:rsidRPr="001D1AE8">
        <w:rPr>
          <w:lang w:val="en-US"/>
        </w:rPr>
        <w:t xml:space="preserve"> was established by conventional diagnostic criteria. </w:t>
      </w:r>
      <w:r w:rsidR="0015504D">
        <w:rPr>
          <w:lang w:val="en-US"/>
        </w:rPr>
        <w:t>P</w:t>
      </w:r>
      <w:r w:rsidRPr="001D1AE8">
        <w:rPr>
          <w:lang w:val="en-US"/>
        </w:rPr>
        <w:t xml:space="preserve">atients underwent either transthoracic echocardiogram (TTE) or cardiac MRI (cMRI) pre-procedurally. Coronary angiography was performed in all cases of structural heart disease and was discretional in </w:t>
      </w:r>
      <w:r w:rsidR="0015504D">
        <w:rPr>
          <w:lang w:val="en-US"/>
        </w:rPr>
        <w:t>normal hearts</w:t>
      </w:r>
      <w:r w:rsidRPr="001D1AE8">
        <w:rPr>
          <w:lang w:val="en-US"/>
        </w:rPr>
        <w:t>, defined as absence of structural abnormality established by TTE or cMRI.</w:t>
      </w:r>
      <w:r>
        <w:rPr>
          <w:lang w:val="en-US"/>
        </w:rPr>
        <w:t xml:space="preserve"> </w:t>
      </w:r>
    </w:p>
    <w:p w14:paraId="5D4AF046" w14:textId="77777777" w:rsidR="005504F3" w:rsidRDefault="005504F3" w:rsidP="005504F3">
      <w:pPr>
        <w:pStyle w:val="Heading3"/>
        <w:rPr>
          <w:lang w:val="en-US"/>
        </w:rPr>
      </w:pPr>
      <w:r>
        <w:rPr>
          <w:lang w:val="en-US"/>
        </w:rPr>
        <w:t>Mapping protocol</w:t>
      </w:r>
    </w:p>
    <w:p w14:paraId="1EF08420" w14:textId="6EBA5BA8" w:rsidR="00DB3E6D" w:rsidRDefault="00DB3E6D" w:rsidP="00DB3E6D">
      <w:pPr>
        <w:rPr>
          <w:lang w:val="en-US"/>
        </w:rPr>
      </w:pPr>
      <w:r w:rsidRPr="00DB3E6D">
        <w:rPr>
          <w:lang w:val="en-US"/>
        </w:rPr>
        <w:t xml:space="preserve">All studies were performed </w:t>
      </w:r>
      <w:r w:rsidR="00AC5945">
        <w:rPr>
          <w:lang w:val="en-US"/>
        </w:rPr>
        <w:t>o</w:t>
      </w:r>
      <w:r>
        <w:rPr>
          <w:lang w:val="en-US"/>
        </w:rPr>
        <w:t>n</w:t>
      </w:r>
      <w:r w:rsidRPr="00DB3E6D">
        <w:rPr>
          <w:lang w:val="en-US"/>
        </w:rPr>
        <w:t xml:space="preserve"> patients </w:t>
      </w:r>
      <w:r w:rsidR="00AC5945">
        <w:rPr>
          <w:lang w:val="en-US"/>
        </w:rPr>
        <w:t>in the fasting state</w:t>
      </w:r>
      <w:r w:rsidRPr="00DB3E6D">
        <w:rPr>
          <w:lang w:val="en-US"/>
        </w:rPr>
        <w:t xml:space="preserve"> and whose antiarrhythmic drug therapy was discontinued for </w:t>
      </w:r>
      <w:r w:rsidR="00AC5945">
        <w:rPr>
          <w:lang w:val="en-US"/>
        </w:rPr>
        <w:t xml:space="preserve">at least </w:t>
      </w:r>
      <w:r w:rsidRPr="00DB3E6D">
        <w:rPr>
          <w:lang w:val="en-US"/>
        </w:rPr>
        <w:t xml:space="preserve">5 half-lives, </w:t>
      </w:r>
      <w:r w:rsidR="0015504D">
        <w:rPr>
          <w:lang w:val="en-US"/>
        </w:rPr>
        <w:t>except in</w:t>
      </w:r>
      <w:r w:rsidRPr="00DB3E6D">
        <w:rPr>
          <w:lang w:val="en-US"/>
        </w:rPr>
        <w:t xml:space="preserve"> pati</w:t>
      </w:r>
      <w:r w:rsidR="006846A6">
        <w:rPr>
          <w:lang w:val="en-US"/>
        </w:rPr>
        <w:t>ents with VT storm or those on a</w:t>
      </w:r>
      <w:r w:rsidRPr="00DB3E6D">
        <w:rPr>
          <w:lang w:val="en-US"/>
        </w:rPr>
        <w:t>miodarone. Scar-dependent VT ablation was performed under general anesthesia</w:t>
      </w:r>
      <w:r w:rsidR="009033B9">
        <w:rPr>
          <w:lang w:val="en-US"/>
        </w:rPr>
        <w:t xml:space="preserve"> and VE cases under light sedation</w:t>
      </w:r>
      <w:r w:rsidRPr="00DB3E6D">
        <w:rPr>
          <w:lang w:val="en-US"/>
        </w:rPr>
        <w:t xml:space="preserve">. Sub-xiphoid epicardial approach was undertaken based on clinical etiology, data from pre-procedural imaging or prior procedural mapping.  In general, dual </w:t>
      </w:r>
      <w:r w:rsidR="00AC5945">
        <w:rPr>
          <w:lang w:val="en-US"/>
        </w:rPr>
        <w:t xml:space="preserve">left ventricular </w:t>
      </w:r>
      <w:r w:rsidRPr="00DB3E6D">
        <w:rPr>
          <w:lang w:val="en-US"/>
        </w:rPr>
        <w:t xml:space="preserve">access using trans-septal and retrograde aortic approach was employed in scar-dependent VT cases. In cases where catheter reach or contact was deemed to be poor, a steerable sheath (Agilis NxT, St Jude Medical, St Paul, Mn, USA) was employed. Anticoagulation during left ventricular procedures was maintained with unfractionated Heparin. Participants were studied in a biplane fluoroscopic lab with ECG electrodes placed in a standard configuration. Patients underwent electroanatomical mapping using the Ensite Velocity System (St. Jude Medical, St </w:t>
      </w:r>
      <w:r w:rsidRPr="00DB3E6D">
        <w:rPr>
          <w:lang w:val="en-US"/>
        </w:rPr>
        <w:lastRenderedPageBreak/>
        <w:t xml:space="preserve">Paul, MN, USA). </w:t>
      </w:r>
      <w:r w:rsidR="00AC5945">
        <w:rPr>
          <w:lang w:val="en-US"/>
        </w:rPr>
        <w:t>Correction for r</w:t>
      </w:r>
      <w:r w:rsidRPr="00DB3E6D">
        <w:rPr>
          <w:lang w:val="en-US"/>
        </w:rPr>
        <w:t xml:space="preserve">espiratory </w:t>
      </w:r>
      <w:r w:rsidR="00AB5973">
        <w:rPr>
          <w:lang w:val="en-US"/>
        </w:rPr>
        <w:t xml:space="preserve">motion </w:t>
      </w:r>
      <w:r w:rsidR="00AB5973" w:rsidRPr="00DB3E6D">
        <w:rPr>
          <w:lang w:val="en-US"/>
        </w:rPr>
        <w:t>was</w:t>
      </w:r>
      <w:r w:rsidRPr="00DB3E6D">
        <w:rPr>
          <w:lang w:val="en-US"/>
        </w:rPr>
        <w:t xml:space="preserve"> routinely applied at the start of the case. Surface ECG and intracardiac </w:t>
      </w:r>
      <w:r w:rsidR="00FC54A7">
        <w:rPr>
          <w:lang w:val="en-US"/>
        </w:rPr>
        <w:t>electrograms</w:t>
      </w:r>
      <w:r w:rsidRPr="00DB3E6D">
        <w:rPr>
          <w:lang w:val="en-US"/>
        </w:rPr>
        <w:t xml:space="preserve"> were simultaneously recorded and logged on Labsystem Pro software (Bard </w:t>
      </w:r>
      <w:r w:rsidR="005E092E">
        <w:rPr>
          <w:lang w:val="en-US"/>
        </w:rPr>
        <w:t>E</w:t>
      </w:r>
      <w:r w:rsidRPr="00DB3E6D">
        <w:rPr>
          <w:lang w:val="en-US"/>
        </w:rPr>
        <w:t xml:space="preserve">lectrophysiology, Lowell, MA, USA). All studies were performed with surface ECG filter settings at 0.5-100Hz with a 50Hz notch filter enabled. Bipolar </w:t>
      </w:r>
      <w:r w:rsidR="00FC54A7">
        <w:rPr>
          <w:lang w:val="en-US"/>
        </w:rPr>
        <w:t>electrograms</w:t>
      </w:r>
      <w:r w:rsidRPr="00DB3E6D">
        <w:rPr>
          <w:lang w:val="en-US"/>
        </w:rPr>
        <w:t xml:space="preserve"> were recorded wi</w:t>
      </w:r>
      <w:r w:rsidR="00DF50A9">
        <w:rPr>
          <w:lang w:val="en-US"/>
        </w:rPr>
        <w:t xml:space="preserve">th filter settings at 30-300Hz. </w:t>
      </w:r>
      <w:r w:rsidR="00B94DA2">
        <w:rPr>
          <w:lang w:val="en-US"/>
        </w:rPr>
        <w:t>Multipolar catheters were introduced into the coronary sinus and right ventricle in all cases. M</w:t>
      </w:r>
      <w:r w:rsidRPr="00DB3E6D">
        <w:rPr>
          <w:lang w:val="en-US"/>
        </w:rPr>
        <w:t>apping data was continuously recorded on the Velocity platform to allow data extraction and post processing.</w:t>
      </w:r>
    </w:p>
    <w:p w14:paraId="0C09792C" w14:textId="28741035" w:rsidR="00DB3E6D" w:rsidRDefault="00DB3E6D" w:rsidP="00FC54A7">
      <w:r>
        <w:t>Mapping and ablation w</w:t>
      </w:r>
      <w:r w:rsidR="00452F4C">
        <w:t>ere</w:t>
      </w:r>
      <w:r>
        <w:t xml:space="preserve"> performed with </w:t>
      </w:r>
      <w:r w:rsidR="00B94DA2">
        <w:t>a</w:t>
      </w:r>
      <w:r>
        <w:t xml:space="preserve"> </w:t>
      </w:r>
      <w:r w:rsidR="009033B9">
        <w:t xml:space="preserve">3.5mm open irrigated </w:t>
      </w:r>
      <w:r w:rsidR="00452F4C">
        <w:t>radiofrequency ablation catheter</w:t>
      </w:r>
      <w:r w:rsidR="009033B9">
        <w:t xml:space="preserve">, </w:t>
      </w:r>
      <w:r w:rsidR="00452F4C">
        <w:t xml:space="preserve">with </w:t>
      </w:r>
      <w:r w:rsidR="009033B9">
        <w:t>2mm inter</w:t>
      </w:r>
      <w:r w:rsidR="00786F4C">
        <w:t>-</w:t>
      </w:r>
      <w:r w:rsidR="009033B9">
        <w:t xml:space="preserve">electrode distance </w:t>
      </w:r>
      <w:r w:rsidR="00452F4C">
        <w:t>(</w:t>
      </w:r>
      <w:r>
        <w:t>ThermoCool SF</w:t>
      </w:r>
      <w:r w:rsidR="00452F4C">
        <w:t>,</w:t>
      </w:r>
      <w:r>
        <w:t xml:space="preserve"> Biosense-Webster, Diamond Bar, CA, USA).</w:t>
      </w:r>
      <w:r w:rsidR="00CB5B6F">
        <w:t xml:space="preserve"> For VT cases, v</w:t>
      </w:r>
      <w:r w:rsidR="009033B9">
        <w:t>oltage mapping was performed during sinus rhythm</w:t>
      </w:r>
      <w:r w:rsidR="00B94DA2">
        <w:t xml:space="preserve"> concentrating on areas of abnormal voltage,</w:t>
      </w:r>
      <w:r w:rsidR="009033B9">
        <w:t xml:space="preserve"> </w:t>
      </w:r>
      <w:r w:rsidR="001E7648">
        <w:t xml:space="preserve">with a fill threshold of 10mm </w:t>
      </w:r>
      <w:r w:rsidR="009033B9">
        <w:t>at the outset with established definitions used to determine normal myocardium (&gt;</w:t>
      </w:r>
      <w:r w:rsidR="00452F4C">
        <w:t xml:space="preserve"> </w:t>
      </w:r>
      <w:r w:rsidR="009033B9">
        <w:t>1.5mV), border</w:t>
      </w:r>
      <w:r w:rsidR="00FC54A7">
        <w:t xml:space="preserve"> </w:t>
      </w:r>
      <w:r w:rsidR="009033B9">
        <w:t>zone (0.5-1.5mV) and dense scar (&lt;</w:t>
      </w:r>
      <w:r w:rsidR="00452F4C">
        <w:t xml:space="preserve"> </w:t>
      </w:r>
      <w:r w:rsidR="009033B9">
        <w:t xml:space="preserve">0.5mV). </w:t>
      </w:r>
      <w:r w:rsidR="00B94DA2" w:rsidRPr="009033B9">
        <w:rPr>
          <w:lang w:val="en-US"/>
        </w:rPr>
        <w:t>For VE cases, voltage mapping was performed where there was a clinical suspicion of structural abnormalities.</w:t>
      </w:r>
    </w:p>
    <w:p w14:paraId="627A53A4" w14:textId="77777777" w:rsidR="009033B9" w:rsidRDefault="009033B9" w:rsidP="009033B9">
      <w:pPr>
        <w:rPr>
          <w:lang w:val="en-US"/>
        </w:rPr>
      </w:pPr>
      <w:r w:rsidRPr="009033B9">
        <w:rPr>
          <w:lang w:val="en-US"/>
        </w:rPr>
        <w:t xml:space="preserve">If there was infrequent ectopy at baseline, intravenous isoprenaline infusion was used and titrated according to response. </w:t>
      </w:r>
    </w:p>
    <w:p w14:paraId="09E79F6F" w14:textId="3AA3F3F5" w:rsidR="00FC54A7" w:rsidRDefault="00C91A03" w:rsidP="00DB3E6D">
      <w:r w:rsidRPr="009033B9">
        <w:lastRenderedPageBreak/>
        <w:t>Pac</w:t>
      </w:r>
      <w:r w:rsidR="0063686B">
        <w:t>ing point</w:t>
      </w:r>
      <w:r w:rsidRPr="009033B9">
        <w:t xml:space="preserve"> </w:t>
      </w:r>
      <w:r w:rsidR="009033B9" w:rsidRPr="009033B9">
        <w:t xml:space="preserve">collection was performed </w:t>
      </w:r>
      <w:r w:rsidR="00130C1D">
        <w:t>during</w:t>
      </w:r>
      <w:r w:rsidR="009033B9" w:rsidRPr="009033B9">
        <w:t xml:space="preserve"> sinus rhythm from the distal bipolar pair of the mapping catheter. Adequate contact and stability was judged by a combination of fluoroscopic appearance, proximity to the geometry surface and electrogram amplitude and morphology consistency. Pacing was performed at 2</w:t>
      </w:r>
      <w:r w:rsidR="00C23CDA">
        <w:t xml:space="preserve"> </w:t>
      </w:r>
      <w:r w:rsidR="009033B9" w:rsidRPr="009033B9">
        <w:t xml:space="preserve">ms pulse width at a cycle length </w:t>
      </w:r>
      <w:r w:rsidR="002E2ACE">
        <w:t xml:space="preserve">or coupling interval </w:t>
      </w:r>
      <w:r w:rsidR="009033B9" w:rsidRPr="009033B9">
        <w:t xml:space="preserve">equal to the </w:t>
      </w:r>
      <w:r w:rsidR="002E2ACE">
        <w:t>clinical VA</w:t>
      </w:r>
      <w:r w:rsidR="009033B9" w:rsidRPr="009033B9">
        <w:t xml:space="preserve"> or if haemodynamically unstable at that rate</w:t>
      </w:r>
      <w:r w:rsidR="002E2ACE">
        <w:t xml:space="preserve"> or unknown</w:t>
      </w:r>
      <w:r w:rsidR="009033B9" w:rsidRPr="009033B9">
        <w:t>, at 400</w:t>
      </w:r>
      <w:r w:rsidR="00C23CDA">
        <w:t xml:space="preserve"> </w:t>
      </w:r>
      <w:r w:rsidR="009033B9" w:rsidRPr="009033B9">
        <w:t xml:space="preserve">ms. Pacing was initiated at low output and increased and continued until </w:t>
      </w:r>
      <w:r w:rsidR="00B94DA2">
        <w:t>≥</w:t>
      </w:r>
      <w:r w:rsidR="007D3070">
        <w:t xml:space="preserve"> </w:t>
      </w:r>
      <w:r w:rsidR="009033B9" w:rsidRPr="009033B9">
        <w:t xml:space="preserve">3 consecutive </w:t>
      </w:r>
      <w:r w:rsidR="005C5F0B">
        <w:t xml:space="preserve">captured </w:t>
      </w:r>
      <w:r w:rsidR="009033B9" w:rsidRPr="009033B9">
        <w:t>beats with identical morphology w</w:t>
      </w:r>
      <w:r w:rsidR="00F54D3F">
        <w:t>ere</w:t>
      </w:r>
      <w:r w:rsidR="009033B9" w:rsidRPr="009033B9">
        <w:t xml:space="preserve"> obtained. </w:t>
      </w:r>
      <w:r>
        <w:t>Pacing</w:t>
      </w:r>
      <w:r w:rsidRPr="009033B9">
        <w:t xml:space="preserve"> </w:t>
      </w:r>
      <w:r w:rsidR="0063686B">
        <w:t>site</w:t>
      </w:r>
      <w:r w:rsidR="009033B9" w:rsidRPr="009033B9">
        <w:t>s were restricted to areas of myocardium &gt;</w:t>
      </w:r>
      <w:r w:rsidR="007D3070">
        <w:t xml:space="preserve"> </w:t>
      </w:r>
      <w:r w:rsidR="009033B9" w:rsidRPr="009033B9">
        <w:t>0.5</w:t>
      </w:r>
      <w:r w:rsidR="00C23CDA">
        <w:t xml:space="preserve"> </w:t>
      </w:r>
      <w:r w:rsidR="009033B9" w:rsidRPr="009033B9">
        <w:t>mV</w:t>
      </w:r>
      <w:r w:rsidR="004E3B61">
        <w:t xml:space="preserve"> as displayed on the voltage map</w:t>
      </w:r>
      <w:r w:rsidR="009033B9" w:rsidRPr="009033B9">
        <w:t xml:space="preserve"> and we</w:t>
      </w:r>
      <w:r w:rsidR="005C5F0B">
        <w:t xml:space="preserve">re initially distributed widely </w:t>
      </w:r>
      <w:r w:rsidR="009033B9" w:rsidRPr="009033B9">
        <w:t>then focussed in on the</w:t>
      </w:r>
      <w:r w:rsidR="0014601F">
        <w:t xml:space="preserve"> putative site of origin (</w:t>
      </w:r>
      <w:r w:rsidR="009033B9" w:rsidRPr="009033B9">
        <w:t>SO</w:t>
      </w:r>
      <w:r w:rsidR="0014601F">
        <w:t>)</w:t>
      </w:r>
      <w:r w:rsidR="009033B9" w:rsidRPr="009033B9">
        <w:t xml:space="preserve"> </w:t>
      </w:r>
      <w:r w:rsidR="007D3070">
        <w:t xml:space="preserve">or exit site </w:t>
      </w:r>
      <w:r w:rsidR="009033B9" w:rsidRPr="009033B9">
        <w:t>of the targeted V</w:t>
      </w:r>
      <w:r w:rsidR="00164EF1">
        <w:t>A</w:t>
      </w:r>
      <w:r w:rsidR="009033B9" w:rsidRPr="009033B9">
        <w:t xml:space="preserve">. </w:t>
      </w:r>
      <w:r w:rsidR="00164EF1">
        <w:t xml:space="preserve">Geometry, </w:t>
      </w:r>
      <w:r>
        <w:t xml:space="preserve">pacing </w:t>
      </w:r>
      <w:r w:rsidR="00BE1546">
        <w:t xml:space="preserve">site </w:t>
      </w:r>
      <w:r w:rsidR="00164EF1">
        <w:t xml:space="preserve">location and </w:t>
      </w:r>
      <w:r w:rsidR="00074EFD">
        <w:t xml:space="preserve">ECG </w:t>
      </w:r>
      <w:r w:rsidR="00164EF1">
        <w:t>morphology data were exported from the mapping system and imported into custom</w:t>
      </w:r>
      <w:r w:rsidR="007F270E">
        <w:t xml:space="preserve"> software for offline analysis.</w:t>
      </w:r>
    </w:p>
    <w:p w14:paraId="15DC2B89" w14:textId="77777777" w:rsidR="005504F3" w:rsidRDefault="005504F3" w:rsidP="005504F3">
      <w:pPr>
        <w:pStyle w:val="Heading3"/>
      </w:pPr>
      <w:r>
        <w:t>Data analysis</w:t>
      </w:r>
    </w:p>
    <w:p w14:paraId="3A7EE1D0" w14:textId="64406BB2" w:rsidR="004E3B61" w:rsidRDefault="00FC54A7" w:rsidP="00FC54A7">
      <w:r>
        <w:t xml:space="preserve">Sinus rhythm </w:t>
      </w:r>
      <w:r w:rsidR="00C91A03">
        <w:t xml:space="preserve">intracardiac </w:t>
      </w:r>
      <w:r>
        <w:t xml:space="preserve">electrograms from the beat preceding each </w:t>
      </w:r>
      <w:r w:rsidR="00C91A03">
        <w:t xml:space="preserve">pacing </w:t>
      </w:r>
      <w:r w:rsidR="00CB5B6F">
        <w:t xml:space="preserve">train </w:t>
      </w:r>
      <w:r>
        <w:t>were analysed post</w:t>
      </w:r>
      <w:r w:rsidR="00B828D5">
        <w:t>-</w:t>
      </w:r>
      <w:r>
        <w:t xml:space="preserve"> procedure. Electrogram amplitude</w:t>
      </w:r>
      <w:r w:rsidR="000E2C86">
        <w:t xml:space="preserve"> and </w:t>
      </w:r>
      <w:r>
        <w:t>morphology</w:t>
      </w:r>
      <w:r w:rsidR="007643C6">
        <w:t xml:space="preserve"> characteristics</w:t>
      </w:r>
      <w:r w:rsidR="00130C1D">
        <w:t xml:space="preserve"> </w:t>
      </w:r>
      <w:r w:rsidR="007643C6">
        <w:t>were</w:t>
      </w:r>
      <w:r w:rsidR="000E2C86">
        <w:t xml:space="preserve"> </w:t>
      </w:r>
      <w:r w:rsidR="007643C6">
        <w:t xml:space="preserve">recorded and </w:t>
      </w:r>
      <w:r>
        <w:t>defined as follows:</w:t>
      </w:r>
      <w:r w:rsidR="005504F3">
        <w:t xml:space="preserve"> </w:t>
      </w:r>
      <w:r>
        <w:t>Fractionated (multiple intrinsic deflections (&gt;</w:t>
      </w:r>
      <w:r w:rsidR="0017351D">
        <w:t xml:space="preserve"> </w:t>
      </w:r>
      <w:r>
        <w:t>3 sharp deflections), a</w:t>
      </w:r>
      <w:r w:rsidR="00B73402">
        <w:t>mplitude ≤</w:t>
      </w:r>
      <w:r w:rsidR="007D3070">
        <w:t xml:space="preserve"> </w:t>
      </w:r>
      <w:r w:rsidR="00B73402">
        <w:t>0.5</w:t>
      </w:r>
      <w:r w:rsidR="0017351D">
        <w:t xml:space="preserve"> </w:t>
      </w:r>
      <w:r w:rsidR="00B73402">
        <w:t>mV, duration ≥</w:t>
      </w:r>
      <w:r w:rsidR="007D3070">
        <w:t xml:space="preserve"> </w:t>
      </w:r>
      <w:r w:rsidR="00B73402">
        <w:t>133</w:t>
      </w:r>
      <w:r w:rsidR="0017351D">
        <w:t xml:space="preserve"> </w:t>
      </w:r>
      <w:r>
        <w:t>ms, and amplitude: duration ≤</w:t>
      </w:r>
      <w:r w:rsidR="007D3070">
        <w:t xml:space="preserve"> </w:t>
      </w:r>
      <w:r>
        <w:t>0.005 mV/ms).</w:t>
      </w:r>
      <w:r w:rsidR="005504F3">
        <w:t xml:space="preserve"> </w:t>
      </w:r>
      <w:r>
        <w:t>Late (isolated component ≥</w:t>
      </w:r>
      <w:r w:rsidR="007D3070">
        <w:t xml:space="preserve"> </w:t>
      </w:r>
      <w:r>
        <w:t xml:space="preserve">20 ms </w:t>
      </w:r>
      <w:r>
        <w:lastRenderedPageBreak/>
        <w:t>after the end of surface QRS).</w:t>
      </w:r>
      <w:r w:rsidR="005504F3">
        <w:t xml:space="preserve"> </w:t>
      </w:r>
      <w:r w:rsidR="004E3B61">
        <w:t>Split</w:t>
      </w:r>
      <w:r w:rsidR="000E2C86">
        <w:t xml:space="preserve"> potential: a </w:t>
      </w:r>
      <w:r w:rsidR="004E3B61">
        <w:t xml:space="preserve">double component </w:t>
      </w:r>
      <w:r w:rsidR="007643C6">
        <w:t xml:space="preserve">electrogram within the QRS inscription </w:t>
      </w:r>
      <w:r w:rsidR="004E3B61">
        <w:t>separated by</w:t>
      </w:r>
      <w:r w:rsidR="007643C6">
        <w:t xml:space="preserve"> an</w:t>
      </w:r>
      <w:r w:rsidR="004E3B61">
        <w:t xml:space="preserve"> isoelectric line.</w:t>
      </w:r>
      <w:r w:rsidR="009C5FDF">
        <w:fldChar w:fldCharType="begin" w:fldLock="1"/>
      </w:r>
      <w:r w:rsidR="00BB4297">
        <w:instrText>ADDIN CSL_CITATION { "citationItems" : [ { "id" : "ITEM-1", "itemData" : { "DOI" : "10.1016/j.jacc.2005.01.064", "ISSN" : "0735-1097", "PMID" : "16098433", "abstract" : "OBJECTIVES: The purpose of this study was to correlate infarct age with characteristics of the endocardial electrograms (EGM) obtained in patients undergoing mapping procedures for postinfarction ventricular tachycardia (VT). BACKGROUND: Experimental studies have demonstrated that infarct age influences EGM duration in the subepicardial left ventricle (LV). The relationship between infarct age and endocardial EGM characteristics has not been investigated in patients with postinfarction VT. METHODS: In a consecutive series of 23 patients with a history of remote infarction (range 1 to 31 years) and VT, endocardial LV mapping was performed with an electroanatomical mapping system (CARTO, Biosense Webster Inc., Diamond Bar, California) during sinus rhythm. Electrogram morphology and width were analyzed and correlated with infarct age. Isthmus sites of the VT re-entry circuits were identified by entrainment mapping and related to the results of substrate mapping. RESULTS: There was a significant correlation between infarct age and width of the bipolar endocardial EGM during baseline rhythm in the peri-infarct zone (r = 0.84; p &lt; 0.0001). Increasing infarct age was associated with progressive activation delays in the scar and with isolated potentials separated by an isoelectric interval, the duration of which also correlated with infarct age (r = 0.77; p &lt; 0.001). Among all endocardial sites, the VT isthmus sites displayed the most delay and broadest EGMs during sinus rhythm. CONCLUSIONS: The presence of broad, fractionated EGMs and isolated potentials indicates a healed myocardial infarction; the older the infarction, the broader the EGM width. Remodeling over time alters the electrophysiologic properties of the peri-infarct tissue.", "author" : [ { "dropping-particle" : "", "family" : "Bogun", "given" : "Frank", "non-dropping-particle" : "", "parse-names" : false, "suffix" : "" }, { "dropping-particle" : "", "family" : "Krishnan", "given" : "Subramaniam", "non-dropping-particle" : "", "parse-names" : false, "suffix" : "" }, { "dropping-particle" : "", "family" : "Siddiqui", "given" : "Mukarram", "non-dropping-particle" : "", "parse-names" : false, "suffix" : "" }, { "dropping-particle" : "", "family" : "Good", "given" : "Eric", "non-dropping-particle" : "", "parse-names" : false, "suffix" : "" }, { "dropping-particle" : "", "family" : "Marine", "given" : "Joseph E", "non-dropping-particle" : "", "parse-names" : false, "suffix" : "" }, { "dropping-particle" : "", "family" : "Schuger", "given" : "Claudio", "non-dropping-particle" : "", "parse-names" : false, "suffix" : "" }, { "dropping-particle" : "", "family" : "Oral", "given" : "Hakan", "non-dropping-particle" : "", "parse-names" : false, "suffix" : "" }, { "dropping-particle" : "", "family" : "Chugh", "given" : "Aman", "non-dropping-particle" : "", "parse-names" : false, "suffix" : "" }, { "dropping-particle" : "", "family" : "Pelosi", "given" : "Frank", "non-dropping-particle" : "", "parse-names" : false, "suffix" : "" }, { "dropping-particle" : "", "family" : "Morady", "given" : "Fred", "non-dropping-particle" : "", "parse-names" : false, "suffix" : "" } ], "container-title" : "Journal of the American College of Cardiology", "id" : "ITEM-1", "issue" : "4", "issued" : { "date-parts" : [ [ "2005", "8", "16" ] ] }, "page" : "667-674", "title" : "Electrogram characteristics in postinfarction ventricular tachycardia: effect of infarct age.", "type" : "article-journal", "volume" : "46" }, "uris" : [ "http://www.mendeley.com/documents/?uuid=71829b67-cae8-44a1-a2a0-9d773508f0e7" ] } ], "mendeley" : { "formattedCitation" : "&lt;sup&gt;3&lt;/sup&gt;", "plainTextFormattedCitation" : "3", "previouslyFormattedCitation" : "&lt;sup&gt;3&lt;/sup&gt;" }, "properties" : { "noteIndex" : 0 }, "schema" : "https://github.com/citation-style-language/schema/raw/master/csl-citation.json" }</w:instrText>
      </w:r>
      <w:r w:rsidR="009C5FDF">
        <w:fldChar w:fldCharType="separate"/>
      </w:r>
      <w:r w:rsidR="00942A54" w:rsidRPr="00942A54">
        <w:rPr>
          <w:noProof/>
          <w:vertAlign w:val="superscript"/>
        </w:rPr>
        <w:t>3</w:t>
      </w:r>
      <w:r w:rsidR="009C5FDF">
        <w:fldChar w:fldCharType="end"/>
      </w:r>
      <w:r w:rsidR="00597A3C">
        <w:t xml:space="preserve"> </w:t>
      </w:r>
      <w:r w:rsidR="00B73402">
        <w:t>S</w:t>
      </w:r>
      <w:r w:rsidR="000E2C86">
        <w:t>timulation to QRS onset</w:t>
      </w:r>
      <w:r w:rsidR="008B15DC">
        <w:t xml:space="preserve"> (S-QRS)</w:t>
      </w:r>
      <w:r w:rsidR="000E2C86">
        <w:t xml:space="preserve"> interval </w:t>
      </w:r>
      <w:r w:rsidR="00B73402">
        <w:t xml:space="preserve">and electrogram duration were </w:t>
      </w:r>
      <w:r w:rsidR="000E2C86">
        <w:t xml:space="preserve">measured using electronic </w:t>
      </w:r>
      <w:r w:rsidR="00442C5F">
        <w:t>callipers</w:t>
      </w:r>
      <w:r w:rsidR="000E2C86">
        <w:t xml:space="preserve"> at 200</w:t>
      </w:r>
      <w:r w:rsidR="00C23CDA">
        <w:t xml:space="preserve"> </w:t>
      </w:r>
      <w:r w:rsidR="000E2C86">
        <w:t>mm/s</w:t>
      </w:r>
      <w:r w:rsidR="0014601F">
        <w:t xml:space="preserve"> sweep speed</w:t>
      </w:r>
      <w:r w:rsidR="000E2C86">
        <w:t>.</w:t>
      </w:r>
    </w:p>
    <w:p w14:paraId="30A9C77F" w14:textId="3842FAE8" w:rsidR="00164EF1" w:rsidRDefault="00B7370F" w:rsidP="00164EF1">
      <w:r>
        <w:t>In essence,</w:t>
      </w:r>
      <w:r w:rsidR="005504F3">
        <w:t xml:space="preserve"> </w:t>
      </w:r>
      <w:r>
        <w:t>the paced QRS morphology</w:t>
      </w:r>
      <w:r w:rsidR="0063686B">
        <w:t xml:space="preserve"> from a single pacing site</w:t>
      </w:r>
      <w:r>
        <w:t xml:space="preserve"> was quantitatively compared to the paced QRS morph</w:t>
      </w:r>
      <w:r w:rsidR="0063686B">
        <w:t>ology from a second pacing site</w:t>
      </w:r>
      <w:r>
        <w:t xml:space="preserve"> and the difference plotted against the distance between the pacing sites that generated the 2 QRS morphologies. Each pacing point collected was compare</w:t>
      </w:r>
      <w:r w:rsidR="0063686B">
        <w:t>d against all other pacing site</w:t>
      </w:r>
      <w:r>
        <w:t xml:space="preserve">s within the same procedure such that all possible pair combinations were included. </w:t>
      </w:r>
      <w:r w:rsidR="00164EF1">
        <w:t xml:space="preserve">Distances were </w:t>
      </w:r>
      <w:r w:rsidR="001E7648">
        <w:t>measured</w:t>
      </w:r>
      <w:r w:rsidR="00164EF1">
        <w:t xml:space="preserve"> automatically </w:t>
      </w:r>
      <w:r w:rsidR="00C91A03">
        <w:t xml:space="preserve">by custom software run on the Ensite Velocity platform </w:t>
      </w:r>
      <w:r w:rsidR="00C91A03" w:rsidRPr="00DB3E6D">
        <w:rPr>
          <w:lang w:val="en-US"/>
        </w:rPr>
        <w:t>(St. Jude Medical, St Paul, MN, USA)</w:t>
      </w:r>
      <w:r w:rsidR="00C91A03">
        <w:t xml:space="preserve"> </w:t>
      </w:r>
      <w:r w:rsidR="00164EF1">
        <w:t>and w</w:t>
      </w:r>
      <w:r w:rsidR="001E7648">
        <w:t xml:space="preserve">ere </w:t>
      </w:r>
      <w:r w:rsidR="00EC614B">
        <w:t>taken</w:t>
      </w:r>
      <w:r w:rsidR="001E7648">
        <w:t xml:space="preserve"> as</w:t>
      </w:r>
      <w:r w:rsidR="00EC614B">
        <w:t xml:space="preserve"> the</w:t>
      </w:r>
      <w:r w:rsidR="001E7648">
        <w:t xml:space="preserve"> direct Euclidean</w:t>
      </w:r>
      <w:r w:rsidR="00164EF1">
        <w:t xml:space="preserve"> distance between 2 points in 3D space</w:t>
      </w:r>
      <w:r w:rsidR="007710BB">
        <w:t xml:space="preserve"> as shown in </w:t>
      </w:r>
      <w:r w:rsidR="007710BB">
        <w:fldChar w:fldCharType="begin"/>
      </w:r>
      <w:r w:rsidR="007710BB">
        <w:instrText xml:space="preserve"> REF _Ref443839123 \h </w:instrText>
      </w:r>
      <w:r w:rsidR="007710BB">
        <w:fldChar w:fldCharType="separate"/>
      </w:r>
      <w:r w:rsidR="00AB5973">
        <w:t xml:space="preserve">Equation </w:t>
      </w:r>
      <w:r w:rsidR="00AB5973">
        <w:rPr>
          <w:noProof/>
        </w:rPr>
        <w:t>1</w:t>
      </w:r>
      <w:r w:rsidR="007710BB">
        <w:fldChar w:fldCharType="end"/>
      </w:r>
      <w:r w:rsidR="00164EF1">
        <w:t>.</w:t>
      </w:r>
      <w:r w:rsidR="001E324E">
        <w:t xml:space="preserve"> </w:t>
      </w:r>
    </w:p>
    <w:p w14:paraId="7C57324B" w14:textId="77777777" w:rsidR="007710BB" w:rsidRDefault="005C5F0B" w:rsidP="007710BB">
      <w:pPr>
        <w:keepNext/>
      </w:pPr>
      <w:r w:rsidRPr="00135C11">
        <w:rPr>
          <w:position w:val="-12"/>
          <w:sz w:val="24"/>
        </w:rPr>
        <w:object w:dxaOrig="3739" w:dyaOrig="440" w14:anchorId="0AFDE4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26.25pt" o:ole="">
            <v:imagedata r:id="rId9" o:title=""/>
          </v:shape>
          <o:OLEObject Type="Embed" ProgID="Equation.3" ShapeID="_x0000_i1025" DrawAspect="Content" ObjectID="_1550037064" r:id="rId10"/>
        </w:object>
      </w:r>
    </w:p>
    <w:p w14:paraId="38315B50" w14:textId="77777777" w:rsidR="007710BB" w:rsidRDefault="007710BB" w:rsidP="007710BB">
      <w:pPr>
        <w:pStyle w:val="Caption"/>
      </w:pPr>
      <w:bookmarkStart w:id="0" w:name="_Ref443839123"/>
      <w:r>
        <w:t xml:space="preserve">Equation </w:t>
      </w:r>
      <w:r w:rsidR="00B0019B">
        <w:fldChar w:fldCharType="begin"/>
      </w:r>
      <w:r w:rsidR="00B0019B">
        <w:instrText xml:space="preserve"> SEQ Equation \* ARABIC </w:instrText>
      </w:r>
      <w:r w:rsidR="00B0019B">
        <w:fldChar w:fldCharType="separate"/>
      </w:r>
      <w:r w:rsidR="00AB5973">
        <w:rPr>
          <w:noProof/>
        </w:rPr>
        <w:t>1</w:t>
      </w:r>
      <w:r w:rsidR="00B0019B">
        <w:rPr>
          <w:noProof/>
        </w:rPr>
        <w:fldChar w:fldCharType="end"/>
      </w:r>
      <w:bookmarkEnd w:id="0"/>
    </w:p>
    <w:p w14:paraId="5888CD79" w14:textId="4A47C1C9" w:rsidR="001B379B" w:rsidRPr="003B0766" w:rsidRDefault="001E324E" w:rsidP="001B379B">
      <w:r w:rsidRPr="001E324E">
        <w:lastRenderedPageBreak/>
        <w:t>To quantify the difference in morphology between surface ECGs</w:t>
      </w:r>
      <w:r w:rsidR="00C91A03">
        <w:t xml:space="preserve"> generated by distinct pacing </w:t>
      </w:r>
      <w:r w:rsidR="0063686B">
        <w:t>sites</w:t>
      </w:r>
      <w:r w:rsidRPr="001E324E">
        <w:t xml:space="preserve">, the ECG signal underwent post processing </w:t>
      </w:r>
      <w:r w:rsidR="001B379B">
        <w:t>by superimposing the QRS complex</w:t>
      </w:r>
      <w:r w:rsidR="007D3070">
        <w:t>e</w:t>
      </w:r>
      <w:r w:rsidR="005C5F0B">
        <w:t>s</w:t>
      </w:r>
      <w:r w:rsidR="001B379B">
        <w:t xml:space="preserve"> and then alignment was achieved using the maximum of the 12 lead composite signal (max</w:t>
      </w:r>
      <w:r w:rsidR="008B15DC">
        <w:t>imum</w:t>
      </w:r>
      <w:r w:rsidR="001B379B">
        <w:t xml:space="preserve"> energy) </w:t>
      </w:r>
      <w:r w:rsidRPr="001E324E">
        <w:t xml:space="preserve">and then </w:t>
      </w:r>
      <w:r w:rsidR="001B379B">
        <w:t xml:space="preserve">verified visually. </w:t>
      </w:r>
      <w:r w:rsidR="005C5F0B" w:rsidRPr="00BE1546">
        <w:t>The composite signal was</w:t>
      </w:r>
      <w:r w:rsidR="003B0766" w:rsidRPr="00BE1546">
        <w:t xml:space="preserve"> taken as the addition of the sum of the absolute values of all used leads at each time point for each pac</w:t>
      </w:r>
      <w:r w:rsidR="003024EF" w:rsidRPr="00BE1546">
        <w:t>ing site.</w:t>
      </w:r>
      <w:r w:rsidR="003B0766" w:rsidRPr="00BE1546">
        <w:t xml:space="preserve"> </w:t>
      </w:r>
      <w:r w:rsidR="003B0766" w:rsidRPr="003B0766">
        <w:t>The alignment that maximizes this value is then use</w:t>
      </w:r>
      <w:r w:rsidR="003B0766">
        <w:t>d to compute the morphological difference</w:t>
      </w:r>
      <w:r w:rsidR="003B0766" w:rsidRPr="003B0766">
        <w:t xml:space="preserve">. </w:t>
      </w:r>
      <w:r w:rsidR="001B379B">
        <w:t xml:space="preserve">The root mean square error (E) parameter was used to compare the </w:t>
      </w:r>
      <w:r w:rsidR="00C23CDA">
        <w:t xml:space="preserve">surface </w:t>
      </w:r>
      <w:r w:rsidR="001B379B">
        <w:t>ECG</w:t>
      </w:r>
      <w:r w:rsidR="00C23CDA">
        <w:t>s</w:t>
      </w:r>
      <w:r w:rsidR="001B379B">
        <w:t xml:space="preserve"> between two sites and is expressed in mV. In typical use, E is a comparative measure between two individual </w:t>
      </w:r>
      <w:r w:rsidR="00C23CDA">
        <w:t>waveforms</w:t>
      </w:r>
      <w:r w:rsidR="005C5F0B">
        <w:t>.</w:t>
      </w:r>
      <w:r w:rsidR="001B379B">
        <w:t xml:space="preserve"> </w:t>
      </w:r>
      <w:r w:rsidR="005C5F0B">
        <w:t>T</w:t>
      </w:r>
      <w:r w:rsidR="001B379B">
        <w:t xml:space="preserve">o compare all 12 ECG leads simultaneously, the definition of E can be extended by summing the E value for each of the 12 leads to obtain </w:t>
      </w:r>
      <w:r w:rsidR="005C5F0B">
        <w:t xml:space="preserve">the </w:t>
      </w:r>
      <w:r w:rsidR="001B379B">
        <w:t xml:space="preserve">E12 as shown in </w:t>
      </w:r>
      <w:r w:rsidR="001B379B">
        <w:fldChar w:fldCharType="begin"/>
      </w:r>
      <w:r w:rsidR="001B379B">
        <w:instrText xml:space="preserve"> REF _Ref443838986 \h </w:instrText>
      </w:r>
      <w:r w:rsidR="001B379B">
        <w:fldChar w:fldCharType="separate"/>
      </w:r>
      <w:r w:rsidR="00AB5973">
        <w:t xml:space="preserve">Equation </w:t>
      </w:r>
      <w:r w:rsidR="00AB5973">
        <w:rPr>
          <w:noProof/>
        </w:rPr>
        <w:t>2</w:t>
      </w:r>
      <w:r w:rsidR="001B379B">
        <w:fldChar w:fldCharType="end"/>
      </w:r>
      <w:r w:rsidR="007710BB">
        <w:t xml:space="preserve"> where </w:t>
      </w:r>
      <w:r w:rsidR="007710BB" w:rsidRPr="00EC614B">
        <w:rPr>
          <w:i/>
        </w:rPr>
        <w:t>i</w:t>
      </w:r>
      <w:r w:rsidR="007710BB">
        <w:t xml:space="preserve"> represents one of the leads in the 12-lead ECG, </w:t>
      </w:r>
      <w:r w:rsidR="007710BB" w:rsidRPr="00EC614B">
        <w:rPr>
          <w:i/>
        </w:rPr>
        <w:t>j</w:t>
      </w:r>
      <w:r w:rsidR="007710BB">
        <w:t xml:space="preserve"> represents each recorded time point in the ECG data set up to a total of </w:t>
      </w:r>
      <w:r w:rsidR="007710BB" w:rsidRPr="00EC614B">
        <w:rPr>
          <w:i/>
        </w:rPr>
        <w:t>N</w:t>
      </w:r>
      <w:r w:rsidR="003B0766">
        <w:t xml:space="preserve"> time points. The voltages </w:t>
      </w:r>
      <w:r w:rsidR="00EA1A07">
        <w:t xml:space="preserve">with respect to the isoelectric line are represented by </w:t>
      </w:r>
      <w:r w:rsidR="000943B4" w:rsidRPr="00E24390">
        <w:rPr>
          <w:i/>
        </w:rPr>
        <w:t>V</w:t>
      </w:r>
      <w:r w:rsidR="000943B4">
        <w:t xml:space="preserve"> </w:t>
      </w:r>
      <w:r w:rsidR="003B0766">
        <w:t>where</w:t>
      </w:r>
      <w:r w:rsidR="007710BB">
        <w:t xml:space="preserve"> </w:t>
      </w:r>
      <w:r w:rsidR="003B0766" w:rsidRPr="003B0766">
        <w:rPr>
          <w:i/>
        </w:rPr>
        <w:t>V</w:t>
      </w:r>
      <w:r w:rsidR="003B0766">
        <w:t xml:space="preserve"> and </w:t>
      </w:r>
      <w:r w:rsidR="003B0766" w:rsidRPr="003B0766">
        <w:rPr>
          <w:i/>
        </w:rPr>
        <w:t>V</w:t>
      </w:r>
      <w:r w:rsidR="003B0766" w:rsidRPr="003B0766">
        <w:rPr>
          <w:i/>
          <w:vertAlign w:val="superscript"/>
        </w:rPr>
        <w:t>r</w:t>
      </w:r>
      <w:r w:rsidR="003B0766">
        <w:rPr>
          <w:i/>
        </w:rPr>
        <w:t xml:space="preserve"> </w:t>
      </w:r>
      <w:r w:rsidR="003B0766">
        <w:t>represent two pace-map points being compared.</w:t>
      </w:r>
    </w:p>
    <w:p w14:paraId="133F8AC1" w14:textId="77777777" w:rsidR="001B379B" w:rsidRDefault="007710BB" w:rsidP="001B379B">
      <w:pPr>
        <w:keepNext/>
      </w:pPr>
      <w:r w:rsidRPr="00135C11">
        <w:rPr>
          <w:position w:val="-32"/>
          <w:sz w:val="24"/>
        </w:rPr>
        <w:object w:dxaOrig="2740" w:dyaOrig="780" w14:anchorId="49328910">
          <v:shape id="_x0000_i1026" type="#_x0000_t75" style="width:206.25pt;height:55.5pt" o:ole="">
            <v:imagedata r:id="rId11" o:title=""/>
          </v:shape>
          <o:OLEObject Type="Embed" ProgID="Equation.3" ShapeID="_x0000_i1026" DrawAspect="Content" ObjectID="_1550037065" r:id="rId12"/>
        </w:object>
      </w:r>
    </w:p>
    <w:p w14:paraId="07BAC1E4" w14:textId="77777777" w:rsidR="001B379B" w:rsidRDefault="001B379B" w:rsidP="007710BB">
      <w:pPr>
        <w:pStyle w:val="Caption"/>
      </w:pPr>
      <w:bookmarkStart w:id="1" w:name="_Ref443838986"/>
      <w:r>
        <w:t xml:space="preserve">Equation </w:t>
      </w:r>
      <w:r w:rsidR="00B0019B">
        <w:fldChar w:fldCharType="begin"/>
      </w:r>
      <w:r w:rsidR="00B0019B">
        <w:instrText xml:space="preserve"> SEQ Equation \* ARABIC </w:instrText>
      </w:r>
      <w:r w:rsidR="00B0019B">
        <w:fldChar w:fldCharType="separate"/>
      </w:r>
      <w:r w:rsidR="00AB5973">
        <w:rPr>
          <w:noProof/>
        </w:rPr>
        <w:t>2</w:t>
      </w:r>
      <w:r w:rsidR="00B0019B">
        <w:rPr>
          <w:noProof/>
        </w:rPr>
        <w:fldChar w:fldCharType="end"/>
      </w:r>
      <w:bookmarkEnd w:id="1"/>
      <w:r>
        <w:tab/>
      </w:r>
    </w:p>
    <w:p w14:paraId="7D963A98" w14:textId="77777777" w:rsidR="006D0392" w:rsidRDefault="001B379B" w:rsidP="001B379B">
      <w:r>
        <w:t>The value of E12 is zero for identical 12-lead ECG tracings and increasingly larger for data sets that have greater dissimilarity, thus providing a direct measure of the similarity between two ECG</w:t>
      </w:r>
      <w:r w:rsidR="008B15DC">
        <w:t xml:space="preserve"> trace</w:t>
      </w:r>
      <w:r>
        <w:t>s. Two examples of the relationship between E12 and QRS morphology are shown in</w:t>
      </w:r>
      <w:r w:rsidR="00635F87">
        <w:t xml:space="preserve"> Figure 1.</w:t>
      </w:r>
      <w:r w:rsidR="004D14AD">
        <w:t xml:space="preserve"> An example distance-E12 dataset from a single patient is shown in </w:t>
      </w:r>
      <w:r w:rsidR="000943B4">
        <w:t>F</w:t>
      </w:r>
      <w:r w:rsidR="004D14AD">
        <w:t>igure 2.</w:t>
      </w:r>
      <w:r w:rsidR="00074EFD">
        <w:t xml:space="preserve"> </w:t>
      </w:r>
    </w:p>
    <w:p w14:paraId="115D4B1F" w14:textId="3DE21256" w:rsidR="006D0392" w:rsidRDefault="006D0392" w:rsidP="001B379B">
      <w:r>
        <w:t>In our previous work</w:t>
      </w:r>
      <w:r w:rsidR="00BE1546">
        <w:t xml:space="preserve"> (unpublished)</w:t>
      </w:r>
      <w:r>
        <w:t xml:space="preserve">, several quantitative measures were used to construct the distance similarity </w:t>
      </w:r>
      <w:r w:rsidR="00FB4C28">
        <w:t xml:space="preserve">graphs. Use of the E12 parameter provided the highest correlation values when compared to the most commonly used measure – the correlation coefficient (Corr). In contrast to the Corr, the E12 parameter theoretically has no upper limit and therefore provides better quantification of the morphology difference between </w:t>
      </w:r>
      <w:r w:rsidR="0063686B">
        <w:t>pacing site</w:t>
      </w:r>
      <w:r w:rsidR="00FB4C28">
        <w:t xml:space="preserve">s that are furthest apart and would therefore be expected to be most dissimilar. </w:t>
      </w:r>
    </w:p>
    <w:p w14:paraId="11CD48E1" w14:textId="6019F35C" w:rsidR="00C23CDA" w:rsidRDefault="00074EFD" w:rsidP="001B379B">
      <w:r w:rsidRPr="00074EFD">
        <w:lastRenderedPageBreak/>
        <w:t xml:space="preserve">In order to analyse the effect of various parameters on the </w:t>
      </w:r>
      <w:r>
        <w:t>distance-E12</w:t>
      </w:r>
      <w:r w:rsidRPr="00074EFD">
        <w:t xml:space="preserve"> relationship, continuous data were transformed into categoric</w:t>
      </w:r>
      <w:r>
        <w:t>al data based on pre-defined</w:t>
      </w:r>
      <w:r w:rsidRPr="00074EFD">
        <w:t xml:space="preserve"> cut-offs. As each E12-distance point is generated from 2 </w:t>
      </w:r>
      <w:r w:rsidR="00C91A03">
        <w:t>discrete</w:t>
      </w:r>
      <w:r w:rsidR="00C91A03" w:rsidRPr="00074EFD">
        <w:t xml:space="preserve"> pac</w:t>
      </w:r>
      <w:r w:rsidR="00C91A03">
        <w:t xml:space="preserve">ing </w:t>
      </w:r>
      <w:r w:rsidR="0063686B">
        <w:t>sites</w:t>
      </w:r>
      <w:r w:rsidRPr="00074EFD">
        <w:t xml:space="preserve">, the effect of an abnormal parameter </w:t>
      </w:r>
      <w:r w:rsidR="0063686B">
        <w:t>at</w:t>
      </w:r>
      <w:r w:rsidRPr="00074EFD">
        <w:t xml:space="preserve"> either one of the </w:t>
      </w:r>
      <w:r w:rsidR="00E51604" w:rsidRPr="00074EFD">
        <w:t>pac</w:t>
      </w:r>
      <w:r w:rsidR="0063686B">
        <w:t xml:space="preserve">ing </w:t>
      </w:r>
      <w:r w:rsidR="00E51604">
        <w:t>s</w:t>
      </w:r>
      <w:r w:rsidR="0063686B">
        <w:t>ites</w:t>
      </w:r>
      <w:r w:rsidR="00E51604" w:rsidRPr="00074EFD">
        <w:t xml:space="preserve"> </w:t>
      </w:r>
      <w:r w:rsidRPr="00074EFD">
        <w:t xml:space="preserve">or </w:t>
      </w:r>
      <w:r w:rsidR="0063686B">
        <w:t>at</w:t>
      </w:r>
      <w:r w:rsidRPr="00074EFD">
        <w:t xml:space="preserve"> both </w:t>
      </w:r>
      <w:r w:rsidR="00E51604" w:rsidRPr="00074EFD">
        <w:t>pac</w:t>
      </w:r>
      <w:r w:rsidR="0063686B">
        <w:t>ing site</w:t>
      </w:r>
      <w:r w:rsidR="00E51604">
        <w:t>s</w:t>
      </w:r>
      <w:r w:rsidR="00E51604" w:rsidRPr="00074EFD">
        <w:t xml:space="preserve"> </w:t>
      </w:r>
      <w:r w:rsidRPr="00074EFD">
        <w:t>w</w:t>
      </w:r>
      <w:r w:rsidR="00073694">
        <w:t>as</w:t>
      </w:r>
      <w:r w:rsidRPr="00074EFD">
        <w:t xml:space="preserve"> analysed separately to determine the presence of an effect on the E12-distance relationship. </w:t>
      </w:r>
    </w:p>
    <w:p w14:paraId="22AD0F03" w14:textId="5D52B504" w:rsidR="001E324E" w:rsidRDefault="00074EFD" w:rsidP="001B379B">
      <w:r>
        <w:t>Electrogram duration was defined as abnormal if &gt;</w:t>
      </w:r>
      <w:r w:rsidR="008B15DC">
        <w:t xml:space="preserve"> </w:t>
      </w:r>
      <w:r>
        <w:t>56</w:t>
      </w:r>
      <w:r w:rsidR="0017351D">
        <w:t xml:space="preserve"> </w:t>
      </w:r>
      <w:r>
        <w:t>ms and S-QRS as abnormal if &gt;</w:t>
      </w:r>
      <w:r w:rsidR="008B15DC">
        <w:t xml:space="preserve"> </w:t>
      </w:r>
      <w:r>
        <w:t>40</w:t>
      </w:r>
      <w:r w:rsidR="0017351D">
        <w:t xml:space="preserve"> </w:t>
      </w:r>
      <w:r>
        <w:t>ms.</w:t>
      </w:r>
      <w:r>
        <w:fldChar w:fldCharType="begin" w:fldLock="1"/>
      </w:r>
      <w:r w:rsidR="00BB4297">
        <w:instrText>ADDIN CSL_CITATION { "citationItems" : [ { "id" : "ITEM-1", "itemData" : { "DOI" : "10.1016/j.jacc.2008.05.038", "ISSN" : "1558-3597", "PMID" : "18755347", "abstract" : "This study was designed to compare electroanatomic mapping (EAM) and magnetic resonance imaging (MRI) with delayed contrast enhancement (DCE) data for delineation of post-infarct scars.", "author" : [ { "dropping-particle" : "", "family" : "Codreanu", "given" : "Andrei", "non-dropping-particle" : "", "parse-names" : false, "suffix" : "" }, { "dropping-particle" : "", "family" : "Odille", "given" : "Freddy", "non-dropping-particle" : "", "parse-names" : false, "suffix" : "" }, { "dropping-particle" : "", "family" : "Aliot", "given" : "Etienne", "non-dropping-particle" : "", "parse-names" : false, "suffix" : "" }, { "dropping-particle" : "", "family" : "Marie", "given" : "Pierre-Yves", "non-dropping-particle" : "", "parse-names" : false, "suffix" : "" }, { "dropping-particle" : "", "family" : "Magnin-Poull", "given" : "Isabelle", "non-dropping-particle" : "", "parse-names" : false, "suffix" : "" }, { "dropping-particle" : "", "family" : "Andronache", "given" : "Marius", "non-dropping-particle" : "", "parse-names" : false, "suffix" : "" }, { "dropping-particle" : "", "family" : "Mandry", "given" : "Damien", "non-dropping-particle" : "", "parse-names" : false, "suffix" : "" }, { "dropping-particle" : "", "family" : "Djaballah", "given" : "Wassila", "non-dropping-particle" : "", "parse-names" : false, "suffix" : "" }, { "dropping-particle" : "", "family" : "R\u00e9gent", "given" : "Denis", "non-dropping-particle" : "", "parse-names" : false, "suffix" : "" }, { "dropping-particle" : "", "family" : "Felblinger", "given" : "Jacques", "non-dropping-particle" : "", "parse-names" : false, "suffix" : "" }, { "dropping-particle" : "", "family" : "Chillou", "given" : "Christian", "non-dropping-particle" : "de", "parse-names" : false, "suffix" : "" } ], "container-title" : "Journal of the American College of Cardiology", "id" : "ITEM-1", "issue" : "10", "issued" : { "date-parts" : [ [ "2008", "9", "2" ] ] }, "page" : "839-842", "title" : "Electroanatomic characterization of post-infarct scars comparison with 3-dimensional myocardial scar reconstruction based on magnetic resonance imaging.", "type" : "article-journal", "volume" : "52" }, "uris" : [ "http://www.mendeley.com/documents/?uuid=7e8866ed-5098-4f25-b62c-7c57e78655a4" ] }, { "id" : "ITEM-2", "itemData" : { "ISSN" : "0735-1097", "PMID" : "12628726", "abstract" : "OBJECTIVES: This study sought to characterize the relationship of conduction delays detected by pace-mapping, evident as a stimulus to QRS interval (S-QRS) delay &gt;or=40 ms, to ventricular tachycardia (VT) re-entry circuit isthmuses defined by entrainment and ablation. BACKGROUND: Areas of slow conduction and block in old infarcts cause re-entrant VT. METHODS: In 12 patients with VT after infarction, pace-mapping was performed at 890 sites. Stimulus to QRS intervals were measured and plotted in three-dimensional reconstructions of the left ventricle. Conduction delay was defined as &gt;or=40 ms and marked delay as &gt;80 ms. The locations of conduction delays were compared to the locations of 14 target areas, defined as the region within a radius of 2 cm of a re-entry circuit isthmus. RESULTS: Pacing captured at 829 sites; 465 (56%) had no S-QRS delay, 364 (44%) had a delay &gt;or=40 ms, and 127 (15%) had a delay &gt;80 ms. Sites with delays were clustered in 14 discrete regions, 13 of which overlapped target regions. Only 1 of the 14 target regions was not related to an area of S-QRS delay. Sites with marked delays &gt;80 ms were more often in the target (52%) than sites with delays 40 to 80 ms (29%) (p &lt; 0.0001). CONCLUSIONS: Identification of abnormal conduction during pace-mapping can be used to focus mapping during induced VT to a discrete region of the infarct. Further study is warranted to determine if targeting regions of conduction delay may allow ablation of VT during stable sinus rhythm without mapping during VT.", "author" : [ { "dropping-particle" : "", "family" : "Brunckhorst", "given" : "Corinna B", "non-dropping-particle" : "", "parse-names" : false, "suffix" : "" }, { "dropping-particle" : "", "family" : "Stevenson", "given" : "William G", "non-dropping-particle" : "", "parse-names" : false, "suffix" : "" }, { "dropping-particle" : "", "family" : "Soejima", "given" : "Kyoko", "non-dropping-particle" : "", "parse-names" : false, "suffix" : "" }, { "dropping-particle" : "", "family" : "Maisel", "given" : "William H", "non-dropping-particle" : "", "parse-names" : false, "suffix" : "" }, { "dropping-particle" : "", "family" : "Delacretaz", "given" : "Etienne", "non-dropping-particle" : "", "parse-names" : false, "suffix" : "" }, { "dropping-particle" : "", "family" : "Friedman", "given" : "Peter L", "non-dropping-particle" : "", "parse-names" : false, "suffix" : "" }, { "dropping-particle" : "", "family" : "Ben-Haim", "given" : "Shlomo A", "non-dropping-particle" : "", "parse-names" : false, "suffix" : "" } ], "container-title" : "Journal of the American College of Cardiology", "id" : "ITEM-2", "issue" : "5", "issued" : { "date-parts" : [ [ "2003", "3", "5" ] ] }, "page" : "802-809", "title" : "Relationship of slow conduction detected by pace-mapping to ventricular tachycardia re-entry circuit sites after infarction.", "type" : "article-journal", "volume" : "41" }, "uris" : [ "http://www.mendeley.com/documents/?uuid=a3f08779-0455-4d64-ac65-cec090fbfa5d" ] } ], "mendeley" : { "formattedCitation" : "&lt;sup&gt;4,5&lt;/sup&gt;", "plainTextFormattedCitation" : "4,5", "previouslyFormattedCitation" : "&lt;sup&gt;4,5&lt;/sup&gt;" }, "properties" : { "noteIndex" : 0 }, "schema" : "https://github.com/citation-style-language/schema/raw/master/csl-citation.json" }</w:instrText>
      </w:r>
      <w:r>
        <w:fldChar w:fldCharType="separate"/>
      </w:r>
      <w:r w:rsidR="00942A54" w:rsidRPr="00942A54">
        <w:rPr>
          <w:noProof/>
          <w:vertAlign w:val="superscript"/>
        </w:rPr>
        <w:t>4,5</w:t>
      </w:r>
      <w:r>
        <w:fldChar w:fldCharType="end"/>
      </w:r>
      <w:r>
        <w:t xml:space="preserve"> </w:t>
      </w:r>
      <w:r w:rsidR="007F270E">
        <w:t>We designated a pacing threshold above 8</w:t>
      </w:r>
      <w:r w:rsidR="0017351D">
        <w:t xml:space="preserve"> </w:t>
      </w:r>
      <w:r w:rsidR="007F270E">
        <w:t>mV</w:t>
      </w:r>
      <w:r w:rsidR="00E24390">
        <w:t xml:space="preserve"> at 2</w:t>
      </w:r>
      <w:r w:rsidR="0017351D">
        <w:t xml:space="preserve"> </w:t>
      </w:r>
      <w:r w:rsidR="000943B4">
        <w:t>ms</w:t>
      </w:r>
      <w:r w:rsidR="00E24390">
        <w:t xml:space="preserve"> pulse width</w:t>
      </w:r>
      <w:r w:rsidR="007F270E">
        <w:t xml:space="preserve"> as abnormal</w:t>
      </w:r>
      <w:r w:rsidR="008B15DC">
        <w:t>,</w:t>
      </w:r>
      <w:r w:rsidR="007F270E">
        <w:t xml:space="preserve"> which represented values above the 90</w:t>
      </w:r>
      <w:r w:rsidR="007F270E" w:rsidRPr="007F270E">
        <w:rPr>
          <w:vertAlign w:val="superscript"/>
        </w:rPr>
        <w:t>th</w:t>
      </w:r>
      <w:r w:rsidR="007F270E">
        <w:t xml:space="preserve"> centile in our normal heart cohort.</w:t>
      </w:r>
    </w:p>
    <w:p w14:paraId="6425AEFE" w14:textId="77777777" w:rsidR="00164EF1" w:rsidRDefault="001E7648" w:rsidP="005504F3">
      <w:pPr>
        <w:pStyle w:val="Heading3"/>
      </w:pPr>
      <w:r>
        <w:t>Statistical analysis</w:t>
      </w:r>
    </w:p>
    <w:p w14:paraId="4B18B2AB" w14:textId="0448BC86" w:rsidR="00466BE4" w:rsidRDefault="001E7648" w:rsidP="00DB3E6D">
      <w:pPr>
        <w:rPr>
          <w:rFonts w:ascii="Calibri" w:hAnsi="Calibri" w:cs="Calibri"/>
          <w:color w:val="000000"/>
        </w:rPr>
      </w:pPr>
      <w:r w:rsidRPr="001E7648">
        <w:t>Statistical analysis was carried out with R version 2.15.2 (R Foundation for Statistical Computing, Vienna</w:t>
      </w:r>
      <w:r w:rsidR="004B17D4">
        <w:t>, Austria</w:t>
      </w:r>
      <w:r w:rsidRPr="001E7648">
        <w:t>) and STATA version 13.0 (StataCorp, College Station, Texas</w:t>
      </w:r>
      <w:r w:rsidR="004B17D4">
        <w:t>, USA</w:t>
      </w:r>
      <w:r w:rsidRPr="001E7648">
        <w:t>). The distribution of continuous variables was assessed for normality using the Shapiro-Wilk test. Comparisons between groups of continuous data w</w:t>
      </w:r>
      <w:r w:rsidR="004B17D4">
        <w:t>ere</w:t>
      </w:r>
      <w:r w:rsidRPr="001E7648">
        <w:t xml:space="preserve"> carried out by t-test after controlling for equality of variance with Levene’s test. Non-normal distributed variables were analysed with Mann-Whitney U test</w:t>
      </w:r>
      <w:r w:rsidR="00734463">
        <w:t xml:space="preserve"> and</w:t>
      </w:r>
      <w:r w:rsidRPr="001E7648">
        <w:t xml:space="preserve"> </w:t>
      </w:r>
      <w:r w:rsidR="00734463">
        <w:t>c</w:t>
      </w:r>
      <w:r w:rsidRPr="001E7648">
        <w:t>ategorical data were compared with the Chi</w:t>
      </w:r>
      <w:r w:rsidR="004B17D4">
        <w:t>-</w:t>
      </w:r>
      <w:r w:rsidRPr="001E7648">
        <w:t xml:space="preserve">square test. </w:t>
      </w:r>
      <w:r w:rsidR="00734463">
        <w:t>In order to account for the within patient variation due to repeated me</w:t>
      </w:r>
      <w:r w:rsidR="00073694">
        <w:t>as</w:t>
      </w:r>
      <w:r w:rsidR="00734463">
        <w:t xml:space="preserve">urements of each </w:t>
      </w:r>
      <w:r w:rsidR="00734463">
        <w:lastRenderedPageBreak/>
        <w:t>patient and remove the multiple testing bias, u</w:t>
      </w:r>
      <w:r w:rsidRPr="001E7648">
        <w:t xml:space="preserve">nivariable and multivariable linear </w:t>
      </w:r>
      <w:r w:rsidR="00FF378C" w:rsidRPr="001E7648">
        <w:t>mixed effect</w:t>
      </w:r>
      <w:r w:rsidR="00FF378C">
        <w:t>s</w:t>
      </w:r>
      <w:r w:rsidR="00FF378C" w:rsidRPr="001E7648">
        <w:t xml:space="preserve"> </w:t>
      </w:r>
      <w:r w:rsidRPr="001E7648">
        <w:t xml:space="preserve"> models</w:t>
      </w:r>
      <w:r w:rsidR="00FF378C">
        <w:t xml:space="preserve"> with unstructured covariance matrix</w:t>
      </w:r>
      <w:r w:rsidRPr="001E7648">
        <w:t>, using patient ID as random effect</w:t>
      </w:r>
      <w:r w:rsidR="00836698">
        <w:t>,</w:t>
      </w:r>
      <w:r w:rsidRPr="001E7648">
        <w:t xml:space="preserve"> were used to investigate the factors associated with E12.</w:t>
      </w:r>
      <w:r w:rsidR="00734463">
        <w:t xml:space="preserve"> The </w:t>
      </w:r>
      <w:r w:rsidR="00FF378C">
        <w:t xml:space="preserve">linear </w:t>
      </w:r>
      <w:r w:rsidR="00734463">
        <w:t>mixed effects  models provided regression coefficients and 95% confidence intervals of the effect of each of the factors on E12 (mV).</w:t>
      </w:r>
      <w:r w:rsidRPr="001E7648">
        <w:t xml:space="preserve"> Ggplot2 plotting system for R and two-way scatter plots in STATA were used to illustrate the association of E12 with distance.</w:t>
      </w:r>
      <w:r w:rsidR="00FF378C">
        <w:t xml:space="preserve"> For the multivariable model, variables found univariably significant (</w:t>
      </w:r>
      <w:r w:rsidR="00E645BB">
        <w:t>see supplementary data sheet)</w:t>
      </w:r>
      <w:r w:rsidR="00FF378C">
        <w:t xml:space="preserve"> were entered in the linear mixed effect</w:t>
      </w:r>
      <w:r w:rsidR="00166AFC">
        <w:t>s</w:t>
      </w:r>
      <w:r w:rsidR="00FF378C">
        <w:t xml:space="preserve"> model.</w:t>
      </w:r>
      <w:r w:rsidR="00E645BB">
        <w:t xml:space="preserve"> </w:t>
      </w:r>
      <w:r w:rsidR="00CB525D">
        <w:rPr>
          <w:rFonts w:ascii="Calibri" w:hAnsi="Calibri" w:cs="Calibri"/>
          <w:color w:val="000000"/>
        </w:rPr>
        <w:t xml:space="preserve">When analysing the effect of pacing and electrogram characteristics </w:t>
      </w:r>
      <w:r w:rsidR="009A23C3">
        <w:rPr>
          <w:rFonts w:ascii="Calibri" w:hAnsi="Calibri" w:cs="Calibri"/>
          <w:color w:val="000000"/>
        </w:rPr>
        <w:t xml:space="preserve">at pacing sites </w:t>
      </w:r>
      <w:r w:rsidR="00CB525D">
        <w:rPr>
          <w:rFonts w:ascii="Calibri" w:hAnsi="Calibri" w:cs="Calibri"/>
          <w:color w:val="000000"/>
        </w:rPr>
        <w:t xml:space="preserve">on E12, where univariable analysis demonstrated a significant association with an abnormal parameter that occurred in "either" and "both" pacing points in the pair, "either" was placed into the multivariable model and if this was non-significant, the model was re-run to include an abnormal parameter in "both" pacing points in the pair. </w:t>
      </w:r>
    </w:p>
    <w:p w14:paraId="20968E1A" w14:textId="090A5576" w:rsidR="00E645BB" w:rsidRDefault="00E645BB" w:rsidP="00DB3E6D">
      <w:r>
        <w:t xml:space="preserve">Receiver operator curve analysis was performed to determine cut off values of E12 to predict correlation template matches of </w:t>
      </w:r>
      <w:r w:rsidR="00B11498">
        <w:t xml:space="preserve">90% and 95% </w:t>
      </w:r>
      <w:r>
        <w:t>represent</w:t>
      </w:r>
      <w:r w:rsidR="00B11498">
        <w:t>ing</w:t>
      </w:r>
      <w:r>
        <w:t xml:space="preserve"> “good” and “excellent” 12 lead QRS morphology matches respectively.</w:t>
      </w:r>
      <w:r w:rsidR="00466BE4">
        <w:t xml:space="preserve"> P</w:t>
      </w:r>
      <w:r w:rsidR="007710FA">
        <w:t xml:space="preserve"> </w:t>
      </w:r>
      <w:r w:rsidR="00466BE4">
        <w:t>&lt;</w:t>
      </w:r>
      <w:r w:rsidR="007710FA">
        <w:t xml:space="preserve"> </w:t>
      </w:r>
      <w:r w:rsidR="00466BE4">
        <w:t>0.05 was considered</w:t>
      </w:r>
      <w:r w:rsidR="006C3FB9">
        <w:t xml:space="preserve"> to be statistically significant.</w:t>
      </w:r>
    </w:p>
    <w:p w14:paraId="54937973" w14:textId="77777777" w:rsidR="007050F8" w:rsidRDefault="001E7648" w:rsidP="007050F8">
      <w:pPr>
        <w:pStyle w:val="Heading2"/>
      </w:pPr>
      <w:r>
        <w:lastRenderedPageBreak/>
        <w:t>Results</w:t>
      </w:r>
    </w:p>
    <w:p w14:paraId="38A71D6D" w14:textId="21CEA910" w:rsidR="007050F8" w:rsidRDefault="007050F8" w:rsidP="007050F8">
      <w:r>
        <w:t>Patient demographics are shown in table</w:t>
      </w:r>
      <w:r w:rsidR="00597A3C">
        <w:t xml:space="preserve"> 1. </w:t>
      </w:r>
      <w:r w:rsidR="00597A3C" w:rsidRPr="00597A3C">
        <w:t>Median age of the cohort was 59 years (IQR 28) and was predominantly male (68%). Overall, 40 (58%) of patients had structurally abnormal hearts with the predominant etiology being ischemic (53%)</w:t>
      </w:r>
      <w:r w:rsidR="00C52794">
        <w:t>.</w:t>
      </w:r>
      <w:r w:rsidR="00597A3C" w:rsidRPr="00597A3C">
        <w:t xml:space="preserve">  </w:t>
      </w:r>
      <w:r w:rsidR="00C52794">
        <w:t xml:space="preserve">In </w:t>
      </w:r>
      <w:r w:rsidR="00597A3C" w:rsidRPr="00597A3C">
        <w:t xml:space="preserve">contrast to those with normal hearts, </w:t>
      </w:r>
      <w:r w:rsidR="00C52794">
        <w:t xml:space="preserve">those with structural heart disease </w:t>
      </w:r>
      <w:r w:rsidR="00597A3C" w:rsidRPr="00597A3C">
        <w:t>were predominantl</w:t>
      </w:r>
      <w:r w:rsidR="000E2C86">
        <w:t xml:space="preserve">y male (88% vs. 39%), older (61 SD 15 </w:t>
      </w:r>
      <w:r w:rsidR="00CB5B6F">
        <w:t xml:space="preserve">years </w:t>
      </w:r>
      <w:r w:rsidR="000E2C86">
        <w:t xml:space="preserve">vs. 49 SD </w:t>
      </w:r>
      <w:r w:rsidR="00597A3C" w:rsidRPr="00597A3C">
        <w:t>16</w:t>
      </w:r>
      <w:r w:rsidR="007A1531">
        <w:t xml:space="preserve"> </w:t>
      </w:r>
      <w:r w:rsidR="00CB5B6F" w:rsidRPr="00597A3C">
        <w:t>years</w:t>
      </w:r>
      <w:r w:rsidR="00597A3C" w:rsidRPr="00597A3C">
        <w:t>) and had significantly more comorbidities including higher NYHA class, more renal disease (Creatinine 100</w:t>
      </w:r>
      <w:r w:rsidR="000E2C86">
        <w:t xml:space="preserve"> SD 43</w:t>
      </w:r>
      <w:r w:rsidR="004B17D4">
        <w:t xml:space="preserve"> </w:t>
      </w:r>
      <w:r w:rsidR="000E2C86">
        <w:t xml:space="preserve">g/dL vs. 72 SD </w:t>
      </w:r>
      <w:r w:rsidR="00597A3C" w:rsidRPr="00597A3C">
        <w:t>13</w:t>
      </w:r>
      <w:r w:rsidR="004B17D4">
        <w:t xml:space="preserve"> </w:t>
      </w:r>
      <w:r w:rsidR="00597A3C" w:rsidRPr="00597A3C">
        <w:t>g/dL</w:t>
      </w:r>
      <w:r w:rsidR="000E2C86">
        <w:t>)</w:t>
      </w:r>
      <w:r w:rsidR="00C52794">
        <w:t>,</w:t>
      </w:r>
      <w:r w:rsidR="000E2C86">
        <w:t xml:space="preserve"> lower ejection fraction (42</w:t>
      </w:r>
      <w:r w:rsidR="00C25A0F">
        <w:t>%</w:t>
      </w:r>
      <w:r w:rsidR="000E2C86">
        <w:t xml:space="preserve"> SD</w:t>
      </w:r>
      <w:r w:rsidR="00C25A0F">
        <w:t xml:space="preserve"> </w:t>
      </w:r>
      <w:r w:rsidR="000E2C86">
        <w:t>14 vs. 58</w:t>
      </w:r>
      <w:r w:rsidR="00C25A0F" w:rsidRPr="00597A3C">
        <w:t>%</w:t>
      </w:r>
      <w:r w:rsidR="000E2C86">
        <w:t xml:space="preserve"> SD </w:t>
      </w:r>
      <w:r w:rsidR="00597A3C" w:rsidRPr="00597A3C">
        <w:t xml:space="preserve">7), more AF (28% vs. 4%), </w:t>
      </w:r>
      <w:r w:rsidR="00C52794">
        <w:t xml:space="preserve">more </w:t>
      </w:r>
      <w:r w:rsidR="00597A3C" w:rsidRPr="00597A3C">
        <w:t xml:space="preserve"> implanted devices (100% vs. 3%)</w:t>
      </w:r>
      <w:r w:rsidR="00C52794">
        <w:t xml:space="preserve">, </w:t>
      </w:r>
      <w:r w:rsidR="00597A3C" w:rsidRPr="00597A3C">
        <w:t xml:space="preserve">higher </w:t>
      </w:r>
      <w:r w:rsidR="00734463">
        <w:t>a</w:t>
      </w:r>
      <w:r w:rsidR="00597A3C" w:rsidRPr="00597A3C">
        <w:t>miodarone (40% vs. 0%) and heart failure medication use.</w:t>
      </w:r>
    </w:p>
    <w:p w14:paraId="7E20A09B" w14:textId="1C4C05EB" w:rsidR="00597A3C" w:rsidRDefault="00597A3C" w:rsidP="007050F8">
      <w:r w:rsidRPr="00597A3C">
        <w:t xml:space="preserve">In total, 74 procedures were </w:t>
      </w:r>
      <w:r w:rsidR="00C37544">
        <w:t>performed</w:t>
      </w:r>
      <w:r w:rsidR="00C37544" w:rsidRPr="00597A3C">
        <w:t xml:space="preserve"> </w:t>
      </w:r>
      <w:r w:rsidRPr="00597A3C">
        <w:t>of which 44</w:t>
      </w:r>
      <w:r w:rsidR="004B17D4">
        <w:t xml:space="preserve"> </w:t>
      </w:r>
      <w:r w:rsidRPr="00597A3C">
        <w:t xml:space="preserve">(59%) were undertaken in structurally abnormal hearts. In contrast to procedures on normal hearts, procedures for patients with structural abnormalities were </w:t>
      </w:r>
      <w:r w:rsidR="00C37544">
        <w:t>performed</w:t>
      </w:r>
      <w:r w:rsidR="00C37544" w:rsidRPr="00597A3C">
        <w:t xml:space="preserve"> </w:t>
      </w:r>
      <w:r w:rsidRPr="00597A3C">
        <w:t>predominantly for VT (64% vs. 20%), and were</w:t>
      </w:r>
      <w:r w:rsidR="00C25A0F">
        <w:t xml:space="preserve"> mainly indicated for reduction or </w:t>
      </w:r>
      <w:r w:rsidRPr="00597A3C">
        <w:t>prevention of ICD shocks (59% vs. 4%) and performed largely under general anaesthesia (82% vs. 27%). Endocardial only approach was undertaken in 69</w:t>
      </w:r>
      <w:r w:rsidR="004B17D4">
        <w:t xml:space="preserve"> </w:t>
      </w:r>
      <w:r w:rsidRPr="00597A3C">
        <w:t>(93%).</w:t>
      </w:r>
    </w:p>
    <w:p w14:paraId="1A45E5C9" w14:textId="59758636" w:rsidR="00FB4C28" w:rsidRDefault="000E2C86" w:rsidP="007050F8">
      <w:r>
        <w:lastRenderedPageBreak/>
        <w:t xml:space="preserve">Mapping data are shown in </w:t>
      </w:r>
      <w:r w:rsidR="004C483D">
        <w:t xml:space="preserve">table 2. </w:t>
      </w:r>
      <w:r w:rsidR="00EF7ADD">
        <w:t>Two</w:t>
      </w:r>
      <w:r w:rsidR="004C483D">
        <w:t xml:space="preserve"> patients </w:t>
      </w:r>
      <w:r w:rsidR="004B17D4">
        <w:t xml:space="preserve">in the normal heart cohort </w:t>
      </w:r>
      <w:r w:rsidR="004C483D">
        <w:t xml:space="preserve">underwent voltage mapping. All patients with structural heart disease underwent voltage mapping with </w:t>
      </w:r>
      <w:r w:rsidR="00C25A0F">
        <w:t xml:space="preserve">a median of </w:t>
      </w:r>
      <w:r w:rsidR="004C483D">
        <w:t xml:space="preserve">112 points (IQR 160) </w:t>
      </w:r>
      <w:r w:rsidR="00C25A0F">
        <w:t>acquired</w:t>
      </w:r>
      <w:r w:rsidR="004C483D">
        <w:t xml:space="preserve">. </w:t>
      </w:r>
      <w:r w:rsidR="004C483D" w:rsidRPr="004C483D">
        <w:t xml:space="preserve">Overall, </w:t>
      </w:r>
      <w:r w:rsidR="004C483D">
        <w:t xml:space="preserve">935 </w:t>
      </w:r>
      <w:r w:rsidR="0063686B">
        <w:t>pacing site</w:t>
      </w:r>
      <w:r w:rsidR="00E51604">
        <w:t xml:space="preserve">s </w:t>
      </w:r>
      <w:r w:rsidR="004C483D">
        <w:t xml:space="preserve">were analysed of which </w:t>
      </w:r>
      <w:r w:rsidR="004C483D" w:rsidRPr="004C483D">
        <w:t>440</w:t>
      </w:r>
      <w:r w:rsidR="004B17D4">
        <w:t xml:space="preserve"> </w:t>
      </w:r>
      <w:r w:rsidR="004C483D" w:rsidRPr="004C483D">
        <w:t xml:space="preserve">(47%) </w:t>
      </w:r>
      <w:r w:rsidR="00E51604" w:rsidRPr="004C483D">
        <w:t>pac</w:t>
      </w:r>
      <w:r w:rsidR="0063686B">
        <w:t>ing points</w:t>
      </w:r>
      <w:r w:rsidR="00E51604" w:rsidRPr="004C483D">
        <w:t xml:space="preserve"> </w:t>
      </w:r>
      <w:r w:rsidR="004C483D" w:rsidRPr="004C483D">
        <w:t>were performed in the LV, 197</w:t>
      </w:r>
      <w:r w:rsidR="004B17D4">
        <w:t xml:space="preserve"> </w:t>
      </w:r>
      <w:r w:rsidR="004C483D" w:rsidRPr="004C483D">
        <w:t>(21%) in the RV, 157</w:t>
      </w:r>
      <w:r w:rsidR="004B17D4">
        <w:t xml:space="preserve"> </w:t>
      </w:r>
      <w:r w:rsidR="004C483D" w:rsidRPr="004C483D">
        <w:t>(17%) in the RVOT and 82</w:t>
      </w:r>
      <w:r w:rsidR="004B17D4">
        <w:t xml:space="preserve"> </w:t>
      </w:r>
      <w:r w:rsidR="004C483D" w:rsidRPr="004C483D">
        <w:t xml:space="preserve">(9%) in the LVOT. A total of 59 (6%) </w:t>
      </w:r>
      <w:r w:rsidR="00E51604" w:rsidRPr="004C483D">
        <w:t>pac</w:t>
      </w:r>
      <w:r w:rsidR="00E51604">
        <w:t>ing points</w:t>
      </w:r>
      <w:r w:rsidR="00E51604" w:rsidRPr="004C483D">
        <w:t xml:space="preserve"> </w:t>
      </w:r>
      <w:r w:rsidR="004C483D" w:rsidRPr="004C483D">
        <w:t xml:space="preserve">were collected from the epicardium of which 30 were from the epicardial LV. </w:t>
      </w:r>
      <w:r w:rsidR="005C5F0B">
        <w:t>These generated</w:t>
      </w:r>
      <w:r w:rsidR="00C25A0F">
        <w:t xml:space="preserve"> 6219 pair</w:t>
      </w:r>
      <w:r w:rsidR="00E51604">
        <w:t>ed</w:t>
      </w:r>
      <w:r w:rsidR="00C25A0F">
        <w:t xml:space="preserve"> combinations</w:t>
      </w:r>
      <w:r w:rsidR="00BF2480">
        <w:t xml:space="preserve"> which</w:t>
      </w:r>
      <w:r w:rsidR="00074EFD">
        <w:t xml:space="preserve"> were used to </w:t>
      </w:r>
      <w:r w:rsidR="007F270E">
        <w:t>evaluate</w:t>
      </w:r>
      <w:r w:rsidR="00074EFD">
        <w:t xml:space="preserve"> the distance-E12 relationship</w:t>
      </w:r>
      <w:r w:rsidR="004F1F51">
        <w:t>;</w:t>
      </w:r>
      <w:r w:rsidR="00C25A0F">
        <w:t xml:space="preserve"> of </w:t>
      </w:r>
      <w:r w:rsidR="004F1F51">
        <w:t>these,</w:t>
      </w:r>
      <w:r w:rsidR="00C25A0F">
        <w:t xml:space="preserve"> 2334</w:t>
      </w:r>
      <w:r w:rsidR="004B17D4">
        <w:t xml:space="preserve"> </w:t>
      </w:r>
      <w:r w:rsidR="00C25A0F">
        <w:t>(38%) were LV pairs, 753</w:t>
      </w:r>
      <w:r w:rsidR="004B17D4">
        <w:t xml:space="preserve"> </w:t>
      </w:r>
      <w:r w:rsidR="00C25A0F">
        <w:t>(12%) were RV pairs, 430</w:t>
      </w:r>
      <w:r w:rsidR="004B17D4">
        <w:t xml:space="preserve"> </w:t>
      </w:r>
      <w:r w:rsidR="00C25A0F">
        <w:t>(7%) RVOT</w:t>
      </w:r>
      <w:r w:rsidR="00651F43">
        <w:t xml:space="preserve"> pairs,</w:t>
      </w:r>
      <w:r w:rsidR="00C25A0F">
        <w:t xml:space="preserve"> 326</w:t>
      </w:r>
      <w:r w:rsidR="004B17D4">
        <w:t xml:space="preserve"> </w:t>
      </w:r>
      <w:r w:rsidR="00C25A0F">
        <w:t xml:space="preserve">(5%) </w:t>
      </w:r>
      <w:r w:rsidR="00651F43">
        <w:t>LVOT pairs and 162</w:t>
      </w:r>
      <w:r w:rsidR="004B17D4">
        <w:t xml:space="preserve"> </w:t>
      </w:r>
      <w:r w:rsidR="00651F43">
        <w:t>(3%) epicardial pairs</w:t>
      </w:r>
      <w:r w:rsidR="004F1F51">
        <w:t>.</w:t>
      </w:r>
      <w:r w:rsidR="00651F43">
        <w:t xml:space="preserve">  </w:t>
      </w:r>
      <w:r w:rsidR="004F1F51">
        <w:t xml:space="preserve">The </w:t>
      </w:r>
      <w:r w:rsidR="00651F43">
        <w:t>remainder were combinations across chambers.</w:t>
      </w:r>
      <w:r w:rsidR="00FB4C28">
        <w:t xml:space="preserve"> Media</w:t>
      </w:r>
      <w:r w:rsidR="0063686B">
        <w:t>n distances between pacing site</w:t>
      </w:r>
      <w:r w:rsidR="00FB4C28">
        <w:t xml:space="preserve">s was 32 mm (Range 0.91-233, IQR 28). </w:t>
      </w:r>
      <w:r w:rsidR="00453D60">
        <w:t xml:space="preserve">Median E12 </w:t>
      </w:r>
      <w:r w:rsidR="0063686B">
        <w:t xml:space="preserve">between pacing sites </w:t>
      </w:r>
      <w:r w:rsidR="00453D60">
        <w:t>was 5.65 mV (range 0.56-19.76; IQR 4).</w:t>
      </w:r>
    </w:p>
    <w:p w14:paraId="55C88394" w14:textId="77777777" w:rsidR="003707B9" w:rsidRDefault="003707B9" w:rsidP="003707B9">
      <w:pPr>
        <w:pStyle w:val="Heading3"/>
      </w:pPr>
      <w:r>
        <w:t>Comparison of E12 to correlation coefficient</w:t>
      </w:r>
    </w:p>
    <w:p w14:paraId="086CB550" w14:textId="06568DB6" w:rsidR="003707B9" w:rsidRPr="003707B9" w:rsidRDefault="003707B9" w:rsidP="003707B9">
      <w:r>
        <w:t>Receiver operator curve (ROC) analysis was used to establish cut</w:t>
      </w:r>
      <w:r w:rsidR="00BF2480">
        <w:t>-</w:t>
      </w:r>
      <w:r>
        <w:t>offs for E12. Using a</w:t>
      </w:r>
      <w:r w:rsidR="00CB5B6F">
        <w:t>n E12</w:t>
      </w:r>
      <w:r>
        <w:t xml:space="preserve"> cut-off of &lt;3.88 had a sensitivity of 90% and specificity of 81% for predicting a </w:t>
      </w:r>
      <w:r w:rsidR="00FB4C28">
        <w:t>Corr</w:t>
      </w:r>
      <w:r w:rsidR="009D4FCF">
        <w:t xml:space="preserve"> </w:t>
      </w:r>
      <w:r>
        <w:t>match of ≥</w:t>
      </w:r>
      <w:r w:rsidR="00A66A5D">
        <w:t xml:space="preserve"> </w:t>
      </w:r>
      <w:r>
        <w:t>90% (Area under the curve (AUC) 0.934; 95% CI 0.92, 0.95; p&lt;0.001). An E12 cut-off of &lt;3.30 had a sensitivity of 92% and specificity of 86% for predicting a</w:t>
      </w:r>
      <w:r w:rsidR="00FB4C28">
        <w:t xml:space="preserve"> Corr</w:t>
      </w:r>
      <w:r>
        <w:t xml:space="preserve"> match of ≥</w:t>
      </w:r>
      <w:r w:rsidR="00A66A5D">
        <w:t xml:space="preserve"> </w:t>
      </w:r>
      <w:r>
        <w:t>95% (Area under the curve (AUC) 0.951; 95% CI 0.94, 0.96; p&lt;0.001).</w:t>
      </w:r>
    </w:p>
    <w:p w14:paraId="343EFF6F" w14:textId="28F0CC98" w:rsidR="00456F63" w:rsidRPr="00456F63" w:rsidRDefault="00456F63" w:rsidP="00456F63">
      <w:pPr>
        <w:pStyle w:val="Heading3"/>
      </w:pPr>
      <w:r w:rsidRPr="00456F63">
        <w:lastRenderedPageBreak/>
        <w:t>Variables affecting E12-Distance relationship</w:t>
      </w:r>
    </w:p>
    <w:p w14:paraId="38E5B292" w14:textId="6C7D3421" w:rsidR="00456F63" w:rsidRPr="00456F63" w:rsidRDefault="00456F63" w:rsidP="00BE1546">
      <w:r>
        <w:t>Full univariable analyses are shown in the supplementary data sheet.</w:t>
      </w:r>
      <w:r w:rsidR="00CB525D">
        <w:t xml:space="preserve"> For the multivariable analysis, variables that were adjusted for included distance, location, electrogram duration, stimulation to QRS interval, electrogram amplitude &lt;</w:t>
      </w:r>
      <w:r w:rsidR="007710FA">
        <w:t xml:space="preserve"> </w:t>
      </w:r>
      <w:r w:rsidR="00CB525D">
        <w:t>0.5mV, the presence of split potentials and COPD.</w:t>
      </w:r>
    </w:p>
    <w:p w14:paraId="4D746ACB" w14:textId="77777777" w:rsidR="00947605" w:rsidRDefault="00947605" w:rsidP="00947605">
      <w:pPr>
        <w:pStyle w:val="Heading3"/>
      </w:pPr>
      <w:r>
        <w:t>The effect of distance on E12</w:t>
      </w:r>
    </w:p>
    <w:p w14:paraId="0631D873" w14:textId="16563555" w:rsidR="007050F8" w:rsidRDefault="003B6AFA" w:rsidP="007050F8">
      <w:r>
        <w:t xml:space="preserve">The overall distance-E12 relationship is shown in figures 3 and 4. </w:t>
      </w:r>
      <w:r w:rsidR="00097787" w:rsidRPr="00097787">
        <w:t xml:space="preserve">Using linear </w:t>
      </w:r>
      <w:r w:rsidR="00A4113E" w:rsidRPr="00097787">
        <w:t>mixed effects</w:t>
      </w:r>
      <w:r w:rsidR="00097787" w:rsidRPr="00097787">
        <w:t xml:space="preserve"> mode</w:t>
      </w:r>
      <w:r>
        <w:t>l</w:t>
      </w:r>
      <w:r w:rsidR="00097787" w:rsidRPr="00097787">
        <w:t>ling,</w:t>
      </w:r>
      <w:r w:rsidR="00456F63">
        <w:t xml:space="preserve"> multivariable analysis </w:t>
      </w:r>
      <w:r w:rsidR="00BE1546">
        <w:t>demonstrated</w:t>
      </w:r>
      <w:r w:rsidR="00BE1546" w:rsidRPr="00097787">
        <w:t xml:space="preserve"> a</w:t>
      </w:r>
      <w:r w:rsidR="00097787" w:rsidRPr="00097787">
        <w:t xml:space="preserve"> significant </w:t>
      </w:r>
      <w:r w:rsidR="00BE1546">
        <w:t>positive</w:t>
      </w:r>
      <w:r w:rsidR="00456F63">
        <w:t xml:space="preserve"> </w:t>
      </w:r>
      <w:r w:rsidR="00097787" w:rsidRPr="00097787">
        <w:t>association of distance wit</w:t>
      </w:r>
      <w:r>
        <w:t>h similarity as measured by E12</w:t>
      </w:r>
      <w:r w:rsidR="00BE1546">
        <w:t xml:space="preserve"> </w:t>
      </w:r>
      <w:r w:rsidR="00456F63" w:rsidRPr="002941D4">
        <w:t>(0.07</w:t>
      </w:r>
      <w:r w:rsidR="00456F63">
        <w:t xml:space="preserve"> per mm</w:t>
      </w:r>
      <w:r w:rsidR="00456F63" w:rsidRPr="002941D4">
        <w:t>; 95% CI 0.07, 0.08; p&lt;0.001)</w:t>
      </w:r>
      <w:r w:rsidR="00097787" w:rsidRPr="00097787">
        <w:t xml:space="preserve"> such that per mm increase in distance, E12 increased by 0</w:t>
      </w:r>
      <w:r>
        <w:t>.0</w:t>
      </w:r>
      <w:r w:rsidR="00456F63">
        <w:t>7</w:t>
      </w:r>
      <w:r>
        <w:t>. W</w:t>
      </w:r>
      <w:r w:rsidR="003707B9">
        <w:t>hen analysed by distance categories</w:t>
      </w:r>
      <w:r>
        <w:t>, the association was significant between 10-50</w:t>
      </w:r>
      <w:r w:rsidR="00FB4C28">
        <w:t xml:space="preserve"> </w:t>
      </w:r>
      <w:r>
        <w:t>mm with the highest E12 change per mm distance between 10-20</w:t>
      </w:r>
      <w:r w:rsidR="00FB4C28">
        <w:t xml:space="preserve"> </w:t>
      </w:r>
      <w:r>
        <w:t>mm, estimate 0.13 (95% CI 0.1</w:t>
      </w:r>
      <w:r w:rsidR="00193212">
        <w:t>0, 0.17; p</w:t>
      </w:r>
      <w:r w:rsidR="00F21450">
        <w:t xml:space="preserve"> </w:t>
      </w:r>
      <w:r w:rsidR="00193212">
        <w:t>≤</w:t>
      </w:r>
      <w:r w:rsidR="00F21450">
        <w:t xml:space="preserve"> </w:t>
      </w:r>
      <w:r w:rsidR="00193212">
        <w:t>0.001).</w:t>
      </w:r>
    </w:p>
    <w:p w14:paraId="41495A11" w14:textId="77777777" w:rsidR="00947605" w:rsidRDefault="00947605" w:rsidP="00947605">
      <w:pPr>
        <w:pStyle w:val="Heading3"/>
      </w:pPr>
      <w:r>
        <w:lastRenderedPageBreak/>
        <w:t>The effect of</w:t>
      </w:r>
      <w:r w:rsidR="003707B9">
        <w:t xml:space="preserve"> patient</w:t>
      </w:r>
      <w:r>
        <w:t xml:space="preserve"> demographics on E12</w:t>
      </w:r>
    </w:p>
    <w:p w14:paraId="3611110C" w14:textId="71B84ED8" w:rsidR="00947605" w:rsidRDefault="00EF7ADD" w:rsidP="00EF7ADD">
      <w:r>
        <w:t xml:space="preserve"> Of the demographic variables, only the presence of </w:t>
      </w:r>
      <w:r w:rsidRPr="00EF7ADD">
        <w:t>chronic obstructive pulmonary disease demonstrated a significant association with increased E12 values,</w:t>
      </w:r>
      <w:r>
        <w:t xml:space="preserve"> estimate</w:t>
      </w:r>
      <w:r w:rsidRPr="00EF7ADD">
        <w:t xml:space="preserve"> </w:t>
      </w:r>
      <w:r w:rsidR="00456F63">
        <w:t>1.43; 95% CI 0.21, 2.66; p</w:t>
      </w:r>
      <w:r w:rsidR="00F21450">
        <w:t xml:space="preserve"> </w:t>
      </w:r>
      <w:r w:rsidR="00456F63">
        <w:t>=</w:t>
      </w:r>
      <w:r w:rsidR="00F21450">
        <w:t xml:space="preserve"> </w:t>
      </w:r>
      <w:r w:rsidR="00456F63">
        <w:t>0.02</w:t>
      </w:r>
      <w:r w:rsidRPr="00EF7ADD">
        <w:t>.</w:t>
      </w:r>
      <w:r>
        <w:t xml:space="preserve"> </w:t>
      </w:r>
      <w:r w:rsidR="00D767C1">
        <w:t>Neither the presence of structural heart disease, LVEF, nor the peri-procedural use of antiarrhythmic therapy were significantly associated with changes in E12.</w:t>
      </w:r>
    </w:p>
    <w:p w14:paraId="47C7CF27" w14:textId="77777777" w:rsidR="00947605" w:rsidRDefault="00947605" w:rsidP="0085731F">
      <w:pPr>
        <w:pStyle w:val="Heading3"/>
      </w:pPr>
      <w:r>
        <w:t>The effect of location on E12</w:t>
      </w:r>
    </w:p>
    <w:p w14:paraId="5762E42F" w14:textId="5BFA648B" w:rsidR="00193212" w:rsidRDefault="00EF7ADD" w:rsidP="00EF7ADD">
      <w:r>
        <w:t>When analysing E12 values by location, small differences were seen</w:t>
      </w:r>
      <w:r w:rsidR="00382A3D">
        <w:t xml:space="preserve"> (Figure 4)</w:t>
      </w:r>
      <w:r>
        <w:t xml:space="preserve">. </w:t>
      </w:r>
      <w:r w:rsidR="00D767C1">
        <w:t xml:space="preserve">Compared to LV pacing point pairs, significantly lower E12 values were seen in the RV (-0.44; 95% CI -0.86, -0.03; </w:t>
      </w:r>
      <w:r w:rsidR="00D767C1" w:rsidRPr="002941D4">
        <w:t>p</w:t>
      </w:r>
      <w:r w:rsidR="00F21450">
        <w:t xml:space="preserve"> </w:t>
      </w:r>
      <w:r w:rsidR="00D767C1" w:rsidRPr="002941D4">
        <w:t>=</w:t>
      </w:r>
      <w:r w:rsidR="00F21450">
        <w:t xml:space="preserve"> </w:t>
      </w:r>
      <w:r w:rsidR="00D767C1" w:rsidRPr="002941D4">
        <w:t>0.037</w:t>
      </w:r>
      <w:r w:rsidR="00D767C1">
        <w:t>) and the LVOT (-1.07; 95% CI -1.63, -0.50; p</w:t>
      </w:r>
      <w:r w:rsidR="00F21450">
        <w:t xml:space="preserve"> </w:t>
      </w:r>
      <w:r w:rsidR="00D767C1">
        <w:t>&lt;</w:t>
      </w:r>
      <w:r w:rsidR="00F21450">
        <w:t xml:space="preserve"> </w:t>
      </w:r>
      <w:r w:rsidR="00D767C1">
        <w:t>0.001) pairs and higher E12 values in LV-RV pairs (1.70; 95% CI 1.08, 2.32; p</w:t>
      </w:r>
      <w:r w:rsidR="00F21450">
        <w:t xml:space="preserve"> </w:t>
      </w:r>
      <w:r w:rsidR="00D767C1">
        <w:t>=</w:t>
      </w:r>
      <w:r w:rsidR="00F21450">
        <w:t xml:space="preserve"> </w:t>
      </w:r>
      <w:r w:rsidR="00D767C1">
        <w:t>0.021). E12 values were higher in epicardial LV pairs, however differences were not statistically significant (1.06; 95% CI -0.15, 2.27; p</w:t>
      </w:r>
      <w:r w:rsidR="00F21450">
        <w:t xml:space="preserve"> </w:t>
      </w:r>
      <w:r w:rsidR="00D767C1">
        <w:t>=</w:t>
      </w:r>
      <w:r w:rsidR="00F21450">
        <w:t xml:space="preserve"> </w:t>
      </w:r>
      <w:r w:rsidR="00D767C1">
        <w:t>0.08). Compared to RV pacing point pairs, no difference in E12 values was seen in the RVOT (p</w:t>
      </w:r>
      <w:r w:rsidR="00F21450">
        <w:t xml:space="preserve"> </w:t>
      </w:r>
      <w:r w:rsidR="00D767C1">
        <w:t>=</w:t>
      </w:r>
      <w:r w:rsidR="00F21450">
        <w:t xml:space="preserve"> </w:t>
      </w:r>
      <w:r w:rsidR="00D767C1">
        <w:t>0.186), however epicardial RV pairs had higher values (1.23; 95% CI 0.46, 2.01; p</w:t>
      </w:r>
      <w:r w:rsidR="00F21450">
        <w:t xml:space="preserve"> </w:t>
      </w:r>
      <w:r w:rsidR="00D767C1">
        <w:t>=</w:t>
      </w:r>
      <w:r w:rsidR="00F21450">
        <w:t xml:space="preserve"> </w:t>
      </w:r>
      <w:r w:rsidR="00D767C1">
        <w:t>0.002). Compared to RVOT pairs, there was no difference in E12 compared to LVOT (p</w:t>
      </w:r>
      <w:r w:rsidR="00F21450">
        <w:t xml:space="preserve"> </w:t>
      </w:r>
      <w:r w:rsidR="00D767C1">
        <w:t>=</w:t>
      </w:r>
      <w:r w:rsidR="00F21450">
        <w:t xml:space="preserve"> </w:t>
      </w:r>
      <w:r w:rsidR="00D767C1">
        <w:t>0.20) or RVOT-LVOT (p</w:t>
      </w:r>
      <w:r w:rsidR="00F21450">
        <w:t xml:space="preserve"> </w:t>
      </w:r>
      <w:r w:rsidR="00D767C1">
        <w:t>=</w:t>
      </w:r>
      <w:r w:rsidR="00F21450">
        <w:t xml:space="preserve"> </w:t>
      </w:r>
      <w:r w:rsidR="00D767C1">
        <w:t>0.75) pairs.</w:t>
      </w:r>
    </w:p>
    <w:p w14:paraId="07D8B0D3" w14:textId="0020BFF7" w:rsidR="00947605" w:rsidRDefault="0085731F" w:rsidP="0085731F">
      <w:pPr>
        <w:pStyle w:val="Heading3"/>
      </w:pPr>
      <w:r>
        <w:lastRenderedPageBreak/>
        <w:t xml:space="preserve">The effect of </w:t>
      </w:r>
      <w:r w:rsidR="005F76D9">
        <w:t xml:space="preserve">underlying </w:t>
      </w:r>
      <w:r w:rsidR="00E51604">
        <w:t>s</w:t>
      </w:r>
      <w:r w:rsidR="005F76D9">
        <w:t xml:space="preserve">ubstrate </w:t>
      </w:r>
      <w:r>
        <w:t>on E12</w:t>
      </w:r>
    </w:p>
    <w:p w14:paraId="56B2DABE" w14:textId="46B5ABFB" w:rsidR="002941D4" w:rsidRDefault="00D87021" w:rsidP="002941D4">
      <w:r>
        <w:t xml:space="preserve">The frequency of abnormal electrograms </w:t>
      </w:r>
      <w:r w:rsidR="002645D2">
        <w:t xml:space="preserve">seen during sinus rhythm just prior to onset of </w:t>
      </w:r>
      <w:r w:rsidR="005F76D9">
        <w:t xml:space="preserve">pacing </w:t>
      </w:r>
      <w:r w:rsidR="00084F62">
        <w:t>is</w:t>
      </w:r>
      <w:r w:rsidR="00C527A9">
        <w:t xml:space="preserve"> shown in </w:t>
      </w:r>
      <w:r>
        <w:t xml:space="preserve">full in </w:t>
      </w:r>
      <w:r w:rsidR="00C527A9">
        <w:t>the supplementary data table 2.</w:t>
      </w:r>
      <w:r w:rsidR="00D767C1">
        <w:t xml:space="preserve"> In multivariable analysis, only S-QRS interval &gt; 40 ms in either pac</w:t>
      </w:r>
      <w:r w:rsidR="00084F62">
        <w:t>ing site</w:t>
      </w:r>
      <w:r w:rsidR="00D767C1">
        <w:t xml:space="preserve"> of the pair remained associated with higher E12 values (0.24; 95% CI 0.12, 0.36; p</w:t>
      </w:r>
      <w:r w:rsidR="00F21450">
        <w:t xml:space="preserve"> </w:t>
      </w:r>
      <w:r w:rsidR="00D767C1">
        <w:t>&lt;</w:t>
      </w:r>
      <w:r w:rsidR="00F21450">
        <w:t xml:space="preserve"> </w:t>
      </w:r>
      <w:r w:rsidR="00D767C1">
        <w:t xml:space="preserve">0.001). The presence of split potentials </w:t>
      </w:r>
      <w:r w:rsidR="00442198">
        <w:t>at</w:t>
      </w:r>
      <w:r w:rsidR="00D767C1">
        <w:t xml:space="preserve"> either pac</w:t>
      </w:r>
      <w:r w:rsidR="00084F62">
        <w:t>ing site</w:t>
      </w:r>
      <w:r w:rsidR="00D767C1">
        <w:t xml:space="preserve"> of the pair was associated with lower E12 values (-0.51; </w:t>
      </w:r>
      <w:r w:rsidR="00D767C1" w:rsidRPr="000073CF">
        <w:t>95% CI -0.74, -0.27;</w:t>
      </w:r>
      <w:r w:rsidR="00D767C1">
        <w:t xml:space="preserve"> p</w:t>
      </w:r>
      <w:r w:rsidR="00F21450">
        <w:t xml:space="preserve"> </w:t>
      </w:r>
      <w:r w:rsidR="00D767C1">
        <w:t>&lt;</w:t>
      </w:r>
      <w:r w:rsidR="00F21450">
        <w:t xml:space="preserve"> </w:t>
      </w:r>
      <w:r w:rsidR="00D767C1">
        <w:t xml:space="preserve">0.001). </w:t>
      </w:r>
      <w:r w:rsidR="00F13C23">
        <w:t>Neither pacing threshold &gt; 8 mA, low electrogram amplitude (&lt;1.5 mV or &lt;0.5 mV) nor electrogram duration &gt; 56 ms were shown to be associated with E12 in multivariable analysis.</w:t>
      </w:r>
    </w:p>
    <w:p w14:paraId="629E7735" w14:textId="77777777" w:rsidR="002941D4" w:rsidRPr="00A3152A" w:rsidRDefault="002941D4" w:rsidP="002941D4">
      <w:pPr>
        <w:pStyle w:val="Heading2"/>
      </w:pPr>
      <w:r>
        <w:t>Discussion</w:t>
      </w:r>
    </w:p>
    <w:p w14:paraId="7450258F" w14:textId="77777777" w:rsidR="0003241F" w:rsidRDefault="00864249" w:rsidP="007050F8">
      <w:r w:rsidRPr="00864249">
        <w:t>The main finding</w:t>
      </w:r>
      <w:r>
        <w:t>s</w:t>
      </w:r>
      <w:r w:rsidRPr="00864249">
        <w:t xml:space="preserve"> from this </w:t>
      </w:r>
      <w:r>
        <w:t>study</w:t>
      </w:r>
      <w:r w:rsidR="0003241F">
        <w:t xml:space="preserve"> are: </w:t>
      </w:r>
      <w:r w:rsidRPr="00864249">
        <w:t xml:space="preserve"> </w:t>
      </w:r>
    </w:p>
    <w:p w14:paraId="41BDE213" w14:textId="17B4BB08" w:rsidR="00A3152A" w:rsidRDefault="0003241F" w:rsidP="0003241F">
      <w:pPr>
        <w:pStyle w:val="ListParagraph"/>
        <w:numPr>
          <w:ilvl w:val="0"/>
          <w:numId w:val="1"/>
        </w:numPr>
      </w:pPr>
      <w:r>
        <w:t xml:space="preserve">The </w:t>
      </w:r>
      <w:r w:rsidR="00864249" w:rsidRPr="00864249">
        <w:t xml:space="preserve">change in </w:t>
      </w:r>
      <w:r w:rsidR="003912C9">
        <w:t xml:space="preserve">surface </w:t>
      </w:r>
      <w:r w:rsidR="00864249" w:rsidRPr="00864249">
        <w:t>ECG morphology</w:t>
      </w:r>
      <w:r w:rsidR="00E46E26">
        <w:t xml:space="preserve"> between pac</w:t>
      </w:r>
      <w:r w:rsidR="003024EF">
        <w:t>ing</w:t>
      </w:r>
      <w:r w:rsidR="00E46E26">
        <w:t xml:space="preserve"> points</w:t>
      </w:r>
      <w:r w:rsidR="00864249" w:rsidRPr="00864249">
        <w:t xml:space="preserve"> as measured by E12</w:t>
      </w:r>
      <w:r w:rsidR="003912C9">
        <w:t xml:space="preserve"> </w:t>
      </w:r>
      <w:r w:rsidR="00864249" w:rsidRPr="00864249">
        <w:t xml:space="preserve">is strongly and </w:t>
      </w:r>
      <w:r w:rsidR="00442198">
        <w:t>predictably</w:t>
      </w:r>
      <w:r w:rsidR="00864249" w:rsidRPr="00864249">
        <w:t xml:space="preserve"> related to distance when restricted to non-scar areas and remains ro</w:t>
      </w:r>
      <w:r w:rsidR="00864249">
        <w:t>bust across a population with structurally normal and abnormal hearts</w:t>
      </w:r>
      <w:r w:rsidR="00864249" w:rsidRPr="00864249">
        <w:t xml:space="preserve"> and within </w:t>
      </w:r>
      <w:r w:rsidR="009B1489">
        <w:t>both ventricles</w:t>
      </w:r>
      <w:r w:rsidR="00864249" w:rsidRPr="00864249">
        <w:t>.</w:t>
      </w:r>
    </w:p>
    <w:p w14:paraId="2C96C7F3" w14:textId="77777777" w:rsidR="0003241F" w:rsidRDefault="0003241F" w:rsidP="0003241F">
      <w:pPr>
        <w:pStyle w:val="ListParagraph"/>
        <w:numPr>
          <w:ilvl w:val="0"/>
          <w:numId w:val="1"/>
        </w:numPr>
      </w:pPr>
      <w:r>
        <w:t>There are differences in the resolution of pacemapping between cardiac chambers.</w:t>
      </w:r>
    </w:p>
    <w:p w14:paraId="2F816EF9" w14:textId="77777777" w:rsidR="0003241F" w:rsidRDefault="0003241F" w:rsidP="0003241F">
      <w:pPr>
        <w:pStyle w:val="Heading3"/>
      </w:pPr>
      <w:r>
        <w:lastRenderedPageBreak/>
        <w:t>The relationship between distance and change in morphology</w:t>
      </w:r>
    </w:p>
    <w:p w14:paraId="138B1B0E" w14:textId="6CD5A7F7" w:rsidR="00864249" w:rsidRDefault="00864249" w:rsidP="007050F8">
      <w:r w:rsidRPr="00864249">
        <w:t>Th</w:t>
      </w:r>
      <w:r w:rsidR="0003241F">
        <w:t xml:space="preserve">e E12-distance relationship </w:t>
      </w:r>
      <w:r w:rsidRPr="00864249">
        <w:t>was seen to be remarkably robust throughout the population with few variables seen to affect this relationship. Most notable is the lack of association with the presence of</w:t>
      </w:r>
      <w:r w:rsidR="003760E5">
        <w:t>,</w:t>
      </w:r>
      <w:r w:rsidRPr="00864249">
        <w:t xml:space="preserve"> or burden of scar as evaluated by LV ejection fraction. This may be partly explained by the protocol whereby we intended to limit pac</w:t>
      </w:r>
      <w:r w:rsidR="003024EF">
        <w:t>ing</w:t>
      </w:r>
      <w:r w:rsidRPr="00864249">
        <w:t xml:space="preserve"> to sites free of scar and thus represented initial breakout and conduction through predominantly normal tissue. </w:t>
      </w:r>
      <w:r w:rsidR="001D5AB0">
        <w:t>Whilst we aimed to pace within tissue &gt;</w:t>
      </w:r>
      <w:r w:rsidR="00453D60">
        <w:t xml:space="preserve"> </w:t>
      </w:r>
      <w:r w:rsidR="001D5AB0">
        <w:t>0.5</w:t>
      </w:r>
      <w:r w:rsidR="00453D60">
        <w:t xml:space="preserve"> </w:t>
      </w:r>
      <w:r w:rsidR="001D5AB0">
        <w:t>mV, guided by the voltage map appearance in scar cases and assumed in normal hearts</w:t>
      </w:r>
      <w:r w:rsidR="006138C3">
        <w:t>, u</w:t>
      </w:r>
      <w:r w:rsidR="001D5AB0">
        <w:t>nintentional pac</w:t>
      </w:r>
      <w:r w:rsidR="003024EF">
        <w:t>ing</w:t>
      </w:r>
      <w:r w:rsidR="001D5AB0">
        <w:t xml:space="preserve"> </w:t>
      </w:r>
      <w:r w:rsidR="006138C3">
        <w:t xml:space="preserve">in scar </w:t>
      </w:r>
      <w:r w:rsidR="001D5AB0">
        <w:t>may have occurred as the fill threshold was set to 10</w:t>
      </w:r>
      <w:r w:rsidR="00453D60">
        <w:t xml:space="preserve"> </w:t>
      </w:r>
      <w:r w:rsidR="001D5AB0">
        <w:t>mm on the colour map and</w:t>
      </w:r>
      <w:r w:rsidR="00C06B1A">
        <w:t xml:space="preserve"> subtle scar may have been missed on conventional imaging</w:t>
      </w:r>
      <w:r w:rsidR="001D5AB0">
        <w:t>.</w:t>
      </w:r>
      <w:r w:rsidR="00C06B1A">
        <w:t xml:space="preserve"> </w:t>
      </w:r>
      <w:r w:rsidR="006138C3">
        <w:t>However, e</w:t>
      </w:r>
      <w:r w:rsidRPr="00864249">
        <w:t>ven when inadvertent pacing within scar occurred</w:t>
      </w:r>
      <w:r w:rsidR="006138C3">
        <w:t>,</w:t>
      </w:r>
      <w:r w:rsidRPr="00864249">
        <w:t xml:space="preserve"> evidenced by low amplitude electrograms,</w:t>
      </w:r>
      <w:r w:rsidR="006138C3">
        <w:t xml:space="preserve"> no effect on E12 was seen</w:t>
      </w:r>
      <w:r w:rsidRPr="00864249">
        <w:t xml:space="preserve">. </w:t>
      </w:r>
      <w:r w:rsidR="00C06B1A">
        <w:t>Of the abnormal electrogram criteria analysed, o</w:t>
      </w:r>
      <w:r w:rsidRPr="00864249">
        <w:t>nly pac</w:t>
      </w:r>
      <w:r w:rsidR="003024EF">
        <w:t>ing</w:t>
      </w:r>
      <w:r w:rsidRPr="00864249">
        <w:t xml:space="preserve"> latency and was shown to be significantly associated with higher E12 values and </w:t>
      </w:r>
      <w:r w:rsidR="00BF2480">
        <w:t>could be</w:t>
      </w:r>
      <w:r w:rsidRPr="00864249">
        <w:t xml:space="preserve"> explained by the longer path tak</w:t>
      </w:r>
      <w:r w:rsidR="00BF2480">
        <w:t xml:space="preserve">en by the activation wavefront </w:t>
      </w:r>
      <w:r w:rsidRPr="00864249">
        <w:t xml:space="preserve">through an isthmus or around a line of conduction block such that the breakout occurs at a distance from the catheter tip. </w:t>
      </w:r>
      <w:r w:rsidR="00442198">
        <w:t xml:space="preserve">The association of split potentials and lower E12 values is difficult to explain but may be </w:t>
      </w:r>
      <w:r w:rsidR="00E431F9">
        <w:t>accounted for by the position of the catheter tip and the breakout of the activation wavefront relative to a line of block</w:t>
      </w:r>
      <w:r w:rsidR="00442198">
        <w:t xml:space="preserve">. </w:t>
      </w:r>
      <w:r w:rsidRPr="00864249">
        <w:t xml:space="preserve">The positive association </w:t>
      </w:r>
      <w:r w:rsidR="009B1489">
        <w:t>between the presence of</w:t>
      </w:r>
      <w:r w:rsidRPr="00864249">
        <w:t xml:space="preserve"> COPD and higher E12 values is interesting and may suggest that </w:t>
      </w:r>
      <w:r w:rsidRPr="00864249">
        <w:lastRenderedPageBreak/>
        <w:t>a chest with a higher volume can alter the relationship</w:t>
      </w:r>
      <w:r w:rsidR="009F6E95">
        <w:t>.</w:t>
      </w:r>
      <w:r w:rsidR="00792BC7">
        <w:t xml:space="preserve"> </w:t>
      </w:r>
      <w:r w:rsidR="009F6E95">
        <w:t>H</w:t>
      </w:r>
      <w:r w:rsidR="00792BC7">
        <w:t xml:space="preserve">owever the association with BMI was not significant and so </w:t>
      </w:r>
      <w:r w:rsidR="001C32C0">
        <w:t>may not be fully accounted for by chest surface area alone</w:t>
      </w:r>
      <w:r w:rsidR="009F6E95">
        <w:t>, but may be more influenced by the ratio of heart size to chest volume</w:t>
      </w:r>
      <w:r w:rsidR="006138C3">
        <w:t>.</w:t>
      </w:r>
    </w:p>
    <w:p w14:paraId="5A999E55" w14:textId="04A19466" w:rsidR="00864249" w:rsidRDefault="00864249" w:rsidP="00864249">
      <w:r w:rsidRPr="00864249">
        <w:t>Pr</w:t>
      </w:r>
      <w:r w:rsidR="00792BC7">
        <w:t xml:space="preserve">ior studies have reported </w:t>
      </w:r>
      <w:r w:rsidR="008449FA">
        <w:t xml:space="preserve">on </w:t>
      </w:r>
      <w:r w:rsidR="00792BC7">
        <w:t xml:space="preserve">this relationship </w:t>
      </w:r>
      <w:r w:rsidRPr="00864249">
        <w:t>using semi</w:t>
      </w:r>
      <w:r w:rsidR="00447118">
        <w:t>-</w:t>
      </w:r>
      <w:r w:rsidRPr="00864249">
        <w:t>quantitative sc</w:t>
      </w:r>
      <w:r w:rsidR="00792BC7">
        <w:t>oring systems in the RVOT.</w:t>
      </w:r>
      <w:r w:rsidR="00453D60">
        <w:fldChar w:fldCharType="begin" w:fldLock="1"/>
      </w:r>
      <w:r w:rsidR="00BB4297">
        <w:instrText>ADDIN CSL_CITATION { "citationItems" : [ { "id" : "ITEM-1", "itemData" : { "DOI" : "10.1111/j.1540-8167.2005.50041.x", "ISSN" : "1045-3873", "PMID" : "16101622", "abstract" : "The purpose of this study was to compare the spatial resolution of activation mapping and pacemapping in patients undergoing ablation of idiopathic ventricular tachycardia (VT) arising from the right ventricular outflow tract (RVOT). A direct comparison of the two techniques has not been undertaken.", "author" : [ { "dropping-particle" : "", "family" : "Azegami", "given" : "Koji", "non-dropping-particle" : "", "parse-names" : false, "suffix" : "" }, { "dropping-particle" : "", "family" : "Wilber", "given" : "David J", "non-dropping-particle" : "", "parse-names" : false, "suffix" : "" }, { "dropping-particle" : "", "family" : "Arruda", "given" : "Mauricio", "non-dropping-particle" : "", "parse-names" : false, "suffix" : "" }, { "dropping-particle" : "", "family" : "Lin", "given" : "Albert C", "non-dropping-particle" : "", "parse-names" : false, "suffix" : "" }, { "dropping-particle" : "", "family" : "Denman", "given" : "Russell A", "non-dropping-particle" : "", "parse-names" : false, "suffix" : "" } ], "container-title" : "Journal of cardiovascular electrophysiology", "id" : "ITEM-1", "issue" : "8", "issued" : { "date-parts" : [ [ "2005", "8" ] ] }, "note" : "Isoprenaline vs non", "page" : "823-829", "title" : "Spatial resolution of pacemapping and activation mapping in patients with idiopathic right ventricular outflow tract tachycardia.", "type" : "article-journal", "volume" : "16" }, "uris" : [ "http://www.mendeley.com/documents/?uuid=5f87732b-53d0-4aa8-9e6a-84d2036f1b79" ] }, { "id" : "ITEM-2", "itemData" : { "DOI" : "10.1016/j.hrthm.2007.11.011", "ISSN" : "1547-5271", "PMID" : "18313589", "abstract" : "Pace mapping has been used to identify the site of origin of focal ventricular arrhythmias. The spatial resolution of pace mapping has not been adequately quantified using currently available three-dimensional mapping systems.", "author" : [ { "dropping-particle" : "", "family" : "Bogun", "given" : "Frank", "non-dropping-particle" : "", "parse-names" : false, "suffix" : "" }, { "dropping-particle" : "", "family" : "Taj", "given" : "Majid", "non-dropping-particle" : "", "parse-names" : false, "suffix" : "" }, { "dropping-particle" : "", "family" : "Ting", "given" : "Michael", "non-dropping-particle" : "", "parse-names" : false, "suffix" : "" }, { "dropping-particle" : "", "family" : "Kim", "given" : "Hyungjin Myra", "non-dropping-particle" : "", "parse-names" : false, "suffix" : "" }, { "dropping-particle" : "", "family" : "Reich", "given" : "Stephen", "non-dropping-particle" : "", "parse-names" : false, "suffix" : "" }, { "dropping-particle" : "", "family" : "Good", "given" : "Eric", "non-dropping-particle" : "", "parse-names" : false, "suffix" : "" }, { "dropping-particle" : "", "family" : "Jongnarangsin", "given" : "Krit", "non-dropping-particle" : "", "parse-names" : false, "suffix" : "" }, { "dropping-particle" : "", "family" : "Chugh", "given" : "Aman", "non-dropping-particle" : "", "parse-names" : false, "suffix" : "" }, { "dropping-particle" : "", "family" : "Pelosi", "given" : "Frank", "non-dropping-particle" : "", "parse-names" : false, "suffix" : "" }, { "dropping-particle" : "", "family" : "Oral", "given" : "Hakan", "non-dropping-particle" : "", "parse-names" : false, "suffix" : "" }, { "dropping-particle" : "", "family" : "Morady", "given" : "Fred", "non-dropping-particle" : "", "parse-names" : false, "suffix" : "" } ], "container-title" : "Heart rhythm : the official journal of the Heart Rhythm Society", "id" : "ITEM-2", "issue" : "3", "issued" : { "date-parts" : [ [ "2008", "3" ] ] }, "page" : "339-344", "title" : "Spatial resolution of pace mapping of idiopathic ventricular tachycardia/ectopy originating in the right ventricular outflow tract.", "type" : "article-journal", "volume" : "5" }, "uris" : [ "http://www.mendeley.com/documents/?uuid=b2457647-bec8-47a3-8e0c-2db047a6903a" ] }, { "id" : "ITEM-3", "itemData" : { "ISSN" : "0735-1097", "PMID" : "12798580", "abstract" : "The purpose of this study was to objectively quantify the similarity of 12-lead electrocardiogram (ECG) waveforms using two quantitative metrics, the correlation coefficient (CORR) and the mean absolute deviation (MAD).", "author" : [ { "dropping-particle" : "", "family" : "Gerstenfeld", "given" : "Edward P", "non-dropping-particle" : "", "parse-names" : false, "suffix" : "" }, { "dropping-particle" : "", "family" : "Dixit", "given" : "Sanjay", "non-dropping-particle" : "", "parse-names" : false, "suffix" : "" }, { "dropping-particle" : "", "family" : "Callans", "given" : "David J", "non-dropping-particle" : "", "parse-names" : false, "suffix" : "" }, { "dropping-particle" : "", "family" : "Rajawat", "given" : "Yadavendra", "non-dropping-particle" : "", "parse-names" : false, "suffix" : "" }, { "dropping-particle" : "", "family" : "Rho", "given" : "Robert", "non-dropping-particle" : "", "parse-names" : false, "suffix" : "" }, { "dropping-particle" : "", "family" : "Marchlinski", "given" : "Francis E", "non-dropping-particle" : "", "parse-names" : false, "suffix" : "" } ], "container-title" : "Journal of the American College of Cardiology", "id" : "ITEM-3", "issue" : "11", "issued" : { "date-parts" : [ [ "2003", "6", "4" ] ] }, "note" : "Used Corr and MAD and talk about other uses of metrics\n\nFound 5% beat to beat variation in morphology of VT.", "page" : "2046-2053", "title" : "Quantitative comparison of spontaneous and paced 12-lead electrocardiogram during right ventricular outflow tract ventricular tachycardia.", "type" : "article-journal", "volume" : "41" }, "uris" : [ "http://www.mendeley.com/documents/?uuid=82fa6c9c-ac39-4ca9-b096-67a7577d8bce" ] } ], "mendeley" : { "formattedCitation" : "&lt;sup&gt;2,6,7&lt;/sup&gt;", "plainTextFormattedCitation" : "2,6,7", "previouslyFormattedCitation" : "&lt;sup&gt;2,6,7&lt;/sup&gt;" }, "properties" : { "noteIndex" : 0 }, "schema" : "https://github.com/citation-style-language/schema/raw/master/csl-citation.json" }</w:instrText>
      </w:r>
      <w:r w:rsidR="00453D60">
        <w:fldChar w:fldCharType="separate"/>
      </w:r>
      <w:r w:rsidR="00453D60" w:rsidRPr="00453D60">
        <w:rPr>
          <w:noProof/>
          <w:vertAlign w:val="superscript"/>
        </w:rPr>
        <w:t>2,6,7</w:t>
      </w:r>
      <w:r w:rsidR="00453D60">
        <w:fldChar w:fldCharType="end"/>
      </w:r>
      <w:r w:rsidRPr="00864249">
        <w:t xml:space="preserve">  Only one other study has attempted to quantify this relationship </w:t>
      </w:r>
      <w:r w:rsidR="00BF2480">
        <w:t>using</w:t>
      </w:r>
      <w:r w:rsidRPr="00864249">
        <w:t xml:space="preserve"> the </w:t>
      </w:r>
      <w:r w:rsidR="008449FA">
        <w:t>correlation coefficient</w:t>
      </w:r>
      <w:r w:rsidRPr="00864249">
        <w:t xml:space="preserve"> </w:t>
      </w:r>
      <w:r w:rsidR="00BF2480">
        <w:t>during</w:t>
      </w:r>
      <w:r w:rsidRPr="00864249">
        <w:t xml:space="preserve"> sequential unipolar pacing from a quadripolar catheter with 5</w:t>
      </w:r>
      <w:r w:rsidR="00453D60">
        <w:t xml:space="preserve"> </w:t>
      </w:r>
      <w:r w:rsidRPr="00864249">
        <w:t>mm inter-electrode distance positioned within the RV apex. Th</w:t>
      </w:r>
      <w:r w:rsidR="007A4B3A">
        <w:t>at</w:t>
      </w:r>
      <w:r w:rsidRPr="00864249">
        <w:t xml:space="preserve"> study demonstrated a mean decrease of 3% in the </w:t>
      </w:r>
      <w:r w:rsidR="008449FA">
        <w:t xml:space="preserve">correlation coefficient </w:t>
      </w:r>
      <w:r w:rsidRPr="00864249">
        <w:t>per mm distance using the paced ECG morphology from the dis</w:t>
      </w:r>
      <w:r w:rsidR="00792BC7">
        <w:t>tal pole as the reference.</w:t>
      </w:r>
      <w:r w:rsidR="00792BC7">
        <w:fldChar w:fldCharType="begin" w:fldLock="1"/>
      </w:r>
      <w:r w:rsidR="00BB4297">
        <w:instrText>ADDIN CSL_CITATION { "citationItems" : [ { "id" : "ITEM-1", "itemData" : { "ISSN" : "0002-9149", "PMID" : "11377362", "author" : [ { "dropping-particle" : "", "family" : "Saba", "given" : "S", "non-dropping-particle" : "", "parse-names" : false, "suffix" : "" }, { "dropping-particle" : "", "family" : "Feld", "given" : "G", "non-dropping-particle" : "", "parse-names" : false, "suffix" : "" }, { "dropping-particle" : "", "family" : "Yang", "given" : "S", "non-dropping-particle" : "", "parse-names" : false, "suffix" : "" }, { "dropping-particle" : "", "family" : "MacAdam", "given" : "D", "non-dropping-particle" : "", "parse-names" : false, "suffix" : "" }, { "dropping-particle" : "", "family" : "Su", "given" : "W", "non-dropping-particle" : "", "parse-names" : false, "suffix" : "" }, { "dropping-particle" : "", "family" : "Link", "given" : "M S", "non-dropping-particle" : "", "parse-names" : false, "suffix" : "" }, { "dropping-particle" : "", "family" : "Homoud", "given" : "M K", "non-dropping-particle" : "", "parse-names" : false, "suffix" : "" }, { "dropping-particle" : "", "family" : "Foote", "given" : "C", "non-dropping-particle" : "", "parse-names" : false, "suffix" : "" }, { "dropping-particle" : "", "family" : "Estes", "given" : "N A", "non-dropping-particle" : "", "parse-names" : false, "suffix" : "" }, { "dropping-particle" : "", "family" : "Wang", "given" : "P J", "non-dropping-particle" : "", "parse-names" : false, "suffix" : "" } ], "container-title" : "The American journal of cardiology", "id" : "ITEM-1", "issue" : "11", "issued" : { "date-parts" : [ [ "2001", "6", "1" ] ] }, "note" : "Corr", "page" : "1301-1305", "title" : "Testing of a new real-time computer algorithm as an aid to pace mapping and entrainment with concealed fusion.", "type" : "article-journal", "volume" : "87" }, "uris" : [ "http://www.mendeley.com/documents/?uuid=e5fa9bde-a798-4df7-8854-25468d969bf8" ] } ], "mendeley" : { "formattedCitation" : "&lt;sup&gt;8&lt;/sup&gt;", "plainTextFormattedCitation" : "8", "previouslyFormattedCitation" : "&lt;sup&gt;8&lt;/sup&gt;" }, "properties" : { "noteIndex" : 0 }, "schema" : "https://github.com/citation-style-language/schema/raw/master/csl-citation.json" }</w:instrText>
      </w:r>
      <w:r w:rsidR="00792BC7">
        <w:fldChar w:fldCharType="separate"/>
      </w:r>
      <w:r w:rsidR="00942A54" w:rsidRPr="00942A54">
        <w:rPr>
          <w:noProof/>
          <w:vertAlign w:val="superscript"/>
        </w:rPr>
        <w:t>8</w:t>
      </w:r>
      <w:r w:rsidR="00792BC7">
        <w:fldChar w:fldCharType="end"/>
      </w:r>
      <w:r w:rsidR="00792BC7">
        <w:t xml:space="preserve"> </w:t>
      </w:r>
    </w:p>
    <w:p w14:paraId="525C1033" w14:textId="77777777" w:rsidR="00E50982" w:rsidRDefault="00E50982" w:rsidP="00E50982">
      <w:pPr>
        <w:pStyle w:val="Heading3"/>
      </w:pPr>
      <w:r>
        <w:t>Resolution of pacemapping</w:t>
      </w:r>
    </w:p>
    <w:p w14:paraId="30E64EE4" w14:textId="5B8E3E5E" w:rsidR="00E50982" w:rsidRDefault="00E50982" w:rsidP="00E50982">
      <w:r>
        <w:t>A</w:t>
      </w:r>
      <w:r w:rsidRPr="00E50982">
        <w:t xml:space="preserve">nalysis of </w:t>
      </w:r>
      <w:r>
        <w:t>our</w:t>
      </w:r>
      <w:r w:rsidRPr="00E50982">
        <w:t xml:space="preserve"> data stratified by distance indicates that the relationship is strongest </w:t>
      </w:r>
      <w:r w:rsidR="009D4FCF">
        <w:t>for</w:t>
      </w:r>
      <w:r w:rsidRPr="00E50982">
        <w:t xml:space="preserve"> pac</w:t>
      </w:r>
      <w:r w:rsidR="006B05BD">
        <w:t>ing sites</w:t>
      </w:r>
      <w:r w:rsidRPr="00E50982">
        <w:t xml:space="preserve"> within </w:t>
      </w:r>
      <w:r w:rsidR="00E46E26">
        <w:t xml:space="preserve">a distance of </w:t>
      </w:r>
      <w:r w:rsidRPr="00E50982">
        <w:t>10-50</w:t>
      </w:r>
      <w:r w:rsidR="00453D60">
        <w:t xml:space="preserve"> </w:t>
      </w:r>
      <w:r w:rsidRPr="00E50982">
        <w:t>mm</w:t>
      </w:r>
      <w:r w:rsidR="004E5359">
        <w:t>.</w:t>
      </w:r>
      <w:r w:rsidRPr="00E50982">
        <w:t xml:space="preserve"> </w:t>
      </w:r>
      <w:r w:rsidR="00E46E26">
        <w:t>T</w:t>
      </w:r>
      <w:r w:rsidRPr="00E50982">
        <w:t xml:space="preserve">he greatest change in E12 per mm distance </w:t>
      </w:r>
      <w:r w:rsidR="00E46E26">
        <w:t xml:space="preserve">is </w:t>
      </w:r>
      <w:r w:rsidRPr="00E50982">
        <w:t>within the 10-20</w:t>
      </w:r>
      <w:r w:rsidR="00453D60">
        <w:t xml:space="preserve"> </w:t>
      </w:r>
      <w:r w:rsidRPr="00E50982">
        <w:t>mm range. Below 10mm and above 50mm, the association becomes non-significant. Th</w:t>
      </w:r>
      <w:r w:rsidR="00E46E26">
        <w:t>es</w:t>
      </w:r>
      <w:r w:rsidR="004E5359">
        <w:t>e</w:t>
      </w:r>
      <w:r w:rsidRPr="00E50982">
        <w:t xml:space="preserve"> data</w:t>
      </w:r>
      <w:r w:rsidR="004E5359">
        <w:t xml:space="preserve"> </w:t>
      </w:r>
      <w:r w:rsidR="00E46E26">
        <w:t>are</w:t>
      </w:r>
      <w:r w:rsidRPr="00E50982">
        <w:t xml:space="preserve"> in keeping with the limited </w:t>
      </w:r>
      <w:r w:rsidR="004E5359">
        <w:t xml:space="preserve">existing </w:t>
      </w:r>
      <w:r w:rsidRPr="00E50982">
        <w:t>data on the resolution of pacemapping</w:t>
      </w:r>
      <w:r w:rsidR="0072369F">
        <w:t>, to identify the exit site or site of origin of a ventricular arrhythmia,</w:t>
      </w:r>
      <w:r w:rsidRPr="00E50982">
        <w:t xml:space="preserve"> using the standard surface ECG configuration. In the study by Azegami et al, semi</w:t>
      </w:r>
      <w:r w:rsidR="00941113">
        <w:t>-</w:t>
      </w:r>
      <w:r w:rsidRPr="00E50982">
        <w:t xml:space="preserve">quantitative ECG morphology analysis established that the mean maximum distance between best pacemap match points in the RVOT </w:t>
      </w:r>
      <w:r w:rsidRPr="00E50982">
        <w:lastRenderedPageBreak/>
        <w:t xml:space="preserve">of patients undergoing ablation for idiopathic VA </w:t>
      </w:r>
      <w:r>
        <w:t>was 18</w:t>
      </w:r>
      <w:r w:rsidR="00941113">
        <w:t xml:space="preserve"> </w:t>
      </w:r>
      <w:r>
        <w:t>±</w:t>
      </w:r>
      <w:r w:rsidR="00941113">
        <w:t xml:space="preserve"> </w:t>
      </w:r>
      <w:r>
        <w:t>5mm (range 11-26</w:t>
      </w:r>
      <w:r w:rsidR="00F13C23">
        <w:t xml:space="preserve"> </w:t>
      </w:r>
      <w:r>
        <w:t>mm).</w:t>
      </w:r>
      <w:r>
        <w:fldChar w:fldCharType="begin" w:fldLock="1"/>
      </w:r>
      <w:r w:rsidR="00BB4297">
        <w:instrText>ADDIN CSL_CITATION { "citationItems" : [ { "id" : "ITEM-1", "itemData" : { "DOI" : "10.1111/j.1540-8167.2005.50041.x", "ISSN" : "1045-3873", "PMID" : "16101622", "abstract" : "The purpose of this study was to compare the spatial resolution of activation mapping and pacemapping in patients undergoing ablation of idiopathic ventricular tachycardia (VT) arising from the right ventricular outflow tract (RVOT). A direct comparison of the two techniques has not been undertaken.", "author" : [ { "dropping-particle" : "", "family" : "Azegami", "given" : "Koji", "non-dropping-particle" : "", "parse-names" : false, "suffix" : "" }, { "dropping-particle" : "", "family" : "Wilber", "given" : "David J", "non-dropping-particle" : "", "parse-names" : false, "suffix" : "" }, { "dropping-particle" : "", "family" : "Arruda", "given" : "Mauricio", "non-dropping-particle" : "", "parse-names" : false, "suffix" : "" }, { "dropping-particle" : "", "family" : "Lin", "given" : "Albert C", "non-dropping-particle" : "", "parse-names" : false, "suffix" : "" }, { "dropping-particle" : "", "family" : "Denman", "given" : "Russell A", "non-dropping-particle" : "", "parse-names" : false, "suffix" : "" } ], "container-title" : "Journal of cardiovascular electrophysiology", "id" : "ITEM-1", "issue" : "8", "issued" : { "date-parts" : [ [ "2005", "8" ] ] }, "note" : "Isoprenaline vs non", "page" : "823-829", "title" : "Spatial resolution of pacemapping and activation mapping in patients with idiopathic right ventricular outflow tract tachycardia.", "type" : "article-journal", "volume" : "16" }, "uris" : [ "http://www.mendeley.com/documents/?uuid=5f87732b-53d0-4aa8-9e6a-84d2036f1b79" ] } ], "mendeley" : { "formattedCitation" : "&lt;sup&gt;6&lt;/sup&gt;", "plainTextFormattedCitation" : "6", "previouslyFormattedCitation" : "&lt;sup&gt;6&lt;/sup&gt;" }, "properties" : { "noteIndex" : 0 }, "schema" : "https://github.com/citation-style-language/schema/raw/master/csl-citation.json" }</w:instrText>
      </w:r>
      <w:r>
        <w:fldChar w:fldCharType="separate"/>
      </w:r>
      <w:r w:rsidR="00942A54" w:rsidRPr="00942A54">
        <w:rPr>
          <w:noProof/>
          <w:vertAlign w:val="superscript"/>
        </w:rPr>
        <w:t>6</w:t>
      </w:r>
      <w:r>
        <w:fldChar w:fldCharType="end"/>
      </w:r>
      <w:r w:rsidRPr="00E50982">
        <w:t xml:space="preserve"> In another study, the spatial resolution of pacemapping in the RVOT in a similar group of patients was 1.8</w:t>
      </w:r>
      <w:r w:rsidR="00941113">
        <w:t xml:space="preserve"> </w:t>
      </w:r>
      <w:r w:rsidRPr="00E50982">
        <w:t>±</w:t>
      </w:r>
      <w:r w:rsidR="00941113">
        <w:t xml:space="preserve"> </w:t>
      </w:r>
      <w:r w:rsidRPr="00E50982">
        <w:t>0.6</w:t>
      </w:r>
      <w:r w:rsidR="00F13C23">
        <w:t xml:space="preserve"> </w:t>
      </w:r>
      <w:r w:rsidRPr="00E50982">
        <w:t>cm</w:t>
      </w:r>
      <w:r w:rsidRPr="00F13C23">
        <w:rPr>
          <w:vertAlign w:val="superscript"/>
        </w:rPr>
        <w:t>2</w:t>
      </w:r>
      <w:r w:rsidRPr="00E50982">
        <w:t xml:space="preserve"> when considering morphologies with ≥</w:t>
      </w:r>
      <w:r w:rsidR="00F13C23">
        <w:t xml:space="preserve"> </w:t>
      </w:r>
      <w:r w:rsidRPr="00E50982">
        <w:t>11/12 leads that match</w:t>
      </w:r>
      <w:r w:rsidR="009D4FCF">
        <w:t>ed</w:t>
      </w:r>
      <w:r w:rsidRPr="00E50982">
        <w:t>.</w:t>
      </w:r>
      <w:r>
        <w:fldChar w:fldCharType="begin" w:fldLock="1"/>
      </w:r>
      <w:r w:rsidR="00BB4297">
        <w:instrText>ADDIN CSL_CITATION { "citationItems" : [ { "id" : "ITEM-1", "itemData" : { "DOI" : "10.1016/j.hrthm.2007.11.011", "ISSN" : "1547-5271", "PMID" : "18313589", "abstract" : "Pace mapping has been used to identify the site of origin of focal ventricular arrhythmias. The spatial resolution of pace mapping has not been adequately quantified using currently available three-dimensional mapping systems.", "author" : [ { "dropping-particle" : "", "family" : "Bogun", "given" : "Frank", "non-dropping-particle" : "", "parse-names" : false, "suffix" : "" }, { "dropping-particle" : "", "family" : "Taj", "given" : "Majid", "non-dropping-particle" : "", "parse-names" : false, "suffix" : "" }, { "dropping-particle" : "", "family" : "Ting", "given" : "Michael", "non-dropping-particle" : "", "parse-names" : false, "suffix" : "" }, { "dropping-particle" : "", "family" : "Kim", "given" : "Hyungjin Myra", "non-dropping-particle" : "", "parse-names" : false, "suffix" : "" }, { "dropping-particle" : "", "family" : "Reich", "given" : "Stephen", "non-dropping-particle" : "", "parse-names" : false, "suffix" : "" }, { "dropping-particle" : "", "family" : "Good", "given" : "Eric", "non-dropping-particle" : "", "parse-names" : false, "suffix" : "" }, { "dropping-particle" : "", "family" : "Jongnarangsin", "given" : "Krit", "non-dropping-particle" : "", "parse-names" : false, "suffix" : "" }, { "dropping-particle" : "", "family" : "Chugh", "given" : "Aman", "non-dropping-particle" : "", "parse-names" : false, "suffix" : "" }, { "dropping-particle" : "", "family" : "Pelosi", "given" : "Frank", "non-dropping-particle" : "", "parse-names" : false, "suffix" : "" }, { "dropping-particle" : "", "family" : "Oral", "given" : "Hakan", "non-dropping-particle" : "", "parse-names" : false, "suffix" : "" }, { "dropping-particle" : "", "family" : "Morady", "given" : "Fred", "non-dropping-particle" : "", "parse-names" : false, "suffix" : "" } ], "container-title" : "Heart rhythm : the official journal of the Heart Rhythm Society", "id" : "ITEM-1", "issue" : "3", "issued" : { "date-parts" : [ [ "2008", "3" ] ] }, "page" : "339-344", "title" : "Spatial resolution of pace mapping of idiopathic ventricular tachycardia/ectopy originating in the right ventricular outflow tract.", "type" : "article-journal", "volume" : "5" }, "uris" : [ "http://www.mendeley.com/documents/?uuid=b2457647-bec8-47a3-8e0c-2db047a6903a" ] } ], "mendeley" : { "formattedCitation" : "&lt;sup&gt;2&lt;/sup&gt;", "plainTextFormattedCitation" : "2", "previouslyFormattedCitation" : "&lt;sup&gt;2&lt;/sup&gt;" }, "properties" : { "noteIndex" : 0 }, "schema" : "https://github.com/citation-style-language/schema/raw/master/csl-citation.json" }</w:instrText>
      </w:r>
      <w:r>
        <w:fldChar w:fldCharType="separate"/>
      </w:r>
      <w:r w:rsidR="00942A54" w:rsidRPr="00942A54">
        <w:rPr>
          <w:noProof/>
          <w:vertAlign w:val="superscript"/>
        </w:rPr>
        <w:t>2</w:t>
      </w:r>
      <w:r>
        <w:fldChar w:fldCharType="end"/>
      </w:r>
      <w:r w:rsidRPr="00E50982">
        <w:t xml:space="preserve"> In the only study reporting spatial resolution of pacemapping in the LV, Sinno et al. performed pacemapping restricted to areas of endocardial voltage &lt;</w:t>
      </w:r>
      <w:r w:rsidR="00F13C23">
        <w:t xml:space="preserve"> </w:t>
      </w:r>
      <w:r w:rsidRPr="00E50982">
        <w:t>1.5</w:t>
      </w:r>
      <w:r w:rsidR="00F13C23">
        <w:t xml:space="preserve"> </w:t>
      </w:r>
      <w:r w:rsidRPr="00E50982">
        <w:t xml:space="preserve">mV in patients undergoing ablation for ischaemic VT. The investigators established that </w:t>
      </w:r>
      <w:r w:rsidR="00941113">
        <w:t xml:space="preserve">the area in which </w:t>
      </w:r>
      <w:r w:rsidRPr="00E50982">
        <w:t>matching pacemaps ≥</w:t>
      </w:r>
      <w:r w:rsidR="00F13C23">
        <w:t xml:space="preserve"> </w:t>
      </w:r>
      <w:r w:rsidRPr="00E50982">
        <w:t>10/12 leads</w:t>
      </w:r>
      <w:r w:rsidR="00941113">
        <w:t xml:space="preserve"> can be achieved was</w:t>
      </w:r>
      <w:r w:rsidRPr="00E50982">
        <w:t xml:space="preserve"> </w:t>
      </w:r>
      <w:r w:rsidR="00941113">
        <w:t>3.86 ± 1.9</w:t>
      </w:r>
      <w:r w:rsidR="00F13C23">
        <w:t xml:space="preserve"> </w:t>
      </w:r>
      <w:r w:rsidR="00941113">
        <w:t>cm</w:t>
      </w:r>
      <w:r w:rsidR="00941113" w:rsidRPr="00E24390">
        <w:rPr>
          <w:vertAlign w:val="superscript"/>
        </w:rPr>
        <w:t>2</w:t>
      </w:r>
      <w:r w:rsidR="00941113">
        <w:t xml:space="preserve"> </w:t>
      </w:r>
      <w:r w:rsidRPr="00E50982">
        <w:t>at exit sites within borde</w:t>
      </w:r>
      <w:r>
        <w:t>r zone tissue</w:t>
      </w:r>
      <w:r w:rsidR="00941113">
        <w:t xml:space="preserve">, and </w:t>
      </w:r>
      <w:r w:rsidRPr="00E50982">
        <w:t xml:space="preserve"> 1.41</w:t>
      </w:r>
      <w:r w:rsidR="00941113">
        <w:t xml:space="preserve"> </w:t>
      </w:r>
      <w:r w:rsidRPr="00E50982">
        <w:t>±</w:t>
      </w:r>
      <w:r w:rsidR="00941113">
        <w:t xml:space="preserve"> </w:t>
      </w:r>
      <w:r w:rsidRPr="00E50982">
        <w:t>1.6</w:t>
      </w:r>
      <w:r w:rsidR="00F13C23">
        <w:t xml:space="preserve"> </w:t>
      </w:r>
      <w:r w:rsidRPr="00E50982">
        <w:t>cm</w:t>
      </w:r>
      <w:r w:rsidRPr="00F13C23">
        <w:rPr>
          <w:vertAlign w:val="superscript"/>
        </w:rPr>
        <w:t>2</w:t>
      </w:r>
      <w:r w:rsidRPr="00E50982">
        <w:t xml:space="preserve"> for non-ex</w:t>
      </w:r>
      <w:r>
        <w:t>it sites within dense scar.</w:t>
      </w:r>
      <w:r w:rsidR="00381F63">
        <w:fldChar w:fldCharType="begin" w:fldLock="1"/>
      </w:r>
      <w:r w:rsidR="00BB4297">
        <w:instrText>ADDIN CSL_CITATION { "citationItems" : [ { "id" : "ITEM-1", "itemData" : { "DOI" : "10.1016/j.hrthm.2013.02.009", "ISSN" : "15475271", "author" : [ { "dropping-particle" : "", "family" : "Sinno", "given" : "Mohamad C.", "non-dropping-particle" : "", "parse-names" : false, "suffix" : "" }, { "dropping-particle" : "", "family" : "Yokokawa", "given" : "Miki", "non-dropping-particle" : "", "parse-names" : false, "suffix" : "" }, { "dropping-particle" : "", "family" : "Good", "given" : "Eric", "non-dropping-particle" : "", "parse-names" : false, "suffix" : "" }, { "dropping-particle" : "", "family" : "Oral", "given" : "Hakan", "non-dropping-particle" : "", "parse-names" : false, "suffix" : "" }, { "dropping-particle" : "", "family" : "Pelosi", "given" : "Frank", "non-dropping-particle" : "", "parse-names" : false, "suffix" : "" }, { "dropping-particle" : "", "family" : "Chugh", "given" : "Aman", "non-dropping-particle" : "", "parse-names" : false, "suffix" : "" }, { "dropping-particle" : "", "family" : "Jongnarangsin", "given" : "Krit", "non-dropping-particle" : "", "parse-names" : false, "suffix" : "" }, { "dropping-particle" : "", "family" : "Ghanbari", "given" : "Hamid", "non-dropping-particle" : "", "parse-names" : false, "suffix" : "" }, { "dropping-particle" : "", "family" : "Latchamsetty", "given" : "Rakesh", "non-dropping-particle" : "", "parse-names" : false, "suffix" : "" }, { "dropping-particle" : "", "family" : "Morady", "given" : "Fred", "non-dropping-particle" : "", "parse-names" : false, "suffix" : "" }, { "dropping-particle" : "", "family" : "Bogun", "given" : "Frank", "non-dropping-particle" : "", "parse-names" : false, "suffix" : "" } ], "container-title" : "Heart Rhythm", "id" : "ITEM-1", "issue" : "6", "issued" : { "date-parts" : [ [ "2013", "6" ] ] }, "page" : "794-799", "title" : "Endocardial ablation of postinfarction ventricular tachycardia with nonendocardial exit sites", "type" : "article-journal", "volume" : "10" }, "uris" : [ "http://www.mendeley.com/documents/?uuid=44097c02-494f-3f21-8fc3-0c19b90b1c1c" ] } ], "mendeley" : { "formattedCitation" : "&lt;sup&gt;9&lt;/sup&gt;", "plainTextFormattedCitation" : "9", "previouslyFormattedCitation" : "&lt;sup&gt;9&lt;/sup&gt;" }, "properties" : { "noteIndex" : 0 }, "schema" : "https://github.com/citation-style-language/schema/raw/master/csl-citation.json" }</w:instrText>
      </w:r>
      <w:r w:rsidR="00381F63">
        <w:fldChar w:fldCharType="separate"/>
      </w:r>
      <w:r w:rsidR="00381F63" w:rsidRPr="00381F63">
        <w:rPr>
          <w:noProof/>
          <w:vertAlign w:val="superscript"/>
        </w:rPr>
        <w:t>9</w:t>
      </w:r>
      <w:r w:rsidR="00381F63">
        <w:fldChar w:fldCharType="end"/>
      </w:r>
      <w:r w:rsidRPr="00E50982">
        <w:t xml:space="preserve"> In contrast to our protocol</w:t>
      </w:r>
      <w:r w:rsidR="00941113">
        <w:t>,</w:t>
      </w:r>
      <w:r w:rsidRPr="00E50982">
        <w:t xml:space="preserve"> where </w:t>
      </w:r>
      <w:r w:rsidR="00941113">
        <w:t xml:space="preserve">areas of preserved voltage were targeted for </w:t>
      </w:r>
      <w:r w:rsidRPr="00E50982">
        <w:t>pac</w:t>
      </w:r>
      <w:r w:rsidR="009C5659">
        <w:t>ing</w:t>
      </w:r>
      <w:r w:rsidR="00941113">
        <w:t>,</w:t>
      </w:r>
      <w:r w:rsidRPr="00E50982">
        <w:t xml:space="preserve"> the study by Sinno et al. concentrated pacemapping efforts in areas of abnormal voltage &lt;1.5</w:t>
      </w:r>
      <w:r w:rsidR="00F13C23">
        <w:t xml:space="preserve"> </w:t>
      </w:r>
      <w:r w:rsidRPr="00E50982">
        <w:t xml:space="preserve">mV and </w:t>
      </w:r>
      <w:r w:rsidR="00941113">
        <w:t>were thus</w:t>
      </w:r>
      <w:r w:rsidR="00941113" w:rsidRPr="00E50982">
        <w:t xml:space="preserve"> </w:t>
      </w:r>
      <w:r w:rsidRPr="00E50982">
        <w:t>likely to have captured</w:t>
      </w:r>
      <w:r w:rsidR="00E57F86">
        <w:t xml:space="preserve"> </w:t>
      </w:r>
      <w:r w:rsidRPr="00E50982">
        <w:t>isthmus sites where morphology matches could be found but where pac</w:t>
      </w:r>
      <w:r w:rsidR="006B05BD">
        <w:t>ing</w:t>
      </w:r>
      <w:r w:rsidRPr="00E50982">
        <w:t xml:space="preserve"> latency could be prolonged</w:t>
      </w:r>
      <w:r w:rsidR="009D4FCF">
        <w:t>,</w:t>
      </w:r>
      <w:r w:rsidRPr="00E50982">
        <w:t xml:space="preserve"> </w:t>
      </w:r>
      <w:r w:rsidR="009D4FCF">
        <w:t>increasing</w:t>
      </w:r>
      <w:r w:rsidRPr="00E50982">
        <w:t xml:space="preserve"> the area where similar pacemap matches could be found.</w:t>
      </w:r>
    </w:p>
    <w:p w14:paraId="0E6D5CEB" w14:textId="681FCF5E" w:rsidR="00E50982" w:rsidRDefault="00E50982" w:rsidP="00E50982">
      <w:r>
        <w:t>To our knowledge, there is currently no reported data comparing the resolution of pacemapping in different areas of the heart. Our data suggests that diff</w:t>
      </w:r>
      <w:r w:rsidR="009D4FCF">
        <w:t>erences exist between and within</w:t>
      </w:r>
      <w:r>
        <w:t xml:space="preserve"> chambers although it is unclear what effect clinically these differences </w:t>
      </w:r>
      <w:r>
        <w:lastRenderedPageBreak/>
        <w:t>have. When compar</w:t>
      </w:r>
      <w:r w:rsidR="008D4961">
        <w:t>ed</w:t>
      </w:r>
      <w:r>
        <w:t xml:space="preserve"> </w:t>
      </w:r>
      <w:r w:rsidR="008D4961">
        <w:t xml:space="preserve">to </w:t>
      </w:r>
      <w:r>
        <w:t>pac</w:t>
      </w:r>
      <w:r w:rsidR="006B05BD">
        <w:t>ing site</w:t>
      </w:r>
      <w:r>
        <w:t xml:space="preserve"> pairs in the LV, E12</w:t>
      </w:r>
      <w:r w:rsidR="00AF227B">
        <w:t xml:space="preserve"> </w:t>
      </w:r>
      <w:r>
        <w:t xml:space="preserve">values were significantly lower in </w:t>
      </w:r>
      <w:r w:rsidR="008D4961">
        <w:t xml:space="preserve">the </w:t>
      </w:r>
      <w:r>
        <w:t>RV and LVOT</w:t>
      </w:r>
      <w:r w:rsidR="001C32C0">
        <w:t xml:space="preserve"> suggesting a lower spatial resolution</w:t>
      </w:r>
      <w:r w:rsidR="007A4B3A">
        <w:t>.</w:t>
      </w:r>
      <w:r>
        <w:t xml:space="preserve"> Little data exists for morphology mapping in the RV beyond a small number of case series. However, the RV is fundamentally different in structure, being thin-walled, asymmetric and deformable, and in a more anterior position within the chest cavity. As the RV free wall comprises the majority of the endocardial RV surface area and abuts the anterior chest wall, this may limit the vector of excitation away from the chest wall electrodes and thus reduce the range of morphology changes throughout the cavity when compared to the LV which lies more centrally within the chest. Differences in outflow tract compared to the ventricular body in the LV but not the RV could be explained by preferential conduction pathways within the aortic cusps. In support of this hypothesis, analysis of </w:t>
      </w:r>
      <w:r w:rsidR="008D4961">
        <w:t xml:space="preserve">our data for </w:t>
      </w:r>
      <w:r>
        <w:t xml:space="preserve">S-QRS times showed pacing latency was significantly longer in the LVOT compared to the RVOT (p&lt;0.001). </w:t>
      </w:r>
    </w:p>
    <w:p w14:paraId="1A57CA2D" w14:textId="5FB00CD2" w:rsidR="006138C3" w:rsidRDefault="00E50982" w:rsidP="007050F8">
      <w:r>
        <w:t xml:space="preserve">When </w:t>
      </w:r>
      <w:r w:rsidR="008D4961">
        <w:t>comparing</w:t>
      </w:r>
      <w:r>
        <w:t xml:space="preserve"> values across chambers, </w:t>
      </w:r>
      <w:r w:rsidR="006138C3">
        <w:t xml:space="preserve">adjusted </w:t>
      </w:r>
      <w:r>
        <w:t xml:space="preserve">E12 </w:t>
      </w:r>
      <w:r w:rsidR="007A4B3A">
        <w:t xml:space="preserve">estimates </w:t>
      </w:r>
      <w:r>
        <w:t>w</w:t>
      </w:r>
      <w:r w:rsidR="007A4B3A">
        <w:t>ere</w:t>
      </w:r>
      <w:r>
        <w:t xml:space="preserve"> higher in LV-RV pairs compared to LV pairs but no differen</w:t>
      </w:r>
      <w:r w:rsidR="00F363A8">
        <w:t>t</w:t>
      </w:r>
      <w:r>
        <w:t xml:space="preserve"> in LVOT-RVOT pairs compared to RVOT pairs. </w:t>
      </w:r>
      <w:r w:rsidR="0003241F">
        <w:t>H</w:t>
      </w:r>
      <w:r>
        <w:t xml:space="preserve">igher </w:t>
      </w:r>
      <w:r w:rsidR="000B5C7B">
        <w:t xml:space="preserve">adjusted </w:t>
      </w:r>
      <w:r>
        <w:t xml:space="preserve">E12 values may indicate more abrupt changes </w:t>
      </w:r>
      <w:r w:rsidR="008D4961">
        <w:t>in</w:t>
      </w:r>
      <w:r>
        <w:t xml:space="preserve"> morphology across </w:t>
      </w:r>
      <w:r>
        <w:lastRenderedPageBreak/>
        <w:t>the inter-ventricular septum</w:t>
      </w:r>
      <w:r w:rsidR="008D4961">
        <w:t>,</w:t>
      </w:r>
      <w:r>
        <w:t xml:space="preserve"> which in this instance is likely to be due to </w:t>
      </w:r>
      <w:r w:rsidR="008D4961">
        <w:t xml:space="preserve">a </w:t>
      </w:r>
      <w:r>
        <w:t>change in bundle branch morphology, supported by evidence from VT mapping studies invo</w:t>
      </w:r>
      <w:r w:rsidR="0003241F">
        <w:t>lving septal tachycardias.</w:t>
      </w:r>
      <w:r w:rsidR="0003241F">
        <w:fldChar w:fldCharType="begin" w:fldLock="1"/>
      </w:r>
      <w:r w:rsidR="00453D60">
        <w:instrText>ADDIN CSL_CITATION { "citationItems" : [ { "id" : "ITEM-1", "itemData" : { "ISSN" : "0002-9149", "PMID" : "7090991", "abstract" : "The QRS configuration produced by pacing at multiple left ventricular endocardial sites was evaluated in eight patients with (group 1) and six patients without (group 2) left ventricular wait motion abnormalities. Pacing was performed at a total of 122 sites, 4 to 13 sites in each patient. The QRS configuration resulting from apical pacing locations was compared with that at basal, septal to lateral and inferior to superior locations. Significant differences in QRS configuration during pacing from apical and basal locations were observed in electrocardiographic leads I, V1, V2 and V6 (probability [p] less than 0.01). Specifically, a QS pattern in leads I, V2 and V6 was more characteristic of an apical pacing location (p less than 0.001), and a monophasic R wave in leads V1 and V2 was more characteristic of a basal pacing location (p less than 0.01). Significant differences in leads V1 and V2 were observed when septal and lateral pacing sites were compared (p less than 0.001). A monophasic R wave in leads V1 and V2 was more characteristic of a lateral pacing location (p less than 0.01); a QS complex in lead V2 was more characteristic of a septal pacing location (p less than 0.001). Pacing at superior sites usually produced an inferior axis and vice versa (p less than 0.001). The electrocardiographic patterns produced by pacing at similar sites in patients in group 1 were less consistent than those in patients in group 2. The QRS complex during ventricular pacing was wider in patients in group 1 (159 +/- 30 ms) than in patients in group 2 (132 +/- 18 ms) (p less than 0.001). It is concluded that the QRS configuration recorded with 12 lead electrocardiography during endocardial pacing can help locate the region of the pacing site in patients with and without organic heart disease, although precise localization is not possible.", "author" : [ { "dropping-particle" : "", "family" : "Waxman", "given" : "H L", "non-dropping-particle" : "", "parse-names" : false, "suffix" : "" }, { "dropping-particle" : "", "family" : "Josephson", "given" : "M E", "non-dropping-particle" : "", "parse-names" : false, "suffix" : "" } ], "container-title" : "The American journal of cardiology", "id" : "ITEM-1", "issue" : "1", "issued" : { "date-parts" : [ [ "1982", "7" ] ] }, "page" : "1-10", "title" : "Ventricular activation during ventricular endocardial pacing: I. Electrocardiographic patterns related to the site of pacing.", "type" : "article-journal", "volume" : "50" }, "uris" : [ "http://www.mendeley.com/documents/?uuid=71f772da-6f92-431c-9d83-8a962af1e2dd" ] } ], "mendeley" : { "formattedCitation" : "&lt;sup&gt;10&lt;/sup&gt;", "plainTextFormattedCitation" : "10", "previouslyFormattedCitation" : "&lt;sup&gt;10&lt;/sup&gt;" }, "properties" : { "noteIndex" : 0 }, "schema" : "https://github.com/citation-style-language/schema/raw/master/csl-citation.json" }</w:instrText>
      </w:r>
      <w:r w:rsidR="0003241F">
        <w:fldChar w:fldCharType="separate"/>
      </w:r>
      <w:r w:rsidR="00942A54" w:rsidRPr="00942A54">
        <w:rPr>
          <w:noProof/>
          <w:vertAlign w:val="superscript"/>
        </w:rPr>
        <w:t>10</w:t>
      </w:r>
      <w:r w:rsidR="0003241F">
        <w:fldChar w:fldCharType="end"/>
      </w:r>
      <w:r w:rsidR="0003241F">
        <w:t xml:space="preserve"> </w:t>
      </w:r>
      <w:r>
        <w:t xml:space="preserve"> In contrast, mapping data from the outflow tracts suggests a more continuous change in ECG morphology between outflow tracts in both the frontal plane axis and precordial transition, consistent with our finding</w:t>
      </w:r>
      <w:r w:rsidR="0003241F">
        <w:t>s.</w:t>
      </w:r>
      <w:r w:rsidR="00396B87">
        <w:fldChar w:fldCharType="begin" w:fldLock="1"/>
      </w:r>
      <w:r w:rsidR="00BB4297">
        <w:instrText>ADDIN CSL_CITATION { "citationItems" : [ { "id" : "ITEM-1", "itemData" : { "DOI" : "10.1111/jce.12237", "ISSN" : "1540-8167", "PMID" : "24015911", "abstract" : "The outflow tract (OT) regions of the right and left ventricles, common sites of origin for idiopathic ventricular arrhythmias (VA), have complex three-dimensional anatomical relationships. The understanding of in situ or \"attitudinal\" relationships not only informs the electrocardiographic interpretation of VA site of origin, but also facilitates their catheter-based mapping and ablation strategies. By viewing each patient as his or her own \"control,\" the expected changes in ECG morphology (i.e., frontal plane QRS axis and precordial transition) between adjacent intracardiac structures (e.g., RVOT and aortic root) can be reliably predicted. Successful mapping of OT VAs involve a combination of activation and pacemapping guided by fluoroscopy, electroanatomical mapping, and intracardiac echocardiography. The purpose of this manuscript is to provide a simple, reliable strategy for catheter based mapping and ablation of OT VAs. We also discuss 2 specific challenges in OT VA mapping: (1) differentiating posterior RVOT from right coronary cusp VA origin; and (2) mapping VAs originating from the LV summit.", "author" : [ { "dropping-particle" : "", "family" : "Hutchinson", "given" : "Mathew D", "non-dropping-particle" : "", "parse-names" : false, "suffix" : "" }, { "dropping-particle" : "", "family" : "Garcia", "given" : "Fermin C", "non-dropping-particle" : "", "parse-names" : false, "suffix" : "" } ], "container-title" : "Journal of cardiovascular electrophysiology", "id" : "ITEM-1", "issue" : "10", "issued" : { "date-parts" : [ [ "2013", "10" ] ] }, "page" : "1189-1197", "title" : "An organized approach to the localization, mapping, and ablation of outflow tract ventricular arrhythmias.", "type" : "article-journal", "volume" : "24" }, "uris" : [ "http://www.mendeley.com/documents/?uuid=62888956-c5f5-3a03-8fa6-5c06cc20e1a4" ] } ], "mendeley" : { "formattedCitation" : "&lt;sup&gt;11&lt;/sup&gt;", "plainTextFormattedCitation" : "11", "previouslyFormattedCitation" : "&lt;sup&gt;11&lt;/sup&gt;" }, "properties" : { "noteIndex" : 0 }, "schema" : "https://github.com/citation-style-language/schema/raw/master/csl-citation.json" }</w:instrText>
      </w:r>
      <w:r w:rsidR="00396B87">
        <w:fldChar w:fldCharType="separate"/>
      </w:r>
      <w:r w:rsidR="00396B87" w:rsidRPr="00396B87">
        <w:rPr>
          <w:noProof/>
          <w:vertAlign w:val="superscript"/>
        </w:rPr>
        <w:t>11</w:t>
      </w:r>
      <w:r w:rsidR="00396B87">
        <w:fldChar w:fldCharType="end"/>
      </w:r>
      <w:r w:rsidR="009D607C">
        <w:t xml:space="preserve"> </w:t>
      </w:r>
    </w:p>
    <w:p w14:paraId="0ED77D9C" w14:textId="2813B18F" w:rsidR="00C36B22" w:rsidRDefault="00D11398" w:rsidP="006138C3">
      <w:pPr>
        <w:pStyle w:val="Heading3"/>
      </w:pPr>
      <w:r>
        <w:t>Clinical implications</w:t>
      </w:r>
    </w:p>
    <w:p w14:paraId="7D4719C4" w14:textId="7CBFDFA0" w:rsidR="00F13C23" w:rsidRDefault="00D11398" w:rsidP="007050F8">
      <w:r>
        <w:t>Considerable experience is required to determine a next suitable site to achieve a closer pacemap match. In practice, sites are selected arbitrarily and the process repeated iteratively until the closest pacemap match is achieved, which is time inefficient and can have negative implications for the patient and physician.</w:t>
      </w:r>
      <w:r w:rsidR="009A7957">
        <w:t xml:space="preserve"> </w:t>
      </w:r>
      <w:r w:rsidR="00930D7C">
        <w:t xml:space="preserve">Quantifying how much the surface ECG morphology changes per </w:t>
      </w:r>
      <w:r w:rsidR="0056100D">
        <w:t xml:space="preserve">unit </w:t>
      </w:r>
      <w:r w:rsidR="00CA7339">
        <w:t>distance and showing its consistency across a mixed population of patients could lead to improvements in the pacemapping process whereby mapping could become automated.</w:t>
      </w:r>
      <w:r w:rsidR="00CA7339" w:rsidRPr="00CA7339">
        <w:t xml:space="preserve"> </w:t>
      </w:r>
      <w:r w:rsidR="00F13C23">
        <w:t>With this knowledge, one could envisage an automated system that could use the E12-distance relationship graph in an individual patient to predict the distance from an existing pacing site that the exit site of a VT/VE resides, by their morphological difference. In this manner, when using 3 pacing points, the exit site can be “triangulated”.</w:t>
      </w:r>
    </w:p>
    <w:p w14:paraId="4E7664DB" w14:textId="2BB475C1" w:rsidR="00D17C96" w:rsidRDefault="00CA7339" w:rsidP="007050F8">
      <w:r w:rsidRPr="00CA7339">
        <w:lastRenderedPageBreak/>
        <w:t xml:space="preserve">Differences in spatial resolution within different cardiac chambers may be due to limitations imposed by the current ECG recording technique that may be optimised by the addition of further leads, potentially reducing the area of ablation and time required to achieve a successful outcome. </w:t>
      </w:r>
    </w:p>
    <w:p w14:paraId="2F07FF06" w14:textId="77777777" w:rsidR="00D17C96" w:rsidRDefault="00D17C96" w:rsidP="00D17C96">
      <w:pPr>
        <w:pStyle w:val="Heading2"/>
      </w:pPr>
      <w:r>
        <w:t>Limitations</w:t>
      </w:r>
    </w:p>
    <w:p w14:paraId="60CF5E5F" w14:textId="276332CD" w:rsidR="00D17C96" w:rsidRDefault="00D17C96" w:rsidP="00D17C96">
      <w:r>
        <w:t>Pac</w:t>
      </w:r>
      <w:r w:rsidR="000471B6">
        <w:t>ing</w:t>
      </w:r>
      <w:r>
        <w:t xml:space="preserve"> in bipolar mode and with a 3.5mm tip ablation catheter may have resulted in capture of a larger area of myocardium than during unipolar pacing or pacing from catheters with small size electrodes. The use of non-contact force sensing catheters may have potentially resulted in underestimation of the local electrogram amplitude and thus the </w:t>
      </w:r>
      <w:r w:rsidR="004E5359">
        <w:t>overestimation of</w:t>
      </w:r>
      <w:r>
        <w:t xml:space="preserve"> scar</w:t>
      </w:r>
      <w:r w:rsidR="00A1761D">
        <w:t xml:space="preserve"> in certain areas where adequate contact is difficult to achieve</w:t>
      </w:r>
      <w:r>
        <w:t>.</w:t>
      </w:r>
      <w:r w:rsidR="00A1761D">
        <w:t xml:space="preserve"> However, care was taken to ensure good contact, employing both trans-aortic and trans-mi</w:t>
      </w:r>
      <w:r w:rsidR="004E5359">
        <w:t>tral access to the left ventric</w:t>
      </w:r>
      <w:r w:rsidR="00A1761D">
        <w:t>le, and taking voltage points with a single bipole after scrutinizing each for</w:t>
      </w:r>
      <w:r w:rsidR="00C104A0">
        <w:t xml:space="preserve"> its quality. All low vol</w:t>
      </w:r>
      <w:r w:rsidR="00A1761D">
        <w:t xml:space="preserve">tage sites were confirmed with high density point collection locally to minimise the chance of poor contact creating false </w:t>
      </w:r>
      <w:r w:rsidR="00A1761D">
        <w:lastRenderedPageBreak/>
        <w:t>scar</w:t>
      </w:r>
      <w:r>
        <w:t>.</w:t>
      </w:r>
      <w:r w:rsidRPr="003912C9">
        <w:t xml:space="preserve"> </w:t>
      </w:r>
      <w:r w:rsidR="00C104A0">
        <w:t>While c</w:t>
      </w:r>
      <w:r w:rsidRPr="003912C9">
        <w:t>omplete electro</w:t>
      </w:r>
      <w:r>
        <w:t>-</w:t>
      </w:r>
      <w:r w:rsidRPr="003912C9">
        <w:t>anatomical maps were</w:t>
      </w:r>
      <w:r w:rsidR="00C104A0">
        <w:t xml:space="preserve"> performed in patients with documented cardiomyopathy, these were not routinely </w:t>
      </w:r>
      <w:r w:rsidRPr="003912C9">
        <w:t xml:space="preserve">performed in the cohort </w:t>
      </w:r>
      <w:r w:rsidR="00C104A0">
        <w:t xml:space="preserve">with normal cardiac structure and function on pre-procedural imaging, </w:t>
      </w:r>
      <w:r w:rsidRPr="003912C9">
        <w:t xml:space="preserve">and so small areas of scar not detected by conventional imaging modalities </w:t>
      </w:r>
      <w:r>
        <w:t>due to</w:t>
      </w:r>
      <w:r w:rsidRPr="003912C9">
        <w:t xml:space="preserve"> subtle cardiomyopathic processes may have been missed.</w:t>
      </w:r>
      <w:r>
        <w:t xml:space="preserve"> </w:t>
      </w:r>
    </w:p>
    <w:p w14:paraId="1E2B1ECF" w14:textId="77777777" w:rsidR="006138C3" w:rsidRDefault="0003241F" w:rsidP="006138C3">
      <w:pPr>
        <w:pStyle w:val="Heading3"/>
      </w:pPr>
      <w:r>
        <w:t>Conclusions</w:t>
      </w:r>
    </w:p>
    <w:p w14:paraId="4C39A620" w14:textId="163323A7" w:rsidR="0003241F" w:rsidRDefault="00A432A6" w:rsidP="0003241F">
      <w:r>
        <w:t xml:space="preserve">We have shown that a </w:t>
      </w:r>
      <w:r w:rsidR="00F65457">
        <w:t>robust</w:t>
      </w:r>
      <w:r w:rsidR="00BE1546">
        <w:t xml:space="preserve"> and predictable</w:t>
      </w:r>
      <w:r>
        <w:t xml:space="preserve"> </w:t>
      </w:r>
      <w:r w:rsidR="00F21450">
        <w:t xml:space="preserve">positive </w:t>
      </w:r>
      <w:r>
        <w:t>relationship exists between distance and ECG morphological change as measured by RMSE when restricting pac</w:t>
      </w:r>
      <w:r w:rsidR="0056100D">
        <w:t>ing sites</w:t>
      </w:r>
      <w:r>
        <w:t xml:space="preserve"> to areas of myocardial voltage &gt;0.5mV in both structurally normal and abnormal hearts. This may lead to improvements in pacemapping when used as part of an automated navigation system where the relationship could be used to determine the distance a mapping catheter should be moved in order to produce a </w:t>
      </w:r>
      <w:r w:rsidR="00B2632F">
        <w:t>certain change in ECG morphology. Differences in spatial resolution within different cardiac chambers</w:t>
      </w:r>
      <w:r w:rsidR="006138C3">
        <w:t xml:space="preserve"> exist</w:t>
      </w:r>
      <w:r w:rsidR="00CA7339">
        <w:t xml:space="preserve"> and may</w:t>
      </w:r>
      <w:r w:rsidR="009D607C">
        <w:t>be due to limitations imposed by the current ECG recording technique</w:t>
      </w:r>
      <w:r w:rsidR="00CA7339">
        <w:t>.</w:t>
      </w:r>
      <w:r w:rsidR="009D607C">
        <w:t xml:space="preserve"> </w:t>
      </w:r>
    </w:p>
    <w:p w14:paraId="13A3D20F" w14:textId="77777777" w:rsidR="000438B5" w:rsidRDefault="000438B5" w:rsidP="0003241F"/>
    <w:p w14:paraId="1DE46B8E" w14:textId="77777777" w:rsidR="000438B5" w:rsidRDefault="000438B5" w:rsidP="000438B5"/>
    <w:p w14:paraId="0EBE4FBC" w14:textId="77777777" w:rsidR="000438B5" w:rsidRDefault="000438B5" w:rsidP="0003241F"/>
    <w:p w14:paraId="5AA6FFE7" w14:textId="77777777" w:rsidR="003B0766" w:rsidRDefault="003B0766" w:rsidP="003B0766"/>
    <w:p w14:paraId="53B4186F" w14:textId="77777777" w:rsidR="003B0766" w:rsidRPr="003B0766" w:rsidRDefault="003B0766" w:rsidP="003B0766">
      <w:pPr>
        <w:sectPr w:rsidR="003B0766" w:rsidRPr="003B0766">
          <w:footerReference w:type="even" r:id="rId13"/>
          <w:footerReference w:type="default" r:id="rId14"/>
          <w:pgSz w:w="11906" w:h="16838"/>
          <w:pgMar w:top="1440" w:right="1440" w:bottom="1440" w:left="1440" w:header="708" w:footer="708" w:gutter="0"/>
          <w:cols w:space="708"/>
          <w:docGrid w:linePitch="360"/>
        </w:sectPr>
      </w:pPr>
    </w:p>
    <w:p w14:paraId="3F1A3A28" w14:textId="77777777" w:rsidR="00401444" w:rsidRDefault="00401444" w:rsidP="00EC614B">
      <w:pPr>
        <w:pStyle w:val="Heading2"/>
      </w:pPr>
      <w:r>
        <w:lastRenderedPageBreak/>
        <w:t>Acknowledgements</w:t>
      </w:r>
    </w:p>
    <w:p w14:paraId="6C35F695" w14:textId="77777777" w:rsidR="00401444" w:rsidRDefault="00626809" w:rsidP="001B0930">
      <w:pPr>
        <w:pStyle w:val="NoSpacing"/>
        <w:spacing w:line="480" w:lineRule="auto"/>
      </w:pPr>
      <w:r>
        <w:t xml:space="preserve">This work was supported by a fellowship grant from St Jude Medical. </w:t>
      </w:r>
      <w:r w:rsidR="00401444">
        <w:t>Statistical support was provided by Mr Emmanouil Bagkeris at University College London.</w:t>
      </w:r>
      <w:r>
        <w:t xml:space="preserve"> </w:t>
      </w:r>
    </w:p>
    <w:p w14:paraId="01D97A91" w14:textId="05EFCF52" w:rsidR="001B0930" w:rsidRPr="001B0930" w:rsidRDefault="001B0930" w:rsidP="001B0930">
      <w:pPr>
        <w:pStyle w:val="Heading2"/>
      </w:pPr>
      <w:r>
        <w:t>Disclosures</w:t>
      </w:r>
    </w:p>
    <w:p w14:paraId="6AE3A148" w14:textId="5270E2CD" w:rsidR="001B0930" w:rsidRPr="003928CD" w:rsidRDefault="003928CD" w:rsidP="001B0930">
      <w:pPr>
        <w:pStyle w:val="NoSpacing"/>
        <w:spacing w:line="480" w:lineRule="auto"/>
      </w:pPr>
      <w:r>
        <w:t>Dr Anthony Li received f</w:t>
      </w:r>
      <w:r w:rsidR="001B0930">
        <w:t>ellowship support from St Jude Medical</w:t>
      </w:r>
      <w:r>
        <w:t>. Mr Dennis Morgan is an e</w:t>
      </w:r>
      <w:r w:rsidR="001B0930">
        <w:t>mployee of St Jude Medical</w:t>
      </w:r>
      <w:r>
        <w:t>. Dr Magdi Saba</w:t>
      </w:r>
      <w:r w:rsidR="0025562D">
        <w:t xml:space="preserve"> and</w:t>
      </w:r>
      <w:r>
        <w:t xml:space="preserve"> </w:t>
      </w:r>
      <w:r w:rsidR="0025562D">
        <w:t xml:space="preserve">Dr Stephen Shorofsky </w:t>
      </w:r>
      <w:r>
        <w:t>received a m</w:t>
      </w:r>
      <w:r w:rsidR="001B0930">
        <w:t>oderate grant from St Jude Medical and</w:t>
      </w:r>
      <w:r w:rsidR="0025562D">
        <w:t xml:space="preserve"> have</w:t>
      </w:r>
      <w:r w:rsidR="001B0930">
        <w:t xml:space="preserve"> ownership of intellectual property</w:t>
      </w:r>
      <w:r w:rsidR="0025562D">
        <w:t>. All other authors report no conflicts.</w:t>
      </w:r>
      <w:r w:rsidR="001B0930" w:rsidRPr="00C43339">
        <w:rPr>
          <w:b/>
        </w:rPr>
        <w:t xml:space="preserve"> </w:t>
      </w:r>
    </w:p>
    <w:p w14:paraId="08E820B8" w14:textId="77777777" w:rsidR="00D62E74" w:rsidRDefault="00D62E74" w:rsidP="00EC614B">
      <w:pPr>
        <w:pStyle w:val="Heading2"/>
      </w:pPr>
      <w:r>
        <w:t>References</w:t>
      </w:r>
    </w:p>
    <w:p w14:paraId="515D6299" w14:textId="602BF124" w:rsidR="00BB4297" w:rsidRPr="00BB4297" w:rsidRDefault="00D62E74" w:rsidP="00BB4297">
      <w:pPr>
        <w:widowControl w:val="0"/>
        <w:autoSpaceDE w:val="0"/>
        <w:autoSpaceDN w:val="0"/>
        <w:adjustRightInd w:val="0"/>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00BB4297" w:rsidRPr="00BB4297">
        <w:rPr>
          <w:rFonts w:ascii="Calibri" w:hAnsi="Calibri" w:cs="Calibri"/>
          <w:noProof/>
          <w:szCs w:val="24"/>
        </w:rPr>
        <w:t xml:space="preserve">1. </w:t>
      </w:r>
      <w:r w:rsidR="00BB4297" w:rsidRPr="00BB4297">
        <w:rPr>
          <w:rFonts w:ascii="Calibri" w:hAnsi="Calibri" w:cs="Calibri"/>
          <w:noProof/>
          <w:szCs w:val="24"/>
        </w:rPr>
        <w:tab/>
        <w:t xml:space="preserve">Josephson ME, Waxman HL, Cain ME, Gardner MJ, Buxton AE. Ventricular activation during ventricular endocardial pacing. II. Role of pace-mapping to localize origin of ventricular tachycardia. </w:t>
      </w:r>
      <w:r w:rsidR="00BB4297" w:rsidRPr="00BB4297">
        <w:rPr>
          <w:rFonts w:ascii="Calibri" w:hAnsi="Calibri" w:cs="Calibri"/>
          <w:i/>
          <w:iCs/>
          <w:noProof/>
          <w:szCs w:val="24"/>
        </w:rPr>
        <w:t>Am J Cardiol</w:t>
      </w:r>
      <w:r w:rsidR="00BB4297" w:rsidRPr="00BB4297">
        <w:rPr>
          <w:rFonts w:ascii="Calibri" w:hAnsi="Calibri" w:cs="Calibri"/>
          <w:noProof/>
          <w:szCs w:val="24"/>
        </w:rPr>
        <w:t xml:space="preserve">. 1982;50:11–22. </w:t>
      </w:r>
    </w:p>
    <w:p w14:paraId="069C609A" w14:textId="77777777" w:rsidR="00BB4297" w:rsidRPr="00BB4297" w:rsidRDefault="00BB4297" w:rsidP="00BB4297">
      <w:pPr>
        <w:widowControl w:val="0"/>
        <w:autoSpaceDE w:val="0"/>
        <w:autoSpaceDN w:val="0"/>
        <w:adjustRightInd w:val="0"/>
        <w:ind w:left="640" w:hanging="640"/>
        <w:rPr>
          <w:rFonts w:ascii="Calibri" w:hAnsi="Calibri" w:cs="Calibri"/>
          <w:noProof/>
          <w:szCs w:val="24"/>
        </w:rPr>
      </w:pPr>
      <w:r w:rsidRPr="00BB4297">
        <w:rPr>
          <w:rFonts w:ascii="Calibri" w:hAnsi="Calibri" w:cs="Calibri"/>
          <w:noProof/>
          <w:szCs w:val="24"/>
        </w:rPr>
        <w:t xml:space="preserve">2. </w:t>
      </w:r>
      <w:r w:rsidRPr="00BB4297">
        <w:rPr>
          <w:rFonts w:ascii="Calibri" w:hAnsi="Calibri" w:cs="Calibri"/>
          <w:noProof/>
          <w:szCs w:val="24"/>
        </w:rPr>
        <w:tab/>
        <w:t xml:space="preserve">Bogun F, Taj M, Ting M, Kim HM, Reich S, Good E, Jongnarangsin K, Chugh A, Pelosi F, Oral H, Morady F. Spatial resolution of </w:t>
      </w:r>
      <w:r w:rsidRPr="00BB4297">
        <w:rPr>
          <w:rFonts w:ascii="Calibri" w:hAnsi="Calibri" w:cs="Calibri"/>
          <w:noProof/>
          <w:szCs w:val="24"/>
        </w:rPr>
        <w:lastRenderedPageBreak/>
        <w:t xml:space="preserve">pace mapping of idiopathic ventricular tachycardia/ectopy originating in the right ventricular outflow tract. </w:t>
      </w:r>
      <w:r w:rsidRPr="00BB4297">
        <w:rPr>
          <w:rFonts w:ascii="Calibri" w:hAnsi="Calibri" w:cs="Calibri"/>
          <w:i/>
          <w:iCs/>
          <w:noProof/>
          <w:szCs w:val="24"/>
        </w:rPr>
        <w:t>Heart Rhythm</w:t>
      </w:r>
      <w:r w:rsidRPr="00BB4297">
        <w:rPr>
          <w:rFonts w:ascii="Calibri" w:hAnsi="Calibri" w:cs="Calibri"/>
          <w:noProof/>
          <w:szCs w:val="24"/>
        </w:rPr>
        <w:t xml:space="preserve">. 2008;5:339–344. </w:t>
      </w:r>
    </w:p>
    <w:p w14:paraId="38329F54" w14:textId="77777777" w:rsidR="00BB4297" w:rsidRPr="00BB4297" w:rsidRDefault="00BB4297" w:rsidP="00BB4297">
      <w:pPr>
        <w:widowControl w:val="0"/>
        <w:autoSpaceDE w:val="0"/>
        <w:autoSpaceDN w:val="0"/>
        <w:adjustRightInd w:val="0"/>
        <w:ind w:left="640" w:hanging="640"/>
        <w:rPr>
          <w:rFonts w:ascii="Calibri" w:hAnsi="Calibri" w:cs="Calibri"/>
          <w:noProof/>
          <w:szCs w:val="24"/>
        </w:rPr>
      </w:pPr>
      <w:r w:rsidRPr="00BB4297">
        <w:rPr>
          <w:rFonts w:ascii="Calibri" w:hAnsi="Calibri" w:cs="Calibri"/>
          <w:noProof/>
          <w:szCs w:val="24"/>
        </w:rPr>
        <w:t xml:space="preserve">3. </w:t>
      </w:r>
      <w:r w:rsidRPr="00BB4297">
        <w:rPr>
          <w:rFonts w:ascii="Calibri" w:hAnsi="Calibri" w:cs="Calibri"/>
          <w:noProof/>
          <w:szCs w:val="24"/>
        </w:rPr>
        <w:tab/>
        <w:t xml:space="preserve">Bogun F, Krishnan S, Siddiqui M, Good E, Marine JE, Schuger C, Oral H, Chugh A, Pelosi F, Morady F. Electrogram characteristics in postinfarction ventricular tachycardia: effect of infarct age. </w:t>
      </w:r>
      <w:r w:rsidRPr="00BB4297">
        <w:rPr>
          <w:rFonts w:ascii="Calibri" w:hAnsi="Calibri" w:cs="Calibri"/>
          <w:i/>
          <w:iCs/>
          <w:noProof/>
          <w:szCs w:val="24"/>
        </w:rPr>
        <w:t>J Am Coll Cardiol</w:t>
      </w:r>
      <w:r w:rsidRPr="00BB4297">
        <w:rPr>
          <w:rFonts w:ascii="Calibri" w:hAnsi="Calibri" w:cs="Calibri"/>
          <w:noProof/>
          <w:szCs w:val="24"/>
        </w:rPr>
        <w:t xml:space="preserve">. 2005;46:667–674. </w:t>
      </w:r>
    </w:p>
    <w:p w14:paraId="091739E1" w14:textId="77777777" w:rsidR="00BB4297" w:rsidRPr="00BB4297" w:rsidRDefault="00BB4297" w:rsidP="00BB4297">
      <w:pPr>
        <w:widowControl w:val="0"/>
        <w:autoSpaceDE w:val="0"/>
        <w:autoSpaceDN w:val="0"/>
        <w:adjustRightInd w:val="0"/>
        <w:ind w:left="640" w:hanging="640"/>
        <w:rPr>
          <w:rFonts w:ascii="Calibri" w:hAnsi="Calibri" w:cs="Calibri"/>
          <w:noProof/>
          <w:szCs w:val="24"/>
        </w:rPr>
      </w:pPr>
      <w:r w:rsidRPr="00BB4297">
        <w:rPr>
          <w:rFonts w:ascii="Calibri" w:hAnsi="Calibri" w:cs="Calibri"/>
          <w:noProof/>
          <w:szCs w:val="24"/>
        </w:rPr>
        <w:t xml:space="preserve">4. </w:t>
      </w:r>
      <w:r w:rsidRPr="00BB4297">
        <w:rPr>
          <w:rFonts w:ascii="Calibri" w:hAnsi="Calibri" w:cs="Calibri"/>
          <w:noProof/>
          <w:szCs w:val="24"/>
        </w:rPr>
        <w:tab/>
        <w:t xml:space="preserve">Codreanu A, Odille F, Aliot E, Marie P-Y, Magnin-Poull I, Andronache M, Mandry D, Djaballah W, Régent D, Felblinger J, de Chillou C. Electroanatomic characterization of post-infarct scars comparison with 3-dimensional myocardial scar reconstruction based on magnetic resonance imaging. </w:t>
      </w:r>
      <w:r w:rsidRPr="00BB4297">
        <w:rPr>
          <w:rFonts w:ascii="Calibri" w:hAnsi="Calibri" w:cs="Calibri"/>
          <w:i/>
          <w:iCs/>
          <w:noProof/>
          <w:szCs w:val="24"/>
        </w:rPr>
        <w:t>J Am Coll Cardiol</w:t>
      </w:r>
      <w:r w:rsidRPr="00BB4297">
        <w:rPr>
          <w:rFonts w:ascii="Calibri" w:hAnsi="Calibri" w:cs="Calibri"/>
          <w:noProof/>
          <w:szCs w:val="24"/>
        </w:rPr>
        <w:t xml:space="preserve">. 2008;52:839–842. </w:t>
      </w:r>
    </w:p>
    <w:p w14:paraId="5B14107A" w14:textId="77777777" w:rsidR="00BB4297" w:rsidRPr="00BB4297" w:rsidRDefault="00BB4297" w:rsidP="00BB4297">
      <w:pPr>
        <w:widowControl w:val="0"/>
        <w:autoSpaceDE w:val="0"/>
        <w:autoSpaceDN w:val="0"/>
        <w:adjustRightInd w:val="0"/>
        <w:ind w:left="640" w:hanging="640"/>
        <w:rPr>
          <w:rFonts w:ascii="Calibri" w:hAnsi="Calibri" w:cs="Calibri"/>
          <w:noProof/>
          <w:szCs w:val="24"/>
        </w:rPr>
      </w:pPr>
      <w:r w:rsidRPr="00BB4297">
        <w:rPr>
          <w:rFonts w:ascii="Calibri" w:hAnsi="Calibri" w:cs="Calibri"/>
          <w:noProof/>
          <w:szCs w:val="24"/>
        </w:rPr>
        <w:t xml:space="preserve">5. </w:t>
      </w:r>
      <w:r w:rsidRPr="00BB4297">
        <w:rPr>
          <w:rFonts w:ascii="Calibri" w:hAnsi="Calibri" w:cs="Calibri"/>
          <w:noProof/>
          <w:szCs w:val="24"/>
        </w:rPr>
        <w:tab/>
        <w:t xml:space="preserve">Brunckhorst CB, Stevenson WG, Soejima K, Maisel WH, Delacretaz E, Friedman PL, Ben-Haim SA. Relationship of slow conduction detected by pace-mapping to ventricular tachycardia re-entry circuit sites after infarction. </w:t>
      </w:r>
      <w:r w:rsidRPr="00BB4297">
        <w:rPr>
          <w:rFonts w:ascii="Calibri" w:hAnsi="Calibri" w:cs="Calibri"/>
          <w:i/>
          <w:iCs/>
          <w:noProof/>
          <w:szCs w:val="24"/>
        </w:rPr>
        <w:t>J Am Coll Cardiol</w:t>
      </w:r>
      <w:r w:rsidRPr="00BB4297">
        <w:rPr>
          <w:rFonts w:ascii="Calibri" w:hAnsi="Calibri" w:cs="Calibri"/>
          <w:noProof/>
          <w:szCs w:val="24"/>
        </w:rPr>
        <w:t xml:space="preserve">. 2003;41:802–809. </w:t>
      </w:r>
    </w:p>
    <w:p w14:paraId="2BC90AD0" w14:textId="77777777" w:rsidR="00BB4297" w:rsidRPr="00BB4297" w:rsidRDefault="00BB4297" w:rsidP="00BB4297">
      <w:pPr>
        <w:widowControl w:val="0"/>
        <w:autoSpaceDE w:val="0"/>
        <w:autoSpaceDN w:val="0"/>
        <w:adjustRightInd w:val="0"/>
        <w:ind w:left="640" w:hanging="640"/>
        <w:rPr>
          <w:rFonts w:ascii="Calibri" w:hAnsi="Calibri" w:cs="Calibri"/>
          <w:noProof/>
          <w:szCs w:val="24"/>
        </w:rPr>
      </w:pPr>
      <w:r w:rsidRPr="00BB4297">
        <w:rPr>
          <w:rFonts w:ascii="Calibri" w:hAnsi="Calibri" w:cs="Calibri"/>
          <w:noProof/>
          <w:szCs w:val="24"/>
        </w:rPr>
        <w:t xml:space="preserve">6. </w:t>
      </w:r>
      <w:r w:rsidRPr="00BB4297">
        <w:rPr>
          <w:rFonts w:ascii="Calibri" w:hAnsi="Calibri" w:cs="Calibri"/>
          <w:noProof/>
          <w:szCs w:val="24"/>
        </w:rPr>
        <w:tab/>
        <w:t xml:space="preserve">Azegami K, Wilber DJ, Arruda M, Lin AC, Denman RA. Spatial resolution of pacemapping and activation mapping in patients with idiopathic right ventricular outflow tract tachycardia. </w:t>
      </w:r>
      <w:r w:rsidRPr="00BB4297">
        <w:rPr>
          <w:rFonts w:ascii="Calibri" w:hAnsi="Calibri" w:cs="Calibri"/>
          <w:i/>
          <w:iCs/>
          <w:noProof/>
          <w:szCs w:val="24"/>
        </w:rPr>
        <w:t>J Cardiovasc Electrophysiol</w:t>
      </w:r>
      <w:r w:rsidRPr="00BB4297">
        <w:rPr>
          <w:rFonts w:ascii="Calibri" w:hAnsi="Calibri" w:cs="Calibri"/>
          <w:noProof/>
          <w:szCs w:val="24"/>
        </w:rPr>
        <w:t xml:space="preserve">. 2005;16:823–829. </w:t>
      </w:r>
    </w:p>
    <w:p w14:paraId="5AB09604" w14:textId="77777777" w:rsidR="00BB4297" w:rsidRPr="00BB4297" w:rsidRDefault="00BB4297" w:rsidP="00BB4297">
      <w:pPr>
        <w:widowControl w:val="0"/>
        <w:autoSpaceDE w:val="0"/>
        <w:autoSpaceDN w:val="0"/>
        <w:adjustRightInd w:val="0"/>
        <w:ind w:left="640" w:hanging="640"/>
        <w:rPr>
          <w:rFonts w:ascii="Calibri" w:hAnsi="Calibri" w:cs="Calibri"/>
          <w:noProof/>
          <w:szCs w:val="24"/>
        </w:rPr>
      </w:pPr>
      <w:r w:rsidRPr="00BB4297">
        <w:rPr>
          <w:rFonts w:ascii="Calibri" w:hAnsi="Calibri" w:cs="Calibri"/>
          <w:noProof/>
          <w:szCs w:val="24"/>
        </w:rPr>
        <w:lastRenderedPageBreak/>
        <w:t xml:space="preserve">7. </w:t>
      </w:r>
      <w:r w:rsidRPr="00BB4297">
        <w:rPr>
          <w:rFonts w:ascii="Calibri" w:hAnsi="Calibri" w:cs="Calibri"/>
          <w:noProof/>
          <w:szCs w:val="24"/>
        </w:rPr>
        <w:tab/>
        <w:t xml:space="preserve">Gerstenfeld EP, Dixit S, Callans DJ, Rajawat Y, Rho R, Marchlinski FE. Quantitative comparison of spontaneous and paced 12-lead electrocardiogram during right ventricular outflow tract ventricular tachycardia. </w:t>
      </w:r>
      <w:r w:rsidRPr="00BB4297">
        <w:rPr>
          <w:rFonts w:ascii="Calibri" w:hAnsi="Calibri" w:cs="Calibri"/>
          <w:i/>
          <w:iCs/>
          <w:noProof/>
          <w:szCs w:val="24"/>
        </w:rPr>
        <w:t>J Am Coll Cardiol</w:t>
      </w:r>
      <w:r w:rsidRPr="00BB4297">
        <w:rPr>
          <w:rFonts w:ascii="Calibri" w:hAnsi="Calibri" w:cs="Calibri"/>
          <w:noProof/>
          <w:szCs w:val="24"/>
        </w:rPr>
        <w:t xml:space="preserve">. 2003;41:2046–2053. </w:t>
      </w:r>
    </w:p>
    <w:p w14:paraId="43780A18" w14:textId="77777777" w:rsidR="00BB4297" w:rsidRPr="00BB4297" w:rsidRDefault="00BB4297" w:rsidP="00BB4297">
      <w:pPr>
        <w:widowControl w:val="0"/>
        <w:autoSpaceDE w:val="0"/>
        <w:autoSpaceDN w:val="0"/>
        <w:adjustRightInd w:val="0"/>
        <w:ind w:left="640" w:hanging="640"/>
        <w:rPr>
          <w:rFonts w:ascii="Calibri" w:hAnsi="Calibri" w:cs="Calibri"/>
          <w:noProof/>
          <w:szCs w:val="24"/>
        </w:rPr>
      </w:pPr>
      <w:r w:rsidRPr="00BB4297">
        <w:rPr>
          <w:rFonts w:ascii="Calibri" w:hAnsi="Calibri" w:cs="Calibri"/>
          <w:noProof/>
          <w:szCs w:val="24"/>
        </w:rPr>
        <w:t xml:space="preserve">8. </w:t>
      </w:r>
      <w:r w:rsidRPr="00BB4297">
        <w:rPr>
          <w:rFonts w:ascii="Calibri" w:hAnsi="Calibri" w:cs="Calibri"/>
          <w:noProof/>
          <w:szCs w:val="24"/>
        </w:rPr>
        <w:tab/>
        <w:t xml:space="preserve">Saba S, Feld G, Yang S, MacAdam D, Su W, Link MS, Homoud MK, Foote C, Estes NA, Wang PJ. Testing of a new real-time computer algorithm as an aid to pace mapping and entrainment with concealed fusion. </w:t>
      </w:r>
      <w:r w:rsidRPr="00BB4297">
        <w:rPr>
          <w:rFonts w:ascii="Calibri" w:hAnsi="Calibri" w:cs="Calibri"/>
          <w:i/>
          <w:iCs/>
          <w:noProof/>
          <w:szCs w:val="24"/>
        </w:rPr>
        <w:t>Am J Cardiol</w:t>
      </w:r>
      <w:r w:rsidRPr="00BB4297">
        <w:rPr>
          <w:rFonts w:ascii="Calibri" w:hAnsi="Calibri" w:cs="Calibri"/>
          <w:noProof/>
          <w:szCs w:val="24"/>
        </w:rPr>
        <w:t xml:space="preserve">. 2001;87:1301–1305. </w:t>
      </w:r>
    </w:p>
    <w:p w14:paraId="6F28111C" w14:textId="77777777" w:rsidR="00BB4297" w:rsidRPr="00BB4297" w:rsidRDefault="00BB4297" w:rsidP="00BB4297">
      <w:pPr>
        <w:widowControl w:val="0"/>
        <w:autoSpaceDE w:val="0"/>
        <w:autoSpaceDN w:val="0"/>
        <w:adjustRightInd w:val="0"/>
        <w:ind w:left="640" w:hanging="640"/>
        <w:rPr>
          <w:rFonts w:ascii="Calibri" w:hAnsi="Calibri" w:cs="Calibri"/>
          <w:noProof/>
          <w:szCs w:val="24"/>
        </w:rPr>
      </w:pPr>
      <w:r w:rsidRPr="00BB4297">
        <w:rPr>
          <w:rFonts w:ascii="Calibri" w:hAnsi="Calibri" w:cs="Calibri"/>
          <w:noProof/>
          <w:szCs w:val="24"/>
        </w:rPr>
        <w:t xml:space="preserve">9. </w:t>
      </w:r>
      <w:r w:rsidRPr="00BB4297">
        <w:rPr>
          <w:rFonts w:ascii="Calibri" w:hAnsi="Calibri" w:cs="Calibri"/>
          <w:noProof/>
          <w:szCs w:val="24"/>
        </w:rPr>
        <w:tab/>
        <w:t xml:space="preserve">Sinno MC, Yokokawa M, Good E, Oral H, Pelosi F, Chugh A, Jongnarangsin K, Ghanbari H, Latchamsetty R, Morady F, Bogun F. Endocardial ablation of postinfarction ventricular tachycardia with nonendocardial exit sites. </w:t>
      </w:r>
      <w:r w:rsidRPr="00BB4297">
        <w:rPr>
          <w:rFonts w:ascii="Calibri" w:hAnsi="Calibri" w:cs="Calibri"/>
          <w:i/>
          <w:iCs/>
          <w:noProof/>
          <w:szCs w:val="24"/>
        </w:rPr>
        <w:t>Hear Rhythm</w:t>
      </w:r>
      <w:r w:rsidRPr="00BB4297">
        <w:rPr>
          <w:rFonts w:ascii="Calibri" w:hAnsi="Calibri" w:cs="Calibri"/>
          <w:noProof/>
          <w:szCs w:val="24"/>
        </w:rPr>
        <w:t xml:space="preserve">. 2013;10:794–799. </w:t>
      </w:r>
    </w:p>
    <w:p w14:paraId="6F254991" w14:textId="77777777" w:rsidR="00BB4297" w:rsidRPr="00BB4297" w:rsidRDefault="00BB4297" w:rsidP="00BB4297">
      <w:pPr>
        <w:widowControl w:val="0"/>
        <w:autoSpaceDE w:val="0"/>
        <w:autoSpaceDN w:val="0"/>
        <w:adjustRightInd w:val="0"/>
        <w:ind w:left="640" w:hanging="640"/>
        <w:rPr>
          <w:rFonts w:ascii="Calibri" w:hAnsi="Calibri" w:cs="Calibri"/>
          <w:noProof/>
          <w:szCs w:val="24"/>
        </w:rPr>
      </w:pPr>
      <w:r w:rsidRPr="00BB4297">
        <w:rPr>
          <w:rFonts w:ascii="Calibri" w:hAnsi="Calibri" w:cs="Calibri"/>
          <w:noProof/>
          <w:szCs w:val="24"/>
        </w:rPr>
        <w:t xml:space="preserve">10. </w:t>
      </w:r>
      <w:r w:rsidRPr="00BB4297">
        <w:rPr>
          <w:rFonts w:ascii="Calibri" w:hAnsi="Calibri" w:cs="Calibri"/>
          <w:noProof/>
          <w:szCs w:val="24"/>
        </w:rPr>
        <w:tab/>
        <w:t xml:space="preserve">Waxman HL, Josephson ME. Ventricular activation during ventricular endocardial pacing: I. Electrocardiographic patterns related to the site of pacing. </w:t>
      </w:r>
      <w:r w:rsidRPr="00BB4297">
        <w:rPr>
          <w:rFonts w:ascii="Calibri" w:hAnsi="Calibri" w:cs="Calibri"/>
          <w:i/>
          <w:iCs/>
          <w:noProof/>
          <w:szCs w:val="24"/>
        </w:rPr>
        <w:t>Am J Cardiol</w:t>
      </w:r>
      <w:r w:rsidRPr="00BB4297">
        <w:rPr>
          <w:rFonts w:ascii="Calibri" w:hAnsi="Calibri" w:cs="Calibri"/>
          <w:noProof/>
          <w:szCs w:val="24"/>
        </w:rPr>
        <w:t xml:space="preserve">. 1982;50:1–10. </w:t>
      </w:r>
    </w:p>
    <w:p w14:paraId="04843D2F" w14:textId="77777777" w:rsidR="00BB4297" w:rsidRPr="00BB4297" w:rsidRDefault="00BB4297" w:rsidP="00BB4297">
      <w:pPr>
        <w:widowControl w:val="0"/>
        <w:autoSpaceDE w:val="0"/>
        <w:autoSpaceDN w:val="0"/>
        <w:adjustRightInd w:val="0"/>
        <w:ind w:left="640" w:hanging="640"/>
        <w:rPr>
          <w:rFonts w:ascii="Calibri" w:hAnsi="Calibri" w:cs="Calibri"/>
          <w:noProof/>
        </w:rPr>
      </w:pPr>
      <w:r w:rsidRPr="00BB4297">
        <w:rPr>
          <w:rFonts w:ascii="Calibri" w:hAnsi="Calibri" w:cs="Calibri"/>
          <w:noProof/>
          <w:szCs w:val="24"/>
        </w:rPr>
        <w:t xml:space="preserve">11. </w:t>
      </w:r>
      <w:r w:rsidRPr="00BB4297">
        <w:rPr>
          <w:rFonts w:ascii="Calibri" w:hAnsi="Calibri" w:cs="Calibri"/>
          <w:noProof/>
          <w:szCs w:val="24"/>
        </w:rPr>
        <w:tab/>
        <w:t xml:space="preserve">Hutchinson MD, Garcia FC. An organized approach to the localization, mapping, and ablation of outflow tract ventricular arrhythmias. </w:t>
      </w:r>
      <w:r w:rsidRPr="00BB4297">
        <w:rPr>
          <w:rFonts w:ascii="Calibri" w:hAnsi="Calibri" w:cs="Calibri"/>
          <w:i/>
          <w:iCs/>
          <w:noProof/>
          <w:szCs w:val="24"/>
        </w:rPr>
        <w:t>J Cardiovasc Electrophysiol</w:t>
      </w:r>
      <w:r w:rsidRPr="00BB4297">
        <w:rPr>
          <w:rFonts w:ascii="Calibri" w:hAnsi="Calibri" w:cs="Calibri"/>
          <w:noProof/>
          <w:szCs w:val="24"/>
        </w:rPr>
        <w:t xml:space="preserve">. 2013;24:1189–1197. </w:t>
      </w:r>
    </w:p>
    <w:p w14:paraId="4D651201" w14:textId="7FE8C4AE" w:rsidR="00D62E74" w:rsidRDefault="00D62E74" w:rsidP="00BB4297">
      <w:pPr>
        <w:widowControl w:val="0"/>
        <w:autoSpaceDE w:val="0"/>
        <w:autoSpaceDN w:val="0"/>
        <w:adjustRightInd w:val="0"/>
        <w:ind w:left="640" w:hanging="640"/>
      </w:pPr>
      <w:r>
        <w:fldChar w:fldCharType="end"/>
      </w:r>
    </w:p>
    <w:p w14:paraId="3970A1E1" w14:textId="77777777" w:rsidR="00D62E74" w:rsidRDefault="00D62E74">
      <w:pPr>
        <w:spacing w:line="276" w:lineRule="auto"/>
      </w:pPr>
      <w:r>
        <w:lastRenderedPageBreak/>
        <w:br w:type="page"/>
      </w:r>
    </w:p>
    <w:p w14:paraId="088C0A2C" w14:textId="77777777" w:rsidR="00AD5612" w:rsidRDefault="00AD5612" w:rsidP="00AD5612">
      <w:pPr>
        <w:pStyle w:val="Heading2"/>
      </w:pPr>
      <w:r>
        <w:lastRenderedPageBreak/>
        <w:t>Tables</w:t>
      </w:r>
    </w:p>
    <w:p w14:paraId="7F6EE6A3" w14:textId="77777777" w:rsidR="00AD5612" w:rsidRDefault="00AD5612" w:rsidP="00AD5612">
      <w:pPr>
        <w:pStyle w:val="Caption"/>
        <w:keepNext/>
      </w:pPr>
      <w:r>
        <w:t xml:space="preserve">Table </w:t>
      </w:r>
      <w:fldSimple w:instr=" SEQ Table \* ARABIC ">
        <w:r>
          <w:rPr>
            <w:noProof/>
          </w:rPr>
          <w:t>1</w:t>
        </w:r>
      </w:fldSimple>
      <w:r>
        <w:t>:</w:t>
      </w:r>
      <w:r w:rsidRPr="00442C5F">
        <w:t xml:space="preserve"> </w:t>
      </w:r>
      <w:r>
        <w:t>Patient demographics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1961"/>
        <w:gridCol w:w="1961"/>
      </w:tblGrid>
      <w:tr w:rsidR="00AD5612" w:rsidRPr="00800F1F" w14:paraId="6B26A215" w14:textId="77777777" w:rsidTr="00103B1F">
        <w:trPr>
          <w:trHeight w:val="346"/>
          <w:jc w:val="center"/>
        </w:trPr>
        <w:tc>
          <w:tcPr>
            <w:tcW w:w="2264" w:type="dxa"/>
            <w:tcBorders>
              <w:top w:val="single" w:sz="4" w:space="0" w:color="auto"/>
              <w:bottom w:val="single" w:sz="4" w:space="0" w:color="auto"/>
            </w:tcBorders>
            <w:shd w:val="clear" w:color="auto" w:fill="D9D9D9" w:themeFill="background1" w:themeFillShade="D9"/>
          </w:tcPr>
          <w:p w14:paraId="5C93054E" w14:textId="77777777" w:rsidR="00AD5612" w:rsidRPr="00800F1F" w:rsidRDefault="00AD5612" w:rsidP="00103B1F">
            <w:pPr>
              <w:pStyle w:val="NoSpacing"/>
              <w:spacing w:line="480" w:lineRule="auto"/>
              <w:jc w:val="both"/>
              <w:rPr>
                <w:sz w:val="16"/>
                <w:szCs w:val="16"/>
              </w:rPr>
            </w:pPr>
          </w:p>
        </w:tc>
        <w:tc>
          <w:tcPr>
            <w:tcW w:w="1961" w:type="dxa"/>
            <w:tcBorders>
              <w:top w:val="single" w:sz="4" w:space="0" w:color="auto"/>
              <w:bottom w:val="single" w:sz="4" w:space="0" w:color="auto"/>
            </w:tcBorders>
            <w:shd w:val="clear" w:color="auto" w:fill="D9D9D9" w:themeFill="background1" w:themeFillShade="D9"/>
          </w:tcPr>
          <w:p w14:paraId="0F3F788D" w14:textId="77777777" w:rsidR="00AD5612" w:rsidRPr="00800F1F" w:rsidRDefault="00AD5612" w:rsidP="00103B1F">
            <w:pPr>
              <w:pStyle w:val="NoSpacing"/>
              <w:spacing w:line="480" w:lineRule="auto"/>
              <w:jc w:val="both"/>
              <w:rPr>
                <w:b/>
                <w:sz w:val="16"/>
                <w:szCs w:val="16"/>
              </w:rPr>
            </w:pPr>
            <w:r w:rsidRPr="00800F1F">
              <w:rPr>
                <w:b/>
                <w:sz w:val="16"/>
                <w:szCs w:val="16"/>
              </w:rPr>
              <w:t>Normal heart</w:t>
            </w:r>
          </w:p>
          <w:p w14:paraId="11006C54" w14:textId="77777777" w:rsidR="00AD5612" w:rsidRPr="00800F1F" w:rsidRDefault="00AD5612" w:rsidP="00103B1F">
            <w:pPr>
              <w:pStyle w:val="NoSpacing"/>
              <w:spacing w:line="480" w:lineRule="auto"/>
              <w:jc w:val="both"/>
              <w:rPr>
                <w:sz w:val="16"/>
                <w:szCs w:val="16"/>
              </w:rPr>
            </w:pPr>
            <w:r w:rsidRPr="00800F1F">
              <w:rPr>
                <w:sz w:val="16"/>
                <w:szCs w:val="16"/>
              </w:rPr>
              <w:t>n=28 (41%)</w:t>
            </w:r>
          </w:p>
        </w:tc>
        <w:tc>
          <w:tcPr>
            <w:tcW w:w="1961" w:type="dxa"/>
            <w:tcBorders>
              <w:top w:val="single" w:sz="4" w:space="0" w:color="auto"/>
              <w:bottom w:val="single" w:sz="4" w:space="0" w:color="auto"/>
            </w:tcBorders>
            <w:shd w:val="clear" w:color="auto" w:fill="D9D9D9" w:themeFill="background1" w:themeFillShade="D9"/>
          </w:tcPr>
          <w:p w14:paraId="58488158" w14:textId="77777777" w:rsidR="00AD5612" w:rsidRPr="00800F1F" w:rsidRDefault="00AD5612" w:rsidP="00103B1F">
            <w:pPr>
              <w:pStyle w:val="NoSpacing"/>
              <w:spacing w:line="480" w:lineRule="auto"/>
              <w:jc w:val="both"/>
              <w:rPr>
                <w:b/>
                <w:sz w:val="16"/>
                <w:szCs w:val="16"/>
              </w:rPr>
            </w:pPr>
            <w:r w:rsidRPr="00800F1F">
              <w:rPr>
                <w:b/>
                <w:sz w:val="16"/>
                <w:szCs w:val="16"/>
              </w:rPr>
              <w:t>Scar</w:t>
            </w:r>
          </w:p>
          <w:p w14:paraId="7096FAF6" w14:textId="77777777" w:rsidR="00AD5612" w:rsidRPr="00800F1F" w:rsidRDefault="00AD5612" w:rsidP="00103B1F">
            <w:pPr>
              <w:pStyle w:val="NoSpacing"/>
              <w:spacing w:line="480" w:lineRule="auto"/>
              <w:jc w:val="both"/>
              <w:rPr>
                <w:sz w:val="16"/>
                <w:szCs w:val="16"/>
              </w:rPr>
            </w:pPr>
            <w:r w:rsidRPr="00800F1F">
              <w:rPr>
                <w:sz w:val="16"/>
                <w:szCs w:val="16"/>
              </w:rPr>
              <w:t>n=40 (5</w:t>
            </w:r>
            <w:r>
              <w:rPr>
                <w:sz w:val="16"/>
                <w:szCs w:val="16"/>
              </w:rPr>
              <w:t>9</w:t>
            </w:r>
            <w:r w:rsidRPr="00800F1F">
              <w:rPr>
                <w:sz w:val="16"/>
                <w:szCs w:val="16"/>
              </w:rPr>
              <w:t>%)</w:t>
            </w:r>
          </w:p>
        </w:tc>
      </w:tr>
      <w:tr w:rsidR="00AD5612" w:rsidRPr="00800F1F" w14:paraId="5F48AE91" w14:textId="77777777" w:rsidTr="00103B1F">
        <w:trPr>
          <w:trHeight w:val="167"/>
          <w:jc w:val="center"/>
        </w:trPr>
        <w:tc>
          <w:tcPr>
            <w:tcW w:w="2264" w:type="dxa"/>
            <w:tcBorders>
              <w:top w:val="single" w:sz="4" w:space="0" w:color="auto"/>
            </w:tcBorders>
          </w:tcPr>
          <w:p w14:paraId="4424DD11" w14:textId="77777777" w:rsidR="00AD5612" w:rsidRPr="00800F1F" w:rsidRDefault="00AD5612" w:rsidP="00103B1F">
            <w:pPr>
              <w:pStyle w:val="NoSpacing"/>
              <w:spacing w:line="480" w:lineRule="auto"/>
              <w:jc w:val="both"/>
              <w:rPr>
                <w:sz w:val="16"/>
                <w:szCs w:val="16"/>
              </w:rPr>
            </w:pPr>
            <w:r w:rsidRPr="00800F1F">
              <w:rPr>
                <w:sz w:val="16"/>
                <w:szCs w:val="16"/>
              </w:rPr>
              <w:t xml:space="preserve">Age </w:t>
            </w:r>
          </w:p>
        </w:tc>
        <w:tc>
          <w:tcPr>
            <w:tcW w:w="1961" w:type="dxa"/>
            <w:tcBorders>
              <w:top w:val="single" w:sz="4" w:space="0" w:color="auto"/>
            </w:tcBorders>
          </w:tcPr>
          <w:p w14:paraId="55419C22" w14:textId="77777777" w:rsidR="00AD5612" w:rsidRPr="00800F1F" w:rsidRDefault="00AD5612" w:rsidP="00103B1F">
            <w:pPr>
              <w:pStyle w:val="NoSpacing"/>
              <w:spacing w:line="480" w:lineRule="auto"/>
              <w:jc w:val="both"/>
              <w:rPr>
                <w:sz w:val="16"/>
                <w:szCs w:val="16"/>
              </w:rPr>
            </w:pPr>
            <w:r w:rsidRPr="00800F1F">
              <w:rPr>
                <w:sz w:val="16"/>
                <w:szCs w:val="16"/>
              </w:rPr>
              <w:t>49±16</w:t>
            </w:r>
          </w:p>
        </w:tc>
        <w:tc>
          <w:tcPr>
            <w:tcW w:w="1961" w:type="dxa"/>
            <w:tcBorders>
              <w:top w:val="single" w:sz="4" w:space="0" w:color="auto"/>
            </w:tcBorders>
          </w:tcPr>
          <w:p w14:paraId="510F9EB7" w14:textId="77777777" w:rsidR="00AD5612" w:rsidRPr="00800F1F" w:rsidRDefault="00AD5612" w:rsidP="00103B1F">
            <w:pPr>
              <w:pStyle w:val="NoSpacing"/>
              <w:spacing w:line="480" w:lineRule="auto"/>
              <w:jc w:val="both"/>
              <w:rPr>
                <w:sz w:val="16"/>
                <w:szCs w:val="16"/>
              </w:rPr>
            </w:pPr>
            <w:r w:rsidRPr="00800F1F">
              <w:rPr>
                <w:sz w:val="16"/>
                <w:szCs w:val="16"/>
              </w:rPr>
              <w:t>61±15*</w:t>
            </w:r>
          </w:p>
        </w:tc>
      </w:tr>
      <w:tr w:rsidR="00AD5612" w:rsidRPr="00800F1F" w14:paraId="52174FB7" w14:textId="77777777" w:rsidTr="00103B1F">
        <w:trPr>
          <w:trHeight w:val="179"/>
          <w:jc w:val="center"/>
        </w:trPr>
        <w:tc>
          <w:tcPr>
            <w:tcW w:w="2264" w:type="dxa"/>
          </w:tcPr>
          <w:p w14:paraId="025DD396" w14:textId="77777777" w:rsidR="00AD5612" w:rsidRPr="00800F1F" w:rsidRDefault="00AD5612" w:rsidP="00103B1F">
            <w:pPr>
              <w:pStyle w:val="NoSpacing"/>
              <w:spacing w:line="480" w:lineRule="auto"/>
              <w:jc w:val="both"/>
              <w:rPr>
                <w:sz w:val="16"/>
                <w:szCs w:val="16"/>
              </w:rPr>
            </w:pPr>
            <w:r w:rsidRPr="00800F1F">
              <w:rPr>
                <w:sz w:val="16"/>
                <w:szCs w:val="16"/>
              </w:rPr>
              <w:t>Gender male n(%)</w:t>
            </w:r>
          </w:p>
        </w:tc>
        <w:tc>
          <w:tcPr>
            <w:tcW w:w="1961" w:type="dxa"/>
          </w:tcPr>
          <w:p w14:paraId="648ACBFA" w14:textId="77777777" w:rsidR="00AD5612" w:rsidRPr="00800F1F" w:rsidRDefault="00AD5612" w:rsidP="00103B1F">
            <w:pPr>
              <w:pStyle w:val="NoSpacing"/>
              <w:spacing w:line="480" w:lineRule="auto"/>
              <w:jc w:val="both"/>
              <w:rPr>
                <w:sz w:val="16"/>
                <w:szCs w:val="16"/>
              </w:rPr>
            </w:pPr>
            <w:r w:rsidRPr="00800F1F">
              <w:rPr>
                <w:sz w:val="16"/>
                <w:szCs w:val="16"/>
              </w:rPr>
              <w:t>11 (39)</w:t>
            </w:r>
          </w:p>
        </w:tc>
        <w:tc>
          <w:tcPr>
            <w:tcW w:w="1961" w:type="dxa"/>
          </w:tcPr>
          <w:p w14:paraId="3BC00F4A" w14:textId="77777777" w:rsidR="00AD5612" w:rsidRPr="00800F1F" w:rsidRDefault="00AD5612" w:rsidP="00103B1F">
            <w:pPr>
              <w:pStyle w:val="NoSpacing"/>
              <w:spacing w:line="480" w:lineRule="auto"/>
              <w:jc w:val="both"/>
              <w:rPr>
                <w:sz w:val="16"/>
                <w:szCs w:val="16"/>
              </w:rPr>
            </w:pPr>
            <w:r w:rsidRPr="00800F1F">
              <w:rPr>
                <w:sz w:val="16"/>
                <w:szCs w:val="16"/>
              </w:rPr>
              <w:t>35(88)*</w:t>
            </w:r>
          </w:p>
        </w:tc>
      </w:tr>
      <w:tr w:rsidR="00AD5612" w:rsidRPr="00800F1F" w14:paraId="626F7A10" w14:textId="77777777" w:rsidTr="00103B1F">
        <w:trPr>
          <w:trHeight w:val="1051"/>
          <w:jc w:val="center"/>
        </w:trPr>
        <w:tc>
          <w:tcPr>
            <w:tcW w:w="2264" w:type="dxa"/>
          </w:tcPr>
          <w:p w14:paraId="635A0468" w14:textId="77777777" w:rsidR="00AD5612" w:rsidRPr="00800F1F" w:rsidRDefault="00AD5612" w:rsidP="00103B1F">
            <w:pPr>
              <w:pStyle w:val="NoSpacing"/>
              <w:spacing w:line="480" w:lineRule="auto"/>
              <w:jc w:val="both"/>
              <w:rPr>
                <w:sz w:val="16"/>
                <w:szCs w:val="16"/>
              </w:rPr>
            </w:pPr>
            <w:r w:rsidRPr="00800F1F">
              <w:rPr>
                <w:sz w:val="16"/>
                <w:szCs w:val="16"/>
              </w:rPr>
              <w:t>NYHA class n(%)</w:t>
            </w:r>
          </w:p>
          <w:p w14:paraId="0F67FD53" w14:textId="77777777" w:rsidR="00AD5612" w:rsidRPr="00800F1F" w:rsidRDefault="00AD5612" w:rsidP="00103B1F">
            <w:pPr>
              <w:pStyle w:val="NoSpacing"/>
              <w:spacing w:line="480" w:lineRule="auto"/>
              <w:ind w:left="720"/>
              <w:jc w:val="both"/>
              <w:rPr>
                <w:sz w:val="16"/>
                <w:szCs w:val="16"/>
              </w:rPr>
            </w:pPr>
            <w:r w:rsidRPr="00800F1F">
              <w:rPr>
                <w:sz w:val="16"/>
                <w:szCs w:val="16"/>
              </w:rPr>
              <w:t>I</w:t>
            </w:r>
          </w:p>
          <w:p w14:paraId="236E1014" w14:textId="77777777" w:rsidR="00AD5612" w:rsidRPr="00800F1F" w:rsidRDefault="00AD5612" w:rsidP="00103B1F">
            <w:pPr>
              <w:pStyle w:val="NoSpacing"/>
              <w:spacing w:line="480" w:lineRule="auto"/>
              <w:ind w:left="720"/>
              <w:jc w:val="both"/>
              <w:rPr>
                <w:sz w:val="16"/>
                <w:szCs w:val="16"/>
              </w:rPr>
            </w:pPr>
            <w:r w:rsidRPr="00800F1F">
              <w:rPr>
                <w:sz w:val="16"/>
                <w:szCs w:val="16"/>
              </w:rPr>
              <w:t>II</w:t>
            </w:r>
          </w:p>
          <w:p w14:paraId="506B8836" w14:textId="77777777" w:rsidR="00AD5612" w:rsidRPr="00800F1F" w:rsidRDefault="00AD5612" w:rsidP="00103B1F">
            <w:pPr>
              <w:pStyle w:val="NoSpacing"/>
              <w:spacing w:line="480" w:lineRule="auto"/>
              <w:ind w:left="720"/>
              <w:jc w:val="both"/>
              <w:rPr>
                <w:sz w:val="16"/>
                <w:szCs w:val="16"/>
              </w:rPr>
            </w:pPr>
            <w:r w:rsidRPr="00800F1F">
              <w:rPr>
                <w:sz w:val="16"/>
                <w:szCs w:val="16"/>
              </w:rPr>
              <w:t>III</w:t>
            </w:r>
          </w:p>
          <w:p w14:paraId="48555B41" w14:textId="77777777" w:rsidR="00AD5612" w:rsidRPr="00800F1F" w:rsidRDefault="00AD5612" w:rsidP="00103B1F">
            <w:pPr>
              <w:pStyle w:val="NoSpacing"/>
              <w:spacing w:line="480" w:lineRule="auto"/>
              <w:ind w:left="720"/>
              <w:jc w:val="both"/>
              <w:rPr>
                <w:sz w:val="16"/>
                <w:szCs w:val="16"/>
              </w:rPr>
            </w:pPr>
            <w:r w:rsidRPr="00800F1F">
              <w:rPr>
                <w:sz w:val="16"/>
                <w:szCs w:val="16"/>
              </w:rPr>
              <w:t>IV</w:t>
            </w:r>
          </w:p>
          <w:p w14:paraId="0D9AAC13" w14:textId="77777777" w:rsidR="00AD5612" w:rsidRPr="00800F1F" w:rsidRDefault="00AD5612" w:rsidP="00103B1F">
            <w:pPr>
              <w:pStyle w:val="NoSpacing"/>
              <w:spacing w:line="480" w:lineRule="auto"/>
              <w:jc w:val="both"/>
              <w:rPr>
                <w:sz w:val="16"/>
                <w:szCs w:val="16"/>
              </w:rPr>
            </w:pPr>
          </w:p>
        </w:tc>
        <w:tc>
          <w:tcPr>
            <w:tcW w:w="1961" w:type="dxa"/>
          </w:tcPr>
          <w:p w14:paraId="01C8181E" w14:textId="77777777" w:rsidR="00AD5612" w:rsidRPr="00800F1F" w:rsidRDefault="00AD5612" w:rsidP="00103B1F">
            <w:pPr>
              <w:pStyle w:val="NoSpacing"/>
              <w:spacing w:line="480" w:lineRule="auto"/>
              <w:jc w:val="both"/>
              <w:rPr>
                <w:sz w:val="16"/>
                <w:szCs w:val="16"/>
              </w:rPr>
            </w:pPr>
          </w:p>
          <w:p w14:paraId="7451E7C0" w14:textId="77777777" w:rsidR="00AD5612" w:rsidRPr="00800F1F" w:rsidRDefault="00AD5612" w:rsidP="00103B1F">
            <w:pPr>
              <w:pStyle w:val="NoSpacing"/>
              <w:spacing w:line="480" w:lineRule="auto"/>
              <w:jc w:val="both"/>
              <w:rPr>
                <w:sz w:val="16"/>
                <w:szCs w:val="16"/>
              </w:rPr>
            </w:pPr>
            <w:r w:rsidRPr="00800F1F">
              <w:rPr>
                <w:sz w:val="16"/>
                <w:szCs w:val="16"/>
              </w:rPr>
              <w:t>21(75)</w:t>
            </w:r>
          </w:p>
          <w:p w14:paraId="05349B14" w14:textId="77777777" w:rsidR="00AD5612" w:rsidRPr="00800F1F" w:rsidRDefault="00AD5612" w:rsidP="00103B1F">
            <w:pPr>
              <w:pStyle w:val="NoSpacing"/>
              <w:spacing w:line="480" w:lineRule="auto"/>
              <w:jc w:val="both"/>
              <w:rPr>
                <w:sz w:val="16"/>
                <w:szCs w:val="16"/>
              </w:rPr>
            </w:pPr>
            <w:r w:rsidRPr="00800F1F">
              <w:rPr>
                <w:sz w:val="16"/>
                <w:szCs w:val="16"/>
              </w:rPr>
              <w:t>3(11)</w:t>
            </w:r>
          </w:p>
          <w:p w14:paraId="4E2E0F14" w14:textId="77777777" w:rsidR="00AD5612" w:rsidRPr="00800F1F" w:rsidRDefault="00AD5612" w:rsidP="00103B1F">
            <w:pPr>
              <w:pStyle w:val="NoSpacing"/>
              <w:spacing w:line="480" w:lineRule="auto"/>
              <w:jc w:val="both"/>
              <w:rPr>
                <w:sz w:val="16"/>
                <w:szCs w:val="16"/>
              </w:rPr>
            </w:pPr>
            <w:r w:rsidRPr="00800F1F">
              <w:rPr>
                <w:sz w:val="16"/>
                <w:szCs w:val="16"/>
              </w:rPr>
              <w:t>0</w:t>
            </w:r>
          </w:p>
          <w:p w14:paraId="580550AD" w14:textId="77777777" w:rsidR="00AD5612" w:rsidRPr="00800F1F" w:rsidRDefault="00AD5612" w:rsidP="00103B1F">
            <w:pPr>
              <w:pStyle w:val="NoSpacing"/>
              <w:spacing w:line="480" w:lineRule="auto"/>
              <w:jc w:val="both"/>
              <w:rPr>
                <w:sz w:val="16"/>
                <w:szCs w:val="16"/>
              </w:rPr>
            </w:pPr>
            <w:r w:rsidRPr="00800F1F">
              <w:rPr>
                <w:sz w:val="16"/>
                <w:szCs w:val="16"/>
              </w:rPr>
              <w:t>0</w:t>
            </w:r>
          </w:p>
        </w:tc>
        <w:tc>
          <w:tcPr>
            <w:tcW w:w="1961" w:type="dxa"/>
          </w:tcPr>
          <w:p w14:paraId="5EF4D197" w14:textId="77777777" w:rsidR="00AD5612" w:rsidRPr="00800F1F" w:rsidRDefault="00AD5612" w:rsidP="00103B1F">
            <w:pPr>
              <w:pStyle w:val="NoSpacing"/>
              <w:spacing w:line="480" w:lineRule="auto"/>
              <w:jc w:val="both"/>
              <w:rPr>
                <w:sz w:val="16"/>
                <w:szCs w:val="16"/>
              </w:rPr>
            </w:pPr>
          </w:p>
          <w:p w14:paraId="71197867" w14:textId="77777777" w:rsidR="00AD5612" w:rsidRPr="00800F1F" w:rsidRDefault="00AD5612" w:rsidP="00103B1F">
            <w:pPr>
              <w:pStyle w:val="NoSpacing"/>
              <w:spacing w:line="480" w:lineRule="auto"/>
              <w:jc w:val="both"/>
              <w:rPr>
                <w:sz w:val="16"/>
                <w:szCs w:val="16"/>
              </w:rPr>
            </w:pPr>
            <w:r w:rsidRPr="00800F1F">
              <w:rPr>
                <w:sz w:val="16"/>
                <w:szCs w:val="16"/>
              </w:rPr>
              <w:t>20</w:t>
            </w:r>
          </w:p>
          <w:p w14:paraId="792CEC7E" w14:textId="77777777" w:rsidR="00AD5612" w:rsidRPr="00800F1F" w:rsidRDefault="00AD5612" w:rsidP="00103B1F">
            <w:pPr>
              <w:pStyle w:val="NoSpacing"/>
              <w:spacing w:line="480" w:lineRule="auto"/>
              <w:jc w:val="both"/>
              <w:rPr>
                <w:sz w:val="16"/>
                <w:szCs w:val="16"/>
              </w:rPr>
            </w:pPr>
            <w:r w:rsidRPr="00800F1F">
              <w:rPr>
                <w:sz w:val="16"/>
                <w:szCs w:val="16"/>
              </w:rPr>
              <w:t>13*</w:t>
            </w:r>
          </w:p>
          <w:p w14:paraId="4B799F53" w14:textId="77777777" w:rsidR="00AD5612" w:rsidRPr="00800F1F" w:rsidRDefault="00AD5612" w:rsidP="00103B1F">
            <w:pPr>
              <w:pStyle w:val="NoSpacing"/>
              <w:spacing w:line="480" w:lineRule="auto"/>
              <w:jc w:val="both"/>
              <w:rPr>
                <w:sz w:val="16"/>
                <w:szCs w:val="16"/>
              </w:rPr>
            </w:pPr>
            <w:r w:rsidRPr="00800F1F">
              <w:rPr>
                <w:sz w:val="16"/>
                <w:szCs w:val="16"/>
              </w:rPr>
              <w:t>5</w:t>
            </w:r>
          </w:p>
          <w:p w14:paraId="13E20F3E" w14:textId="77777777" w:rsidR="00AD5612" w:rsidRPr="00800F1F" w:rsidRDefault="00AD5612" w:rsidP="00103B1F">
            <w:pPr>
              <w:pStyle w:val="NoSpacing"/>
              <w:spacing w:line="480" w:lineRule="auto"/>
              <w:jc w:val="both"/>
              <w:rPr>
                <w:sz w:val="16"/>
                <w:szCs w:val="16"/>
              </w:rPr>
            </w:pPr>
            <w:r w:rsidRPr="00800F1F">
              <w:rPr>
                <w:sz w:val="16"/>
                <w:szCs w:val="16"/>
              </w:rPr>
              <w:t>0</w:t>
            </w:r>
          </w:p>
        </w:tc>
      </w:tr>
      <w:tr w:rsidR="00AD5612" w:rsidRPr="00800F1F" w14:paraId="27F30B7D" w14:textId="77777777" w:rsidTr="00103B1F">
        <w:trPr>
          <w:trHeight w:val="1051"/>
          <w:jc w:val="center"/>
        </w:trPr>
        <w:tc>
          <w:tcPr>
            <w:tcW w:w="2264" w:type="dxa"/>
          </w:tcPr>
          <w:p w14:paraId="69AAAF05" w14:textId="77777777" w:rsidR="00AD5612" w:rsidRPr="00800F1F" w:rsidRDefault="00AD5612" w:rsidP="00103B1F">
            <w:pPr>
              <w:pStyle w:val="NoSpacing"/>
              <w:spacing w:line="480" w:lineRule="auto"/>
              <w:jc w:val="both"/>
              <w:rPr>
                <w:sz w:val="16"/>
                <w:szCs w:val="16"/>
              </w:rPr>
            </w:pPr>
            <w:r w:rsidRPr="00800F1F">
              <w:rPr>
                <w:sz w:val="16"/>
                <w:szCs w:val="16"/>
              </w:rPr>
              <w:t>Scar aetiology n(%)</w:t>
            </w:r>
          </w:p>
          <w:p w14:paraId="540952A5" w14:textId="77777777" w:rsidR="00AD5612" w:rsidRPr="00800F1F" w:rsidRDefault="00AD5612" w:rsidP="00103B1F">
            <w:pPr>
              <w:pStyle w:val="NoSpacing"/>
              <w:spacing w:line="480" w:lineRule="auto"/>
              <w:ind w:left="720"/>
              <w:jc w:val="both"/>
              <w:rPr>
                <w:sz w:val="16"/>
                <w:szCs w:val="16"/>
              </w:rPr>
            </w:pPr>
            <w:r w:rsidRPr="00800F1F">
              <w:rPr>
                <w:sz w:val="16"/>
                <w:szCs w:val="16"/>
              </w:rPr>
              <w:t>Ischaemic</w:t>
            </w:r>
          </w:p>
          <w:p w14:paraId="04B45924" w14:textId="77777777" w:rsidR="00AD5612" w:rsidRPr="00800F1F" w:rsidRDefault="00AD5612" w:rsidP="00103B1F">
            <w:pPr>
              <w:pStyle w:val="NoSpacing"/>
              <w:spacing w:line="480" w:lineRule="auto"/>
              <w:ind w:left="720"/>
              <w:jc w:val="both"/>
              <w:rPr>
                <w:sz w:val="16"/>
                <w:szCs w:val="16"/>
              </w:rPr>
            </w:pPr>
            <w:r w:rsidRPr="00800F1F">
              <w:rPr>
                <w:sz w:val="16"/>
                <w:szCs w:val="16"/>
              </w:rPr>
              <w:t>DCM</w:t>
            </w:r>
          </w:p>
          <w:p w14:paraId="15CC5B59" w14:textId="77777777" w:rsidR="00AD5612" w:rsidRPr="00800F1F" w:rsidRDefault="00AD5612" w:rsidP="00103B1F">
            <w:pPr>
              <w:pStyle w:val="NoSpacing"/>
              <w:spacing w:line="480" w:lineRule="auto"/>
              <w:ind w:left="720"/>
              <w:jc w:val="both"/>
              <w:rPr>
                <w:sz w:val="16"/>
                <w:szCs w:val="16"/>
              </w:rPr>
            </w:pPr>
            <w:r w:rsidRPr="00800F1F">
              <w:rPr>
                <w:sz w:val="16"/>
                <w:szCs w:val="16"/>
              </w:rPr>
              <w:t>ARVC</w:t>
            </w:r>
          </w:p>
          <w:p w14:paraId="5BD931AF" w14:textId="77777777" w:rsidR="00AD5612" w:rsidRPr="00800F1F" w:rsidRDefault="00AD5612" w:rsidP="00103B1F">
            <w:pPr>
              <w:pStyle w:val="NoSpacing"/>
              <w:spacing w:line="480" w:lineRule="auto"/>
              <w:ind w:left="720"/>
              <w:jc w:val="both"/>
              <w:rPr>
                <w:sz w:val="16"/>
                <w:szCs w:val="16"/>
              </w:rPr>
            </w:pPr>
            <w:r w:rsidRPr="00800F1F">
              <w:rPr>
                <w:sz w:val="16"/>
                <w:szCs w:val="16"/>
              </w:rPr>
              <w:t>Other</w:t>
            </w:r>
          </w:p>
          <w:p w14:paraId="3653E3F0" w14:textId="77777777" w:rsidR="00AD5612" w:rsidRPr="00800F1F" w:rsidRDefault="00AD5612" w:rsidP="00103B1F">
            <w:pPr>
              <w:pStyle w:val="NoSpacing"/>
              <w:spacing w:line="480" w:lineRule="auto"/>
              <w:jc w:val="both"/>
              <w:rPr>
                <w:sz w:val="16"/>
                <w:szCs w:val="16"/>
              </w:rPr>
            </w:pPr>
          </w:p>
        </w:tc>
        <w:tc>
          <w:tcPr>
            <w:tcW w:w="1961" w:type="dxa"/>
          </w:tcPr>
          <w:p w14:paraId="4B5C2E1A" w14:textId="77777777" w:rsidR="00AD5612" w:rsidRPr="00800F1F" w:rsidRDefault="00AD5612" w:rsidP="00103B1F">
            <w:pPr>
              <w:pStyle w:val="NoSpacing"/>
              <w:spacing w:line="480" w:lineRule="auto"/>
              <w:jc w:val="both"/>
              <w:rPr>
                <w:sz w:val="16"/>
                <w:szCs w:val="16"/>
              </w:rPr>
            </w:pPr>
          </w:p>
        </w:tc>
        <w:tc>
          <w:tcPr>
            <w:tcW w:w="1961" w:type="dxa"/>
          </w:tcPr>
          <w:p w14:paraId="2A6172F7" w14:textId="77777777" w:rsidR="00AD5612" w:rsidRPr="00800F1F" w:rsidRDefault="00AD5612" w:rsidP="00103B1F">
            <w:pPr>
              <w:pStyle w:val="NoSpacing"/>
              <w:spacing w:line="480" w:lineRule="auto"/>
              <w:jc w:val="both"/>
              <w:rPr>
                <w:sz w:val="16"/>
                <w:szCs w:val="16"/>
              </w:rPr>
            </w:pPr>
          </w:p>
          <w:p w14:paraId="77842733" w14:textId="77777777" w:rsidR="00AD5612" w:rsidRPr="00800F1F" w:rsidRDefault="00AD5612" w:rsidP="00103B1F">
            <w:pPr>
              <w:pStyle w:val="NoSpacing"/>
              <w:spacing w:line="480" w:lineRule="auto"/>
              <w:jc w:val="both"/>
              <w:rPr>
                <w:sz w:val="16"/>
                <w:szCs w:val="16"/>
              </w:rPr>
            </w:pPr>
            <w:r w:rsidRPr="00800F1F">
              <w:rPr>
                <w:sz w:val="16"/>
                <w:szCs w:val="16"/>
              </w:rPr>
              <w:t>21(53)</w:t>
            </w:r>
          </w:p>
          <w:p w14:paraId="23E0B595" w14:textId="77777777" w:rsidR="00AD5612" w:rsidRPr="00800F1F" w:rsidRDefault="00AD5612" w:rsidP="00103B1F">
            <w:pPr>
              <w:pStyle w:val="NoSpacing"/>
              <w:spacing w:line="480" w:lineRule="auto"/>
              <w:jc w:val="both"/>
              <w:rPr>
                <w:sz w:val="16"/>
                <w:szCs w:val="16"/>
              </w:rPr>
            </w:pPr>
            <w:r w:rsidRPr="00800F1F">
              <w:rPr>
                <w:sz w:val="16"/>
                <w:szCs w:val="16"/>
              </w:rPr>
              <w:t>5(13)</w:t>
            </w:r>
          </w:p>
          <w:p w14:paraId="7EA2D7BD" w14:textId="77777777" w:rsidR="00AD5612" w:rsidRPr="00800F1F" w:rsidRDefault="00AD5612" w:rsidP="00103B1F">
            <w:pPr>
              <w:pStyle w:val="NoSpacing"/>
              <w:spacing w:line="480" w:lineRule="auto"/>
              <w:jc w:val="both"/>
              <w:rPr>
                <w:sz w:val="16"/>
                <w:szCs w:val="16"/>
              </w:rPr>
            </w:pPr>
            <w:r w:rsidRPr="00800F1F">
              <w:rPr>
                <w:sz w:val="16"/>
                <w:szCs w:val="16"/>
              </w:rPr>
              <w:t>3(7)</w:t>
            </w:r>
          </w:p>
          <w:p w14:paraId="483B59DB" w14:textId="77777777" w:rsidR="00AD5612" w:rsidRPr="00800F1F" w:rsidRDefault="00AD5612" w:rsidP="00103B1F">
            <w:pPr>
              <w:pStyle w:val="NoSpacing"/>
              <w:spacing w:line="480" w:lineRule="auto"/>
              <w:jc w:val="both"/>
              <w:rPr>
                <w:sz w:val="16"/>
                <w:szCs w:val="16"/>
              </w:rPr>
            </w:pPr>
            <w:r w:rsidRPr="00800F1F">
              <w:rPr>
                <w:sz w:val="16"/>
                <w:szCs w:val="16"/>
              </w:rPr>
              <w:t>11(27)</w:t>
            </w:r>
          </w:p>
        </w:tc>
      </w:tr>
      <w:tr w:rsidR="00AD5612" w:rsidRPr="00800F1F" w14:paraId="279D2E96" w14:textId="77777777" w:rsidTr="00103B1F">
        <w:trPr>
          <w:trHeight w:val="179"/>
          <w:jc w:val="center"/>
        </w:trPr>
        <w:tc>
          <w:tcPr>
            <w:tcW w:w="2264" w:type="dxa"/>
          </w:tcPr>
          <w:p w14:paraId="320C8796" w14:textId="77777777" w:rsidR="00AD5612" w:rsidRPr="00800F1F" w:rsidRDefault="00AD5612" w:rsidP="00103B1F">
            <w:pPr>
              <w:pStyle w:val="NoSpacing"/>
              <w:spacing w:line="480" w:lineRule="auto"/>
              <w:jc w:val="both"/>
              <w:rPr>
                <w:sz w:val="16"/>
                <w:szCs w:val="16"/>
              </w:rPr>
            </w:pPr>
            <w:r w:rsidRPr="00800F1F">
              <w:rPr>
                <w:sz w:val="16"/>
                <w:szCs w:val="16"/>
              </w:rPr>
              <w:t>BSA (m</w:t>
            </w:r>
            <w:r w:rsidRPr="00800F1F">
              <w:rPr>
                <w:sz w:val="16"/>
                <w:szCs w:val="16"/>
                <w:vertAlign w:val="superscript"/>
              </w:rPr>
              <w:t>2</w:t>
            </w:r>
            <w:r w:rsidRPr="00800F1F">
              <w:rPr>
                <w:sz w:val="16"/>
                <w:szCs w:val="16"/>
              </w:rPr>
              <w:t>)</w:t>
            </w:r>
          </w:p>
        </w:tc>
        <w:tc>
          <w:tcPr>
            <w:tcW w:w="1961" w:type="dxa"/>
          </w:tcPr>
          <w:p w14:paraId="25BA62C8" w14:textId="77777777" w:rsidR="00AD5612" w:rsidRPr="00800F1F" w:rsidRDefault="00AD5612" w:rsidP="00103B1F">
            <w:pPr>
              <w:pStyle w:val="NoSpacing"/>
              <w:spacing w:line="480" w:lineRule="auto"/>
              <w:jc w:val="both"/>
              <w:rPr>
                <w:sz w:val="16"/>
                <w:szCs w:val="16"/>
              </w:rPr>
            </w:pPr>
            <w:r w:rsidRPr="00800F1F">
              <w:rPr>
                <w:sz w:val="16"/>
                <w:szCs w:val="16"/>
              </w:rPr>
              <w:t>1.98±0.23</w:t>
            </w:r>
          </w:p>
        </w:tc>
        <w:tc>
          <w:tcPr>
            <w:tcW w:w="1961" w:type="dxa"/>
          </w:tcPr>
          <w:p w14:paraId="7A6C4B99" w14:textId="77777777" w:rsidR="00AD5612" w:rsidRPr="00800F1F" w:rsidRDefault="00AD5612" w:rsidP="00103B1F">
            <w:pPr>
              <w:pStyle w:val="NoSpacing"/>
              <w:spacing w:line="480" w:lineRule="auto"/>
              <w:jc w:val="both"/>
              <w:rPr>
                <w:sz w:val="16"/>
                <w:szCs w:val="16"/>
              </w:rPr>
            </w:pPr>
            <w:r>
              <w:rPr>
                <w:sz w:val="16"/>
                <w:szCs w:val="16"/>
              </w:rPr>
              <w:t>2.04±0.19</w:t>
            </w:r>
          </w:p>
        </w:tc>
      </w:tr>
      <w:tr w:rsidR="00AD5612" w:rsidRPr="00800F1F" w14:paraId="2CAB3EDB" w14:textId="77777777" w:rsidTr="00103B1F">
        <w:trPr>
          <w:trHeight w:val="179"/>
          <w:jc w:val="center"/>
        </w:trPr>
        <w:tc>
          <w:tcPr>
            <w:tcW w:w="2264" w:type="dxa"/>
          </w:tcPr>
          <w:p w14:paraId="5410E9A9" w14:textId="77777777" w:rsidR="00AD5612" w:rsidRPr="00800F1F" w:rsidRDefault="00AD5612" w:rsidP="00103B1F">
            <w:pPr>
              <w:pStyle w:val="NoSpacing"/>
              <w:spacing w:line="480" w:lineRule="auto"/>
              <w:jc w:val="both"/>
              <w:rPr>
                <w:sz w:val="16"/>
                <w:szCs w:val="16"/>
              </w:rPr>
            </w:pPr>
            <w:r w:rsidRPr="00800F1F">
              <w:rPr>
                <w:sz w:val="16"/>
                <w:szCs w:val="16"/>
              </w:rPr>
              <w:t xml:space="preserve">Baseline creatinine </w:t>
            </w:r>
          </w:p>
        </w:tc>
        <w:tc>
          <w:tcPr>
            <w:tcW w:w="1961" w:type="dxa"/>
          </w:tcPr>
          <w:p w14:paraId="27E0E8F0" w14:textId="77777777" w:rsidR="00AD5612" w:rsidRPr="00800F1F" w:rsidRDefault="00AD5612" w:rsidP="00103B1F">
            <w:pPr>
              <w:pStyle w:val="NoSpacing"/>
              <w:spacing w:line="480" w:lineRule="auto"/>
              <w:jc w:val="both"/>
              <w:rPr>
                <w:sz w:val="16"/>
                <w:szCs w:val="16"/>
              </w:rPr>
            </w:pPr>
            <w:r w:rsidRPr="00800F1F">
              <w:rPr>
                <w:sz w:val="16"/>
                <w:szCs w:val="16"/>
              </w:rPr>
              <w:t>72±13</w:t>
            </w:r>
          </w:p>
        </w:tc>
        <w:tc>
          <w:tcPr>
            <w:tcW w:w="1961" w:type="dxa"/>
          </w:tcPr>
          <w:p w14:paraId="7A551248" w14:textId="77777777" w:rsidR="00AD5612" w:rsidRPr="00800F1F" w:rsidRDefault="00AD5612" w:rsidP="00103B1F">
            <w:pPr>
              <w:pStyle w:val="NoSpacing"/>
              <w:spacing w:line="480" w:lineRule="auto"/>
              <w:jc w:val="both"/>
              <w:rPr>
                <w:sz w:val="16"/>
                <w:szCs w:val="16"/>
              </w:rPr>
            </w:pPr>
            <w:r w:rsidRPr="00800F1F">
              <w:rPr>
                <w:sz w:val="16"/>
                <w:szCs w:val="16"/>
              </w:rPr>
              <w:t>100±43*</w:t>
            </w:r>
          </w:p>
        </w:tc>
      </w:tr>
      <w:tr w:rsidR="00AD5612" w:rsidRPr="00800F1F" w14:paraId="7253BEE7" w14:textId="77777777" w:rsidTr="00103B1F">
        <w:trPr>
          <w:trHeight w:val="167"/>
          <w:jc w:val="center"/>
        </w:trPr>
        <w:tc>
          <w:tcPr>
            <w:tcW w:w="2264" w:type="dxa"/>
          </w:tcPr>
          <w:p w14:paraId="40972436" w14:textId="77777777" w:rsidR="00AD5612" w:rsidRPr="00800F1F" w:rsidRDefault="00AD5612" w:rsidP="00103B1F">
            <w:pPr>
              <w:pStyle w:val="NoSpacing"/>
              <w:spacing w:line="480" w:lineRule="auto"/>
              <w:jc w:val="both"/>
              <w:rPr>
                <w:sz w:val="16"/>
                <w:szCs w:val="16"/>
              </w:rPr>
            </w:pPr>
            <w:r w:rsidRPr="00800F1F">
              <w:rPr>
                <w:sz w:val="16"/>
                <w:szCs w:val="16"/>
              </w:rPr>
              <w:lastRenderedPageBreak/>
              <w:t>Ejection fraction (%)</w:t>
            </w:r>
          </w:p>
        </w:tc>
        <w:tc>
          <w:tcPr>
            <w:tcW w:w="1961" w:type="dxa"/>
          </w:tcPr>
          <w:p w14:paraId="0154FE7E" w14:textId="77777777" w:rsidR="00AD5612" w:rsidRPr="00800F1F" w:rsidRDefault="00AD5612" w:rsidP="00103B1F">
            <w:pPr>
              <w:pStyle w:val="NoSpacing"/>
              <w:spacing w:line="480" w:lineRule="auto"/>
              <w:jc w:val="both"/>
              <w:rPr>
                <w:sz w:val="16"/>
                <w:szCs w:val="16"/>
              </w:rPr>
            </w:pPr>
            <w:r w:rsidRPr="00800F1F">
              <w:rPr>
                <w:sz w:val="16"/>
                <w:szCs w:val="16"/>
              </w:rPr>
              <w:t>58±7</w:t>
            </w:r>
          </w:p>
        </w:tc>
        <w:tc>
          <w:tcPr>
            <w:tcW w:w="1961" w:type="dxa"/>
          </w:tcPr>
          <w:p w14:paraId="34B3D734" w14:textId="77777777" w:rsidR="00AD5612" w:rsidRPr="00800F1F" w:rsidRDefault="00AD5612" w:rsidP="00103B1F">
            <w:pPr>
              <w:pStyle w:val="NoSpacing"/>
              <w:spacing w:line="480" w:lineRule="auto"/>
              <w:jc w:val="both"/>
              <w:rPr>
                <w:sz w:val="16"/>
                <w:szCs w:val="16"/>
              </w:rPr>
            </w:pPr>
            <w:r w:rsidRPr="00800F1F">
              <w:rPr>
                <w:sz w:val="16"/>
                <w:szCs w:val="16"/>
              </w:rPr>
              <w:t>42±14*</w:t>
            </w:r>
          </w:p>
        </w:tc>
      </w:tr>
      <w:tr w:rsidR="00AD5612" w:rsidRPr="00800F1F" w14:paraId="2119058C" w14:textId="77777777" w:rsidTr="00103B1F">
        <w:trPr>
          <w:trHeight w:val="1230"/>
          <w:jc w:val="center"/>
        </w:trPr>
        <w:tc>
          <w:tcPr>
            <w:tcW w:w="2264" w:type="dxa"/>
          </w:tcPr>
          <w:p w14:paraId="11CFA788" w14:textId="77777777" w:rsidR="00AD5612" w:rsidRPr="00800F1F" w:rsidRDefault="00AD5612" w:rsidP="00103B1F">
            <w:pPr>
              <w:pStyle w:val="NoSpacing"/>
              <w:spacing w:line="480" w:lineRule="auto"/>
              <w:jc w:val="both"/>
              <w:rPr>
                <w:sz w:val="16"/>
                <w:szCs w:val="16"/>
              </w:rPr>
            </w:pPr>
            <w:r w:rsidRPr="00800F1F">
              <w:rPr>
                <w:sz w:val="16"/>
                <w:szCs w:val="16"/>
              </w:rPr>
              <w:t>Medical history n(%)</w:t>
            </w:r>
          </w:p>
          <w:p w14:paraId="665AD502" w14:textId="77777777" w:rsidR="00AD5612" w:rsidRPr="00800F1F" w:rsidRDefault="00AD5612" w:rsidP="00103B1F">
            <w:pPr>
              <w:pStyle w:val="NoSpacing"/>
              <w:spacing w:line="480" w:lineRule="auto"/>
              <w:ind w:left="720"/>
              <w:jc w:val="both"/>
              <w:rPr>
                <w:sz w:val="16"/>
                <w:szCs w:val="16"/>
              </w:rPr>
            </w:pPr>
            <w:r w:rsidRPr="00800F1F">
              <w:rPr>
                <w:sz w:val="16"/>
                <w:szCs w:val="16"/>
              </w:rPr>
              <w:t>DM</w:t>
            </w:r>
          </w:p>
          <w:p w14:paraId="45AAAE4E" w14:textId="77777777" w:rsidR="00AD5612" w:rsidRPr="00800F1F" w:rsidRDefault="00AD5612" w:rsidP="00103B1F">
            <w:pPr>
              <w:pStyle w:val="NoSpacing"/>
              <w:spacing w:line="480" w:lineRule="auto"/>
              <w:ind w:left="720"/>
              <w:jc w:val="both"/>
              <w:rPr>
                <w:sz w:val="16"/>
                <w:szCs w:val="16"/>
              </w:rPr>
            </w:pPr>
            <w:r w:rsidRPr="00800F1F">
              <w:rPr>
                <w:sz w:val="16"/>
                <w:szCs w:val="16"/>
              </w:rPr>
              <w:t>COPD</w:t>
            </w:r>
          </w:p>
          <w:p w14:paraId="3FEDB47D" w14:textId="77777777" w:rsidR="00AD5612" w:rsidRPr="00800F1F" w:rsidRDefault="00AD5612" w:rsidP="00103B1F">
            <w:pPr>
              <w:pStyle w:val="NoSpacing"/>
              <w:spacing w:line="480" w:lineRule="auto"/>
              <w:ind w:left="720"/>
              <w:jc w:val="both"/>
              <w:rPr>
                <w:sz w:val="16"/>
                <w:szCs w:val="16"/>
              </w:rPr>
            </w:pPr>
            <w:r w:rsidRPr="00800F1F">
              <w:rPr>
                <w:sz w:val="16"/>
                <w:szCs w:val="16"/>
              </w:rPr>
              <w:t>HT</w:t>
            </w:r>
          </w:p>
          <w:p w14:paraId="1D31E432" w14:textId="77777777" w:rsidR="00AD5612" w:rsidRPr="00800F1F" w:rsidRDefault="00AD5612" w:rsidP="00103B1F">
            <w:pPr>
              <w:pStyle w:val="NoSpacing"/>
              <w:spacing w:line="480" w:lineRule="auto"/>
              <w:ind w:left="720"/>
              <w:jc w:val="both"/>
              <w:rPr>
                <w:sz w:val="16"/>
                <w:szCs w:val="16"/>
              </w:rPr>
            </w:pPr>
            <w:r w:rsidRPr="00800F1F">
              <w:rPr>
                <w:sz w:val="16"/>
                <w:szCs w:val="16"/>
              </w:rPr>
              <w:t>CVA</w:t>
            </w:r>
          </w:p>
          <w:p w14:paraId="1E0C2244" w14:textId="77777777" w:rsidR="00AD5612" w:rsidRPr="00800F1F" w:rsidRDefault="00AD5612" w:rsidP="00103B1F">
            <w:pPr>
              <w:pStyle w:val="NoSpacing"/>
              <w:spacing w:line="480" w:lineRule="auto"/>
              <w:ind w:left="720"/>
              <w:jc w:val="both"/>
              <w:rPr>
                <w:sz w:val="16"/>
                <w:szCs w:val="16"/>
              </w:rPr>
            </w:pPr>
            <w:r w:rsidRPr="00800F1F">
              <w:rPr>
                <w:sz w:val="16"/>
                <w:szCs w:val="16"/>
              </w:rPr>
              <w:t>AF</w:t>
            </w:r>
          </w:p>
          <w:p w14:paraId="528B44D9" w14:textId="77777777" w:rsidR="00AD5612" w:rsidRPr="00800F1F" w:rsidRDefault="00AD5612" w:rsidP="00103B1F">
            <w:pPr>
              <w:pStyle w:val="NoSpacing"/>
              <w:spacing w:line="480" w:lineRule="auto"/>
              <w:jc w:val="both"/>
              <w:rPr>
                <w:sz w:val="16"/>
                <w:szCs w:val="16"/>
              </w:rPr>
            </w:pPr>
          </w:p>
        </w:tc>
        <w:tc>
          <w:tcPr>
            <w:tcW w:w="1961" w:type="dxa"/>
          </w:tcPr>
          <w:p w14:paraId="43DD10DF" w14:textId="77777777" w:rsidR="00AD5612" w:rsidRPr="00800F1F" w:rsidRDefault="00AD5612" w:rsidP="00103B1F">
            <w:pPr>
              <w:pStyle w:val="NoSpacing"/>
              <w:spacing w:line="480" w:lineRule="auto"/>
              <w:jc w:val="both"/>
              <w:rPr>
                <w:sz w:val="16"/>
                <w:szCs w:val="16"/>
              </w:rPr>
            </w:pPr>
          </w:p>
          <w:p w14:paraId="12DD2543" w14:textId="77777777" w:rsidR="00AD5612" w:rsidRPr="00800F1F" w:rsidRDefault="00AD5612" w:rsidP="00103B1F">
            <w:pPr>
              <w:pStyle w:val="NoSpacing"/>
              <w:spacing w:line="480" w:lineRule="auto"/>
              <w:jc w:val="both"/>
              <w:rPr>
                <w:sz w:val="16"/>
                <w:szCs w:val="16"/>
              </w:rPr>
            </w:pPr>
            <w:r w:rsidRPr="00800F1F">
              <w:rPr>
                <w:sz w:val="16"/>
                <w:szCs w:val="16"/>
              </w:rPr>
              <w:t>2(7)</w:t>
            </w:r>
          </w:p>
          <w:p w14:paraId="48EB448B" w14:textId="77777777" w:rsidR="00AD5612" w:rsidRPr="00800F1F" w:rsidRDefault="00AD5612" w:rsidP="00103B1F">
            <w:pPr>
              <w:pStyle w:val="NoSpacing"/>
              <w:spacing w:line="480" w:lineRule="auto"/>
              <w:jc w:val="both"/>
              <w:rPr>
                <w:sz w:val="16"/>
                <w:szCs w:val="16"/>
              </w:rPr>
            </w:pPr>
            <w:r w:rsidRPr="00800F1F">
              <w:rPr>
                <w:sz w:val="16"/>
                <w:szCs w:val="16"/>
              </w:rPr>
              <w:t>1(4)</w:t>
            </w:r>
          </w:p>
          <w:p w14:paraId="04B17419" w14:textId="77777777" w:rsidR="00AD5612" w:rsidRPr="00800F1F" w:rsidRDefault="00AD5612" w:rsidP="00103B1F">
            <w:pPr>
              <w:pStyle w:val="NoSpacing"/>
              <w:spacing w:line="480" w:lineRule="auto"/>
              <w:jc w:val="both"/>
              <w:rPr>
                <w:sz w:val="16"/>
                <w:szCs w:val="16"/>
              </w:rPr>
            </w:pPr>
            <w:r w:rsidRPr="00800F1F">
              <w:rPr>
                <w:sz w:val="16"/>
                <w:szCs w:val="16"/>
              </w:rPr>
              <w:t>3(11)</w:t>
            </w:r>
          </w:p>
          <w:p w14:paraId="26BF9044" w14:textId="77777777" w:rsidR="00AD5612" w:rsidRPr="00800F1F" w:rsidRDefault="00AD5612" w:rsidP="00103B1F">
            <w:pPr>
              <w:pStyle w:val="NoSpacing"/>
              <w:spacing w:line="480" w:lineRule="auto"/>
              <w:jc w:val="both"/>
              <w:rPr>
                <w:sz w:val="16"/>
                <w:szCs w:val="16"/>
              </w:rPr>
            </w:pPr>
            <w:r w:rsidRPr="00800F1F">
              <w:rPr>
                <w:sz w:val="16"/>
                <w:szCs w:val="16"/>
              </w:rPr>
              <w:t>0</w:t>
            </w:r>
          </w:p>
          <w:p w14:paraId="1E0E487D" w14:textId="77777777" w:rsidR="00AD5612" w:rsidRPr="00800F1F" w:rsidRDefault="00AD5612" w:rsidP="00103B1F">
            <w:pPr>
              <w:pStyle w:val="NoSpacing"/>
              <w:spacing w:line="480" w:lineRule="auto"/>
              <w:jc w:val="both"/>
              <w:rPr>
                <w:sz w:val="16"/>
                <w:szCs w:val="16"/>
              </w:rPr>
            </w:pPr>
            <w:r w:rsidRPr="00800F1F">
              <w:rPr>
                <w:sz w:val="16"/>
                <w:szCs w:val="16"/>
              </w:rPr>
              <w:t>1(4)</w:t>
            </w:r>
          </w:p>
        </w:tc>
        <w:tc>
          <w:tcPr>
            <w:tcW w:w="1961" w:type="dxa"/>
          </w:tcPr>
          <w:p w14:paraId="24FF9756" w14:textId="77777777" w:rsidR="00AD5612" w:rsidRPr="00800F1F" w:rsidRDefault="00AD5612" w:rsidP="00103B1F">
            <w:pPr>
              <w:pStyle w:val="NoSpacing"/>
              <w:spacing w:line="480" w:lineRule="auto"/>
              <w:jc w:val="both"/>
              <w:rPr>
                <w:sz w:val="16"/>
                <w:szCs w:val="16"/>
              </w:rPr>
            </w:pPr>
          </w:p>
          <w:p w14:paraId="7C5D935B" w14:textId="77777777" w:rsidR="00AD5612" w:rsidRPr="00800F1F" w:rsidRDefault="00AD5612" w:rsidP="00103B1F">
            <w:pPr>
              <w:pStyle w:val="NoSpacing"/>
              <w:spacing w:line="480" w:lineRule="auto"/>
              <w:jc w:val="both"/>
              <w:rPr>
                <w:sz w:val="16"/>
                <w:szCs w:val="16"/>
              </w:rPr>
            </w:pPr>
            <w:r w:rsidRPr="00800F1F">
              <w:rPr>
                <w:sz w:val="16"/>
                <w:szCs w:val="16"/>
              </w:rPr>
              <w:t>7(18)</w:t>
            </w:r>
          </w:p>
          <w:p w14:paraId="2CEB1773" w14:textId="77777777" w:rsidR="00AD5612" w:rsidRPr="00800F1F" w:rsidRDefault="00AD5612" w:rsidP="00103B1F">
            <w:pPr>
              <w:pStyle w:val="NoSpacing"/>
              <w:spacing w:line="480" w:lineRule="auto"/>
              <w:jc w:val="both"/>
              <w:rPr>
                <w:sz w:val="16"/>
                <w:szCs w:val="16"/>
              </w:rPr>
            </w:pPr>
            <w:r w:rsidRPr="00800F1F">
              <w:rPr>
                <w:sz w:val="16"/>
                <w:szCs w:val="16"/>
              </w:rPr>
              <w:t>5(13)</w:t>
            </w:r>
          </w:p>
          <w:p w14:paraId="51EF6753" w14:textId="77777777" w:rsidR="00AD5612" w:rsidRPr="00800F1F" w:rsidRDefault="00AD5612" w:rsidP="00103B1F">
            <w:pPr>
              <w:pStyle w:val="NoSpacing"/>
              <w:spacing w:line="480" w:lineRule="auto"/>
              <w:jc w:val="both"/>
              <w:rPr>
                <w:sz w:val="16"/>
                <w:szCs w:val="16"/>
              </w:rPr>
            </w:pPr>
            <w:r w:rsidRPr="00800F1F">
              <w:rPr>
                <w:sz w:val="16"/>
                <w:szCs w:val="16"/>
              </w:rPr>
              <w:t>7(18)</w:t>
            </w:r>
          </w:p>
          <w:p w14:paraId="685BBF1B" w14:textId="77777777" w:rsidR="00AD5612" w:rsidRPr="00800F1F" w:rsidRDefault="00AD5612" w:rsidP="00103B1F">
            <w:pPr>
              <w:pStyle w:val="NoSpacing"/>
              <w:spacing w:line="480" w:lineRule="auto"/>
              <w:jc w:val="both"/>
              <w:rPr>
                <w:sz w:val="16"/>
                <w:szCs w:val="16"/>
              </w:rPr>
            </w:pPr>
            <w:r w:rsidRPr="00800F1F">
              <w:rPr>
                <w:sz w:val="16"/>
                <w:szCs w:val="16"/>
              </w:rPr>
              <w:t>2(5)</w:t>
            </w:r>
          </w:p>
          <w:p w14:paraId="22BF547D" w14:textId="77777777" w:rsidR="00AD5612" w:rsidRPr="00800F1F" w:rsidRDefault="00AD5612" w:rsidP="00103B1F">
            <w:pPr>
              <w:pStyle w:val="NoSpacing"/>
              <w:spacing w:line="480" w:lineRule="auto"/>
              <w:jc w:val="both"/>
              <w:rPr>
                <w:sz w:val="16"/>
                <w:szCs w:val="16"/>
              </w:rPr>
            </w:pPr>
            <w:r w:rsidRPr="00800F1F">
              <w:rPr>
                <w:sz w:val="16"/>
                <w:szCs w:val="16"/>
              </w:rPr>
              <w:t>11(28)*</w:t>
            </w:r>
          </w:p>
        </w:tc>
      </w:tr>
      <w:tr w:rsidR="00AD5612" w:rsidRPr="00800F1F" w14:paraId="13EDA44D" w14:textId="77777777" w:rsidTr="00103B1F">
        <w:trPr>
          <w:trHeight w:val="1051"/>
          <w:jc w:val="center"/>
        </w:trPr>
        <w:tc>
          <w:tcPr>
            <w:tcW w:w="2264" w:type="dxa"/>
          </w:tcPr>
          <w:p w14:paraId="57F67FEF" w14:textId="77777777" w:rsidR="00AD5612" w:rsidRPr="00800F1F" w:rsidRDefault="00AD5612" w:rsidP="00103B1F">
            <w:pPr>
              <w:pStyle w:val="NoSpacing"/>
              <w:spacing w:line="480" w:lineRule="auto"/>
              <w:jc w:val="both"/>
              <w:rPr>
                <w:sz w:val="16"/>
                <w:szCs w:val="16"/>
              </w:rPr>
            </w:pPr>
            <w:r w:rsidRPr="00800F1F">
              <w:rPr>
                <w:sz w:val="16"/>
                <w:szCs w:val="16"/>
              </w:rPr>
              <w:t>Device n(%)</w:t>
            </w:r>
          </w:p>
          <w:p w14:paraId="2696D6E2" w14:textId="77777777" w:rsidR="00AD5612" w:rsidRPr="00800F1F" w:rsidRDefault="00AD5612" w:rsidP="00103B1F">
            <w:pPr>
              <w:pStyle w:val="NoSpacing"/>
              <w:spacing w:line="480" w:lineRule="auto"/>
              <w:ind w:left="720"/>
              <w:jc w:val="both"/>
              <w:rPr>
                <w:sz w:val="16"/>
                <w:szCs w:val="16"/>
              </w:rPr>
            </w:pPr>
            <w:r w:rsidRPr="00800F1F">
              <w:rPr>
                <w:sz w:val="16"/>
                <w:szCs w:val="16"/>
              </w:rPr>
              <w:t>None</w:t>
            </w:r>
          </w:p>
          <w:p w14:paraId="03BE5487" w14:textId="77777777" w:rsidR="00AD5612" w:rsidRPr="00800F1F" w:rsidRDefault="00AD5612" w:rsidP="00103B1F">
            <w:pPr>
              <w:pStyle w:val="NoSpacing"/>
              <w:spacing w:line="480" w:lineRule="auto"/>
              <w:ind w:left="720"/>
              <w:jc w:val="both"/>
              <w:rPr>
                <w:sz w:val="16"/>
                <w:szCs w:val="16"/>
              </w:rPr>
            </w:pPr>
            <w:r w:rsidRPr="00800F1F">
              <w:rPr>
                <w:sz w:val="16"/>
                <w:szCs w:val="16"/>
              </w:rPr>
              <w:t>ICD</w:t>
            </w:r>
          </w:p>
          <w:p w14:paraId="37BD69E7" w14:textId="77777777" w:rsidR="00AD5612" w:rsidRPr="00800F1F" w:rsidRDefault="00AD5612" w:rsidP="00103B1F">
            <w:pPr>
              <w:pStyle w:val="NoSpacing"/>
              <w:spacing w:line="480" w:lineRule="auto"/>
              <w:ind w:left="720"/>
              <w:jc w:val="both"/>
              <w:rPr>
                <w:sz w:val="16"/>
                <w:szCs w:val="16"/>
              </w:rPr>
            </w:pPr>
            <w:r w:rsidRPr="00800F1F">
              <w:rPr>
                <w:sz w:val="16"/>
                <w:szCs w:val="16"/>
              </w:rPr>
              <w:t>CRT-D</w:t>
            </w:r>
          </w:p>
          <w:p w14:paraId="789498DC" w14:textId="77777777" w:rsidR="00AD5612" w:rsidRPr="00800F1F" w:rsidRDefault="00AD5612" w:rsidP="00103B1F">
            <w:pPr>
              <w:pStyle w:val="NoSpacing"/>
              <w:spacing w:line="480" w:lineRule="auto"/>
              <w:ind w:left="720"/>
              <w:jc w:val="both"/>
              <w:rPr>
                <w:sz w:val="16"/>
                <w:szCs w:val="16"/>
              </w:rPr>
            </w:pPr>
            <w:r w:rsidRPr="00800F1F">
              <w:rPr>
                <w:sz w:val="16"/>
                <w:szCs w:val="16"/>
              </w:rPr>
              <w:t>CRT-P</w:t>
            </w:r>
          </w:p>
          <w:p w14:paraId="77B916DF" w14:textId="77777777" w:rsidR="00AD5612" w:rsidRPr="00800F1F" w:rsidRDefault="00AD5612" w:rsidP="00103B1F">
            <w:pPr>
              <w:pStyle w:val="NoSpacing"/>
              <w:spacing w:line="480" w:lineRule="auto"/>
              <w:jc w:val="both"/>
              <w:rPr>
                <w:sz w:val="16"/>
                <w:szCs w:val="16"/>
              </w:rPr>
            </w:pPr>
          </w:p>
        </w:tc>
        <w:tc>
          <w:tcPr>
            <w:tcW w:w="1961" w:type="dxa"/>
          </w:tcPr>
          <w:p w14:paraId="12AF58E2" w14:textId="77777777" w:rsidR="00AD5612" w:rsidRPr="00800F1F" w:rsidRDefault="00AD5612" w:rsidP="00103B1F">
            <w:pPr>
              <w:pStyle w:val="NoSpacing"/>
              <w:spacing w:line="480" w:lineRule="auto"/>
              <w:jc w:val="both"/>
              <w:rPr>
                <w:sz w:val="16"/>
                <w:szCs w:val="16"/>
              </w:rPr>
            </w:pPr>
          </w:p>
          <w:p w14:paraId="6BF190EB" w14:textId="77777777" w:rsidR="00AD5612" w:rsidRPr="00800F1F" w:rsidRDefault="00AD5612" w:rsidP="00103B1F">
            <w:pPr>
              <w:pStyle w:val="NoSpacing"/>
              <w:spacing w:line="480" w:lineRule="auto"/>
              <w:jc w:val="both"/>
              <w:rPr>
                <w:sz w:val="16"/>
                <w:szCs w:val="16"/>
              </w:rPr>
            </w:pPr>
            <w:r w:rsidRPr="00800F1F">
              <w:rPr>
                <w:sz w:val="16"/>
                <w:szCs w:val="16"/>
              </w:rPr>
              <w:t>27</w:t>
            </w:r>
          </w:p>
          <w:p w14:paraId="2D5177C4" w14:textId="77777777" w:rsidR="00AD5612" w:rsidRPr="00800F1F" w:rsidRDefault="00AD5612" w:rsidP="00103B1F">
            <w:pPr>
              <w:pStyle w:val="NoSpacing"/>
              <w:spacing w:line="480" w:lineRule="auto"/>
              <w:jc w:val="both"/>
              <w:rPr>
                <w:sz w:val="16"/>
                <w:szCs w:val="16"/>
              </w:rPr>
            </w:pPr>
            <w:r w:rsidRPr="00800F1F">
              <w:rPr>
                <w:sz w:val="16"/>
                <w:szCs w:val="16"/>
              </w:rPr>
              <w:t>1</w:t>
            </w:r>
          </w:p>
          <w:p w14:paraId="296C5F5D" w14:textId="77777777" w:rsidR="00AD5612" w:rsidRPr="00800F1F" w:rsidRDefault="00AD5612" w:rsidP="00103B1F">
            <w:pPr>
              <w:pStyle w:val="NoSpacing"/>
              <w:spacing w:line="480" w:lineRule="auto"/>
              <w:jc w:val="both"/>
              <w:rPr>
                <w:sz w:val="16"/>
                <w:szCs w:val="16"/>
              </w:rPr>
            </w:pPr>
            <w:r w:rsidRPr="00800F1F">
              <w:rPr>
                <w:sz w:val="16"/>
                <w:szCs w:val="16"/>
              </w:rPr>
              <w:t>0</w:t>
            </w:r>
          </w:p>
          <w:p w14:paraId="3D933F5D" w14:textId="77777777" w:rsidR="00AD5612" w:rsidRPr="00800F1F" w:rsidRDefault="00AD5612" w:rsidP="00103B1F">
            <w:pPr>
              <w:pStyle w:val="NoSpacing"/>
              <w:spacing w:line="480" w:lineRule="auto"/>
              <w:jc w:val="both"/>
              <w:rPr>
                <w:sz w:val="16"/>
                <w:szCs w:val="16"/>
              </w:rPr>
            </w:pPr>
            <w:r w:rsidRPr="00800F1F">
              <w:rPr>
                <w:sz w:val="16"/>
                <w:szCs w:val="16"/>
              </w:rPr>
              <w:t>0</w:t>
            </w:r>
          </w:p>
          <w:p w14:paraId="54F29EB0" w14:textId="77777777" w:rsidR="00AD5612" w:rsidRPr="00800F1F" w:rsidRDefault="00AD5612" w:rsidP="00103B1F">
            <w:pPr>
              <w:pStyle w:val="NoSpacing"/>
              <w:spacing w:line="480" w:lineRule="auto"/>
              <w:jc w:val="both"/>
              <w:rPr>
                <w:sz w:val="16"/>
                <w:szCs w:val="16"/>
              </w:rPr>
            </w:pPr>
          </w:p>
        </w:tc>
        <w:tc>
          <w:tcPr>
            <w:tcW w:w="1961" w:type="dxa"/>
          </w:tcPr>
          <w:p w14:paraId="7ABE9FD9" w14:textId="77777777" w:rsidR="00AD5612" w:rsidRPr="00800F1F" w:rsidRDefault="00AD5612" w:rsidP="00103B1F">
            <w:pPr>
              <w:pStyle w:val="NoSpacing"/>
              <w:spacing w:line="480" w:lineRule="auto"/>
              <w:jc w:val="both"/>
              <w:rPr>
                <w:sz w:val="16"/>
                <w:szCs w:val="16"/>
              </w:rPr>
            </w:pPr>
          </w:p>
          <w:p w14:paraId="7E0746D5" w14:textId="77777777" w:rsidR="00AD5612" w:rsidRPr="00800F1F" w:rsidRDefault="00AD5612" w:rsidP="00103B1F">
            <w:pPr>
              <w:pStyle w:val="NoSpacing"/>
              <w:spacing w:line="480" w:lineRule="auto"/>
              <w:jc w:val="both"/>
              <w:rPr>
                <w:sz w:val="16"/>
                <w:szCs w:val="16"/>
              </w:rPr>
            </w:pPr>
            <w:r w:rsidRPr="00800F1F">
              <w:rPr>
                <w:sz w:val="16"/>
                <w:szCs w:val="16"/>
              </w:rPr>
              <w:t>13(33)</w:t>
            </w:r>
          </w:p>
          <w:p w14:paraId="78355515" w14:textId="77777777" w:rsidR="00AD5612" w:rsidRPr="00800F1F" w:rsidRDefault="00AD5612" w:rsidP="00103B1F">
            <w:pPr>
              <w:pStyle w:val="NoSpacing"/>
              <w:spacing w:line="480" w:lineRule="auto"/>
              <w:jc w:val="both"/>
              <w:rPr>
                <w:sz w:val="16"/>
                <w:szCs w:val="16"/>
              </w:rPr>
            </w:pPr>
            <w:r w:rsidRPr="00800F1F">
              <w:rPr>
                <w:sz w:val="16"/>
                <w:szCs w:val="16"/>
              </w:rPr>
              <w:t>18(45)</w:t>
            </w:r>
          </w:p>
          <w:p w14:paraId="310E02A3" w14:textId="77777777" w:rsidR="00AD5612" w:rsidRPr="00800F1F" w:rsidRDefault="00AD5612" w:rsidP="00103B1F">
            <w:pPr>
              <w:pStyle w:val="NoSpacing"/>
              <w:spacing w:line="480" w:lineRule="auto"/>
              <w:jc w:val="both"/>
              <w:rPr>
                <w:sz w:val="16"/>
                <w:szCs w:val="16"/>
              </w:rPr>
            </w:pPr>
            <w:r w:rsidRPr="00800F1F">
              <w:rPr>
                <w:sz w:val="16"/>
                <w:szCs w:val="16"/>
              </w:rPr>
              <w:t>7(18)</w:t>
            </w:r>
          </w:p>
          <w:p w14:paraId="0187F25F" w14:textId="77777777" w:rsidR="00AD5612" w:rsidRPr="00800F1F" w:rsidRDefault="00AD5612" w:rsidP="00103B1F">
            <w:pPr>
              <w:pStyle w:val="NoSpacing"/>
              <w:spacing w:line="480" w:lineRule="auto"/>
              <w:jc w:val="both"/>
              <w:rPr>
                <w:sz w:val="16"/>
                <w:szCs w:val="16"/>
              </w:rPr>
            </w:pPr>
            <w:r w:rsidRPr="00800F1F">
              <w:rPr>
                <w:sz w:val="16"/>
                <w:szCs w:val="16"/>
              </w:rPr>
              <w:t>2(4)</w:t>
            </w:r>
          </w:p>
          <w:p w14:paraId="5769E11B" w14:textId="77777777" w:rsidR="00AD5612" w:rsidRPr="00800F1F" w:rsidRDefault="00AD5612" w:rsidP="00103B1F">
            <w:pPr>
              <w:pStyle w:val="NoSpacing"/>
              <w:spacing w:line="480" w:lineRule="auto"/>
              <w:jc w:val="both"/>
              <w:rPr>
                <w:sz w:val="16"/>
                <w:szCs w:val="16"/>
              </w:rPr>
            </w:pPr>
          </w:p>
        </w:tc>
      </w:tr>
      <w:tr w:rsidR="00AD5612" w:rsidRPr="00442C5F" w14:paraId="70879BD4" w14:textId="77777777" w:rsidTr="00103B1F">
        <w:trPr>
          <w:trHeight w:val="982"/>
          <w:jc w:val="center"/>
        </w:trPr>
        <w:tc>
          <w:tcPr>
            <w:tcW w:w="2264" w:type="dxa"/>
          </w:tcPr>
          <w:p w14:paraId="1EC4D499" w14:textId="77777777" w:rsidR="00AD5612" w:rsidRPr="00800F1F" w:rsidRDefault="00AD5612" w:rsidP="00103B1F">
            <w:pPr>
              <w:pStyle w:val="NoSpacing"/>
              <w:spacing w:line="480" w:lineRule="auto"/>
              <w:jc w:val="both"/>
              <w:rPr>
                <w:sz w:val="16"/>
                <w:szCs w:val="16"/>
              </w:rPr>
            </w:pPr>
            <w:r w:rsidRPr="00800F1F">
              <w:rPr>
                <w:sz w:val="16"/>
                <w:szCs w:val="16"/>
              </w:rPr>
              <w:t>ICD indication</w:t>
            </w:r>
          </w:p>
          <w:p w14:paraId="001CB506" w14:textId="77777777" w:rsidR="00AD5612" w:rsidRPr="00800F1F" w:rsidRDefault="00AD5612" w:rsidP="00103B1F">
            <w:pPr>
              <w:pStyle w:val="NoSpacing"/>
              <w:spacing w:line="480" w:lineRule="auto"/>
              <w:ind w:left="720"/>
              <w:jc w:val="both"/>
              <w:rPr>
                <w:sz w:val="16"/>
                <w:szCs w:val="16"/>
              </w:rPr>
            </w:pPr>
            <w:r w:rsidRPr="00800F1F">
              <w:rPr>
                <w:sz w:val="16"/>
                <w:szCs w:val="16"/>
              </w:rPr>
              <w:t>Primary prevention</w:t>
            </w:r>
          </w:p>
          <w:p w14:paraId="68594693" w14:textId="77777777" w:rsidR="00AD5612" w:rsidRPr="00800F1F" w:rsidRDefault="00AD5612" w:rsidP="00103B1F">
            <w:pPr>
              <w:pStyle w:val="NoSpacing"/>
              <w:spacing w:line="480" w:lineRule="auto"/>
              <w:ind w:left="720"/>
              <w:jc w:val="both"/>
              <w:rPr>
                <w:sz w:val="16"/>
                <w:szCs w:val="16"/>
              </w:rPr>
            </w:pPr>
            <w:r w:rsidRPr="00800F1F">
              <w:rPr>
                <w:sz w:val="16"/>
                <w:szCs w:val="16"/>
              </w:rPr>
              <w:t>Secondary prevention</w:t>
            </w:r>
          </w:p>
        </w:tc>
        <w:tc>
          <w:tcPr>
            <w:tcW w:w="1961" w:type="dxa"/>
          </w:tcPr>
          <w:p w14:paraId="43F5535D" w14:textId="77777777" w:rsidR="00AD5612" w:rsidRPr="00800F1F" w:rsidRDefault="00AD5612" w:rsidP="00103B1F">
            <w:pPr>
              <w:pStyle w:val="NoSpacing"/>
              <w:spacing w:line="480" w:lineRule="auto"/>
              <w:jc w:val="both"/>
              <w:rPr>
                <w:sz w:val="16"/>
                <w:szCs w:val="16"/>
              </w:rPr>
            </w:pPr>
          </w:p>
          <w:p w14:paraId="358BF678" w14:textId="77777777" w:rsidR="00AD5612" w:rsidRPr="00800F1F" w:rsidRDefault="00AD5612" w:rsidP="00103B1F">
            <w:pPr>
              <w:pStyle w:val="NoSpacing"/>
              <w:spacing w:line="480" w:lineRule="auto"/>
              <w:jc w:val="both"/>
              <w:rPr>
                <w:sz w:val="16"/>
                <w:szCs w:val="16"/>
              </w:rPr>
            </w:pPr>
            <w:r w:rsidRPr="00800F1F">
              <w:rPr>
                <w:sz w:val="16"/>
                <w:szCs w:val="16"/>
              </w:rPr>
              <w:t>0</w:t>
            </w:r>
          </w:p>
          <w:p w14:paraId="557B31B5" w14:textId="77777777" w:rsidR="00AD5612" w:rsidRPr="00800F1F" w:rsidRDefault="00AD5612" w:rsidP="00103B1F">
            <w:pPr>
              <w:pStyle w:val="NoSpacing"/>
              <w:spacing w:line="480" w:lineRule="auto"/>
              <w:jc w:val="both"/>
              <w:rPr>
                <w:sz w:val="16"/>
                <w:szCs w:val="16"/>
              </w:rPr>
            </w:pPr>
            <w:r w:rsidRPr="00800F1F">
              <w:rPr>
                <w:sz w:val="16"/>
                <w:szCs w:val="16"/>
              </w:rPr>
              <w:t>1</w:t>
            </w:r>
          </w:p>
        </w:tc>
        <w:tc>
          <w:tcPr>
            <w:tcW w:w="1961" w:type="dxa"/>
          </w:tcPr>
          <w:p w14:paraId="722EDDF8" w14:textId="77777777" w:rsidR="00AD5612" w:rsidRPr="00800F1F" w:rsidRDefault="00AD5612" w:rsidP="00103B1F">
            <w:pPr>
              <w:pStyle w:val="NoSpacing"/>
              <w:spacing w:line="480" w:lineRule="auto"/>
              <w:jc w:val="both"/>
              <w:rPr>
                <w:sz w:val="16"/>
                <w:szCs w:val="16"/>
              </w:rPr>
            </w:pPr>
          </w:p>
          <w:p w14:paraId="0B065E8B" w14:textId="77777777" w:rsidR="00AD5612" w:rsidRPr="00800F1F" w:rsidRDefault="00AD5612" w:rsidP="00103B1F">
            <w:pPr>
              <w:pStyle w:val="NoSpacing"/>
              <w:spacing w:line="480" w:lineRule="auto"/>
              <w:jc w:val="both"/>
              <w:rPr>
                <w:sz w:val="16"/>
                <w:szCs w:val="16"/>
              </w:rPr>
            </w:pPr>
            <w:r w:rsidRPr="00800F1F">
              <w:rPr>
                <w:sz w:val="16"/>
                <w:szCs w:val="16"/>
              </w:rPr>
              <w:t>14</w:t>
            </w:r>
          </w:p>
          <w:p w14:paraId="0E65C01C" w14:textId="77777777" w:rsidR="00AD5612" w:rsidRPr="00800F1F" w:rsidRDefault="00AD5612" w:rsidP="00103B1F">
            <w:pPr>
              <w:pStyle w:val="NoSpacing"/>
              <w:spacing w:line="480" w:lineRule="auto"/>
              <w:jc w:val="both"/>
              <w:rPr>
                <w:sz w:val="16"/>
                <w:szCs w:val="16"/>
              </w:rPr>
            </w:pPr>
            <w:r w:rsidRPr="00800F1F">
              <w:rPr>
                <w:sz w:val="16"/>
                <w:szCs w:val="16"/>
              </w:rPr>
              <w:t>11</w:t>
            </w:r>
          </w:p>
        </w:tc>
      </w:tr>
      <w:tr w:rsidR="00AD5612" w:rsidRPr="00800F1F" w14:paraId="4BC81B92" w14:textId="77777777" w:rsidTr="00103B1F">
        <w:trPr>
          <w:trHeight w:val="1935"/>
          <w:jc w:val="center"/>
        </w:trPr>
        <w:tc>
          <w:tcPr>
            <w:tcW w:w="2264" w:type="dxa"/>
            <w:tcBorders>
              <w:bottom w:val="single" w:sz="4" w:space="0" w:color="auto"/>
            </w:tcBorders>
          </w:tcPr>
          <w:p w14:paraId="1D7213EC" w14:textId="77777777" w:rsidR="00AD5612" w:rsidRPr="004E5359" w:rsidRDefault="00AD5612" w:rsidP="00103B1F">
            <w:pPr>
              <w:pStyle w:val="NoSpacing"/>
              <w:spacing w:line="480" w:lineRule="auto"/>
              <w:jc w:val="both"/>
              <w:rPr>
                <w:sz w:val="16"/>
                <w:szCs w:val="16"/>
                <w:lang w:val="es-ES"/>
              </w:rPr>
            </w:pPr>
            <w:r w:rsidRPr="00BE1546">
              <w:rPr>
                <w:rFonts w:asciiTheme="minorHAnsi" w:eastAsiaTheme="minorHAnsi" w:hAnsiTheme="minorHAnsi" w:cstheme="minorBidi"/>
                <w:sz w:val="16"/>
                <w:szCs w:val="16"/>
                <w:lang w:val="es-ES"/>
              </w:rPr>
              <w:lastRenderedPageBreak/>
              <w:t>Medication</w:t>
            </w:r>
            <w:r w:rsidRPr="004E5359">
              <w:rPr>
                <w:sz w:val="16"/>
                <w:szCs w:val="16"/>
                <w:lang w:val="es-ES"/>
              </w:rPr>
              <w:t xml:space="preserve"> n(%)</w:t>
            </w:r>
          </w:p>
          <w:p w14:paraId="3C72FA9C" w14:textId="77777777" w:rsidR="00AD5612" w:rsidRPr="004E5359" w:rsidRDefault="00AD5612" w:rsidP="00103B1F">
            <w:pPr>
              <w:pStyle w:val="NoSpacing"/>
              <w:spacing w:line="480" w:lineRule="auto"/>
              <w:ind w:left="720"/>
              <w:jc w:val="both"/>
              <w:rPr>
                <w:sz w:val="16"/>
                <w:szCs w:val="16"/>
                <w:lang w:val="es-ES"/>
              </w:rPr>
            </w:pPr>
            <w:r w:rsidRPr="004E5359">
              <w:rPr>
                <w:sz w:val="16"/>
                <w:szCs w:val="16"/>
                <w:lang w:val="es-ES"/>
              </w:rPr>
              <w:t>Beta</w:t>
            </w:r>
            <w:r w:rsidRPr="00BE1546">
              <w:rPr>
                <w:rFonts w:asciiTheme="minorHAnsi" w:eastAsiaTheme="minorHAnsi" w:hAnsiTheme="minorHAnsi" w:cstheme="minorBidi"/>
                <w:sz w:val="16"/>
                <w:szCs w:val="16"/>
                <w:lang w:val="es-ES"/>
              </w:rPr>
              <w:t>-blocker</w:t>
            </w:r>
          </w:p>
          <w:p w14:paraId="2204FD27" w14:textId="77777777" w:rsidR="00AD5612" w:rsidRPr="004E5359" w:rsidRDefault="00AD5612" w:rsidP="00103B1F">
            <w:pPr>
              <w:pStyle w:val="NoSpacing"/>
              <w:spacing w:line="480" w:lineRule="auto"/>
              <w:ind w:left="720"/>
              <w:jc w:val="both"/>
              <w:rPr>
                <w:sz w:val="16"/>
                <w:szCs w:val="16"/>
                <w:lang w:val="es-ES"/>
              </w:rPr>
            </w:pPr>
            <w:r w:rsidRPr="004E5359">
              <w:rPr>
                <w:sz w:val="16"/>
                <w:szCs w:val="16"/>
                <w:lang w:val="es-ES"/>
              </w:rPr>
              <w:t>Amiodarone</w:t>
            </w:r>
          </w:p>
          <w:p w14:paraId="347089C6" w14:textId="77777777" w:rsidR="00AD5612" w:rsidRPr="004E5359" w:rsidRDefault="00AD5612" w:rsidP="00103B1F">
            <w:pPr>
              <w:pStyle w:val="NoSpacing"/>
              <w:spacing w:line="480" w:lineRule="auto"/>
              <w:ind w:left="720"/>
              <w:jc w:val="both"/>
              <w:rPr>
                <w:sz w:val="16"/>
                <w:szCs w:val="16"/>
                <w:lang w:val="es-ES"/>
              </w:rPr>
            </w:pPr>
            <w:r w:rsidRPr="004E5359">
              <w:rPr>
                <w:sz w:val="16"/>
                <w:szCs w:val="16"/>
                <w:lang w:val="es-ES"/>
              </w:rPr>
              <w:t>Sotalol</w:t>
            </w:r>
          </w:p>
          <w:p w14:paraId="5C624B24" w14:textId="77777777" w:rsidR="00AD5612" w:rsidRPr="004E5359" w:rsidRDefault="00AD5612" w:rsidP="00103B1F">
            <w:pPr>
              <w:pStyle w:val="NoSpacing"/>
              <w:spacing w:line="480" w:lineRule="auto"/>
              <w:ind w:left="720"/>
              <w:jc w:val="both"/>
              <w:rPr>
                <w:sz w:val="16"/>
                <w:szCs w:val="16"/>
                <w:lang w:val="es-ES"/>
              </w:rPr>
            </w:pPr>
            <w:r>
              <w:rPr>
                <w:sz w:val="16"/>
                <w:szCs w:val="16"/>
                <w:lang w:val="es-ES"/>
              </w:rPr>
              <w:t>Lid</w:t>
            </w:r>
            <w:r w:rsidRPr="004E5359">
              <w:rPr>
                <w:sz w:val="16"/>
                <w:szCs w:val="16"/>
                <w:lang w:val="es-ES"/>
              </w:rPr>
              <w:t>ocaine</w:t>
            </w:r>
          </w:p>
          <w:p w14:paraId="41E99898" w14:textId="77777777" w:rsidR="00AD5612" w:rsidRPr="004E5359" w:rsidRDefault="00AD5612" w:rsidP="00103B1F">
            <w:pPr>
              <w:pStyle w:val="NoSpacing"/>
              <w:spacing w:line="480" w:lineRule="auto"/>
              <w:ind w:left="720"/>
              <w:jc w:val="both"/>
              <w:rPr>
                <w:sz w:val="16"/>
                <w:szCs w:val="16"/>
                <w:lang w:val="es-ES"/>
              </w:rPr>
            </w:pPr>
            <w:r w:rsidRPr="004E5359">
              <w:rPr>
                <w:sz w:val="16"/>
                <w:szCs w:val="16"/>
                <w:lang w:val="es-ES"/>
              </w:rPr>
              <w:t>Mexiletene</w:t>
            </w:r>
          </w:p>
          <w:p w14:paraId="398FC401" w14:textId="77777777" w:rsidR="00AD5612" w:rsidRPr="004E5359" w:rsidRDefault="00AD5612" w:rsidP="00103B1F">
            <w:pPr>
              <w:pStyle w:val="NoSpacing"/>
              <w:spacing w:line="480" w:lineRule="auto"/>
              <w:ind w:left="720"/>
              <w:jc w:val="both"/>
              <w:rPr>
                <w:sz w:val="16"/>
                <w:szCs w:val="16"/>
                <w:lang w:val="es-ES"/>
              </w:rPr>
            </w:pPr>
            <w:r w:rsidRPr="004E5359">
              <w:rPr>
                <w:sz w:val="16"/>
                <w:szCs w:val="16"/>
                <w:lang w:val="es-ES"/>
              </w:rPr>
              <w:t>Verapamil</w:t>
            </w:r>
          </w:p>
          <w:p w14:paraId="5B5F2A76" w14:textId="77777777" w:rsidR="00AD5612" w:rsidRPr="004E5359" w:rsidRDefault="00AD5612" w:rsidP="00103B1F">
            <w:pPr>
              <w:pStyle w:val="NoSpacing"/>
              <w:spacing w:line="480" w:lineRule="auto"/>
              <w:ind w:left="720"/>
              <w:jc w:val="both"/>
              <w:rPr>
                <w:sz w:val="16"/>
                <w:szCs w:val="16"/>
                <w:lang w:val="es-ES"/>
              </w:rPr>
            </w:pPr>
            <w:r w:rsidRPr="004E5359">
              <w:rPr>
                <w:sz w:val="16"/>
                <w:szCs w:val="16"/>
                <w:lang w:val="es-ES"/>
              </w:rPr>
              <w:t>Flecainide</w:t>
            </w:r>
          </w:p>
          <w:p w14:paraId="6CECD15F" w14:textId="77777777" w:rsidR="00AD5612" w:rsidRPr="004E5359" w:rsidRDefault="00AD5612" w:rsidP="00103B1F">
            <w:pPr>
              <w:pStyle w:val="NoSpacing"/>
              <w:spacing w:line="480" w:lineRule="auto"/>
              <w:ind w:left="720"/>
              <w:jc w:val="both"/>
              <w:rPr>
                <w:sz w:val="16"/>
                <w:szCs w:val="16"/>
                <w:lang w:val="es-ES"/>
              </w:rPr>
            </w:pPr>
            <w:r w:rsidRPr="004E5359">
              <w:rPr>
                <w:sz w:val="16"/>
                <w:szCs w:val="16"/>
                <w:lang w:val="es-ES"/>
              </w:rPr>
              <w:t>ACEi/ARB</w:t>
            </w:r>
          </w:p>
          <w:p w14:paraId="542927EA" w14:textId="77777777" w:rsidR="00AD5612" w:rsidRPr="00BE1546" w:rsidRDefault="00AD5612" w:rsidP="00103B1F">
            <w:pPr>
              <w:pStyle w:val="NoSpacing"/>
              <w:spacing w:line="480" w:lineRule="auto"/>
              <w:ind w:left="720"/>
              <w:jc w:val="both"/>
              <w:rPr>
                <w:sz w:val="16"/>
                <w:szCs w:val="16"/>
                <w:lang w:val="es-ES"/>
              </w:rPr>
            </w:pPr>
            <w:r w:rsidRPr="00BE1546">
              <w:rPr>
                <w:rFonts w:asciiTheme="minorHAnsi" w:eastAsiaTheme="minorHAnsi" w:hAnsiTheme="minorHAnsi" w:cstheme="minorBidi"/>
                <w:sz w:val="16"/>
                <w:szCs w:val="16"/>
                <w:lang w:val="es-ES"/>
              </w:rPr>
              <w:t>Statin</w:t>
            </w:r>
          </w:p>
          <w:p w14:paraId="49ED2655" w14:textId="77777777" w:rsidR="00AD5612" w:rsidRPr="00BE1546" w:rsidRDefault="00AD5612" w:rsidP="00103B1F">
            <w:pPr>
              <w:pStyle w:val="NoSpacing"/>
              <w:spacing w:line="480" w:lineRule="auto"/>
              <w:ind w:left="720"/>
              <w:jc w:val="both"/>
              <w:rPr>
                <w:sz w:val="16"/>
                <w:szCs w:val="16"/>
                <w:lang w:val="es-ES"/>
              </w:rPr>
            </w:pPr>
            <w:r w:rsidRPr="00BE1546">
              <w:rPr>
                <w:rFonts w:asciiTheme="minorHAnsi" w:eastAsiaTheme="minorHAnsi" w:hAnsiTheme="minorHAnsi" w:cstheme="minorBidi"/>
                <w:sz w:val="16"/>
                <w:szCs w:val="16"/>
                <w:lang w:val="es-ES"/>
              </w:rPr>
              <w:t>Aldosterone</w:t>
            </w:r>
          </w:p>
        </w:tc>
        <w:tc>
          <w:tcPr>
            <w:tcW w:w="1961" w:type="dxa"/>
            <w:tcBorders>
              <w:bottom w:val="single" w:sz="4" w:space="0" w:color="auto"/>
            </w:tcBorders>
          </w:tcPr>
          <w:p w14:paraId="29E45B0E" w14:textId="77777777" w:rsidR="00AD5612" w:rsidRPr="00BE1546" w:rsidRDefault="00AD5612" w:rsidP="00103B1F">
            <w:pPr>
              <w:pStyle w:val="NoSpacing"/>
              <w:spacing w:line="480" w:lineRule="auto"/>
              <w:jc w:val="both"/>
              <w:rPr>
                <w:sz w:val="16"/>
                <w:szCs w:val="16"/>
                <w:lang w:val="es-ES"/>
              </w:rPr>
            </w:pPr>
          </w:p>
          <w:p w14:paraId="3885E933" w14:textId="77777777" w:rsidR="00AD5612" w:rsidRPr="00800F1F" w:rsidRDefault="00AD5612" w:rsidP="00103B1F">
            <w:pPr>
              <w:pStyle w:val="NoSpacing"/>
              <w:spacing w:line="480" w:lineRule="auto"/>
              <w:jc w:val="both"/>
              <w:rPr>
                <w:sz w:val="16"/>
                <w:szCs w:val="16"/>
              </w:rPr>
            </w:pPr>
            <w:r w:rsidRPr="00800F1F">
              <w:rPr>
                <w:sz w:val="16"/>
                <w:szCs w:val="16"/>
              </w:rPr>
              <w:t>16</w:t>
            </w:r>
          </w:p>
          <w:p w14:paraId="04501D73" w14:textId="77777777" w:rsidR="00AD5612" w:rsidRPr="00800F1F" w:rsidRDefault="00AD5612" w:rsidP="00103B1F">
            <w:pPr>
              <w:pStyle w:val="NoSpacing"/>
              <w:spacing w:line="480" w:lineRule="auto"/>
              <w:jc w:val="both"/>
              <w:rPr>
                <w:sz w:val="16"/>
                <w:szCs w:val="16"/>
              </w:rPr>
            </w:pPr>
            <w:r w:rsidRPr="00800F1F">
              <w:rPr>
                <w:sz w:val="16"/>
                <w:szCs w:val="16"/>
              </w:rPr>
              <w:t>0</w:t>
            </w:r>
          </w:p>
          <w:p w14:paraId="1086890A" w14:textId="77777777" w:rsidR="00AD5612" w:rsidRPr="00800F1F" w:rsidRDefault="00AD5612" w:rsidP="00103B1F">
            <w:pPr>
              <w:pStyle w:val="NoSpacing"/>
              <w:spacing w:line="480" w:lineRule="auto"/>
              <w:jc w:val="both"/>
              <w:rPr>
                <w:sz w:val="16"/>
                <w:szCs w:val="16"/>
              </w:rPr>
            </w:pPr>
            <w:r w:rsidRPr="00800F1F">
              <w:rPr>
                <w:sz w:val="16"/>
                <w:szCs w:val="16"/>
              </w:rPr>
              <w:t>0</w:t>
            </w:r>
          </w:p>
          <w:p w14:paraId="14440A52" w14:textId="77777777" w:rsidR="00AD5612" w:rsidRPr="00800F1F" w:rsidRDefault="00AD5612" w:rsidP="00103B1F">
            <w:pPr>
              <w:pStyle w:val="NoSpacing"/>
              <w:spacing w:line="480" w:lineRule="auto"/>
              <w:jc w:val="both"/>
              <w:rPr>
                <w:sz w:val="16"/>
                <w:szCs w:val="16"/>
              </w:rPr>
            </w:pPr>
            <w:r w:rsidRPr="00800F1F">
              <w:rPr>
                <w:sz w:val="16"/>
                <w:szCs w:val="16"/>
              </w:rPr>
              <w:t>0</w:t>
            </w:r>
          </w:p>
          <w:p w14:paraId="114C9C6C" w14:textId="77777777" w:rsidR="00AD5612" w:rsidRPr="00800F1F" w:rsidRDefault="00AD5612" w:rsidP="00103B1F">
            <w:pPr>
              <w:pStyle w:val="NoSpacing"/>
              <w:spacing w:line="480" w:lineRule="auto"/>
              <w:jc w:val="both"/>
              <w:rPr>
                <w:sz w:val="16"/>
                <w:szCs w:val="16"/>
              </w:rPr>
            </w:pPr>
            <w:r w:rsidRPr="00800F1F">
              <w:rPr>
                <w:sz w:val="16"/>
                <w:szCs w:val="16"/>
              </w:rPr>
              <w:t>0</w:t>
            </w:r>
          </w:p>
          <w:p w14:paraId="43198A4A" w14:textId="77777777" w:rsidR="00AD5612" w:rsidRPr="00800F1F" w:rsidRDefault="00AD5612" w:rsidP="00103B1F">
            <w:pPr>
              <w:pStyle w:val="NoSpacing"/>
              <w:spacing w:line="480" w:lineRule="auto"/>
              <w:jc w:val="both"/>
              <w:rPr>
                <w:sz w:val="16"/>
                <w:szCs w:val="16"/>
              </w:rPr>
            </w:pPr>
            <w:r w:rsidRPr="00800F1F">
              <w:rPr>
                <w:sz w:val="16"/>
                <w:szCs w:val="16"/>
              </w:rPr>
              <w:t>2</w:t>
            </w:r>
          </w:p>
          <w:p w14:paraId="45DB156B" w14:textId="77777777" w:rsidR="00AD5612" w:rsidRPr="00800F1F" w:rsidRDefault="00AD5612" w:rsidP="00103B1F">
            <w:pPr>
              <w:pStyle w:val="NoSpacing"/>
              <w:spacing w:line="480" w:lineRule="auto"/>
              <w:jc w:val="both"/>
              <w:rPr>
                <w:sz w:val="16"/>
                <w:szCs w:val="16"/>
              </w:rPr>
            </w:pPr>
            <w:r w:rsidRPr="00800F1F">
              <w:rPr>
                <w:sz w:val="16"/>
                <w:szCs w:val="16"/>
              </w:rPr>
              <w:t>3</w:t>
            </w:r>
          </w:p>
          <w:p w14:paraId="00D1903A" w14:textId="77777777" w:rsidR="00AD5612" w:rsidRPr="00800F1F" w:rsidRDefault="00AD5612" w:rsidP="00103B1F">
            <w:pPr>
              <w:pStyle w:val="NoSpacing"/>
              <w:spacing w:line="480" w:lineRule="auto"/>
              <w:jc w:val="both"/>
              <w:rPr>
                <w:sz w:val="16"/>
                <w:szCs w:val="16"/>
              </w:rPr>
            </w:pPr>
            <w:r w:rsidRPr="00800F1F">
              <w:rPr>
                <w:sz w:val="16"/>
                <w:szCs w:val="16"/>
              </w:rPr>
              <w:t>6</w:t>
            </w:r>
          </w:p>
          <w:p w14:paraId="0296B932" w14:textId="77777777" w:rsidR="00AD5612" w:rsidRPr="00800F1F" w:rsidRDefault="00AD5612" w:rsidP="00103B1F">
            <w:pPr>
              <w:pStyle w:val="NoSpacing"/>
              <w:spacing w:line="480" w:lineRule="auto"/>
              <w:jc w:val="both"/>
              <w:rPr>
                <w:sz w:val="16"/>
                <w:szCs w:val="16"/>
              </w:rPr>
            </w:pPr>
            <w:r w:rsidRPr="00800F1F">
              <w:rPr>
                <w:sz w:val="16"/>
                <w:szCs w:val="16"/>
              </w:rPr>
              <w:t>4</w:t>
            </w:r>
          </w:p>
          <w:p w14:paraId="6B4B6883" w14:textId="77777777" w:rsidR="00AD5612" w:rsidRPr="00800F1F" w:rsidRDefault="00AD5612" w:rsidP="00103B1F">
            <w:pPr>
              <w:pStyle w:val="NoSpacing"/>
              <w:spacing w:line="480" w:lineRule="auto"/>
              <w:jc w:val="both"/>
              <w:rPr>
                <w:sz w:val="16"/>
                <w:szCs w:val="16"/>
              </w:rPr>
            </w:pPr>
            <w:r w:rsidRPr="00800F1F">
              <w:rPr>
                <w:sz w:val="16"/>
                <w:szCs w:val="16"/>
              </w:rPr>
              <w:t>0</w:t>
            </w:r>
          </w:p>
        </w:tc>
        <w:tc>
          <w:tcPr>
            <w:tcW w:w="1961" w:type="dxa"/>
            <w:tcBorders>
              <w:bottom w:val="single" w:sz="4" w:space="0" w:color="auto"/>
            </w:tcBorders>
          </w:tcPr>
          <w:p w14:paraId="46F55B84" w14:textId="77777777" w:rsidR="00AD5612" w:rsidRPr="00800F1F" w:rsidRDefault="00AD5612" w:rsidP="00103B1F">
            <w:pPr>
              <w:pStyle w:val="NoSpacing"/>
              <w:spacing w:line="480" w:lineRule="auto"/>
              <w:jc w:val="both"/>
              <w:rPr>
                <w:sz w:val="16"/>
                <w:szCs w:val="16"/>
              </w:rPr>
            </w:pPr>
          </w:p>
          <w:p w14:paraId="4DC4B417" w14:textId="77777777" w:rsidR="00AD5612" w:rsidRPr="00800F1F" w:rsidRDefault="00AD5612" w:rsidP="00103B1F">
            <w:pPr>
              <w:pStyle w:val="NoSpacing"/>
              <w:spacing w:line="480" w:lineRule="auto"/>
              <w:jc w:val="both"/>
              <w:rPr>
                <w:sz w:val="16"/>
                <w:szCs w:val="16"/>
              </w:rPr>
            </w:pPr>
            <w:r w:rsidRPr="00800F1F">
              <w:rPr>
                <w:sz w:val="16"/>
                <w:szCs w:val="16"/>
              </w:rPr>
              <w:t>32(80)</w:t>
            </w:r>
          </w:p>
          <w:p w14:paraId="0E3DA7BB" w14:textId="77777777" w:rsidR="00AD5612" w:rsidRPr="00800F1F" w:rsidRDefault="00AD5612" w:rsidP="00103B1F">
            <w:pPr>
              <w:pStyle w:val="NoSpacing"/>
              <w:spacing w:line="480" w:lineRule="auto"/>
              <w:jc w:val="both"/>
              <w:rPr>
                <w:sz w:val="16"/>
                <w:szCs w:val="16"/>
              </w:rPr>
            </w:pPr>
            <w:r w:rsidRPr="00800F1F">
              <w:rPr>
                <w:sz w:val="16"/>
                <w:szCs w:val="16"/>
              </w:rPr>
              <w:t>16(40)*</w:t>
            </w:r>
          </w:p>
          <w:p w14:paraId="6E586E72" w14:textId="77777777" w:rsidR="00AD5612" w:rsidRPr="00800F1F" w:rsidRDefault="00AD5612" w:rsidP="00103B1F">
            <w:pPr>
              <w:pStyle w:val="NoSpacing"/>
              <w:spacing w:line="480" w:lineRule="auto"/>
              <w:jc w:val="both"/>
              <w:rPr>
                <w:sz w:val="16"/>
                <w:szCs w:val="16"/>
              </w:rPr>
            </w:pPr>
            <w:r w:rsidRPr="00800F1F">
              <w:rPr>
                <w:sz w:val="16"/>
                <w:szCs w:val="16"/>
              </w:rPr>
              <w:t>1(3)</w:t>
            </w:r>
          </w:p>
          <w:p w14:paraId="5192107C" w14:textId="77777777" w:rsidR="00AD5612" w:rsidRPr="00800F1F" w:rsidRDefault="00AD5612" w:rsidP="00103B1F">
            <w:pPr>
              <w:pStyle w:val="NoSpacing"/>
              <w:spacing w:line="480" w:lineRule="auto"/>
              <w:jc w:val="both"/>
              <w:rPr>
                <w:sz w:val="16"/>
                <w:szCs w:val="16"/>
              </w:rPr>
            </w:pPr>
            <w:r w:rsidRPr="00800F1F">
              <w:rPr>
                <w:sz w:val="16"/>
                <w:szCs w:val="16"/>
              </w:rPr>
              <w:t>1(3)</w:t>
            </w:r>
          </w:p>
          <w:p w14:paraId="6B8F55A9" w14:textId="77777777" w:rsidR="00AD5612" w:rsidRPr="00800F1F" w:rsidRDefault="00AD5612" w:rsidP="00103B1F">
            <w:pPr>
              <w:pStyle w:val="NoSpacing"/>
              <w:spacing w:line="480" w:lineRule="auto"/>
              <w:jc w:val="both"/>
              <w:rPr>
                <w:sz w:val="16"/>
                <w:szCs w:val="16"/>
              </w:rPr>
            </w:pPr>
            <w:r w:rsidRPr="00800F1F">
              <w:rPr>
                <w:sz w:val="16"/>
                <w:szCs w:val="16"/>
              </w:rPr>
              <w:t>3(8)</w:t>
            </w:r>
          </w:p>
          <w:p w14:paraId="74D634D2" w14:textId="77777777" w:rsidR="00AD5612" w:rsidRPr="00800F1F" w:rsidRDefault="00AD5612" w:rsidP="00103B1F">
            <w:pPr>
              <w:pStyle w:val="NoSpacing"/>
              <w:spacing w:line="480" w:lineRule="auto"/>
              <w:jc w:val="both"/>
              <w:rPr>
                <w:sz w:val="16"/>
                <w:szCs w:val="16"/>
              </w:rPr>
            </w:pPr>
            <w:r w:rsidRPr="00800F1F">
              <w:rPr>
                <w:sz w:val="16"/>
                <w:szCs w:val="16"/>
              </w:rPr>
              <w:t>0</w:t>
            </w:r>
          </w:p>
          <w:p w14:paraId="58B542DD" w14:textId="77777777" w:rsidR="00AD5612" w:rsidRPr="00800F1F" w:rsidRDefault="00AD5612" w:rsidP="00103B1F">
            <w:pPr>
              <w:pStyle w:val="NoSpacing"/>
              <w:spacing w:line="480" w:lineRule="auto"/>
              <w:jc w:val="both"/>
              <w:rPr>
                <w:sz w:val="16"/>
                <w:szCs w:val="16"/>
              </w:rPr>
            </w:pPr>
            <w:r w:rsidRPr="00800F1F">
              <w:rPr>
                <w:sz w:val="16"/>
                <w:szCs w:val="16"/>
              </w:rPr>
              <w:t>1(3)</w:t>
            </w:r>
          </w:p>
          <w:p w14:paraId="3CD30BC0" w14:textId="77777777" w:rsidR="00AD5612" w:rsidRPr="00800F1F" w:rsidRDefault="00AD5612" w:rsidP="00103B1F">
            <w:pPr>
              <w:pStyle w:val="NoSpacing"/>
              <w:spacing w:line="480" w:lineRule="auto"/>
              <w:jc w:val="both"/>
              <w:rPr>
                <w:sz w:val="16"/>
                <w:szCs w:val="16"/>
              </w:rPr>
            </w:pPr>
            <w:r w:rsidRPr="00800F1F">
              <w:rPr>
                <w:sz w:val="16"/>
                <w:szCs w:val="16"/>
              </w:rPr>
              <w:t>30(75)*</w:t>
            </w:r>
          </w:p>
          <w:p w14:paraId="07769B12" w14:textId="77777777" w:rsidR="00AD5612" w:rsidRPr="00800F1F" w:rsidRDefault="00AD5612" w:rsidP="00103B1F">
            <w:pPr>
              <w:pStyle w:val="NoSpacing"/>
              <w:spacing w:line="480" w:lineRule="auto"/>
              <w:jc w:val="both"/>
              <w:rPr>
                <w:sz w:val="16"/>
                <w:szCs w:val="16"/>
              </w:rPr>
            </w:pPr>
            <w:r w:rsidRPr="00800F1F">
              <w:rPr>
                <w:sz w:val="16"/>
                <w:szCs w:val="16"/>
              </w:rPr>
              <w:t>25(63)*</w:t>
            </w:r>
          </w:p>
          <w:p w14:paraId="6C27BE9A" w14:textId="77777777" w:rsidR="00AD5612" w:rsidRPr="00800F1F" w:rsidRDefault="00AD5612" w:rsidP="00103B1F">
            <w:pPr>
              <w:pStyle w:val="NoSpacing"/>
              <w:spacing w:line="480" w:lineRule="auto"/>
              <w:jc w:val="both"/>
              <w:rPr>
                <w:sz w:val="16"/>
                <w:szCs w:val="16"/>
              </w:rPr>
            </w:pPr>
            <w:r w:rsidRPr="00800F1F">
              <w:rPr>
                <w:sz w:val="16"/>
                <w:szCs w:val="16"/>
              </w:rPr>
              <w:t>9(23)*</w:t>
            </w:r>
          </w:p>
        </w:tc>
      </w:tr>
    </w:tbl>
    <w:p w14:paraId="56D69305" w14:textId="77777777" w:rsidR="00AD5612" w:rsidRDefault="00AD5612" w:rsidP="00AD5612">
      <w:pPr>
        <w:spacing w:line="276" w:lineRule="auto"/>
      </w:pPr>
      <w:r>
        <w:t>*Indicates p&lt;0.05</w:t>
      </w:r>
    </w:p>
    <w:p w14:paraId="00D2FEA3" w14:textId="77777777" w:rsidR="00AD5612" w:rsidRPr="00C36B22" w:rsidRDefault="00AD5612" w:rsidP="00AD5612">
      <w:pPr>
        <w:spacing w:line="276" w:lineRule="auto"/>
      </w:pPr>
      <w:r>
        <w:br w:type="page"/>
      </w:r>
      <w:r w:rsidRPr="00A518AE">
        <w:lastRenderedPageBreak/>
        <w:t>Table 2 Mapping</w:t>
      </w:r>
      <w:r w:rsidRPr="00C36B22">
        <w:t xml:space="preserve"> Characteristics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843"/>
        <w:gridCol w:w="1559"/>
        <w:gridCol w:w="850"/>
        <w:gridCol w:w="957"/>
      </w:tblGrid>
      <w:tr w:rsidR="00AD5612" w:rsidRPr="000E2C86" w14:paraId="00401766" w14:textId="77777777" w:rsidTr="00103B1F">
        <w:trPr>
          <w:jc w:val="center"/>
        </w:trPr>
        <w:tc>
          <w:tcPr>
            <w:tcW w:w="3227" w:type="dxa"/>
            <w:tcBorders>
              <w:top w:val="single" w:sz="4" w:space="0" w:color="auto"/>
              <w:bottom w:val="single" w:sz="4" w:space="0" w:color="auto"/>
            </w:tcBorders>
            <w:shd w:val="clear" w:color="auto" w:fill="D9D9D9" w:themeFill="background1" w:themeFillShade="D9"/>
          </w:tcPr>
          <w:p w14:paraId="397F6232" w14:textId="77777777" w:rsidR="00AD5612" w:rsidRPr="000E2C86" w:rsidRDefault="00AD5612" w:rsidP="00103B1F">
            <w:pPr>
              <w:spacing w:before="10" w:after="10"/>
              <w:jc w:val="both"/>
              <w:rPr>
                <w:sz w:val="16"/>
                <w:szCs w:val="16"/>
              </w:rPr>
            </w:pPr>
          </w:p>
        </w:tc>
        <w:tc>
          <w:tcPr>
            <w:tcW w:w="1843" w:type="dxa"/>
            <w:tcBorders>
              <w:top w:val="single" w:sz="4" w:space="0" w:color="auto"/>
              <w:bottom w:val="single" w:sz="4" w:space="0" w:color="auto"/>
            </w:tcBorders>
            <w:shd w:val="clear" w:color="auto" w:fill="D9D9D9" w:themeFill="background1" w:themeFillShade="D9"/>
          </w:tcPr>
          <w:p w14:paraId="66E6EDBB" w14:textId="77777777" w:rsidR="00AD5612" w:rsidRPr="000E2C86" w:rsidRDefault="00AD5612" w:rsidP="00103B1F">
            <w:pPr>
              <w:spacing w:before="10" w:after="10"/>
              <w:jc w:val="both"/>
              <w:rPr>
                <w:b/>
                <w:sz w:val="16"/>
                <w:szCs w:val="16"/>
              </w:rPr>
            </w:pPr>
            <w:r w:rsidRPr="000E2C86">
              <w:rPr>
                <w:b/>
                <w:sz w:val="16"/>
                <w:szCs w:val="16"/>
              </w:rPr>
              <w:t>Normal heart</w:t>
            </w:r>
          </w:p>
          <w:p w14:paraId="443B14DF" w14:textId="77777777" w:rsidR="00AD5612" w:rsidRPr="000E2C86" w:rsidRDefault="00AD5612" w:rsidP="00103B1F">
            <w:pPr>
              <w:spacing w:before="10" w:after="10"/>
              <w:jc w:val="both"/>
              <w:rPr>
                <w:sz w:val="16"/>
                <w:szCs w:val="16"/>
              </w:rPr>
            </w:pPr>
            <w:r w:rsidRPr="000E2C86">
              <w:rPr>
                <w:sz w:val="16"/>
                <w:szCs w:val="16"/>
              </w:rPr>
              <w:t>n=316</w:t>
            </w:r>
          </w:p>
        </w:tc>
        <w:tc>
          <w:tcPr>
            <w:tcW w:w="1559" w:type="dxa"/>
            <w:tcBorders>
              <w:top w:val="single" w:sz="4" w:space="0" w:color="auto"/>
              <w:bottom w:val="single" w:sz="4" w:space="0" w:color="auto"/>
            </w:tcBorders>
            <w:shd w:val="clear" w:color="auto" w:fill="D9D9D9" w:themeFill="background1" w:themeFillShade="D9"/>
          </w:tcPr>
          <w:p w14:paraId="299C851B" w14:textId="77777777" w:rsidR="00AD5612" w:rsidRPr="000E2C86" w:rsidRDefault="00AD5612" w:rsidP="00103B1F">
            <w:pPr>
              <w:spacing w:before="10" w:after="10"/>
              <w:jc w:val="both"/>
              <w:rPr>
                <w:b/>
                <w:sz w:val="16"/>
                <w:szCs w:val="16"/>
              </w:rPr>
            </w:pPr>
            <w:r w:rsidRPr="000E2C86">
              <w:rPr>
                <w:b/>
                <w:sz w:val="16"/>
                <w:szCs w:val="16"/>
              </w:rPr>
              <w:t>Scar</w:t>
            </w:r>
          </w:p>
          <w:p w14:paraId="74AB2B55" w14:textId="77777777" w:rsidR="00AD5612" w:rsidRPr="000E2C86" w:rsidRDefault="00AD5612" w:rsidP="00103B1F">
            <w:pPr>
              <w:spacing w:before="10" w:after="10"/>
              <w:jc w:val="both"/>
              <w:rPr>
                <w:sz w:val="16"/>
                <w:szCs w:val="16"/>
              </w:rPr>
            </w:pPr>
            <w:r w:rsidRPr="000E2C86">
              <w:rPr>
                <w:sz w:val="16"/>
                <w:szCs w:val="16"/>
              </w:rPr>
              <w:t>n=619</w:t>
            </w:r>
          </w:p>
        </w:tc>
        <w:tc>
          <w:tcPr>
            <w:tcW w:w="850" w:type="dxa"/>
            <w:tcBorders>
              <w:top w:val="single" w:sz="4" w:space="0" w:color="auto"/>
              <w:bottom w:val="single" w:sz="4" w:space="0" w:color="auto"/>
            </w:tcBorders>
            <w:shd w:val="clear" w:color="auto" w:fill="D9D9D9" w:themeFill="background1" w:themeFillShade="D9"/>
          </w:tcPr>
          <w:p w14:paraId="65AA4381" w14:textId="77777777" w:rsidR="00AD5612" w:rsidRPr="000E2C86" w:rsidRDefault="00AD5612" w:rsidP="00103B1F">
            <w:pPr>
              <w:spacing w:before="10" w:after="10"/>
              <w:jc w:val="both"/>
              <w:rPr>
                <w:b/>
                <w:sz w:val="16"/>
                <w:szCs w:val="16"/>
              </w:rPr>
            </w:pPr>
            <w:r w:rsidRPr="000E2C86">
              <w:rPr>
                <w:b/>
                <w:sz w:val="16"/>
                <w:szCs w:val="16"/>
              </w:rPr>
              <w:t>P value</w:t>
            </w:r>
            <w:r>
              <w:rPr>
                <w:b/>
                <w:sz w:val="16"/>
                <w:szCs w:val="16"/>
              </w:rPr>
              <w:t>*</w:t>
            </w:r>
          </w:p>
        </w:tc>
        <w:tc>
          <w:tcPr>
            <w:tcW w:w="957" w:type="dxa"/>
            <w:tcBorders>
              <w:top w:val="single" w:sz="4" w:space="0" w:color="auto"/>
              <w:bottom w:val="single" w:sz="4" w:space="0" w:color="auto"/>
            </w:tcBorders>
            <w:shd w:val="clear" w:color="auto" w:fill="D9D9D9" w:themeFill="background1" w:themeFillShade="D9"/>
          </w:tcPr>
          <w:p w14:paraId="4FEC8DCB" w14:textId="77777777" w:rsidR="00AD5612" w:rsidRPr="000E2C86" w:rsidRDefault="00AD5612" w:rsidP="00103B1F">
            <w:pPr>
              <w:spacing w:before="10" w:after="10"/>
              <w:jc w:val="both"/>
              <w:rPr>
                <w:b/>
                <w:sz w:val="16"/>
                <w:szCs w:val="16"/>
              </w:rPr>
            </w:pPr>
            <w:r w:rsidRPr="000E2C86">
              <w:rPr>
                <w:b/>
                <w:sz w:val="16"/>
                <w:szCs w:val="16"/>
              </w:rPr>
              <w:t>Total</w:t>
            </w:r>
          </w:p>
          <w:p w14:paraId="41088E18" w14:textId="77777777" w:rsidR="00AD5612" w:rsidRPr="000E2C86" w:rsidRDefault="00AD5612" w:rsidP="00103B1F">
            <w:pPr>
              <w:spacing w:before="10" w:after="10"/>
              <w:jc w:val="both"/>
              <w:rPr>
                <w:sz w:val="16"/>
                <w:szCs w:val="16"/>
              </w:rPr>
            </w:pPr>
            <w:r w:rsidRPr="000E2C86">
              <w:rPr>
                <w:sz w:val="16"/>
                <w:szCs w:val="16"/>
              </w:rPr>
              <w:t>n=935</w:t>
            </w:r>
          </w:p>
        </w:tc>
      </w:tr>
      <w:tr w:rsidR="00AD5612" w:rsidRPr="000E2C86" w14:paraId="589A1B40" w14:textId="77777777" w:rsidTr="00103B1F">
        <w:trPr>
          <w:jc w:val="center"/>
        </w:trPr>
        <w:tc>
          <w:tcPr>
            <w:tcW w:w="3227" w:type="dxa"/>
            <w:tcBorders>
              <w:top w:val="single" w:sz="4" w:space="0" w:color="auto"/>
            </w:tcBorders>
          </w:tcPr>
          <w:p w14:paraId="35CE4E04" w14:textId="77777777" w:rsidR="00AD5612" w:rsidRPr="000E2C86" w:rsidRDefault="00AD5612" w:rsidP="00103B1F">
            <w:pPr>
              <w:spacing w:before="10" w:after="10"/>
              <w:jc w:val="both"/>
              <w:rPr>
                <w:sz w:val="16"/>
                <w:szCs w:val="16"/>
              </w:rPr>
            </w:pPr>
            <w:r w:rsidRPr="000E2C86">
              <w:rPr>
                <w:sz w:val="16"/>
                <w:szCs w:val="16"/>
              </w:rPr>
              <w:t>PM location n(%)</w:t>
            </w:r>
          </w:p>
          <w:p w14:paraId="4693BE81" w14:textId="77777777" w:rsidR="00AD5612" w:rsidRPr="000E2C86" w:rsidRDefault="00AD5612" w:rsidP="00103B1F">
            <w:pPr>
              <w:spacing w:before="10" w:after="10"/>
              <w:ind w:left="720"/>
              <w:jc w:val="both"/>
              <w:rPr>
                <w:sz w:val="16"/>
                <w:szCs w:val="16"/>
              </w:rPr>
            </w:pPr>
            <w:r w:rsidRPr="000E2C86">
              <w:rPr>
                <w:sz w:val="16"/>
                <w:szCs w:val="16"/>
              </w:rPr>
              <w:t>LV</w:t>
            </w:r>
          </w:p>
          <w:p w14:paraId="2D0034EE" w14:textId="77777777" w:rsidR="00AD5612" w:rsidRPr="000E2C86" w:rsidRDefault="00AD5612" w:rsidP="00103B1F">
            <w:pPr>
              <w:spacing w:before="10" w:after="10"/>
              <w:ind w:left="720"/>
              <w:jc w:val="both"/>
              <w:rPr>
                <w:sz w:val="16"/>
                <w:szCs w:val="16"/>
              </w:rPr>
            </w:pPr>
            <w:r w:rsidRPr="000E2C86">
              <w:rPr>
                <w:sz w:val="16"/>
                <w:szCs w:val="16"/>
              </w:rPr>
              <w:t>RV</w:t>
            </w:r>
          </w:p>
          <w:p w14:paraId="7BFB4EAC" w14:textId="77777777" w:rsidR="00AD5612" w:rsidRPr="000E2C86" w:rsidRDefault="00AD5612" w:rsidP="00103B1F">
            <w:pPr>
              <w:spacing w:before="10" w:after="10"/>
              <w:ind w:left="720"/>
              <w:jc w:val="both"/>
              <w:rPr>
                <w:sz w:val="16"/>
                <w:szCs w:val="16"/>
              </w:rPr>
            </w:pPr>
            <w:r w:rsidRPr="000E2C86">
              <w:rPr>
                <w:sz w:val="16"/>
                <w:szCs w:val="16"/>
              </w:rPr>
              <w:t>LVOT</w:t>
            </w:r>
          </w:p>
          <w:p w14:paraId="73060FDF" w14:textId="77777777" w:rsidR="00AD5612" w:rsidRPr="000E2C86" w:rsidRDefault="00AD5612" w:rsidP="00103B1F">
            <w:pPr>
              <w:spacing w:before="10" w:after="10"/>
              <w:ind w:left="720"/>
              <w:jc w:val="both"/>
              <w:rPr>
                <w:sz w:val="16"/>
                <w:szCs w:val="16"/>
              </w:rPr>
            </w:pPr>
            <w:r w:rsidRPr="000E2C86">
              <w:rPr>
                <w:sz w:val="16"/>
                <w:szCs w:val="16"/>
              </w:rPr>
              <w:t>RVOT</w:t>
            </w:r>
          </w:p>
          <w:p w14:paraId="4A9BD3B9" w14:textId="77777777" w:rsidR="00AD5612" w:rsidRPr="000E2C86" w:rsidRDefault="00AD5612" w:rsidP="00103B1F">
            <w:pPr>
              <w:spacing w:before="10" w:after="10"/>
              <w:ind w:left="720"/>
              <w:jc w:val="both"/>
              <w:rPr>
                <w:sz w:val="16"/>
                <w:szCs w:val="16"/>
              </w:rPr>
            </w:pPr>
            <w:r w:rsidRPr="000E2C86">
              <w:rPr>
                <w:sz w:val="16"/>
                <w:szCs w:val="16"/>
              </w:rPr>
              <w:t>Epicardial LV</w:t>
            </w:r>
          </w:p>
          <w:p w14:paraId="571647D5" w14:textId="77777777" w:rsidR="00AD5612" w:rsidRPr="000E2C86" w:rsidRDefault="00AD5612" w:rsidP="00103B1F">
            <w:pPr>
              <w:spacing w:before="10" w:after="10"/>
              <w:ind w:left="720"/>
              <w:jc w:val="both"/>
              <w:rPr>
                <w:sz w:val="16"/>
                <w:szCs w:val="16"/>
              </w:rPr>
            </w:pPr>
            <w:r w:rsidRPr="000E2C86">
              <w:rPr>
                <w:sz w:val="16"/>
                <w:szCs w:val="16"/>
              </w:rPr>
              <w:t>Epicardial RV</w:t>
            </w:r>
          </w:p>
        </w:tc>
        <w:tc>
          <w:tcPr>
            <w:tcW w:w="1843" w:type="dxa"/>
            <w:tcBorders>
              <w:top w:val="single" w:sz="4" w:space="0" w:color="auto"/>
            </w:tcBorders>
          </w:tcPr>
          <w:p w14:paraId="0CCE983D" w14:textId="77777777" w:rsidR="00AD5612" w:rsidRPr="000E2C86" w:rsidRDefault="00AD5612" w:rsidP="00103B1F">
            <w:pPr>
              <w:spacing w:before="10" w:after="10"/>
              <w:jc w:val="both"/>
              <w:rPr>
                <w:sz w:val="16"/>
                <w:szCs w:val="16"/>
              </w:rPr>
            </w:pPr>
          </w:p>
          <w:p w14:paraId="6CB3182D" w14:textId="77777777" w:rsidR="00AD5612" w:rsidRPr="000E2C86" w:rsidRDefault="00AD5612" w:rsidP="00103B1F">
            <w:pPr>
              <w:spacing w:before="10" w:after="10"/>
              <w:jc w:val="both"/>
              <w:rPr>
                <w:sz w:val="16"/>
                <w:szCs w:val="16"/>
              </w:rPr>
            </w:pPr>
            <w:r w:rsidRPr="000E2C86">
              <w:rPr>
                <w:sz w:val="16"/>
                <w:szCs w:val="16"/>
              </w:rPr>
              <w:t>63(20)</w:t>
            </w:r>
          </w:p>
          <w:p w14:paraId="2DB36325" w14:textId="77777777" w:rsidR="00AD5612" w:rsidRPr="000E2C86" w:rsidRDefault="00AD5612" w:rsidP="00103B1F">
            <w:pPr>
              <w:spacing w:before="10" w:after="10"/>
              <w:jc w:val="both"/>
              <w:rPr>
                <w:sz w:val="16"/>
                <w:szCs w:val="16"/>
              </w:rPr>
            </w:pPr>
            <w:r w:rsidRPr="000E2C86">
              <w:rPr>
                <w:sz w:val="16"/>
                <w:szCs w:val="16"/>
              </w:rPr>
              <w:t>74(23)</w:t>
            </w:r>
          </w:p>
          <w:p w14:paraId="55EF5264" w14:textId="77777777" w:rsidR="00AD5612" w:rsidRPr="000E2C86" w:rsidRDefault="00AD5612" w:rsidP="00103B1F">
            <w:pPr>
              <w:spacing w:before="10" w:after="10"/>
              <w:jc w:val="both"/>
              <w:rPr>
                <w:sz w:val="16"/>
                <w:szCs w:val="16"/>
              </w:rPr>
            </w:pPr>
            <w:r w:rsidRPr="000E2C86">
              <w:rPr>
                <w:sz w:val="16"/>
                <w:szCs w:val="16"/>
              </w:rPr>
              <w:t>65(21)</w:t>
            </w:r>
          </w:p>
          <w:p w14:paraId="593898E6" w14:textId="77777777" w:rsidR="00AD5612" w:rsidRPr="000E2C86" w:rsidRDefault="00AD5612" w:rsidP="00103B1F">
            <w:pPr>
              <w:spacing w:before="10" w:after="10"/>
              <w:jc w:val="both"/>
              <w:rPr>
                <w:sz w:val="16"/>
                <w:szCs w:val="16"/>
              </w:rPr>
            </w:pPr>
            <w:r w:rsidRPr="000E2C86">
              <w:rPr>
                <w:sz w:val="16"/>
                <w:szCs w:val="16"/>
              </w:rPr>
              <w:t>104(33)</w:t>
            </w:r>
          </w:p>
          <w:p w14:paraId="6B4E8FD6" w14:textId="77777777" w:rsidR="00AD5612" w:rsidRPr="000E2C86" w:rsidRDefault="00AD5612" w:rsidP="00103B1F">
            <w:pPr>
              <w:spacing w:before="10" w:after="10"/>
              <w:jc w:val="both"/>
              <w:rPr>
                <w:sz w:val="16"/>
                <w:szCs w:val="16"/>
              </w:rPr>
            </w:pPr>
            <w:r w:rsidRPr="000E2C86">
              <w:rPr>
                <w:sz w:val="16"/>
                <w:szCs w:val="16"/>
              </w:rPr>
              <w:t>8(2)</w:t>
            </w:r>
          </w:p>
          <w:p w14:paraId="3FF0EE3E" w14:textId="77777777" w:rsidR="00AD5612" w:rsidRPr="000E2C86" w:rsidRDefault="00AD5612" w:rsidP="00103B1F">
            <w:pPr>
              <w:spacing w:before="10" w:after="10"/>
              <w:jc w:val="both"/>
              <w:rPr>
                <w:sz w:val="16"/>
                <w:szCs w:val="16"/>
              </w:rPr>
            </w:pPr>
            <w:r w:rsidRPr="000E2C86">
              <w:rPr>
                <w:sz w:val="16"/>
                <w:szCs w:val="16"/>
              </w:rPr>
              <w:t>2(1)</w:t>
            </w:r>
          </w:p>
        </w:tc>
        <w:tc>
          <w:tcPr>
            <w:tcW w:w="1559" w:type="dxa"/>
            <w:tcBorders>
              <w:top w:val="single" w:sz="4" w:space="0" w:color="auto"/>
            </w:tcBorders>
          </w:tcPr>
          <w:p w14:paraId="18F090C6" w14:textId="77777777" w:rsidR="00AD5612" w:rsidRPr="000E2C86" w:rsidRDefault="00AD5612" w:rsidP="00103B1F">
            <w:pPr>
              <w:spacing w:before="10" w:after="10"/>
              <w:jc w:val="both"/>
              <w:rPr>
                <w:sz w:val="16"/>
                <w:szCs w:val="16"/>
              </w:rPr>
            </w:pPr>
          </w:p>
          <w:p w14:paraId="5FEEC402" w14:textId="77777777" w:rsidR="00AD5612" w:rsidRPr="000E2C86" w:rsidRDefault="00AD5612" w:rsidP="00103B1F">
            <w:pPr>
              <w:spacing w:before="10" w:after="10"/>
              <w:jc w:val="both"/>
              <w:rPr>
                <w:sz w:val="16"/>
                <w:szCs w:val="16"/>
              </w:rPr>
            </w:pPr>
            <w:r w:rsidRPr="000E2C86">
              <w:rPr>
                <w:sz w:val="16"/>
                <w:szCs w:val="16"/>
              </w:rPr>
              <w:t>377(61)</w:t>
            </w:r>
          </w:p>
          <w:p w14:paraId="65E276E3" w14:textId="77777777" w:rsidR="00AD5612" w:rsidRPr="000E2C86" w:rsidRDefault="00AD5612" w:rsidP="00103B1F">
            <w:pPr>
              <w:spacing w:before="10" w:after="10"/>
              <w:jc w:val="both"/>
              <w:rPr>
                <w:sz w:val="16"/>
                <w:szCs w:val="16"/>
              </w:rPr>
            </w:pPr>
            <w:r w:rsidRPr="000E2C86">
              <w:rPr>
                <w:sz w:val="16"/>
                <w:szCs w:val="16"/>
              </w:rPr>
              <w:t>123(20)</w:t>
            </w:r>
          </w:p>
          <w:p w14:paraId="3BF7CD77" w14:textId="77777777" w:rsidR="00AD5612" w:rsidRPr="000E2C86" w:rsidRDefault="00AD5612" w:rsidP="00103B1F">
            <w:pPr>
              <w:spacing w:before="10" w:after="10"/>
              <w:jc w:val="both"/>
              <w:rPr>
                <w:sz w:val="16"/>
                <w:szCs w:val="16"/>
              </w:rPr>
            </w:pPr>
            <w:r w:rsidRPr="000E2C86">
              <w:rPr>
                <w:sz w:val="16"/>
                <w:szCs w:val="16"/>
              </w:rPr>
              <w:t>17(3)</w:t>
            </w:r>
          </w:p>
          <w:p w14:paraId="2C921065" w14:textId="77777777" w:rsidR="00AD5612" w:rsidRPr="000E2C86" w:rsidRDefault="00AD5612" w:rsidP="00103B1F">
            <w:pPr>
              <w:spacing w:before="10" w:after="10"/>
              <w:jc w:val="both"/>
              <w:rPr>
                <w:sz w:val="16"/>
                <w:szCs w:val="16"/>
              </w:rPr>
            </w:pPr>
            <w:r w:rsidRPr="000E2C86">
              <w:rPr>
                <w:sz w:val="16"/>
                <w:szCs w:val="16"/>
              </w:rPr>
              <w:t>53(9)</w:t>
            </w:r>
          </w:p>
          <w:p w14:paraId="7A8BB513" w14:textId="77777777" w:rsidR="00AD5612" w:rsidRPr="000E2C86" w:rsidRDefault="00AD5612" w:rsidP="00103B1F">
            <w:pPr>
              <w:spacing w:before="10" w:after="10"/>
              <w:jc w:val="both"/>
              <w:rPr>
                <w:sz w:val="16"/>
                <w:szCs w:val="16"/>
              </w:rPr>
            </w:pPr>
            <w:r w:rsidRPr="000E2C86">
              <w:rPr>
                <w:sz w:val="16"/>
                <w:szCs w:val="16"/>
              </w:rPr>
              <w:t>22(3)</w:t>
            </w:r>
          </w:p>
          <w:p w14:paraId="5CAE978E" w14:textId="77777777" w:rsidR="00AD5612" w:rsidRPr="000E2C86" w:rsidRDefault="00AD5612" w:rsidP="00103B1F">
            <w:pPr>
              <w:spacing w:before="10" w:after="10"/>
              <w:jc w:val="both"/>
              <w:rPr>
                <w:sz w:val="16"/>
                <w:szCs w:val="16"/>
              </w:rPr>
            </w:pPr>
            <w:r w:rsidRPr="000E2C86">
              <w:rPr>
                <w:sz w:val="16"/>
                <w:szCs w:val="16"/>
              </w:rPr>
              <w:t>27(4)</w:t>
            </w:r>
          </w:p>
          <w:p w14:paraId="30F913F4" w14:textId="77777777" w:rsidR="00AD5612" w:rsidRPr="000E2C86" w:rsidRDefault="00AD5612" w:rsidP="00103B1F">
            <w:pPr>
              <w:spacing w:before="10" w:after="10"/>
              <w:jc w:val="both"/>
              <w:rPr>
                <w:sz w:val="16"/>
                <w:szCs w:val="16"/>
              </w:rPr>
            </w:pPr>
          </w:p>
        </w:tc>
        <w:tc>
          <w:tcPr>
            <w:tcW w:w="850" w:type="dxa"/>
            <w:tcBorders>
              <w:top w:val="single" w:sz="4" w:space="0" w:color="auto"/>
            </w:tcBorders>
          </w:tcPr>
          <w:p w14:paraId="5E7F4AA9" w14:textId="77777777" w:rsidR="00AD5612" w:rsidRPr="000E2C86" w:rsidRDefault="00AD5612" w:rsidP="00103B1F">
            <w:pPr>
              <w:spacing w:before="10" w:after="10"/>
              <w:jc w:val="both"/>
              <w:rPr>
                <w:sz w:val="16"/>
                <w:szCs w:val="16"/>
              </w:rPr>
            </w:pPr>
          </w:p>
        </w:tc>
        <w:tc>
          <w:tcPr>
            <w:tcW w:w="957" w:type="dxa"/>
            <w:tcBorders>
              <w:top w:val="single" w:sz="4" w:space="0" w:color="auto"/>
            </w:tcBorders>
          </w:tcPr>
          <w:p w14:paraId="54601920" w14:textId="77777777" w:rsidR="00AD5612" w:rsidRPr="000E2C86" w:rsidRDefault="00AD5612" w:rsidP="00103B1F">
            <w:pPr>
              <w:spacing w:before="10" w:after="10"/>
              <w:jc w:val="both"/>
              <w:rPr>
                <w:sz w:val="16"/>
                <w:szCs w:val="16"/>
              </w:rPr>
            </w:pPr>
          </w:p>
          <w:p w14:paraId="05B0B167" w14:textId="77777777" w:rsidR="00AD5612" w:rsidRPr="000E2C86" w:rsidRDefault="00AD5612" w:rsidP="00103B1F">
            <w:pPr>
              <w:spacing w:before="10" w:after="10"/>
              <w:jc w:val="both"/>
              <w:rPr>
                <w:sz w:val="16"/>
                <w:szCs w:val="16"/>
              </w:rPr>
            </w:pPr>
            <w:r w:rsidRPr="000E2C86">
              <w:rPr>
                <w:sz w:val="16"/>
                <w:szCs w:val="16"/>
              </w:rPr>
              <w:t>440(47)</w:t>
            </w:r>
          </w:p>
          <w:p w14:paraId="6692688C" w14:textId="77777777" w:rsidR="00AD5612" w:rsidRPr="000E2C86" w:rsidRDefault="00AD5612" w:rsidP="00103B1F">
            <w:pPr>
              <w:spacing w:before="10" w:after="10"/>
              <w:jc w:val="both"/>
              <w:rPr>
                <w:sz w:val="16"/>
                <w:szCs w:val="16"/>
              </w:rPr>
            </w:pPr>
            <w:r w:rsidRPr="000E2C86">
              <w:rPr>
                <w:sz w:val="16"/>
                <w:szCs w:val="16"/>
              </w:rPr>
              <w:t>197(21)</w:t>
            </w:r>
          </w:p>
          <w:p w14:paraId="19C1C28A" w14:textId="77777777" w:rsidR="00AD5612" w:rsidRPr="000E2C86" w:rsidRDefault="00AD5612" w:rsidP="00103B1F">
            <w:pPr>
              <w:spacing w:before="10" w:after="10"/>
              <w:jc w:val="both"/>
              <w:rPr>
                <w:sz w:val="16"/>
                <w:szCs w:val="16"/>
              </w:rPr>
            </w:pPr>
            <w:r w:rsidRPr="000E2C86">
              <w:rPr>
                <w:sz w:val="16"/>
                <w:szCs w:val="16"/>
              </w:rPr>
              <w:t>82(9)</w:t>
            </w:r>
          </w:p>
          <w:p w14:paraId="3950EF64" w14:textId="77777777" w:rsidR="00AD5612" w:rsidRPr="000E2C86" w:rsidRDefault="00AD5612" w:rsidP="00103B1F">
            <w:pPr>
              <w:spacing w:before="10" w:after="10"/>
              <w:jc w:val="both"/>
              <w:rPr>
                <w:sz w:val="16"/>
                <w:szCs w:val="16"/>
              </w:rPr>
            </w:pPr>
            <w:r w:rsidRPr="000E2C86">
              <w:rPr>
                <w:sz w:val="16"/>
                <w:szCs w:val="16"/>
              </w:rPr>
              <w:t>157(17)</w:t>
            </w:r>
          </w:p>
          <w:p w14:paraId="70FC9F33" w14:textId="77777777" w:rsidR="00AD5612" w:rsidRPr="000E2C86" w:rsidRDefault="00AD5612" w:rsidP="00103B1F">
            <w:pPr>
              <w:spacing w:before="10" w:after="10"/>
              <w:jc w:val="both"/>
              <w:rPr>
                <w:sz w:val="16"/>
                <w:szCs w:val="16"/>
              </w:rPr>
            </w:pPr>
            <w:r w:rsidRPr="000E2C86">
              <w:rPr>
                <w:sz w:val="16"/>
                <w:szCs w:val="16"/>
              </w:rPr>
              <w:t>30(3)</w:t>
            </w:r>
          </w:p>
          <w:p w14:paraId="2674597F" w14:textId="77777777" w:rsidR="00AD5612" w:rsidRPr="000E2C86" w:rsidRDefault="00AD5612" w:rsidP="00103B1F">
            <w:pPr>
              <w:spacing w:before="10" w:after="10"/>
              <w:jc w:val="both"/>
              <w:rPr>
                <w:sz w:val="16"/>
                <w:szCs w:val="16"/>
              </w:rPr>
            </w:pPr>
            <w:r w:rsidRPr="000E2C86">
              <w:rPr>
                <w:sz w:val="16"/>
                <w:szCs w:val="16"/>
              </w:rPr>
              <w:t>29(3)</w:t>
            </w:r>
          </w:p>
        </w:tc>
      </w:tr>
      <w:tr w:rsidR="00AD5612" w:rsidRPr="000E2C86" w14:paraId="0371CD84" w14:textId="77777777" w:rsidTr="00103B1F">
        <w:trPr>
          <w:jc w:val="center"/>
        </w:trPr>
        <w:tc>
          <w:tcPr>
            <w:tcW w:w="3227" w:type="dxa"/>
          </w:tcPr>
          <w:p w14:paraId="2B145658" w14:textId="77777777" w:rsidR="00AD5612" w:rsidRPr="000E2C86" w:rsidRDefault="00AD5612" w:rsidP="00103B1F">
            <w:pPr>
              <w:spacing w:before="10" w:after="10"/>
              <w:jc w:val="both"/>
              <w:rPr>
                <w:sz w:val="16"/>
                <w:szCs w:val="16"/>
              </w:rPr>
            </w:pPr>
            <w:r w:rsidRPr="000E2C86">
              <w:rPr>
                <w:sz w:val="16"/>
                <w:szCs w:val="16"/>
              </w:rPr>
              <w:t>Cycle length (ms) med(IQR)</w:t>
            </w:r>
          </w:p>
        </w:tc>
        <w:tc>
          <w:tcPr>
            <w:tcW w:w="1843" w:type="dxa"/>
          </w:tcPr>
          <w:p w14:paraId="46413D9E" w14:textId="77777777" w:rsidR="00AD5612" w:rsidRPr="000E2C86" w:rsidRDefault="00AD5612" w:rsidP="00103B1F">
            <w:pPr>
              <w:spacing w:before="10" w:after="10"/>
              <w:jc w:val="both"/>
              <w:rPr>
                <w:sz w:val="16"/>
                <w:szCs w:val="16"/>
              </w:rPr>
            </w:pPr>
            <w:r w:rsidRPr="000E2C86">
              <w:rPr>
                <w:sz w:val="16"/>
                <w:szCs w:val="16"/>
              </w:rPr>
              <w:t>460(100)</w:t>
            </w:r>
          </w:p>
        </w:tc>
        <w:tc>
          <w:tcPr>
            <w:tcW w:w="1559" w:type="dxa"/>
          </w:tcPr>
          <w:p w14:paraId="4FE5B375" w14:textId="77777777" w:rsidR="00AD5612" w:rsidRPr="000E2C86" w:rsidRDefault="00AD5612" w:rsidP="00103B1F">
            <w:pPr>
              <w:spacing w:before="10" w:after="10"/>
              <w:jc w:val="both"/>
              <w:rPr>
                <w:sz w:val="16"/>
                <w:szCs w:val="16"/>
              </w:rPr>
            </w:pPr>
            <w:r w:rsidRPr="000E2C86">
              <w:rPr>
                <w:sz w:val="16"/>
                <w:szCs w:val="16"/>
              </w:rPr>
              <w:t>500(100)</w:t>
            </w:r>
          </w:p>
        </w:tc>
        <w:tc>
          <w:tcPr>
            <w:tcW w:w="850" w:type="dxa"/>
          </w:tcPr>
          <w:p w14:paraId="3A228046" w14:textId="77777777" w:rsidR="00AD5612" w:rsidRPr="000E2C86" w:rsidRDefault="00AD5612" w:rsidP="00103B1F">
            <w:pPr>
              <w:spacing w:before="10" w:after="10"/>
              <w:jc w:val="both"/>
              <w:rPr>
                <w:sz w:val="16"/>
                <w:szCs w:val="16"/>
              </w:rPr>
            </w:pPr>
            <w:r w:rsidRPr="000E2C86">
              <w:rPr>
                <w:sz w:val="16"/>
                <w:szCs w:val="16"/>
              </w:rPr>
              <w:t>0.002</w:t>
            </w:r>
          </w:p>
        </w:tc>
        <w:tc>
          <w:tcPr>
            <w:tcW w:w="957" w:type="dxa"/>
          </w:tcPr>
          <w:p w14:paraId="589FBF11" w14:textId="77777777" w:rsidR="00AD5612" w:rsidRPr="000E2C86" w:rsidRDefault="00AD5612" w:rsidP="00103B1F">
            <w:pPr>
              <w:spacing w:before="10" w:after="10"/>
              <w:jc w:val="both"/>
              <w:rPr>
                <w:sz w:val="16"/>
                <w:szCs w:val="16"/>
              </w:rPr>
            </w:pPr>
          </w:p>
        </w:tc>
      </w:tr>
      <w:tr w:rsidR="00AD5612" w:rsidRPr="000E2C86" w14:paraId="6D36D2C6" w14:textId="77777777" w:rsidTr="00103B1F">
        <w:trPr>
          <w:jc w:val="center"/>
        </w:trPr>
        <w:tc>
          <w:tcPr>
            <w:tcW w:w="3227" w:type="dxa"/>
          </w:tcPr>
          <w:p w14:paraId="3FE5E85E" w14:textId="77777777" w:rsidR="00AD5612" w:rsidRPr="000E2C86" w:rsidRDefault="00AD5612" w:rsidP="00103B1F">
            <w:pPr>
              <w:spacing w:before="10" w:after="10"/>
              <w:jc w:val="both"/>
              <w:rPr>
                <w:sz w:val="16"/>
                <w:szCs w:val="16"/>
              </w:rPr>
            </w:pPr>
            <w:r w:rsidRPr="000E2C86">
              <w:rPr>
                <w:sz w:val="16"/>
                <w:szCs w:val="16"/>
              </w:rPr>
              <w:t>Pacing threshold (mV), n(%), med(IQR)</w:t>
            </w:r>
          </w:p>
        </w:tc>
        <w:tc>
          <w:tcPr>
            <w:tcW w:w="1843" w:type="dxa"/>
          </w:tcPr>
          <w:p w14:paraId="72102674" w14:textId="77777777" w:rsidR="00AD5612" w:rsidRPr="000E2C86" w:rsidRDefault="00AD5612" w:rsidP="00103B1F">
            <w:pPr>
              <w:spacing w:before="10" w:after="10"/>
              <w:jc w:val="both"/>
              <w:rPr>
                <w:sz w:val="16"/>
                <w:szCs w:val="16"/>
              </w:rPr>
            </w:pPr>
            <w:r w:rsidRPr="000E2C86">
              <w:rPr>
                <w:sz w:val="16"/>
                <w:szCs w:val="16"/>
              </w:rPr>
              <w:t>197(62), 2.25(3.05)</w:t>
            </w:r>
          </w:p>
        </w:tc>
        <w:tc>
          <w:tcPr>
            <w:tcW w:w="1559" w:type="dxa"/>
          </w:tcPr>
          <w:p w14:paraId="70A014D7" w14:textId="77777777" w:rsidR="00AD5612" w:rsidRPr="000E2C86" w:rsidRDefault="00AD5612" w:rsidP="00103B1F">
            <w:pPr>
              <w:spacing w:before="10" w:after="10"/>
              <w:jc w:val="both"/>
              <w:rPr>
                <w:sz w:val="16"/>
                <w:szCs w:val="16"/>
              </w:rPr>
            </w:pPr>
            <w:r w:rsidRPr="000E2C86">
              <w:rPr>
                <w:sz w:val="16"/>
                <w:szCs w:val="16"/>
              </w:rPr>
              <w:t>457(74), 2.20(2.18)</w:t>
            </w:r>
          </w:p>
        </w:tc>
        <w:tc>
          <w:tcPr>
            <w:tcW w:w="850" w:type="dxa"/>
          </w:tcPr>
          <w:p w14:paraId="484C811A" w14:textId="77777777" w:rsidR="00AD5612" w:rsidRPr="000E2C86" w:rsidRDefault="00AD5612" w:rsidP="00103B1F">
            <w:pPr>
              <w:spacing w:before="10" w:after="10"/>
              <w:jc w:val="both"/>
              <w:rPr>
                <w:sz w:val="16"/>
                <w:szCs w:val="16"/>
              </w:rPr>
            </w:pPr>
            <w:r w:rsidRPr="000E2C86">
              <w:rPr>
                <w:sz w:val="16"/>
                <w:szCs w:val="16"/>
              </w:rPr>
              <w:t>0.183</w:t>
            </w:r>
          </w:p>
        </w:tc>
        <w:tc>
          <w:tcPr>
            <w:tcW w:w="957" w:type="dxa"/>
          </w:tcPr>
          <w:p w14:paraId="3A01AC2B" w14:textId="77777777" w:rsidR="00AD5612" w:rsidRPr="000E2C86" w:rsidRDefault="00AD5612" w:rsidP="00103B1F">
            <w:pPr>
              <w:spacing w:before="10" w:after="10"/>
              <w:jc w:val="both"/>
              <w:rPr>
                <w:sz w:val="16"/>
                <w:szCs w:val="16"/>
              </w:rPr>
            </w:pPr>
            <w:r w:rsidRPr="000E2C86">
              <w:rPr>
                <w:sz w:val="16"/>
                <w:szCs w:val="16"/>
              </w:rPr>
              <w:t>n=655</w:t>
            </w:r>
          </w:p>
        </w:tc>
      </w:tr>
      <w:tr w:rsidR="00AD5612" w:rsidRPr="000E2C86" w14:paraId="23B4E1AA" w14:textId="77777777" w:rsidTr="00103B1F">
        <w:trPr>
          <w:jc w:val="center"/>
        </w:trPr>
        <w:tc>
          <w:tcPr>
            <w:tcW w:w="3227" w:type="dxa"/>
          </w:tcPr>
          <w:p w14:paraId="6B40D802" w14:textId="77777777" w:rsidR="00AD5612" w:rsidRPr="000E2C86" w:rsidRDefault="00AD5612" w:rsidP="00103B1F">
            <w:pPr>
              <w:spacing w:before="10" w:after="10"/>
              <w:jc w:val="both"/>
              <w:rPr>
                <w:sz w:val="16"/>
                <w:szCs w:val="16"/>
              </w:rPr>
            </w:pPr>
            <w:r w:rsidRPr="000E2C86">
              <w:rPr>
                <w:sz w:val="16"/>
                <w:szCs w:val="16"/>
              </w:rPr>
              <w:t>Endocardial voltage (mV) med(IQR)</w:t>
            </w:r>
          </w:p>
        </w:tc>
        <w:tc>
          <w:tcPr>
            <w:tcW w:w="1843" w:type="dxa"/>
          </w:tcPr>
          <w:p w14:paraId="31ABBC17" w14:textId="77777777" w:rsidR="00AD5612" w:rsidRPr="000E2C86" w:rsidRDefault="00AD5612" w:rsidP="00103B1F">
            <w:pPr>
              <w:spacing w:before="10" w:after="10"/>
              <w:jc w:val="both"/>
              <w:rPr>
                <w:sz w:val="16"/>
                <w:szCs w:val="16"/>
              </w:rPr>
            </w:pPr>
            <w:r w:rsidRPr="000E2C86">
              <w:rPr>
                <w:sz w:val="16"/>
                <w:szCs w:val="16"/>
              </w:rPr>
              <w:t>1.78(2.65)</w:t>
            </w:r>
          </w:p>
        </w:tc>
        <w:tc>
          <w:tcPr>
            <w:tcW w:w="1559" w:type="dxa"/>
          </w:tcPr>
          <w:p w14:paraId="245B7F78" w14:textId="77777777" w:rsidR="00AD5612" w:rsidRPr="000E2C86" w:rsidRDefault="00AD5612" w:rsidP="00103B1F">
            <w:pPr>
              <w:spacing w:before="10" w:after="10"/>
              <w:jc w:val="both"/>
              <w:rPr>
                <w:sz w:val="16"/>
                <w:szCs w:val="16"/>
              </w:rPr>
            </w:pPr>
            <w:r w:rsidRPr="000E2C86">
              <w:rPr>
                <w:sz w:val="16"/>
                <w:szCs w:val="16"/>
              </w:rPr>
              <w:t>1.64(2.29)</w:t>
            </w:r>
          </w:p>
        </w:tc>
        <w:tc>
          <w:tcPr>
            <w:tcW w:w="850" w:type="dxa"/>
          </w:tcPr>
          <w:p w14:paraId="6535F283" w14:textId="77777777" w:rsidR="00AD5612" w:rsidRPr="000E2C86" w:rsidRDefault="00AD5612" w:rsidP="00103B1F">
            <w:pPr>
              <w:spacing w:before="10" w:after="10"/>
              <w:jc w:val="both"/>
              <w:rPr>
                <w:sz w:val="16"/>
                <w:szCs w:val="16"/>
              </w:rPr>
            </w:pPr>
            <w:r w:rsidRPr="000E2C86">
              <w:rPr>
                <w:sz w:val="16"/>
                <w:szCs w:val="16"/>
              </w:rPr>
              <w:t>0.266</w:t>
            </w:r>
          </w:p>
        </w:tc>
        <w:tc>
          <w:tcPr>
            <w:tcW w:w="957" w:type="dxa"/>
          </w:tcPr>
          <w:p w14:paraId="61A57636" w14:textId="77777777" w:rsidR="00AD5612" w:rsidRPr="000E2C86" w:rsidRDefault="00AD5612" w:rsidP="00103B1F">
            <w:pPr>
              <w:spacing w:before="10" w:after="10"/>
              <w:jc w:val="both"/>
              <w:rPr>
                <w:sz w:val="16"/>
                <w:szCs w:val="16"/>
              </w:rPr>
            </w:pPr>
          </w:p>
        </w:tc>
      </w:tr>
      <w:tr w:rsidR="00AD5612" w:rsidRPr="000E2C86" w14:paraId="4E20CE6A" w14:textId="77777777" w:rsidTr="00103B1F">
        <w:trPr>
          <w:jc w:val="center"/>
        </w:trPr>
        <w:tc>
          <w:tcPr>
            <w:tcW w:w="3227" w:type="dxa"/>
          </w:tcPr>
          <w:p w14:paraId="6D420DBF" w14:textId="77777777" w:rsidR="00AD5612" w:rsidRPr="004E5359" w:rsidRDefault="00AD5612" w:rsidP="00103B1F">
            <w:pPr>
              <w:spacing w:before="10" w:after="10"/>
              <w:jc w:val="both"/>
              <w:rPr>
                <w:sz w:val="16"/>
                <w:szCs w:val="16"/>
                <w:lang w:val="fr-FR"/>
              </w:rPr>
            </w:pPr>
            <w:r w:rsidRPr="004E5359">
              <w:rPr>
                <w:sz w:val="16"/>
                <w:szCs w:val="16"/>
                <w:lang w:val="fr-FR"/>
              </w:rPr>
              <w:t>Voltage distribution n(%)</w:t>
            </w:r>
          </w:p>
          <w:p w14:paraId="1A16542C" w14:textId="77777777" w:rsidR="00AD5612" w:rsidRPr="004E5359" w:rsidRDefault="00AD5612" w:rsidP="00103B1F">
            <w:pPr>
              <w:spacing w:before="10" w:after="10"/>
              <w:ind w:left="720"/>
              <w:jc w:val="both"/>
              <w:rPr>
                <w:sz w:val="16"/>
                <w:szCs w:val="16"/>
                <w:lang w:val="fr-FR"/>
              </w:rPr>
            </w:pPr>
            <w:r w:rsidRPr="004E5359">
              <w:rPr>
                <w:sz w:val="16"/>
                <w:szCs w:val="16"/>
                <w:lang w:val="fr-FR"/>
              </w:rPr>
              <w:t>Normal tissue</w:t>
            </w:r>
          </w:p>
          <w:p w14:paraId="65A7D228" w14:textId="77777777" w:rsidR="00AD5612" w:rsidRPr="004E5359" w:rsidRDefault="00AD5612" w:rsidP="00103B1F">
            <w:pPr>
              <w:spacing w:before="10" w:after="10"/>
              <w:ind w:left="720"/>
              <w:jc w:val="both"/>
              <w:rPr>
                <w:sz w:val="16"/>
                <w:szCs w:val="16"/>
                <w:lang w:val="fr-FR"/>
              </w:rPr>
            </w:pPr>
            <w:r w:rsidRPr="004E5359">
              <w:rPr>
                <w:sz w:val="16"/>
                <w:szCs w:val="16"/>
                <w:lang w:val="fr-FR"/>
              </w:rPr>
              <w:t>Border zone</w:t>
            </w:r>
          </w:p>
          <w:p w14:paraId="72362EE1" w14:textId="77777777" w:rsidR="00AD5612" w:rsidRPr="000E2C86" w:rsidRDefault="00AD5612" w:rsidP="00103B1F">
            <w:pPr>
              <w:spacing w:before="10" w:after="10"/>
              <w:ind w:left="720"/>
              <w:jc w:val="both"/>
              <w:rPr>
                <w:sz w:val="16"/>
                <w:szCs w:val="16"/>
              </w:rPr>
            </w:pPr>
            <w:r w:rsidRPr="000E2C86">
              <w:rPr>
                <w:sz w:val="16"/>
                <w:szCs w:val="16"/>
              </w:rPr>
              <w:t>Dense scar</w:t>
            </w:r>
          </w:p>
          <w:p w14:paraId="23B17297" w14:textId="77777777" w:rsidR="00AD5612" w:rsidRPr="000E2C86" w:rsidRDefault="00AD5612" w:rsidP="00103B1F">
            <w:pPr>
              <w:spacing w:before="10" w:after="10"/>
              <w:jc w:val="both"/>
              <w:rPr>
                <w:sz w:val="16"/>
                <w:szCs w:val="16"/>
              </w:rPr>
            </w:pPr>
          </w:p>
        </w:tc>
        <w:tc>
          <w:tcPr>
            <w:tcW w:w="1843" w:type="dxa"/>
          </w:tcPr>
          <w:p w14:paraId="6985C047" w14:textId="77777777" w:rsidR="00AD5612" w:rsidRPr="000E2C86" w:rsidRDefault="00AD5612" w:rsidP="00103B1F">
            <w:pPr>
              <w:spacing w:before="10" w:after="10"/>
              <w:jc w:val="both"/>
              <w:rPr>
                <w:sz w:val="16"/>
                <w:szCs w:val="16"/>
              </w:rPr>
            </w:pPr>
          </w:p>
          <w:p w14:paraId="4B2E5130" w14:textId="77777777" w:rsidR="00AD5612" w:rsidRPr="000E2C86" w:rsidRDefault="00AD5612" w:rsidP="00103B1F">
            <w:pPr>
              <w:spacing w:before="10" w:after="10"/>
              <w:jc w:val="both"/>
              <w:rPr>
                <w:sz w:val="16"/>
                <w:szCs w:val="16"/>
              </w:rPr>
            </w:pPr>
            <w:r w:rsidRPr="000E2C86">
              <w:rPr>
                <w:sz w:val="16"/>
                <w:szCs w:val="16"/>
              </w:rPr>
              <w:t>181(57)</w:t>
            </w:r>
          </w:p>
          <w:p w14:paraId="4AED7FC5" w14:textId="77777777" w:rsidR="00AD5612" w:rsidRPr="000E2C86" w:rsidRDefault="00AD5612" w:rsidP="00103B1F">
            <w:pPr>
              <w:spacing w:before="10" w:after="10"/>
              <w:jc w:val="both"/>
              <w:rPr>
                <w:sz w:val="16"/>
                <w:szCs w:val="16"/>
              </w:rPr>
            </w:pPr>
            <w:r w:rsidRPr="000E2C86">
              <w:rPr>
                <w:sz w:val="16"/>
                <w:szCs w:val="16"/>
              </w:rPr>
              <w:t>98(31)</w:t>
            </w:r>
          </w:p>
          <w:p w14:paraId="144B8089" w14:textId="77777777" w:rsidR="00AD5612" w:rsidRPr="000E2C86" w:rsidRDefault="00AD5612" w:rsidP="00103B1F">
            <w:pPr>
              <w:spacing w:before="10" w:after="10"/>
              <w:jc w:val="both"/>
              <w:rPr>
                <w:sz w:val="16"/>
                <w:szCs w:val="16"/>
              </w:rPr>
            </w:pPr>
            <w:r w:rsidRPr="000E2C86">
              <w:rPr>
                <w:sz w:val="16"/>
                <w:szCs w:val="16"/>
              </w:rPr>
              <w:t>37(12)</w:t>
            </w:r>
          </w:p>
        </w:tc>
        <w:tc>
          <w:tcPr>
            <w:tcW w:w="1559" w:type="dxa"/>
          </w:tcPr>
          <w:p w14:paraId="2F8EC4B0" w14:textId="77777777" w:rsidR="00AD5612" w:rsidRPr="000E2C86" w:rsidRDefault="00AD5612" w:rsidP="00103B1F">
            <w:pPr>
              <w:spacing w:before="10" w:after="10"/>
              <w:jc w:val="both"/>
              <w:rPr>
                <w:sz w:val="16"/>
                <w:szCs w:val="16"/>
              </w:rPr>
            </w:pPr>
          </w:p>
          <w:p w14:paraId="131C6144" w14:textId="77777777" w:rsidR="00AD5612" w:rsidRPr="000E2C86" w:rsidRDefault="00AD5612" w:rsidP="00103B1F">
            <w:pPr>
              <w:spacing w:before="10" w:after="10"/>
              <w:jc w:val="both"/>
              <w:rPr>
                <w:sz w:val="16"/>
                <w:szCs w:val="16"/>
              </w:rPr>
            </w:pPr>
            <w:r w:rsidRPr="000E2C86">
              <w:rPr>
                <w:sz w:val="16"/>
                <w:szCs w:val="16"/>
              </w:rPr>
              <w:t>332(54)</w:t>
            </w:r>
          </w:p>
          <w:p w14:paraId="42CC3290" w14:textId="77777777" w:rsidR="00AD5612" w:rsidRPr="000E2C86" w:rsidRDefault="00AD5612" w:rsidP="00103B1F">
            <w:pPr>
              <w:spacing w:before="10" w:after="10"/>
              <w:jc w:val="both"/>
              <w:rPr>
                <w:sz w:val="16"/>
                <w:szCs w:val="16"/>
              </w:rPr>
            </w:pPr>
            <w:r w:rsidRPr="000E2C86">
              <w:rPr>
                <w:sz w:val="16"/>
                <w:szCs w:val="16"/>
              </w:rPr>
              <w:t>213(34)</w:t>
            </w:r>
          </w:p>
          <w:p w14:paraId="2EBC9561" w14:textId="77777777" w:rsidR="00AD5612" w:rsidRPr="000E2C86" w:rsidRDefault="00AD5612" w:rsidP="00103B1F">
            <w:pPr>
              <w:spacing w:before="10" w:after="10"/>
              <w:jc w:val="both"/>
              <w:rPr>
                <w:sz w:val="16"/>
                <w:szCs w:val="16"/>
              </w:rPr>
            </w:pPr>
            <w:r w:rsidRPr="000E2C86">
              <w:rPr>
                <w:sz w:val="16"/>
                <w:szCs w:val="16"/>
              </w:rPr>
              <w:t>74(12)</w:t>
            </w:r>
          </w:p>
        </w:tc>
        <w:tc>
          <w:tcPr>
            <w:tcW w:w="850" w:type="dxa"/>
          </w:tcPr>
          <w:p w14:paraId="13BB86A1" w14:textId="77777777" w:rsidR="00AD5612" w:rsidRPr="000E2C86" w:rsidRDefault="00AD5612" w:rsidP="00103B1F">
            <w:pPr>
              <w:spacing w:before="10" w:after="10"/>
              <w:jc w:val="both"/>
              <w:rPr>
                <w:sz w:val="16"/>
                <w:szCs w:val="16"/>
              </w:rPr>
            </w:pPr>
          </w:p>
        </w:tc>
        <w:tc>
          <w:tcPr>
            <w:tcW w:w="957" w:type="dxa"/>
          </w:tcPr>
          <w:p w14:paraId="1C28808B" w14:textId="77777777" w:rsidR="00AD5612" w:rsidRPr="000E2C86" w:rsidRDefault="00AD5612" w:rsidP="00103B1F">
            <w:pPr>
              <w:spacing w:before="10" w:after="10"/>
              <w:jc w:val="both"/>
              <w:rPr>
                <w:sz w:val="16"/>
                <w:szCs w:val="16"/>
              </w:rPr>
            </w:pPr>
          </w:p>
          <w:p w14:paraId="58D814DC" w14:textId="77777777" w:rsidR="00AD5612" w:rsidRPr="000E2C86" w:rsidRDefault="00AD5612" w:rsidP="00103B1F">
            <w:pPr>
              <w:spacing w:before="10" w:after="10"/>
              <w:jc w:val="both"/>
              <w:rPr>
                <w:sz w:val="16"/>
                <w:szCs w:val="16"/>
              </w:rPr>
            </w:pPr>
            <w:r w:rsidRPr="000E2C86">
              <w:rPr>
                <w:sz w:val="16"/>
                <w:szCs w:val="16"/>
              </w:rPr>
              <w:t>513(55)</w:t>
            </w:r>
          </w:p>
          <w:p w14:paraId="74A516E2" w14:textId="77777777" w:rsidR="00AD5612" w:rsidRPr="000E2C86" w:rsidRDefault="00AD5612" w:rsidP="00103B1F">
            <w:pPr>
              <w:spacing w:before="10" w:after="10"/>
              <w:jc w:val="both"/>
              <w:rPr>
                <w:sz w:val="16"/>
                <w:szCs w:val="16"/>
              </w:rPr>
            </w:pPr>
            <w:r w:rsidRPr="000E2C86">
              <w:rPr>
                <w:sz w:val="16"/>
                <w:szCs w:val="16"/>
              </w:rPr>
              <w:t>311(33)</w:t>
            </w:r>
          </w:p>
          <w:p w14:paraId="7C6BC992" w14:textId="77777777" w:rsidR="00AD5612" w:rsidRPr="000E2C86" w:rsidRDefault="00AD5612" w:rsidP="00103B1F">
            <w:pPr>
              <w:spacing w:before="10" w:after="10"/>
              <w:jc w:val="both"/>
              <w:rPr>
                <w:sz w:val="16"/>
                <w:szCs w:val="16"/>
              </w:rPr>
            </w:pPr>
            <w:r w:rsidRPr="000E2C86">
              <w:rPr>
                <w:sz w:val="16"/>
                <w:szCs w:val="16"/>
              </w:rPr>
              <w:t>111(12)</w:t>
            </w:r>
          </w:p>
        </w:tc>
      </w:tr>
      <w:tr w:rsidR="00AD5612" w:rsidRPr="000E2C86" w14:paraId="6137DFFA" w14:textId="77777777" w:rsidTr="00103B1F">
        <w:trPr>
          <w:jc w:val="center"/>
        </w:trPr>
        <w:tc>
          <w:tcPr>
            <w:tcW w:w="3227" w:type="dxa"/>
          </w:tcPr>
          <w:p w14:paraId="5B9B9365" w14:textId="77777777" w:rsidR="00AD5612" w:rsidRPr="000E2C86" w:rsidRDefault="00AD5612" w:rsidP="00103B1F">
            <w:pPr>
              <w:spacing w:before="10" w:after="10"/>
              <w:jc w:val="both"/>
              <w:rPr>
                <w:sz w:val="16"/>
                <w:szCs w:val="16"/>
              </w:rPr>
            </w:pPr>
            <w:r w:rsidRPr="000E2C86">
              <w:rPr>
                <w:sz w:val="16"/>
                <w:szCs w:val="16"/>
              </w:rPr>
              <w:lastRenderedPageBreak/>
              <w:t>EGM duration (ms) med(IQR)</w:t>
            </w:r>
          </w:p>
        </w:tc>
        <w:tc>
          <w:tcPr>
            <w:tcW w:w="1843" w:type="dxa"/>
          </w:tcPr>
          <w:p w14:paraId="7A727031" w14:textId="77777777" w:rsidR="00AD5612" w:rsidRPr="000E2C86" w:rsidRDefault="00AD5612" w:rsidP="00103B1F">
            <w:pPr>
              <w:spacing w:before="10" w:after="10"/>
              <w:jc w:val="both"/>
              <w:rPr>
                <w:sz w:val="16"/>
                <w:szCs w:val="16"/>
              </w:rPr>
            </w:pPr>
            <w:r w:rsidRPr="000E2C86">
              <w:rPr>
                <w:sz w:val="16"/>
                <w:szCs w:val="16"/>
              </w:rPr>
              <w:t>39(19)</w:t>
            </w:r>
          </w:p>
        </w:tc>
        <w:tc>
          <w:tcPr>
            <w:tcW w:w="1559" w:type="dxa"/>
          </w:tcPr>
          <w:p w14:paraId="1346F43A" w14:textId="77777777" w:rsidR="00AD5612" w:rsidRPr="000E2C86" w:rsidRDefault="00AD5612" w:rsidP="00103B1F">
            <w:pPr>
              <w:spacing w:before="10" w:after="10"/>
              <w:jc w:val="both"/>
              <w:rPr>
                <w:sz w:val="16"/>
                <w:szCs w:val="16"/>
              </w:rPr>
            </w:pPr>
            <w:r w:rsidRPr="000E2C86">
              <w:rPr>
                <w:sz w:val="16"/>
                <w:szCs w:val="16"/>
              </w:rPr>
              <w:t>45(25)</w:t>
            </w:r>
          </w:p>
        </w:tc>
        <w:tc>
          <w:tcPr>
            <w:tcW w:w="850" w:type="dxa"/>
          </w:tcPr>
          <w:p w14:paraId="24140241" w14:textId="77777777" w:rsidR="00AD5612" w:rsidRPr="000E2C86" w:rsidRDefault="00AD5612" w:rsidP="00103B1F">
            <w:pPr>
              <w:spacing w:before="10" w:after="10"/>
              <w:jc w:val="both"/>
              <w:rPr>
                <w:sz w:val="16"/>
                <w:szCs w:val="16"/>
              </w:rPr>
            </w:pPr>
            <w:r w:rsidRPr="000E2C86">
              <w:rPr>
                <w:sz w:val="16"/>
                <w:szCs w:val="16"/>
              </w:rPr>
              <w:t>&lt;0.001</w:t>
            </w:r>
          </w:p>
        </w:tc>
        <w:tc>
          <w:tcPr>
            <w:tcW w:w="957" w:type="dxa"/>
          </w:tcPr>
          <w:p w14:paraId="2EA73F65" w14:textId="77777777" w:rsidR="00AD5612" w:rsidRPr="000E2C86" w:rsidRDefault="00AD5612" w:rsidP="00103B1F">
            <w:pPr>
              <w:spacing w:before="10" w:after="10"/>
              <w:jc w:val="both"/>
              <w:rPr>
                <w:sz w:val="16"/>
                <w:szCs w:val="16"/>
              </w:rPr>
            </w:pPr>
          </w:p>
        </w:tc>
      </w:tr>
      <w:tr w:rsidR="00AD5612" w:rsidRPr="000E2C86" w14:paraId="740ADD73" w14:textId="77777777" w:rsidTr="00103B1F">
        <w:trPr>
          <w:jc w:val="center"/>
        </w:trPr>
        <w:tc>
          <w:tcPr>
            <w:tcW w:w="3227" w:type="dxa"/>
          </w:tcPr>
          <w:p w14:paraId="3798754E" w14:textId="77777777" w:rsidR="00AD5612" w:rsidRPr="000E2C86" w:rsidRDefault="00AD5612" w:rsidP="00103B1F">
            <w:pPr>
              <w:spacing w:before="10" w:after="10"/>
              <w:jc w:val="both"/>
              <w:rPr>
                <w:sz w:val="16"/>
                <w:szCs w:val="16"/>
              </w:rPr>
            </w:pPr>
            <w:r w:rsidRPr="000E2C86">
              <w:rPr>
                <w:sz w:val="16"/>
                <w:szCs w:val="16"/>
              </w:rPr>
              <w:t>EGM multiple deflections n(%)</w:t>
            </w:r>
          </w:p>
        </w:tc>
        <w:tc>
          <w:tcPr>
            <w:tcW w:w="1843" w:type="dxa"/>
          </w:tcPr>
          <w:p w14:paraId="6ED8F1FF" w14:textId="77777777" w:rsidR="00AD5612" w:rsidRPr="000E2C86" w:rsidRDefault="00AD5612" w:rsidP="00103B1F">
            <w:pPr>
              <w:spacing w:before="10" w:after="10"/>
              <w:jc w:val="both"/>
              <w:rPr>
                <w:sz w:val="16"/>
                <w:szCs w:val="16"/>
              </w:rPr>
            </w:pPr>
            <w:r w:rsidRPr="000E2C86">
              <w:rPr>
                <w:sz w:val="16"/>
                <w:szCs w:val="16"/>
              </w:rPr>
              <w:t>77(24</w:t>
            </w:r>
            <w:r>
              <w:rPr>
                <w:sz w:val="16"/>
                <w:szCs w:val="16"/>
              </w:rPr>
              <w:t>)</w:t>
            </w:r>
          </w:p>
        </w:tc>
        <w:tc>
          <w:tcPr>
            <w:tcW w:w="1559" w:type="dxa"/>
          </w:tcPr>
          <w:p w14:paraId="13C8BA7A" w14:textId="77777777" w:rsidR="00AD5612" w:rsidRPr="000E2C86" w:rsidRDefault="00AD5612" w:rsidP="00103B1F">
            <w:pPr>
              <w:spacing w:before="10" w:after="10"/>
              <w:jc w:val="both"/>
              <w:rPr>
                <w:sz w:val="16"/>
                <w:szCs w:val="16"/>
              </w:rPr>
            </w:pPr>
            <w:r w:rsidRPr="000E2C86">
              <w:rPr>
                <w:sz w:val="16"/>
                <w:szCs w:val="16"/>
              </w:rPr>
              <w:t>240(39)</w:t>
            </w:r>
          </w:p>
        </w:tc>
        <w:tc>
          <w:tcPr>
            <w:tcW w:w="850" w:type="dxa"/>
          </w:tcPr>
          <w:p w14:paraId="16A690F2" w14:textId="77777777" w:rsidR="00AD5612" w:rsidRPr="000E2C86" w:rsidRDefault="00AD5612" w:rsidP="00103B1F">
            <w:pPr>
              <w:spacing w:before="10" w:after="10"/>
              <w:jc w:val="both"/>
              <w:rPr>
                <w:sz w:val="16"/>
                <w:szCs w:val="16"/>
              </w:rPr>
            </w:pPr>
            <w:r w:rsidRPr="000E2C86">
              <w:rPr>
                <w:sz w:val="16"/>
                <w:szCs w:val="16"/>
              </w:rPr>
              <w:t>&lt;0.001</w:t>
            </w:r>
          </w:p>
        </w:tc>
        <w:tc>
          <w:tcPr>
            <w:tcW w:w="957" w:type="dxa"/>
          </w:tcPr>
          <w:p w14:paraId="0F13575A" w14:textId="77777777" w:rsidR="00AD5612" w:rsidRPr="000E2C86" w:rsidRDefault="00AD5612" w:rsidP="00103B1F">
            <w:pPr>
              <w:spacing w:before="10" w:after="10"/>
              <w:jc w:val="both"/>
              <w:rPr>
                <w:sz w:val="16"/>
                <w:szCs w:val="16"/>
              </w:rPr>
            </w:pPr>
          </w:p>
        </w:tc>
      </w:tr>
      <w:tr w:rsidR="00AD5612" w:rsidRPr="000E2C86" w14:paraId="3397C53B" w14:textId="77777777" w:rsidTr="00103B1F">
        <w:trPr>
          <w:jc w:val="center"/>
        </w:trPr>
        <w:tc>
          <w:tcPr>
            <w:tcW w:w="3227" w:type="dxa"/>
          </w:tcPr>
          <w:p w14:paraId="5FDE8919" w14:textId="77777777" w:rsidR="00AD5612" w:rsidRPr="000E2C86" w:rsidRDefault="00AD5612" w:rsidP="00103B1F">
            <w:pPr>
              <w:spacing w:before="10" w:after="10"/>
              <w:jc w:val="both"/>
              <w:rPr>
                <w:sz w:val="16"/>
                <w:szCs w:val="16"/>
              </w:rPr>
            </w:pPr>
            <w:r w:rsidRPr="000E2C86">
              <w:rPr>
                <w:sz w:val="16"/>
                <w:szCs w:val="16"/>
              </w:rPr>
              <w:t>Presence of late potential n(%)</w:t>
            </w:r>
          </w:p>
        </w:tc>
        <w:tc>
          <w:tcPr>
            <w:tcW w:w="1843" w:type="dxa"/>
          </w:tcPr>
          <w:p w14:paraId="773E7BBD" w14:textId="77777777" w:rsidR="00AD5612" w:rsidRPr="000E2C86" w:rsidRDefault="00AD5612" w:rsidP="00103B1F">
            <w:pPr>
              <w:spacing w:before="10" w:after="10"/>
              <w:jc w:val="both"/>
              <w:rPr>
                <w:sz w:val="16"/>
                <w:szCs w:val="16"/>
              </w:rPr>
            </w:pPr>
            <w:r w:rsidRPr="000E2C86">
              <w:rPr>
                <w:sz w:val="16"/>
                <w:szCs w:val="16"/>
              </w:rPr>
              <w:t>1(0.3)</w:t>
            </w:r>
          </w:p>
        </w:tc>
        <w:tc>
          <w:tcPr>
            <w:tcW w:w="1559" w:type="dxa"/>
          </w:tcPr>
          <w:p w14:paraId="331E04F0" w14:textId="77777777" w:rsidR="00AD5612" w:rsidRPr="000E2C86" w:rsidRDefault="00AD5612" w:rsidP="00103B1F">
            <w:pPr>
              <w:spacing w:before="10" w:after="10"/>
              <w:jc w:val="both"/>
              <w:rPr>
                <w:sz w:val="16"/>
                <w:szCs w:val="16"/>
              </w:rPr>
            </w:pPr>
            <w:r w:rsidRPr="000E2C86">
              <w:rPr>
                <w:sz w:val="16"/>
                <w:szCs w:val="16"/>
              </w:rPr>
              <w:t>13(2)</w:t>
            </w:r>
          </w:p>
        </w:tc>
        <w:tc>
          <w:tcPr>
            <w:tcW w:w="850" w:type="dxa"/>
          </w:tcPr>
          <w:p w14:paraId="21B027A8" w14:textId="77777777" w:rsidR="00AD5612" w:rsidRPr="000E2C86" w:rsidRDefault="00AD5612" w:rsidP="00103B1F">
            <w:pPr>
              <w:spacing w:before="10" w:after="10"/>
              <w:jc w:val="both"/>
              <w:rPr>
                <w:sz w:val="16"/>
                <w:szCs w:val="16"/>
              </w:rPr>
            </w:pPr>
            <w:r w:rsidRPr="000E2C86">
              <w:rPr>
                <w:sz w:val="16"/>
                <w:szCs w:val="16"/>
              </w:rPr>
              <w:t>0.043</w:t>
            </w:r>
          </w:p>
        </w:tc>
        <w:tc>
          <w:tcPr>
            <w:tcW w:w="957" w:type="dxa"/>
          </w:tcPr>
          <w:p w14:paraId="7DEE21E8" w14:textId="77777777" w:rsidR="00AD5612" w:rsidRPr="000E2C86" w:rsidRDefault="00AD5612" w:rsidP="00103B1F">
            <w:pPr>
              <w:spacing w:before="10" w:after="10"/>
              <w:jc w:val="both"/>
              <w:rPr>
                <w:sz w:val="16"/>
                <w:szCs w:val="16"/>
              </w:rPr>
            </w:pPr>
          </w:p>
        </w:tc>
      </w:tr>
      <w:tr w:rsidR="00AD5612" w:rsidRPr="000E2C86" w14:paraId="2AB977FC" w14:textId="77777777" w:rsidTr="00103B1F">
        <w:trPr>
          <w:jc w:val="center"/>
        </w:trPr>
        <w:tc>
          <w:tcPr>
            <w:tcW w:w="3227" w:type="dxa"/>
          </w:tcPr>
          <w:p w14:paraId="60763D53" w14:textId="77777777" w:rsidR="00AD5612" w:rsidRPr="000E2C86" w:rsidRDefault="00AD5612" w:rsidP="00103B1F">
            <w:pPr>
              <w:spacing w:before="10" w:after="10"/>
              <w:jc w:val="both"/>
              <w:rPr>
                <w:sz w:val="16"/>
                <w:szCs w:val="16"/>
              </w:rPr>
            </w:pPr>
            <w:r w:rsidRPr="000E2C86">
              <w:rPr>
                <w:sz w:val="16"/>
                <w:szCs w:val="16"/>
              </w:rPr>
              <w:t>Presence of His/Purkinje potentials n(%)</w:t>
            </w:r>
          </w:p>
        </w:tc>
        <w:tc>
          <w:tcPr>
            <w:tcW w:w="1843" w:type="dxa"/>
          </w:tcPr>
          <w:p w14:paraId="331B91A3" w14:textId="77777777" w:rsidR="00AD5612" w:rsidRPr="000E2C86" w:rsidRDefault="00AD5612" w:rsidP="00103B1F">
            <w:pPr>
              <w:spacing w:before="10" w:after="10"/>
              <w:jc w:val="both"/>
              <w:rPr>
                <w:sz w:val="16"/>
                <w:szCs w:val="16"/>
              </w:rPr>
            </w:pPr>
            <w:r w:rsidRPr="000E2C86">
              <w:rPr>
                <w:sz w:val="16"/>
                <w:szCs w:val="16"/>
              </w:rPr>
              <w:t>10(3.2)</w:t>
            </w:r>
          </w:p>
        </w:tc>
        <w:tc>
          <w:tcPr>
            <w:tcW w:w="1559" w:type="dxa"/>
          </w:tcPr>
          <w:p w14:paraId="43AEF70D" w14:textId="77777777" w:rsidR="00AD5612" w:rsidRPr="000E2C86" w:rsidRDefault="00AD5612" w:rsidP="00103B1F">
            <w:pPr>
              <w:spacing w:before="10" w:after="10"/>
              <w:jc w:val="both"/>
              <w:rPr>
                <w:sz w:val="16"/>
                <w:szCs w:val="16"/>
              </w:rPr>
            </w:pPr>
            <w:r w:rsidRPr="000E2C86">
              <w:rPr>
                <w:sz w:val="16"/>
                <w:szCs w:val="16"/>
              </w:rPr>
              <w:t>3(0.5)</w:t>
            </w:r>
          </w:p>
        </w:tc>
        <w:tc>
          <w:tcPr>
            <w:tcW w:w="850" w:type="dxa"/>
          </w:tcPr>
          <w:p w14:paraId="2A488996" w14:textId="77777777" w:rsidR="00AD5612" w:rsidRPr="000E2C86" w:rsidRDefault="00AD5612" w:rsidP="00103B1F">
            <w:pPr>
              <w:spacing w:before="10" w:after="10"/>
              <w:jc w:val="both"/>
              <w:rPr>
                <w:sz w:val="16"/>
                <w:szCs w:val="16"/>
              </w:rPr>
            </w:pPr>
            <w:r w:rsidRPr="000E2C86">
              <w:rPr>
                <w:sz w:val="16"/>
                <w:szCs w:val="16"/>
              </w:rPr>
              <w:t>0.002</w:t>
            </w:r>
          </w:p>
        </w:tc>
        <w:tc>
          <w:tcPr>
            <w:tcW w:w="957" w:type="dxa"/>
          </w:tcPr>
          <w:p w14:paraId="3BD30D7E" w14:textId="77777777" w:rsidR="00AD5612" w:rsidRPr="000E2C86" w:rsidRDefault="00AD5612" w:rsidP="00103B1F">
            <w:pPr>
              <w:spacing w:before="10" w:after="10"/>
              <w:jc w:val="both"/>
              <w:rPr>
                <w:sz w:val="16"/>
                <w:szCs w:val="16"/>
              </w:rPr>
            </w:pPr>
          </w:p>
        </w:tc>
      </w:tr>
      <w:tr w:rsidR="00AD5612" w:rsidRPr="000E2C86" w14:paraId="5AE5C287" w14:textId="77777777" w:rsidTr="00103B1F">
        <w:trPr>
          <w:jc w:val="center"/>
        </w:trPr>
        <w:tc>
          <w:tcPr>
            <w:tcW w:w="3227" w:type="dxa"/>
            <w:tcBorders>
              <w:bottom w:val="single" w:sz="4" w:space="0" w:color="auto"/>
            </w:tcBorders>
          </w:tcPr>
          <w:p w14:paraId="283CD6E4" w14:textId="77777777" w:rsidR="00AD5612" w:rsidRPr="000E2C86" w:rsidRDefault="00AD5612" w:rsidP="00103B1F">
            <w:pPr>
              <w:spacing w:before="10" w:after="10"/>
              <w:jc w:val="both"/>
              <w:rPr>
                <w:sz w:val="16"/>
                <w:szCs w:val="16"/>
              </w:rPr>
            </w:pPr>
            <w:r w:rsidRPr="000E2C86">
              <w:rPr>
                <w:sz w:val="16"/>
                <w:szCs w:val="16"/>
              </w:rPr>
              <w:t>Stimulation to QRS onset (ms) med(IQR)</w:t>
            </w:r>
          </w:p>
        </w:tc>
        <w:tc>
          <w:tcPr>
            <w:tcW w:w="1843" w:type="dxa"/>
            <w:tcBorders>
              <w:bottom w:val="single" w:sz="4" w:space="0" w:color="auto"/>
            </w:tcBorders>
          </w:tcPr>
          <w:p w14:paraId="410CA239" w14:textId="77777777" w:rsidR="00AD5612" w:rsidRPr="000E2C86" w:rsidRDefault="00AD5612" w:rsidP="00103B1F">
            <w:pPr>
              <w:spacing w:before="10" w:after="10"/>
              <w:jc w:val="both"/>
              <w:rPr>
                <w:sz w:val="16"/>
                <w:szCs w:val="16"/>
              </w:rPr>
            </w:pPr>
            <w:r w:rsidRPr="000E2C86">
              <w:rPr>
                <w:sz w:val="16"/>
                <w:szCs w:val="16"/>
              </w:rPr>
              <w:t>26(11)</w:t>
            </w:r>
          </w:p>
        </w:tc>
        <w:tc>
          <w:tcPr>
            <w:tcW w:w="1559" w:type="dxa"/>
            <w:tcBorders>
              <w:bottom w:val="single" w:sz="4" w:space="0" w:color="auto"/>
            </w:tcBorders>
          </w:tcPr>
          <w:p w14:paraId="1CB843CB" w14:textId="77777777" w:rsidR="00AD5612" w:rsidRPr="000E2C86" w:rsidRDefault="00AD5612" w:rsidP="00103B1F">
            <w:pPr>
              <w:spacing w:before="10" w:after="10"/>
              <w:jc w:val="both"/>
              <w:rPr>
                <w:sz w:val="16"/>
                <w:szCs w:val="16"/>
              </w:rPr>
            </w:pPr>
            <w:r w:rsidRPr="000E2C86">
              <w:rPr>
                <w:sz w:val="16"/>
                <w:szCs w:val="16"/>
              </w:rPr>
              <w:t>31(16)</w:t>
            </w:r>
          </w:p>
        </w:tc>
        <w:tc>
          <w:tcPr>
            <w:tcW w:w="850" w:type="dxa"/>
            <w:tcBorders>
              <w:bottom w:val="single" w:sz="4" w:space="0" w:color="auto"/>
            </w:tcBorders>
          </w:tcPr>
          <w:p w14:paraId="640D897A" w14:textId="77777777" w:rsidR="00AD5612" w:rsidRPr="000E2C86" w:rsidRDefault="00AD5612" w:rsidP="00103B1F">
            <w:pPr>
              <w:spacing w:before="10" w:after="10"/>
              <w:jc w:val="both"/>
              <w:rPr>
                <w:sz w:val="16"/>
                <w:szCs w:val="16"/>
              </w:rPr>
            </w:pPr>
            <w:r w:rsidRPr="000E2C86">
              <w:rPr>
                <w:sz w:val="16"/>
                <w:szCs w:val="16"/>
              </w:rPr>
              <w:t>&lt;0.001</w:t>
            </w:r>
          </w:p>
        </w:tc>
        <w:tc>
          <w:tcPr>
            <w:tcW w:w="957" w:type="dxa"/>
            <w:tcBorders>
              <w:bottom w:val="single" w:sz="4" w:space="0" w:color="auto"/>
            </w:tcBorders>
          </w:tcPr>
          <w:p w14:paraId="765FF924" w14:textId="77777777" w:rsidR="00AD5612" w:rsidRPr="000E2C86" w:rsidRDefault="00AD5612" w:rsidP="00103B1F">
            <w:pPr>
              <w:spacing w:before="10" w:after="10"/>
              <w:jc w:val="both"/>
              <w:rPr>
                <w:sz w:val="16"/>
                <w:szCs w:val="16"/>
              </w:rPr>
            </w:pPr>
          </w:p>
        </w:tc>
      </w:tr>
    </w:tbl>
    <w:p w14:paraId="3B6496D3" w14:textId="77777777" w:rsidR="00AD5612" w:rsidRDefault="00AD5612" w:rsidP="00AD5612"/>
    <w:p w14:paraId="1CFAF811" w14:textId="77777777" w:rsidR="00AD5612" w:rsidRDefault="00AD5612" w:rsidP="00AD5612">
      <w:pPr>
        <w:ind w:left="360"/>
        <w:sectPr w:rsidR="00AD5612">
          <w:pgSz w:w="11906" w:h="16838"/>
          <w:pgMar w:top="1440" w:right="1440" w:bottom="1440" w:left="1440" w:header="708" w:footer="708" w:gutter="0"/>
          <w:cols w:space="708"/>
          <w:docGrid w:linePitch="360"/>
        </w:sectPr>
      </w:pPr>
      <w:r>
        <w:t>*P values calculated using Mann-Whitney U and Chi-square tests.</w:t>
      </w:r>
    </w:p>
    <w:p w14:paraId="630B6EBA" w14:textId="77777777" w:rsidR="00AD5612" w:rsidRDefault="00AD5612" w:rsidP="00AD5612">
      <w:pPr>
        <w:pStyle w:val="Heading2"/>
      </w:pPr>
      <w:r>
        <w:lastRenderedPageBreak/>
        <w:t>Figure legends</w:t>
      </w:r>
    </w:p>
    <w:p w14:paraId="48A3CB82" w14:textId="77777777" w:rsidR="00AD5612" w:rsidRPr="00635F87" w:rsidRDefault="00AD5612" w:rsidP="00AD5612">
      <w:r>
        <w:t>Figure 1: In panel A, 2 pace-map points in close proximity to each other are compared, while in panel B, the same pace-map point (dotted line) is compared to a more distant pace-map (solid line), and has a larger E12.</w:t>
      </w:r>
    </w:p>
    <w:p w14:paraId="4EC31052" w14:textId="77777777" w:rsidR="00AD5612" w:rsidRDefault="00AD5612" w:rsidP="00AD5612">
      <w:r>
        <w:t>Figure 2: An example distance-E12 dataset constructed from 13 individual pacemaps yielding 78 pacemap pair combinations taken from a patient with ischaemic cardiomyopathy who underwent endocardial mapping.</w:t>
      </w:r>
    </w:p>
    <w:p w14:paraId="2C55E851" w14:textId="77777777" w:rsidR="00AD5612" w:rsidRDefault="00AD5612" w:rsidP="00AD5612">
      <w:r>
        <w:t xml:space="preserve">Figure 3: Linear regression model of E12 versus distance in mm for the entire dataset. </w:t>
      </w:r>
    </w:p>
    <w:p w14:paraId="76BE2CAF" w14:textId="77777777" w:rsidR="00AD5612" w:rsidRDefault="00AD5612" w:rsidP="00AD5612">
      <w:r>
        <w:t>Figure 4: Plots of E12 versus distance according to location. eLV: Epicardial LV, eRV: Epicardial RV</w:t>
      </w:r>
    </w:p>
    <w:p w14:paraId="41E07721" w14:textId="77777777" w:rsidR="00AD5612" w:rsidRDefault="00AD5612">
      <w:pPr>
        <w:spacing w:line="276" w:lineRule="auto"/>
        <w:rPr>
          <w:rFonts w:asciiTheme="majorHAnsi" w:eastAsiaTheme="majorEastAsia" w:hAnsiTheme="majorHAnsi" w:cstheme="majorBidi"/>
          <w:b/>
          <w:bCs/>
          <w:color w:val="4F81BD" w:themeColor="accent1"/>
          <w:sz w:val="26"/>
          <w:szCs w:val="26"/>
        </w:rPr>
      </w:pPr>
      <w:r>
        <w:br w:type="page"/>
      </w:r>
    </w:p>
    <w:p w14:paraId="30FF15B2" w14:textId="78C53DCA" w:rsidR="00EC614B" w:rsidRDefault="00EC614B" w:rsidP="00EC614B">
      <w:pPr>
        <w:pStyle w:val="Heading2"/>
      </w:pPr>
      <w:r>
        <w:lastRenderedPageBreak/>
        <w:t xml:space="preserve">Figures </w:t>
      </w:r>
    </w:p>
    <w:p w14:paraId="44F02927" w14:textId="77777777" w:rsidR="003912C9" w:rsidRPr="003912C9" w:rsidRDefault="003912C9" w:rsidP="003912C9">
      <w:r>
        <w:rPr>
          <w:noProof/>
          <w:lang w:eastAsia="en-GB"/>
        </w:rPr>
        <w:drawing>
          <wp:inline distT="0" distB="0" distL="0" distR="0" wp14:anchorId="32C110DE" wp14:editId="33B0D743">
            <wp:extent cx="2570352" cy="3460089"/>
            <wp:effectExtent l="0" t="0" r="190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12 comparison.JPG"/>
                    <pic:cNvPicPr/>
                  </pic:nvPicPr>
                  <pic:blipFill>
                    <a:blip r:embed="rId15">
                      <a:extLst>
                        <a:ext uri="{28A0092B-C50C-407E-A947-70E740481C1C}">
                          <a14:useLocalDpi xmlns:a14="http://schemas.microsoft.com/office/drawing/2010/main" val="0"/>
                        </a:ext>
                      </a:extLst>
                    </a:blip>
                    <a:stretch>
                      <a:fillRect/>
                    </a:stretch>
                  </pic:blipFill>
                  <pic:spPr>
                    <a:xfrm>
                      <a:off x="0" y="0"/>
                      <a:ext cx="2571268" cy="3461322"/>
                    </a:xfrm>
                    <a:prstGeom prst="rect">
                      <a:avLst/>
                    </a:prstGeom>
                  </pic:spPr>
                </pic:pic>
              </a:graphicData>
            </a:graphic>
          </wp:inline>
        </w:drawing>
      </w:r>
    </w:p>
    <w:p w14:paraId="4C678EB1" w14:textId="5D61AA78" w:rsidR="00635F87" w:rsidRDefault="00442C5F" w:rsidP="00635F87">
      <w:r>
        <w:t>Figure 1</w:t>
      </w:r>
    </w:p>
    <w:p w14:paraId="3BD9E7C1" w14:textId="77777777" w:rsidR="004D14AD" w:rsidRDefault="004D14AD">
      <w:pPr>
        <w:spacing w:line="276" w:lineRule="auto"/>
      </w:pPr>
      <w:r>
        <w:br w:type="page"/>
      </w:r>
    </w:p>
    <w:p w14:paraId="319CAD95" w14:textId="77777777" w:rsidR="004D14AD" w:rsidRDefault="004D14AD" w:rsidP="00635F87">
      <w:r>
        <w:rPr>
          <w:noProof/>
          <w:lang w:eastAsia="en-GB"/>
        </w:rPr>
        <w:lastRenderedPageBreak/>
        <w:drawing>
          <wp:anchor distT="0" distB="0" distL="114300" distR="114300" simplePos="0" relativeHeight="251659264" behindDoc="0" locked="0" layoutInCell="1" allowOverlap="1" wp14:anchorId="223EEB2D" wp14:editId="53624F7F">
            <wp:simplePos x="0" y="0"/>
            <wp:positionH relativeFrom="column">
              <wp:posOffset>118745</wp:posOffset>
            </wp:positionH>
            <wp:positionV relativeFrom="paragraph">
              <wp:posOffset>0</wp:posOffset>
            </wp:positionV>
            <wp:extent cx="2941955" cy="2098675"/>
            <wp:effectExtent l="0" t="0" r="10795" b="15875"/>
            <wp:wrapTopAndBottom/>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t>Figure 2</w:t>
      </w:r>
    </w:p>
    <w:p w14:paraId="62BBF821" w14:textId="77777777" w:rsidR="003B6AFA" w:rsidRDefault="003B6AFA">
      <w:pPr>
        <w:spacing w:line="276" w:lineRule="auto"/>
      </w:pPr>
      <w:r>
        <w:br w:type="page"/>
      </w:r>
    </w:p>
    <w:p w14:paraId="424F8379" w14:textId="4DBD9E60" w:rsidR="00085313" w:rsidRDefault="009A54D1" w:rsidP="00635F87">
      <w:r>
        <w:rPr>
          <w:noProof/>
          <w:lang w:eastAsia="en-GB"/>
        </w:rPr>
        <w:lastRenderedPageBreak/>
        <w:drawing>
          <wp:inline distT="0" distB="0" distL="0" distR="0" wp14:anchorId="5239158B" wp14:editId="65B0E13C">
            <wp:extent cx="4238076" cy="3032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238076" cy="3032760"/>
                    </a:xfrm>
                    <a:prstGeom prst="rect">
                      <a:avLst/>
                    </a:prstGeom>
                  </pic:spPr>
                </pic:pic>
              </a:graphicData>
            </a:graphic>
          </wp:inline>
        </w:drawing>
      </w:r>
      <w:r>
        <w:rPr>
          <w:noProof/>
          <w:lang w:eastAsia="en-GB"/>
        </w:rPr>
        <w:t xml:space="preserve"> </w:t>
      </w:r>
    </w:p>
    <w:p w14:paraId="602B035F" w14:textId="7F738528" w:rsidR="003B6AFA" w:rsidRDefault="003B6AFA" w:rsidP="00635F87">
      <w:r>
        <w:t>Figure 3</w:t>
      </w:r>
    </w:p>
    <w:p w14:paraId="6D2D373D" w14:textId="77777777" w:rsidR="003B6AFA" w:rsidRDefault="003B6AFA">
      <w:pPr>
        <w:spacing w:line="276" w:lineRule="auto"/>
      </w:pPr>
      <w:r>
        <w:br w:type="page"/>
      </w:r>
    </w:p>
    <w:p w14:paraId="7AAD164B" w14:textId="277B9A92" w:rsidR="003B6AFA" w:rsidRDefault="009A54D1" w:rsidP="00635F87">
      <w:bookmarkStart w:id="2" w:name="_GoBack"/>
      <w:bookmarkEnd w:id="2"/>
      <w:r>
        <w:rPr>
          <w:noProof/>
          <w:lang w:eastAsia="en-GB"/>
        </w:rPr>
        <w:lastRenderedPageBreak/>
        <w:drawing>
          <wp:inline distT="0" distB="0" distL="0" distR="0" wp14:anchorId="4BE595E0" wp14:editId="1B3E0108">
            <wp:extent cx="5731510" cy="4149834"/>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31510" cy="4149834"/>
                    </a:xfrm>
                    <a:prstGeom prst="rect">
                      <a:avLst/>
                    </a:prstGeom>
                  </pic:spPr>
                </pic:pic>
              </a:graphicData>
            </a:graphic>
          </wp:inline>
        </w:drawing>
      </w:r>
    </w:p>
    <w:p w14:paraId="5D3D3441" w14:textId="77777777" w:rsidR="003B6AFA" w:rsidRDefault="003B6AFA" w:rsidP="00635F87">
      <w:r>
        <w:t>Figure 4</w:t>
      </w:r>
    </w:p>
    <w:sectPr w:rsidR="003B6A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FA673" w14:textId="77777777" w:rsidR="00B0019B" w:rsidRDefault="00B0019B" w:rsidP="00382A3D">
      <w:pPr>
        <w:spacing w:after="0" w:line="240" w:lineRule="auto"/>
      </w:pPr>
      <w:r>
        <w:separator/>
      </w:r>
    </w:p>
  </w:endnote>
  <w:endnote w:type="continuationSeparator" w:id="0">
    <w:p w14:paraId="1718772E" w14:textId="77777777" w:rsidR="00B0019B" w:rsidRDefault="00B0019B" w:rsidP="0038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699CC" w14:textId="77777777" w:rsidR="00BE1546" w:rsidRDefault="00BE1546" w:rsidP="002338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06F0D7" w14:textId="77777777" w:rsidR="00BE1546" w:rsidRDefault="00BE1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1C42D" w14:textId="77777777" w:rsidR="00BE1546" w:rsidRDefault="00BE1546" w:rsidP="002338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196B">
      <w:rPr>
        <w:rStyle w:val="PageNumber"/>
        <w:noProof/>
      </w:rPr>
      <w:t>1</w:t>
    </w:r>
    <w:r>
      <w:rPr>
        <w:rStyle w:val="PageNumber"/>
      </w:rPr>
      <w:fldChar w:fldCharType="end"/>
    </w:r>
  </w:p>
  <w:p w14:paraId="493FBCC0" w14:textId="77777777" w:rsidR="00BE1546" w:rsidRDefault="00BE1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A0965" w14:textId="77777777" w:rsidR="00B0019B" w:rsidRDefault="00B0019B" w:rsidP="00382A3D">
      <w:pPr>
        <w:spacing w:after="0" w:line="240" w:lineRule="auto"/>
      </w:pPr>
      <w:r>
        <w:separator/>
      </w:r>
    </w:p>
  </w:footnote>
  <w:footnote w:type="continuationSeparator" w:id="0">
    <w:p w14:paraId="42639F6C" w14:textId="77777777" w:rsidR="00B0019B" w:rsidRDefault="00B0019B" w:rsidP="00382A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1FBD"/>
    <w:multiLevelType w:val="hybridMultilevel"/>
    <w:tmpl w:val="B09E0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831A1C"/>
    <w:multiLevelType w:val="hybridMultilevel"/>
    <w:tmpl w:val="7EFE6542"/>
    <w:lvl w:ilvl="0" w:tplc="4516D734">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D39"/>
    <w:multiLevelType w:val="hybridMultilevel"/>
    <w:tmpl w:val="8248A824"/>
    <w:lvl w:ilvl="0" w:tplc="EB92E0C4">
      <w:start w:val="9"/>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B861AC"/>
    <w:multiLevelType w:val="hybridMultilevel"/>
    <w:tmpl w:val="E8D00028"/>
    <w:lvl w:ilvl="0" w:tplc="C50CE37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0B"/>
    <w:rsid w:val="00003F05"/>
    <w:rsid w:val="000073CF"/>
    <w:rsid w:val="0003241F"/>
    <w:rsid w:val="000438B5"/>
    <w:rsid w:val="00046EDF"/>
    <w:rsid w:val="000471B6"/>
    <w:rsid w:val="00047F79"/>
    <w:rsid w:val="00055745"/>
    <w:rsid w:val="00064559"/>
    <w:rsid w:val="000734EF"/>
    <w:rsid w:val="00073694"/>
    <w:rsid w:val="00074EFD"/>
    <w:rsid w:val="00075BB6"/>
    <w:rsid w:val="000775D9"/>
    <w:rsid w:val="000805DA"/>
    <w:rsid w:val="00084F62"/>
    <w:rsid w:val="00085313"/>
    <w:rsid w:val="000943B4"/>
    <w:rsid w:val="00094A08"/>
    <w:rsid w:val="00097450"/>
    <w:rsid w:val="00097787"/>
    <w:rsid w:val="000A3151"/>
    <w:rsid w:val="000B5C7B"/>
    <w:rsid w:val="000D1789"/>
    <w:rsid w:val="000D38F8"/>
    <w:rsid w:val="000E2C86"/>
    <w:rsid w:val="00103290"/>
    <w:rsid w:val="00104FC9"/>
    <w:rsid w:val="00127E0B"/>
    <w:rsid w:val="00130C1D"/>
    <w:rsid w:val="00141E82"/>
    <w:rsid w:val="0014601F"/>
    <w:rsid w:val="0015504D"/>
    <w:rsid w:val="00160FF6"/>
    <w:rsid w:val="00164EF1"/>
    <w:rsid w:val="00166AFC"/>
    <w:rsid w:val="0017351D"/>
    <w:rsid w:val="00177746"/>
    <w:rsid w:val="00193212"/>
    <w:rsid w:val="001B0930"/>
    <w:rsid w:val="001B379B"/>
    <w:rsid w:val="001B3F37"/>
    <w:rsid w:val="001C32C0"/>
    <w:rsid w:val="001D0DDA"/>
    <w:rsid w:val="001D5AB0"/>
    <w:rsid w:val="001D7D74"/>
    <w:rsid w:val="001E324E"/>
    <w:rsid w:val="001E7648"/>
    <w:rsid w:val="00216EE7"/>
    <w:rsid w:val="00230A7C"/>
    <w:rsid w:val="002338FA"/>
    <w:rsid w:val="002404C1"/>
    <w:rsid w:val="0025562D"/>
    <w:rsid w:val="002645D2"/>
    <w:rsid w:val="002941D4"/>
    <w:rsid w:val="002B12B7"/>
    <w:rsid w:val="002C5AA6"/>
    <w:rsid w:val="002E2ACE"/>
    <w:rsid w:val="003024EF"/>
    <w:rsid w:val="003034D9"/>
    <w:rsid w:val="00332049"/>
    <w:rsid w:val="00337590"/>
    <w:rsid w:val="003707B9"/>
    <w:rsid w:val="0037196B"/>
    <w:rsid w:val="003760E5"/>
    <w:rsid w:val="00381F63"/>
    <w:rsid w:val="00382A3D"/>
    <w:rsid w:val="003912C9"/>
    <w:rsid w:val="003928CD"/>
    <w:rsid w:val="00396B87"/>
    <w:rsid w:val="003A44E7"/>
    <w:rsid w:val="003B0766"/>
    <w:rsid w:val="003B18AB"/>
    <w:rsid w:val="003B6AFA"/>
    <w:rsid w:val="003B721B"/>
    <w:rsid w:val="003C7921"/>
    <w:rsid w:val="003D029F"/>
    <w:rsid w:val="003D2C70"/>
    <w:rsid w:val="003D57B9"/>
    <w:rsid w:val="003D5FCE"/>
    <w:rsid w:val="003D6AF9"/>
    <w:rsid w:val="00401444"/>
    <w:rsid w:val="00415CCA"/>
    <w:rsid w:val="004251E1"/>
    <w:rsid w:val="00442198"/>
    <w:rsid w:val="00442C5F"/>
    <w:rsid w:val="00444DEF"/>
    <w:rsid w:val="00447118"/>
    <w:rsid w:val="00452F4C"/>
    <w:rsid w:val="00453D60"/>
    <w:rsid w:val="0045611F"/>
    <w:rsid w:val="00456F63"/>
    <w:rsid w:val="00463006"/>
    <w:rsid w:val="00466BE4"/>
    <w:rsid w:val="004A1E92"/>
    <w:rsid w:val="004B17D4"/>
    <w:rsid w:val="004B7D04"/>
    <w:rsid w:val="004C483D"/>
    <w:rsid w:val="004C721B"/>
    <w:rsid w:val="004D13FA"/>
    <w:rsid w:val="004D14AD"/>
    <w:rsid w:val="004D772F"/>
    <w:rsid w:val="004D7975"/>
    <w:rsid w:val="004E3B61"/>
    <w:rsid w:val="004E5359"/>
    <w:rsid w:val="004F1F51"/>
    <w:rsid w:val="004F411C"/>
    <w:rsid w:val="00533E6B"/>
    <w:rsid w:val="005446DF"/>
    <w:rsid w:val="005504F3"/>
    <w:rsid w:val="00553E64"/>
    <w:rsid w:val="0056100D"/>
    <w:rsid w:val="00584D68"/>
    <w:rsid w:val="00597A3C"/>
    <w:rsid w:val="005A7420"/>
    <w:rsid w:val="005C2FC6"/>
    <w:rsid w:val="005C5F0B"/>
    <w:rsid w:val="005D3CEE"/>
    <w:rsid w:val="005E092E"/>
    <w:rsid w:val="005F76D9"/>
    <w:rsid w:val="00601341"/>
    <w:rsid w:val="006138C3"/>
    <w:rsid w:val="00623679"/>
    <w:rsid w:val="00626809"/>
    <w:rsid w:val="00635F87"/>
    <w:rsid w:val="0063686B"/>
    <w:rsid w:val="00636A31"/>
    <w:rsid w:val="00651F43"/>
    <w:rsid w:val="006846A6"/>
    <w:rsid w:val="006B05BD"/>
    <w:rsid w:val="006B461C"/>
    <w:rsid w:val="006C3FB9"/>
    <w:rsid w:val="006D0392"/>
    <w:rsid w:val="006D4232"/>
    <w:rsid w:val="007050F8"/>
    <w:rsid w:val="0072369F"/>
    <w:rsid w:val="00734463"/>
    <w:rsid w:val="0075047A"/>
    <w:rsid w:val="007509BA"/>
    <w:rsid w:val="007643C6"/>
    <w:rsid w:val="007710BB"/>
    <w:rsid w:val="007710FA"/>
    <w:rsid w:val="00786F4C"/>
    <w:rsid w:val="00792BC7"/>
    <w:rsid w:val="00792D01"/>
    <w:rsid w:val="00796A58"/>
    <w:rsid w:val="007A1531"/>
    <w:rsid w:val="007A4B3A"/>
    <w:rsid w:val="007D2F32"/>
    <w:rsid w:val="007D3070"/>
    <w:rsid w:val="007D65F8"/>
    <w:rsid w:val="007E3738"/>
    <w:rsid w:val="007F270E"/>
    <w:rsid w:val="007F46EA"/>
    <w:rsid w:val="007F76E8"/>
    <w:rsid w:val="00805402"/>
    <w:rsid w:val="00822E3A"/>
    <w:rsid w:val="00836698"/>
    <w:rsid w:val="008449FA"/>
    <w:rsid w:val="0085701A"/>
    <w:rsid w:val="0085731F"/>
    <w:rsid w:val="00864249"/>
    <w:rsid w:val="00872E0B"/>
    <w:rsid w:val="008759C6"/>
    <w:rsid w:val="0088319F"/>
    <w:rsid w:val="00883803"/>
    <w:rsid w:val="00890E6B"/>
    <w:rsid w:val="0089516C"/>
    <w:rsid w:val="008952B4"/>
    <w:rsid w:val="008B15DC"/>
    <w:rsid w:val="008B1C71"/>
    <w:rsid w:val="008B7E24"/>
    <w:rsid w:val="008D0FA9"/>
    <w:rsid w:val="008D4961"/>
    <w:rsid w:val="008D728F"/>
    <w:rsid w:val="008E20BB"/>
    <w:rsid w:val="009033B9"/>
    <w:rsid w:val="00907E89"/>
    <w:rsid w:val="00930D7C"/>
    <w:rsid w:val="009409D3"/>
    <w:rsid w:val="00941113"/>
    <w:rsid w:val="00942A54"/>
    <w:rsid w:val="00947605"/>
    <w:rsid w:val="00964216"/>
    <w:rsid w:val="00986782"/>
    <w:rsid w:val="009A1C23"/>
    <w:rsid w:val="009A23C3"/>
    <w:rsid w:val="009A3BD1"/>
    <w:rsid w:val="009A4580"/>
    <w:rsid w:val="009A54D1"/>
    <w:rsid w:val="009A7957"/>
    <w:rsid w:val="009B1489"/>
    <w:rsid w:val="009B2215"/>
    <w:rsid w:val="009C5659"/>
    <w:rsid w:val="009C5FDF"/>
    <w:rsid w:val="009D4FCF"/>
    <w:rsid w:val="009D607C"/>
    <w:rsid w:val="009D6594"/>
    <w:rsid w:val="009E31B3"/>
    <w:rsid w:val="009E468A"/>
    <w:rsid w:val="009F6E95"/>
    <w:rsid w:val="00A11F78"/>
    <w:rsid w:val="00A1761D"/>
    <w:rsid w:val="00A21B32"/>
    <w:rsid w:val="00A2563E"/>
    <w:rsid w:val="00A3152A"/>
    <w:rsid w:val="00A34D7E"/>
    <w:rsid w:val="00A3639C"/>
    <w:rsid w:val="00A40D76"/>
    <w:rsid w:val="00A4113E"/>
    <w:rsid w:val="00A432A6"/>
    <w:rsid w:val="00A47390"/>
    <w:rsid w:val="00A518AE"/>
    <w:rsid w:val="00A66A5D"/>
    <w:rsid w:val="00A72E49"/>
    <w:rsid w:val="00A81C1C"/>
    <w:rsid w:val="00A82F38"/>
    <w:rsid w:val="00A843F4"/>
    <w:rsid w:val="00A9276B"/>
    <w:rsid w:val="00AB586A"/>
    <w:rsid w:val="00AB5973"/>
    <w:rsid w:val="00AC5945"/>
    <w:rsid w:val="00AD5612"/>
    <w:rsid w:val="00AF227B"/>
    <w:rsid w:val="00B0019B"/>
    <w:rsid w:val="00B01AF1"/>
    <w:rsid w:val="00B11498"/>
    <w:rsid w:val="00B14F90"/>
    <w:rsid w:val="00B160F1"/>
    <w:rsid w:val="00B2556F"/>
    <w:rsid w:val="00B2632F"/>
    <w:rsid w:val="00B34C3A"/>
    <w:rsid w:val="00B4749D"/>
    <w:rsid w:val="00B522F9"/>
    <w:rsid w:val="00B52B37"/>
    <w:rsid w:val="00B65B9C"/>
    <w:rsid w:val="00B65DDA"/>
    <w:rsid w:val="00B7286D"/>
    <w:rsid w:val="00B73402"/>
    <w:rsid w:val="00B7370F"/>
    <w:rsid w:val="00B82577"/>
    <w:rsid w:val="00B828D5"/>
    <w:rsid w:val="00B83627"/>
    <w:rsid w:val="00B94DA2"/>
    <w:rsid w:val="00BA025C"/>
    <w:rsid w:val="00BB099E"/>
    <w:rsid w:val="00BB4297"/>
    <w:rsid w:val="00BE1546"/>
    <w:rsid w:val="00BE2F79"/>
    <w:rsid w:val="00BE56D1"/>
    <w:rsid w:val="00BF2189"/>
    <w:rsid w:val="00BF2480"/>
    <w:rsid w:val="00C05B0C"/>
    <w:rsid w:val="00C06B1A"/>
    <w:rsid w:val="00C104A0"/>
    <w:rsid w:val="00C22E7C"/>
    <w:rsid w:val="00C2323C"/>
    <w:rsid w:val="00C23CDA"/>
    <w:rsid w:val="00C25A0F"/>
    <w:rsid w:val="00C27731"/>
    <w:rsid w:val="00C36B22"/>
    <w:rsid w:val="00C37544"/>
    <w:rsid w:val="00C43339"/>
    <w:rsid w:val="00C52794"/>
    <w:rsid w:val="00C527A9"/>
    <w:rsid w:val="00C5795A"/>
    <w:rsid w:val="00C6258B"/>
    <w:rsid w:val="00C63E0B"/>
    <w:rsid w:val="00C703CF"/>
    <w:rsid w:val="00C7236B"/>
    <w:rsid w:val="00C81CA5"/>
    <w:rsid w:val="00C91A03"/>
    <w:rsid w:val="00CA2C41"/>
    <w:rsid w:val="00CA7339"/>
    <w:rsid w:val="00CB525D"/>
    <w:rsid w:val="00CB5B6F"/>
    <w:rsid w:val="00CC033C"/>
    <w:rsid w:val="00CD24D6"/>
    <w:rsid w:val="00CD70D2"/>
    <w:rsid w:val="00CE20F4"/>
    <w:rsid w:val="00CE5AAA"/>
    <w:rsid w:val="00CE7D4D"/>
    <w:rsid w:val="00D11398"/>
    <w:rsid w:val="00D17C96"/>
    <w:rsid w:val="00D24CA4"/>
    <w:rsid w:val="00D24F13"/>
    <w:rsid w:val="00D5083D"/>
    <w:rsid w:val="00D5215D"/>
    <w:rsid w:val="00D62E74"/>
    <w:rsid w:val="00D73515"/>
    <w:rsid w:val="00D767C1"/>
    <w:rsid w:val="00D86BA0"/>
    <w:rsid w:val="00D87021"/>
    <w:rsid w:val="00D90C95"/>
    <w:rsid w:val="00D973DE"/>
    <w:rsid w:val="00DB3E6D"/>
    <w:rsid w:val="00DC5D9F"/>
    <w:rsid w:val="00DF4B50"/>
    <w:rsid w:val="00DF50A9"/>
    <w:rsid w:val="00DF72A1"/>
    <w:rsid w:val="00E05E54"/>
    <w:rsid w:val="00E16571"/>
    <w:rsid w:val="00E1676D"/>
    <w:rsid w:val="00E24390"/>
    <w:rsid w:val="00E25094"/>
    <w:rsid w:val="00E37446"/>
    <w:rsid w:val="00E431F9"/>
    <w:rsid w:val="00E4427C"/>
    <w:rsid w:val="00E46E26"/>
    <w:rsid w:val="00E50982"/>
    <w:rsid w:val="00E51604"/>
    <w:rsid w:val="00E57F86"/>
    <w:rsid w:val="00E645BB"/>
    <w:rsid w:val="00E7051C"/>
    <w:rsid w:val="00E8170C"/>
    <w:rsid w:val="00E8579D"/>
    <w:rsid w:val="00E85B52"/>
    <w:rsid w:val="00E94920"/>
    <w:rsid w:val="00EA1A07"/>
    <w:rsid w:val="00EA3E7A"/>
    <w:rsid w:val="00EB37FF"/>
    <w:rsid w:val="00EB3CD1"/>
    <w:rsid w:val="00EC0CFD"/>
    <w:rsid w:val="00EC614B"/>
    <w:rsid w:val="00EE7ED4"/>
    <w:rsid w:val="00EF10A2"/>
    <w:rsid w:val="00EF2A56"/>
    <w:rsid w:val="00EF4AFB"/>
    <w:rsid w:val="00EF7ADD"/>
    <w:rsid w:val="00F07D8F"/>
    <w:rsid w:val="00F1077C"/>
    <w:rsid w:val="00F13C23"/>
    <w:rsid w:val="00F21450"/>
    <w:rsid w:val="00F363A8"/>
    <w:rsid w:val="00F4256F"/>
    <w:rsid w:val="00F54D3F"/>
    <w:rsid w:val="00F65457"/>
    <w:rsid w:val="00F73088"/>
    <w:rsid w:val="00F77D03"/>
    <w:rsid w:val="00F82EF9"/>
    <w:rsid w:val="00F913D1"/>
    <w:rsid w:val="00F93F66"/>
    <w:rsid w:val="00F95877"/>
    <w:rsid w:val="00FB4C28"/>
    <w:rsid w:val="00FB7F9C"/>
    <w:rsid w:val="00FC46DC"/>
    <w:rsid w:val="00FC54A7"/>
    <w:rsid w:val="00FD6FC1"/>
    <w:rsid w:val="00FF37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2BB18"/>
  <w15:docId w15:val="{6E31C92D-0DB2-4660-A792-5E2FAC6D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E7A"/>
    <w:pPr>
      <w:spacing w:line="480" w:lineRule="auto"/>
    </w:pPr>
  </w:style>
  <w:style w:type="paragraph" w:styleId="Heading1">
    <w:name w:val="heading 1"/>
    <w:basedOn w:val="Normal"/>
    <w:next w:val="Normal"/>
    <w:link w:val="Heading1Char"/>
    <w:uiPriority w:val="9"/>
    <w:qFormat/>
    <w:rsid w:val="00EA3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3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04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E7A"/>
    <w:rPr>
      <w:color w:val="0000FF" w:themeColor="hyperlink"/>
      <w:u w:val="single"/>
    </w:rPr>
  </w:style>
  <w:style w:type="character" w:customStyle="1" w:styleId="Heading1Char">
    <w:name w:val="Heading 1 Char"/>
    <w:basedOn w:val="DefaultParagraphFont"/>
    <w:link w:val="Heading1"/>
    <w:uiPriority w:val="9"/>
    <w:rsid w:val="00EA3E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A3E7A"/>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F07D8F"/>
    <w:pPr>
      <w:spacing w:after="0" w:line="240" w:lineRule="auto"/>
    </w:pPr>
  </w:style>
  <w:style w:type="paragraph" w:styleId="Caption">
    <w:name w:val="caption"/>
    <w:basedOn w:val="Normal"/>
    <w:next w:val="Normal"/>
    <w:uiPriority w:val="35"/>
    <w:unhideWhenUsed/>
    <w:qFormat/>
    <w:rsid w:val="001B379B"/>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5504F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35F87"/>
    <w:rPr>
      <w:sz w:val="16"/>
      <w:szCs w:val="16"/>
    </w:rPr>
  </w:style>
  <w:style w:type="paragraph" w:styleId="CommentText">
    <w:name w:val="annotation text"/>
    <w:basedOn w:val="Normal"/>
    <w:link w:val="CommentTextChar"/>
    <w:uiPriority w:val="99"/>
    <w:semiHidden/>
    <w:unhideWhenUsed/>
    <w:rsid w:val="00635F87"/>
    <w:pPr>
      <w:spacing w:line="240" w:lineRule="auto"/>
    </w:pPr>
    <w:rPr>
      <w:sz w:val="20"/>
      <w:szCs w:val="20"/>
    </w:rPr>
  </w:style>
  <w:style w:type="character" w:customStyle="1" w:styleId="CommentTextChar">
    <w:name w:val="Comment Text Char"/>
    <w:basedOn w:val="DefaultParagraphFont"/>
    <w:link w:val="CommentText"/>
    <w:uiPriority w:val="99"/>
    <w:semiHidden/>
    <w:rsid w:val="00635F87"/>
    <w:rPr>
      <w:sz w:val="20"/>
      <w:szCs w:val="20"/>
    </w:rPr>
  </w:style>
  <w:style w:type="paragraph" w:styleId="CommentSubject">
    <w:name w:val="annotation subject"/>
    <w:basedOn w:val="CommentText"/>
    <w:next w:val="CommentText"/>
    <w:link w:val="CommentSubjectChar"/>
    <w:uiPriority w:val="99"/>
    <w:semiHidden/>
    <w:unhideWhenUsed/>
    <w:rsid w:val="00635F87"/>
    <w:rPr>
      <w:b/>
      <w:bCs/>
    </w:rPr>
  </w:style>
  <w:style w:type="character" w:customStyle="1" w:styleId="CommentSubjectChar">
    <w:name w:val="Comment Subject Char"/>
    <w:basedOn w:val="CommentTextChar"/>
    <w:link w:val="CommentSubject"/>
    <w:uiPriority w:val="99"/>
    <w:semiHidden/>
    <w:rsid w:val="00635F87"/>
    <w:rPr>
      <w:b/>
      <w:bCs/>
      <w:sz w:val="20"/>
      <w:szCs w:val="20"/>
    </w:rPr>
  </w:style>
  <w:style w:type="paragraph" w:styleId="BalloonText">
    <w:name w:val="Balloon Text"/>
    <w:basedOn w:val="Normal"/>
    <w:link w:val="BalloonTextChar"/>
    <w:uiPriority w:val="99"/>
    <w:semiHidden/>
    <w:unhideWhenUsed/>
    <w:rsid w:val="00635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F87"/>
    <w:rPr>
      <w:rFonts w:ascii="Tahoma" w:hAnsi="Tahoma" w:cs="Tahoma"/>
      <w:sz w:val="16"/>
      <w:szCs w:val="16"/>
    </w:rPr>
  </w:style>
  <w:style w:type="table" w:styleId="TableGrid">
    <w:name w:val="Table Grid"/>
    <w:basedOn w:val="TableNormal"/>
    <w:rsid w:val="007050F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050F8"/>
  </w:style>
  <w:style w:type="paragraph" w:styleId="ListParagraph">
    <w:name w:val="List Paragraph"/>
    <w:basedOn w:val="Normal"/>
    <w:uiPriority w:val="34"/>
    <w:qFormat/>
    <w:rsid w:val="0003241F"/>
    <w:pPr>
      <w:ind w:left="720"/>
      <w:contextualSpacing/>
    </w:pPr>
  </w:style>
  <w:style w:type="paragraph" w:styleId="Footer">
    <w:name w:val="footer"/>
    <w:basedOn w:val="Normal"/>
    <w:link w:val="FooterChar"/>
    <w:uiPriority w:val="99"/>
    <w:unhideWhenUsed/>
    <w:rsid w:val="00382A3D"/>
    <w:pPr>
      <w:tabs>
        <w:tab w:val="center" w:pos="4320"/>
        <w:tab w:val="right" w:pos="8640"/>
      </w:tabs>
      <w:spacing w:after="0" w:line="240" w:lineRule="auto"/>
    </w:pPr>
  </w:style>
  <w:style w:type="character" w:customStyle="1" w:styleId="FooterChar">
    <w:name w:val="Footer Char"/>
    <w:basedOn w:val="DefaultParagraphFont"/>
    <w:link w:val="Footer"/>
    <w:uiPriority w:val="99"/>
    <w:rsid w:val="00382A3D"/>
  </w:style>
  <w:style w:type="character" w:styleId="PageNumber">
    <w:name w:val="page number"/>
    <w:basedOn w:val="DefaultParagraphFont"/>
    <w:uiPriority w:val="99"/>
    <w:semiHidden/>
    <w:unhideWhenUsed/>
    <w:rsid w:val="00382A3D"/>
  </w:style>
  <w:style w:type="character" w:styleId="FollowedHyperlink">
    <w:name w:val="FollowedHyperlink"/>
    <w:basedOn w:val="DefaultParagraphFont"/>
    <w:uiPriority w:val="99"/>
    <w:semiHidden/>
    <w:unhideWhenUsed/>
    <w:rsid w:val="009C5F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gul.ac.uk" TargetMode="Externa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WRP\Dropbox\VTSO%20analysis\PSC%20master%20anon%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linear"/>
            <c:dispRSqr val="0"/>
            <c:dispEq val="1"/>
            <c:trendlineLbl>
              <c:layout>
                <c:manualLayout>
                  <c:x val="0.14711917588502918"/>
                  <c:y val="0.36205146920099629"/>
                </c:manualLayout>
              </c:layout>
              <c:tx>
                <c:rich>
                  <a:bodyPr/>
                  <a:lstStyle/>
                  <a:p>
                    <a:pPr>
                      <a:defRPr/>
                    </a:pPr>
                    <a:r>
                      <a:rPr lang="en-GB" baseline="0"/>
                      <a:t>y = 0.1038x + 1.7391</a:t>
                    </a:r>
                  </a:p>
                  <a:p>
                    <a:pPr>
                      <a:defRPr/>
                    </a:pPr>
                    <a:r>
                      <a:rPr lang="en-GB" baseline="0"/>
                      <a:t>R</a:t>
                    </a:r>
                    <a:r>
                      <a:rPr lang="en-GB" baseline="30000"/>
                      <a:t>2</a:t>
                    </a:r>
                    <a:r>
                      <a:rPr lang="en-GB" baseline="0"/>
                      <a:t> =0.56</a:t>
                    </a:r>
                    <a:endParaRPr lang="en-GB"/>
                  </a:p>
                </c:rich>
              </c:tx>
              <c:numFmt formatCode="General" sourceLinked="0"/>
              <c:spPr>
                <a:solidFill>
                  <a:schemeClr val="bg1"/>
                </a:solidFill>
              </c:spPr>
            </c:trendlineLbl>
          </c:trendline>
          <c:xVal>
            <c:numRef>
              <c:f>'Pair frequencies'!$F$683:$F$760</c:f>
              <c:numCache>
                <c:formatCode>General</c:formatCode>
                <c:ptCount val="78"/>
                <c:pt idx="0">
                  <c:v>34.123100000000001</c:v>
                </c:pt>
                <c:pt idx="1">
                  <c:v>29.7499</c:v>
                </c:pt>
                <c:pt idx="2">
                  <c:v>6.5362400000000003</c:v>
                </c:pt>
                <c:pt idx="3">
                  <c:v>29.067</c:v>
                </c:pt>
                <c:pt idx="4">
                  <c:v>29.484200000000001</c:v>
                </c:pt>
                <c:pt idx="5">
                  <c:v>17.245000000000001</c:v>
                </c:pt>
                <c:pt idx="6">
                  <c:v>29.991399999999999</c:v>
                </c:pt>
                <c:pt idx="7">
                  <c:v>27.292100000000001</c:v>
                </c:pt>
                <c:pt idx="8">
                  <c:v>31.126100000000001</c:v>
                </c:pt>
                <c:pt idx="9">
                  <c:v>23.732800000000001</c:v>
                </c:pt>
                <c:pt idx="10">
                  <c:v>23.0623</c:v>
                </c:pt>
                <c:pt idx="11">
                  <c:v>11.3978</c:v>
                </c:pt>
                <c:pt idx="12">
                  <c:v>21.253699999999991</c:v>
                </c:pt>
                <c:pt idx="13">
                  <c:v>36.290600000000012</c:v>
                </c:pt>
                <c:pt idx="14">
                  <c:v>29.6645</c:v>
                </c:pt>
                <c:pt idx="15">
                  <c:v>46.947299999999998</c:v>
                </c:pt>
                <c:pt idx="16">
                  <c:v>35.439700000000002</c:v>
                </c:pt>
                <c:pt idx="17">
                  <c:v>21.058900000000001</c:v>
                </c:pt>
                <c:pt idx="18">
                  <c:v>43.331400000000002</c:v>
                </c:pt>
                <c:pt idx="19">
                  <c:v>38.909300000000002</c:v>
                </c:pt>
                <c:pt idx="20">
                  <c:v>21.1861</c:v>
                </c:pt>
                <c:pt idx="21">
                  <c:v>21.698499999999999</c:v>
                </c:pt>
                <c:pt idx="22">
                  <c:v>36.911299999999997</c:v>
                </c:pt>
                <c:pt idx="23">
                  <c:v>28.067399999999999</c:v>
                </c:pt>
                <c:pt idx="24">
                  <c:v>12.874700000000001</c:v>
                </c:pt>
                <c:pt idx="25">
                  <c:v>28.813300000000009</c:v>
                </c:pt>
                <c:pt idx="26">
                  <c:v>20.575199999999999</c:v>
                </c:pt>
                <c:pt idx="27">
                  <c:v>35.281000000000013</c:v>
                </c:pt>
                <c:pt idx="28">
                  <c:v>26.5501</c:v>
                </c:pt>
                <c:pt idx="29">
                  <c:v>20.460100000000001</c:v>
                </c:pt>
                <c:pt idx="30">
                  <c:v>31.312799999999999</c:v>
                </c:pt>
                <c:pt idx="31">
                  <c:v>7.1243899999999991</c:v>
                </c:pt>
                <c:pt idx="32">
                  <c:v>25.4221</c:v>
                </c:pt>
                <c:pt idx="33">
                  <c:v>25.274100000000001</c:v>
                </c:pt>
                <c:pt idx="34">
                  <c:v>23.1205</c:v>
                </c:pt>
                <c:pt idx="35">
                  <c:v>11.900399999999999</c:v>
                </c:pt>
                <c:pt idx="36">
                  <c:v>33.9908</c:v>
                </c:pt>
                <c:pt idx="37">
                  <c:v>21.070799999999991</c:v>
                </c:pt>
                <c:pt idx="38">
                  <c:v>25.759799999999991</c:v>
                </c:pt>
                <c:pt idx="39">
                  <c:v>27.431000000000001</c:v>
                </c:pt>
                <c:pt idx="40">
                  <c:v>21.312200000000001</c:v>
                </c:pt>
                <c:pt idx="41">
                  <c:v>5.67361</c:v>
                </c:pt>
                <c:pt idx="42">
                  <c:v>20.424700000000001</c:v>
                </c:pt>
                <c:pt idx="43">
                  <c:v>16.4907</c:v>
                </c:pt>
                <c:pt idx="44">
                  <c:v>37.779499999999999</c:v>
                </c:pt>
                <c:pt idx="45">
                  <c:v>16.437799999999999</c:v>
                </c:pt>
                <c:pt idx="46">
                  <c:v>9.6410599999999995</c:v>
                </c:pt>
                <c:pt idx="47">
                  <c:v>32.747</c:v>
                </c:pt>
                <c:pt idx="48">
                  <c:v>11.0534</c:v>
                </c:pt>
                <c:pt idx="49">
                  <c:v>22.401599999999991</c:v>
                </c:pt>
                <c:pt idx="50">
                  <c:v>13.8858</c:v>
                </c:pt>
                <c:pt idx="51">
                  <c:v>51.210600000000007</c:v>
                </c:pt>
                <c:pt idx="52">
                  <c:v>6.307879999999999</c:v>
                </c:pt>
                <c:pt idx="53">
                  <c:v>12.169600000000001</c:v>
                </c:pt>
                <c:pt idx="54">
                  <c:v>44.886200000000002</c:v>
                </c:pt>
                <c:pt idx="55">
                  <c:v>25.419</c:v>
                </c:pt>
                <c:pt idx="56">
                  <c:v>18.390499999999999</c:v>
                </c:pt>
                <c:pt idx="57">
                  <c:v>39.176299999999998</c:v>
                </c:pt>
                <c:pt idx="58">
                  <c:v>12.5825</c:v>
                </c:pt>
                <c:pt idx="59">
                  <c:v>15.302099999999999</c:v>
                </c:pt>
                <c:pt idx="60">
                  <c:v>32.880200000000002</c:v>
                </c:pt>
                <c:pt idx="61">
                  <c:v>15.1516</c:v>
                </c:pt>
                <c:pt idx="62">
                  <c:v>6.9460899999999999</c:v>
                </c:pt>
                <c:pt idx="63">
                  <c:v>46.488700000000001</c:v>
                </c:pt>
                <c:pt idx="64">
                  <c:v>45.559199999999997</c:v>
                </c:pt>
                <c:pt idx="65">
                  <c:v>6.6858499999999994</c:v>
                </c:pt>
                <c:pt idx="66">
                  <c:v>31.3535</c:v>
                </c:pt>
                <c:pt idx="67">
                  <c:v>37.568800000000003</c:v>
                </c:pt>
                <c:pt idx="68">
                  <c:v>9.1021000000000001</c:v>
                </c:pt>
                <c:pt idx="69">
                  <c:v>40.231499999999997</c:v>
                </c:pt>
                <c:pt idx="70">
                  <c:v>22.472999999999999</c:v>
                </c:pt>
                <c:pt idx="71">
                  <c:v>17.230799999999991</c:v>
                </c:pt>
                <c:pt idx="72">
                  <c:v>39.9146</c:v>
                </c:pt>
                <c:pt idx="73">
                  <c:v>18.389800000000001</c:v>
                </c:pt>
                <c:pt idx="74">
                  <c:v>21.745899999999999</c:v>
                </c:pt>
                <c:pt idx="75">
                  <c:v>26.479600000000001</c:v>
                </c:pt>
                <c:pt idx="76">
                  <c:v>31.074000000000009</c:v>
                </c:pt>
                <c:pt idx="77">
                  <c:v>19.2288</c:v>
                </c:pt>
              </c:numCache>
            </c:numRef>
          </c:xVal>
          <c:yVal>
            <c:numRef>
              <c:f>'Pair frequencies'!$G$683:$G$760</c:f>
              <c:numCache>
                <c:formatCode>General</c:formatCode>
                <c:ptCount val="78"/>
                <c:pt idx="0">
                  <c:v>5.49343</c:v>
                </c:pt>
                <c:pt idx="1">
                  <c:v>3.849359999999999</c:v>
                </c:pt>
                <c:pt idx="2">
                  <c:v>2.4454500000000001</c:v>
                </c:pt>
                <c:pt idx="3">
                  <c:v>3.832079999999999</c:v>
                </c:pt>
                <c:pt idx="4">
                  <c:v>4.2914899999999996</c:v>
                </c:pt>
                <c:pt idx="5">
                  <c:v>1.80704</c:v>
                </c:pt>
                <c:pt idx="6">
                  <c:v>4.7863899999999999</c:v>
                </c:pt>
                <c:pt idx="7">
                  <c:v>4.2496999999999998</c:v>
                </c:pt>
                <c:pt idx="8">
                  <c:v>3.6171799999999998</c:v>
                </c:pt>
                <c:pt idx="9">
                  <c:v>4.5374099999999986</c:v>
                </c:pt>
                <c:pt idx="10">
                  <c:v>1.6369800000000001</c:v>
                </c:pt>
                <c:pt idx="11">
                  <c:v>4.6258299999999988</c:v>
                </c:pt>
                <c:pt idx="12">
                  <c:v>4.55687</c:v>
                </c:pt>
                <c:pt idx="13">
                  <c:v>5.2523</c:v>
                </c:pt>
                <c:pt idx="14">
                  <c:v>6.2583399999999996</c:v>
                </c:pt>
                <c:pt idx="15">
                  <c:v>7.8031600000000001</c:v>
                </c:pt>
                <c:pt idx="16">
                  <c:v>5.67049</c:v>
                </c:pt>
                <c:pt idx="17">
                  <c:v>4.9736799999999999</c:v>
                </c:pt>
                <c:pt idx="18">
                  <c:v>7.4404000000000003</c:v>
                </c:pt>
                <c:pt idx="19">
                  <c:v>6.7116699999999998</c:v>
                </c:pt>
                <c:pt idx="20">
                  <c:v>5.5610299999999997</c:v>
                </c:pt>
                <c:pt idx="21">
                  <c:v>5.1173999999999991</c:v>
                </c:pt>
                <c:pt idx="22">
                  <c:v>8.4660900000000012</c:v>
                </c:pt>
                <c:pt idx="23">
                  <c:v>4.48719</c:v>
                </c:pt>
                <c:pt idx="24">
                  <c:v>4.0490399999999998</c:v>
                </c:pt>
                <c:pt idx="25">
                  <c:v>4.6267099999999992</c:v>
                </c:pt>
                <c:pt idx="26">
                  <c:v>3.3770500000000001</c:v>
                </c:pt>
                <c:pt idx="27">
                  <c:v>6.2112999999999996</c:v>
                </c:pt>
                <c:pt idx="28">
                  <c:v>4.6638799999999989</c:v>
                </c:pt>
                <c:pt idx="29">
                  <c:v>3.7357100000000001</c:v>
                </c:pt>
                <c:pt idx="30">
                  <c:v>5.8741899999999987</c:v>
                </c:pt>
                <c:pt idx="31">
                  <c:v>3.0205700000000002</c:v>
                </c:pt>
                <c:pt idx="32">
                  <c:v>5.3158899999999987</c:v>
                </c:pt>
                <c:pt idx="33">
                  <c:v>3.4580700000000002</c:v>
                </c:pt>
                <c:pt idx="34">
                  <c:v>4.1763399999999997</c:v>
                </c:pt>
                <c:pt idx="35">
                  <c:v>2.2136399999999998</c:v>
                </c:pt>
                <c:pt idx="36">
                  <c:v>3.83155</c:v>
                </c:pt>
                <c:pt idx="37">
                  <c:v>4.0854100000000004</c:v>
                </c:pt>
                <c:pt idx="38">
                  <c:v>3.7609900000000001</c:v>
                </c:pt>
                <c:pt idx="39">
                  <c:v>3.4473400000000001</c:v>
                </c:pt>
                <c:pt idx="40">
                  <c:v>2.47607</c:v>
                </c:pt>
                <c:pt idx="41">
                  <c:v>4.665449999999999</c:v>
                </c:pt>
                <c:pt idx="42">
                  <c:v>3.1976599999999991</c:v>
                </c:pt>
                <c:pt idx="43">
                  <c:v>3.2991199999999998</c:v>
                </c:pt>
                <c:pt idx="44">
                  <c:v>5.2592100000000004</c:v>
                </c:pt>
                <c:pt idx="45">
                  <c:v>2.7500800000000001</c:v>
                </c:pt>
                <c:pt idx="46">
                  <c:v>2.5646599999999991</c:v>
                </c:pt>
                <c:pt idx="47">
                  <c:v>4.647079999999999</c:v>
                </c:pt>
                <c:pt idx="48">
                  <c:v>3.2783099999999998</c:v>
                </c:pt>
                <c:pt idx="49">
                  <c:v>3.929419999999999</c:v>
                </c:pt>
                <c:pt idx="50">
                  <c:v>3.75623</c:v>
                </c:pt>
                <c:pt idx="51">
                  <c:v>6.9246099999999986</c:v>
                </c:pt>
                <c:pt idx="52">
                  <c:v>2.2383600000000001</c:v>
                </c:pt>
                <c:pt idx="53">
                  <c:v>2.4938899999999991</c:v>
                </c:pt>
                <c:pt idx="54">
                  <c:v>6.1768400000000003</c:v>
                </c:pt>
                <c:pt idx="55">
                  <c:v>4.2443999999999997</c:v>
                </c:pt>
                <c:pt idx="56">
                  <c:v>1.9584999999999999</c:v>
                </c:pt>
                <c:pt idx="57">
                  <c:v>4.9473500000000001</c:v>
                </c:pt>
                <c:pt idx="58">
                  <c:v>3.8420100000000001</c:v>
                </c:pt>
                <c:pt idx="59">
                  <c:v>3.0677300000000001</c:v>
                </c:pt>
                <c:pt idx="60">
                  <c:v>4.5361799999999999</c:v>
                </c:pt>
                <c:pt idx="61">
                  <c:v>1.17719</c:v>
                </c:pt>
                <c:pt idx="62">
                  <c:v>4.2834300000000001</c:v>
                </c:pt>
                <c:pt idx="63">
                  <c:v>6.4669099999999986</c:v>
                </c:pt>
                <c:pt idx="64">
                  <c:v>5.8938499999999996</c:v>
                </c:pt>
                <c:pt idx="65">
                  <c:v>2.0683699999999998</c:v>
                </c:pt>
                <c:pt idx="66">
                  <c:v>4.6783999999999999</c:v>
                </c:pt>
                <c:pt idx="67">
                  <c:v>7.5613700000000001</c:v>
                </c:pt>
                <c:pt idx="68">
                  <c:v>2.8636900000000001</c:v>
                </c:pt>
                <c:pt idx="69">
                  <c:v>5.8443699999999996</c:v>
                </c:pt>
                <c:pt idx="70">
                  <c:v>3.98448</c:v>
                </c:pt>
                <c:pt idx="71">
                  <c:v>2.1564000000000001</c:v>
                </c:pt>
                <c:pt idx="72">
                  <c:v>5.1821499999999991</c:v>
                </c:pt>
                <c:pt idx="73">
                  <c:v>3.2928099999999989</c:v>
                </c:pt>
                <c:pt idx="74">
                  <c:v>3.34619</c:v>
                </c:pt>
                <c:pt idx="75">
                  <c:v>4.3278399999999992</c:v>
                </c:pt>
                <c:pt idx="76">
                  <c:v>6.9004300000000001</c:v>
                </c:pt>
                <c:pt idx="77">
                  <c:v>4.76675</c:v>
                </c:pt>
              </c:numCache>
            </c:numRef>
          </c:yVal>
          <c:smooth val="0"/>
        </c:ser>
        <c:dLbls>
          <c:showLegendKey val="0"/>
          <c:showVal val="0"/>
          <c:showCatName val="0"/>
          <c:showSerName val="0"/>
          <c:showPercent val="0"/>
          <c:showBubbleSize val="0"/>
        </c:dLbls>
        <c:axId val="763629440"/>
        <c:axId val="763629048"/>
      </c:scatterChart>
      <c:valAx>
        <c:axId val="763629440"/>
        <c:scaling>
          <c:orientation val="minMax"/>
        </c:scaling>
        <c:delete val="0"/>
        <c:axPos val="b"/>
        <c:title>
          <c:tx>
            <c:rich>
              <a:bodyPr/>
              <a:lstStyle/>
              <a:p>
                <a:pPr>
                  <a:defRPr/>
                </a:pPr>
                <a:r>
                  <a:rPr lang="en-GB"/>
                  <a:t>Distance (mm)</a:t>
                </a:r>
              </a:p>
            </c:rich>
          </c:tx>
          <c:overlay val="0"/>
        </c:title>
        <c:numFmt formatCode="General" sourceLinked="1"/>
        <c:majorTickMark val="out"/>
        <c:minorTickMark val="none"/>
        <c:tickLblPos val="nextTo"/>
        <c:crossAx val="763629048"/>
        <c:crosses val="autoZero"/>
        <c:crossBetween val="midCat"/>
      </c:valAx>
      <c:valAx>
        <c:axId val="763629048"/>
        <c:scaling>
          <c:orientation val="minMax"/>
        </c:scaling>
        <c:delete val="0"/>
        <c:axPos val="l"/>
        <c:title>
          <c:tx>
            <c:rich>
              <a:bodyPr/>
              <a:lstStyle/>
              <a:p>
                <a:pPr>
                  <a:defRPr/>
                </a:pPr>
                <a:r>
                  <a:rPr lang="en-GB"/>
                  <a:t>E12</a:t>
                </a:r>
              </a:p>
            </c:rich>
          </c:tx>
          <c:overlay val="0"/>
        </c:title>
        <c:numFmt formatCode="General" sourceLinked="1"/>
        <c:majorTickMark val="out"/>
        <c:minorTickMark val="none"/>
        <c:tickLblPos val="nextTo"/>
        <c:crossAx val="763629440"/>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275F0-EF89-4481-9C21-A992A8BE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10549</Words>
  <Characters>60131</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Li</dc:creator>
  <cp:lastModifiedBy>Jennifer Hughes</cp:lastModifiedBy>
  <cp:revision>2</cp:revision>
  <cp:lastPrinted>2016-03-23T21:37:00Z</cp:lastPrinted>
  <dcterms:created xsi:type="dcterms:W3CDTF">2017-03-03T09:05:00Z</dcterms:created>
  <dcterms:modified xsi:type="dcterms:W3CDTF">2017-03-03T09:05:00Z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16th edition (author-date)</vt:lpwstr>
  </property>
  <property fmtid="{D5CDD505-2E9C-101B-9397-08002B2CF9AE}" pid="11" name="Mendeley Recent Style Id 4_1">
    <vt:lpwstr>http://www.zotero.org/styles/circulation</vt:lpwstr>
  </property>
  <property fmtid="{D5CDD505-2E9C-101B-9397-08002B2CF9AE}" pid="12" name="Mendeley Recent Style Name 4_1">
    <vt:lpwstr>Circulation</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(author-date)</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http://www.zotero.org/styles/journal-of-the-american-college-of-cardiology</vt:lpwstr>
  </property>
  <property fmtid="{D5CDD505-2E9C-101B-9397-08002B2CF9AE}" pid="18" name="Mendeley Recent Style Name 7_1">
    <vt:lpwstr>Journal of the American College of Cardiology</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http://www.zotero.org/styles/modern-language-association</vt:lpwstr>
  </property>
  <property fmtid="{D5CDD505-2E9C-101B-9397-08002B2CF9AE}" pid="22" name="Mendeley Recent Style Name 9_1">
    <vt:lpwstr>Modern Language Association 7th edition</vt:lpwstr>
  </property>
  <property fmtid="{D5CDD505-2E9C-101B-9397-08002B2CF9AE}" pid="23" name="Mendeley Citation Style_1">
    <vt:lpwstr>http://www.zotero.org/styles/circulation</vt:lpwstr>
  </property>
  <property fmtid="{D5CDD505-2E9C-101B-9397-08002B2CF9AE}" pid="24" name="Mendeley Unique User Id_1">
    <vt:lpwstr>50fa4e1a-b20e-383d-903d-233e5aaa470a</vt:lpwstr>
  </property>
</Properties>
</file>