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116D6" w14:textId="4ACAC43A" w:rsidR="00EA626F" w:rsidRPr="00F67B11" w:rsidRDefault="001D40EC" w:rsidP="00E5688F">
      <w:pPr>
        <w:spacing w:after="120" w:line="240" w:lineRule="auto"/>
        <w:jc w:val="center"/>
        <w:rPr>
          <w:rFonts w:asciiTheme="minorHAnsi" w:hAnsiTheme="minorHAnsi" w:cs="Arial"/>
          <w:b/>
          <w:szCs w:val="24"/>
        </w:rPr>
      </w:pPr>
      <w:r>
        <w:rPr>
          <w:rFonts w:asciiTheme="minorHAnsi" w:hAnsiTheme="minorHAnsi" w:cs="Arial"/>
          <w:b/>
          <w:szCs w:val="24"/>
        </w:rPr>
        <w:t>DEPRESSION</w:t>
      </w:r>
      <w:r w:rsidR="00EA626F" w:rsidRPr="00F67B11">
        <w:rPr>
          <w:rFonts w:asciiTheme="minorHAnsi" w:hAnsiTheme="minorHAnsi" w:cs="Arial"/>
          <w:b/>
          <w:szCs w:val="24"/>
        </w:rPr>
        <w:t xml:space="preserve"> CORRELATES WITH QUALITY OF LIFE IN PEOPLE WITH EPILEPSY</w:t>
      </w:r>
      <w:r w:rsidR="00872C6F">
        <w:rPr>
          <w:rFonts w:asciiTheme="minorHAnsi" w:hAnsiTheme="minorHAnsi" w:cs="Arial"/>
          <w:b/>
          <w:szCs w:val="24"/>
        </w:rPr>
        <w:t xml:space="preserve"> INDEPENDENT OF THE MEASURES</w:t>
      </w:r>
      <w:r>
        <w:rPr>
          <w:rFonts w:asciiTheme="minorHAnsi" w:hAnsiTheme="minorHAnsi" w:cs="Arial"/>
          <w:b/>
          <w:szCs w:val="24"/>
        </w:rPr>
        <w:t xml:space="preserve"> USED</w:t>
      </w:r>
      <w:r w:rsidR="00872C6F">
        <w:rPr>
          <w:rFonts w:asciiTheme="minorHAnsi" w:hAnsiTheme="minorHAnsi" w:cs="Arial"/>
          <w:b/>
          <w:szCs w:val="24"/>
        </w:rPr>
        <w:t xml:space="preserve"> </w:t>
      </w:r>
    </w:p>
    <w:p w14:paraId="1A25CF5C" w14:textId="77777777" w:rsidR="00EA626F" w:rsidRDefault="00EA626F" w:rsidP="00F67B11">
      <w:pPr>
        <w:spacing w:after="120" w:line="240" w:lineRule="auto"/>
        <w:jc w:val="both"/>
        <w:rPr>
          <w:rFonts w:asciiTheme="minorHAnsi" w:hAnsiTheme="minorHAnsi" w:cs="Arial"/>
          <w:b/>
          <w:szCs w:val="24"/>
        </w:rPr>
      </w:pPr>
    </w:p>
    <w:p w14:paraId="3790B811" w14:textId="77777777" w:rsidR="00EA626F" w:rsidRDefault="00EA626F" w:rsidP="00730CCB">
      <w:pPr>
        <w:spacing w:after="120" w:line="240" w:lineRule="auto"/>
        <w:jc w:val="center"/>
        <w:rPr>
          <w:rFonts w:asciiTheme="minorHAnsi" w:hAnsiTheme="minorHAnsi" w:cs="Arial"/>
          <w:color w:val="808080" w:themeColor="background1" w:themeShade="80"/>
          <w:szCs w:val="24"/>
        </w:rPr>
      </w:pPr>
      <w:r w:rsidRPr="00730CCB">
        <w:rPr>
          <w:rFonts w:asciiTheme="minorHAnsi" w:hAnsiTheme="minorHAnsi" w:cs="Arial"/>
          <w:color w:val="808080" w:themeColor="background1" w:themeShade="80"/>
          <w:szCs w:val="24"/>
        </w:rPr>
        <w:t>Proposed paper for Epilepsy &amp; Behaviour</w:t>
      </w:r>
    </w:p>
    <w:p w14:paraId="45F22E21" w14:textId="4CB50699" w:rsidR="00EA626F" w:rsidRPr="00730CCB" w:rsidRDefault="00FA31B1" w:rsidP="00730CCB">
      <w:pPr>
        <w:spacing w:after="120" w:line="240" w:lineRule="auto"/>
        <w:jc w:val="center"/>
        <w:rPr>
          <w:rFonts w:asciiTheme="minorHAnsi" w:hAnsiTheme="minorHAnsi" w:cs="Arial"/>
          <w:color w:val="808080" w:themeColor="background1" w:themeShade="80"/>
          <w:szCs w:val="24"/>
        </w:rPr>
      </w:pPr>
      <w:r>
        <w:rPr>
          <w:rFonts w:asciiTheme="minorHAnsi" w:hAnsiTheme="minorHAnsi" w:cs="Arial"/>
          <w:color w:val="808080" w:themeColor="background1" w:themeShade="80"/>
          <w:szCs w:val="24"/>
        </w:rPr>
        <w:t>Word Count: 2639</w:t>
      </w:r>
      <w:r w:rsidR="00EA626F">
        <w:rPr>
          <w:rFonts w:asciiTheme="minorHAnsi" w:hAnsiTheme="minorHAnsi" w:cs="Arial"/>
          <w:color w:val="808080" w:themeColor="background1" w:themeShade="80"/>
          <w:szCs w:val="24"/>
        </w:rPr>
        <w:t>, References 25, Tables 3, Figures 2</w:t>
      </w:r>
    </w:p>
    <w:p w14:paraId="76E08C8A" w14:textId="77777777" w:rsidR="00EA626F" w:rsidRDefault="00EA626F" w:rsidP="00F67B11">
      <w:pPr>
        <w:spacing w:after="120" w:line="240" w:lineRule="auto"/>
        <w:jc w:val="both"/>
        <w:rPr>
          <w:rFonts w:asciiTheme="minorHAnsi" w:hAnsiTheme="minorHAnsi" w:cs="Arial"/>
          <w:b/>
          <w:szCs w:val="24"/>
        </w:rPr>
      </w:pPr>
    </w:p>
    <w:p w14:paraId="1F7C8132" w14:textId="77777777" w:rsidR="00EA626F" w:rsidRPr="00E5688F" w:rsidRDefault="00EA626F" w:rsidP="00F67B11">
      <w:pPr>
        <w:spacing w:after="120" w:line="240" w:lineRule="auto"/>
        <w:jc w:val="both"/>
        <w:rPr>
          <w:rFonts w:asciiTheme="minorHAnsi" w:hAnsiTheme="minorHAnsi" w:cs="Arial"/>
          <w:b/>
          <w:szCs w:val="24"/>
          <w:vertAlign w:val="superscript"/>
        </w:rPr>
      </w:pPr>
      <w:r w:rsidRPr="00F67B11">
        <w:rPr>
          <w:rFonts w:asciiTheme="minorHAnsi" w:hAnsiTheme="minorHAnsi" w:cs="Arial"/>
          <w:b/>
          <w:szCs w:val="24"/>
        </w:rPr>
        <w:t>Niruj Agrawal</w:t>
      </w:r>
      <w:r>
        <w:rPr>
          <w:rFonts w:asciiTheme="minorHAnsi" w:hAnsiTheme="minorHAnsi" w:cs="Arial"/>
          <w:b/>
          <w:szCs w:val="24"/>
          <w:vertAlign w:val="superscript"/>
        </w:rPr>
        <w:t>1</w:t>
      </w:r>
      <w:proofErr w:type="gramStart"/>
      <w:r>
        <w:rPr>
          <w:rFonts w:asciiTheme="minorHAnsi" w:hAnsiTheme="minorHAnsi" w:cs="Arial"/>
          <w:b/>
          <w:szCs w:val="24"/>
          <w:vertAlign w:val="superscript"/>
        </w:rPr>
        <w:t>,2,3</w:t>
      </w:r>
      <w:proofErr w:type="gramEnd"/>
      <w:r>
        <w:rPr>
          <w:rFonts w:asciiTheme="minorHAnsi" w:hAnsiTheme="minorHAnsi" w:cs="Arial"/>
          <w:b/>
          <w:szCs w:val="24"/>
        </w:rPr>
        <w:t>*</w:t>
      </w:r>
      <w:r w:rsidRPr="00F67B11">
        <w:rPr>
          <w:rFonts w:asciiTheme="minorHAnsi" w:hAnsiTheme="minorHAnsi" w:cs="Arial"/>
          <w:b/>
          <w:szCs w:val="24"/>
        </w:rPr>
        <w:t>, Jacob S Bird</w:t>
      </w:r>
      <w:r>
        <w:rPr>
          <w:rFonts w:asciiTheme="minorHAnsi" w:hAnsiTheme="minorHAnsi" w:cs="Arial"/>
          <w:b/>
          <w:szCs w:val="24"/>
          <w:vertAlign w:val="superscript"/>
        </w:rPr>
        <w:t>1</w:t>
      </w:r>
      <w:r w:rsidRPr="00F67B11">
        <w:rPr>
          <w:rFonts w:asciiTheme="minorHAnsi" w:hAnsiTheme="minorHAnsi" w:cs="Arial"/>
          <w:b/>
          <w:szCs w:val="24"/>
        </w:rPr>
        <w:t>, Tim J von Oertzen</w:t>
      </w:r>
      <w:r>
        <w:rPr>
          <w:rFonts w:asciiTheme="minorHAnsi" w:hAnsiTheme="minorHAnsi" w:cs="Arial"/>
          <w:b/>
          <w:szCs w:val="24"/>
          <w:vertAlign w:val="superscript"/>
        </w:rPr>
        <w:t>3,5</w:t>
      </w:r>
      <w:r w:rsidRPr="00F67B11">
        <w:rPr>
          <w:rFonts w:asciiTheme="minorHAnsi" w:hAnsiTheme="minorHAnsi" w:cs="Arial"/>
          <w:b/>
          <w:szCs w:val="24"/>
        </w:rPr>
        <w:t>, Hannah Cock</w:t>
      </w:r>
      <w:r>
        <w:rPr>
          <w:rFonts w:asciiTheme="minorHAnsi" w:hAnsiTheme="minorHAnsi" w:cs="Arial"/>
          <w:b/>
          <w:szCs w:val="24"/>
          <w:vertAlign w:val="superscript"/>
        </w:rPr>
        <w:t>2,3</w:t>
      </w:r>
      <w:r w:rsidRPr="00F67B11">
        <w:rPr>
          <w:rFonts w:asciiTheme="minorHAnsi" w:hAnsiTheme="minorHAnsi" w:cs="Arial"/>
          <w:b/>
          <w:szCs w:val="24"/>
        </w:rPr>
        <w:t>,</w:t>
      </w:r>
      <w:r>
        <w:rPr>
          <w:rFonts w:asciiTheme="minorHAnsi" w:hAnsiTheme="minorHAnsi" w:cs="Arial"/>
          <w:b/>
          <w:szCs w:val="24"/>
        </w:rPr>
        <w:t xml:space="preserve"> </w:t>
      </w:r>
      <w:r w:rsidRPr="00F67B11">
        <w:rPr>
          <w:rFonts w:asciiTheme="minorHAnsi" w:hAnsiTheme="minorHAnsi" w:cs="Arial"/>
          <w:b/>
          <w:szCs w:val="24"/>
        </w:rPr>
        <w:t>Alex J Mitchell</w:t>
      </w:r>
      <w:r>
        <w:rPr>
          <w:rFonts w:asciiTheme="minorHAnsi" w:hAnsiTheme="minorHAnsi" w:cs="Arial"/>
          <w:b/>
          <w:szCs w:val="24"/>
          <w:vertAlign w:val="superscript"/>
        </w:rPr>
        <w:t>4</w:t>
      </w:r>
      <w:r w:rsidRPr="00F67B11">
        <w:rPr>
          <w:rFonts w:asciiTheme="minorHAnsi" w:hAnsiTheme="minorHAnsi" w:cs="Arial"/>
          <w:b/>
          <w:szCs w:val="24"/>
        </w:rPr>
        <w:t>, Marco Mula</w:t>
      </w:r>
      <w:r>
        <w:rPr>
          <w:rFonts w:asciiTheme="minorHAnsi" w:hAnsiTheme="minorHAnsi" w:cs="Arial"/>
          <w:b/>
          <w:szCs w:val="24"/>
          <w:vertAlign w:val="superscript"/>
        </w:rPr>
        <w:t>2,3</w:t>
      </w:r>
    </w:p>
    <w:p w14:paraId="067526C5" w14:textId="77777777" w:rsidR="00EA626F" w:rsidRPr="00F67B11" w:rsidRDefault="00EA626F" w:rsidP="00F67B11">
      <w:pPr>
        <w:spacing w:after="120" w:line="240" w:lineRule="auto"/>
        <w:jc w:val="both"/>
        <w:rPr>
          <w:rFonts w:asciiTheme="minorHAnsi" w:hAnsiTheme="minorHAnsi" w:cs="Arial"/>
          <w:szCs w:val="24"/>
        </w:rPr>
      </w:pPr>
    </w:p>
    <w:p w14:paraId="575D119B" w14:textId="77777777" w:rsidR="00EA626F" w:rsidRDefault="00EA626F" w:rsidP="00F67B11">
      <w:pPr>
        <w:spacing w:after="120" w:line="240" w:lineRule="auto"/>
        <w:jc w:val="both"/>
        <w:rPr>
          <w:rFonts w:asciiTheme="minorHAnsi" w:hAnsiTheme="minorHAnsi" w:cs="Arial"/>
          <w:szCs w:val="24"/>
        </w:rPr>
      </w:pPr>
    </w:p>
    <w:p w14:paraId="2879506F" w14:textId="6BF760EA" w:rsidR="00EA626F" w:rsidRDefault="00EA626F" w:rsidP="00E5688F">
      <w:pPr>
        <w:pStyle w:val="ListParagraph"/>
        <w:numPr>
          <w:ilvl w:val="0"/>
          <w:numId w:val="4"/>
        </w:numPr>
        <w:spacing w:after="120" w:line="240" w:lineRule="auto"/>
        <w:jc w:val="both"/>
        <w:rPr>
          <w:rFonts w:asciiTheme="minorHAnsi" w:hAnsiTheme="minorHAnsi" w:cs="Arial"/>
          <w:szCs w:val="24"/>
        </w:rPr>
      </w:pPr>
      <w:r w:rsidRPr="00E5688F">
        <w:rPr>
          <w:rFonts w:asciiTheme="minorHAnsi" w:hAnsiTheme="minorHAnsi" w:cs="Arial"/>
          <w:szCs w:val="24"/>
        </w:rPr>
        <w:t>Department of Neuropsychiatry,</w:t>
      </w:r>
      <w:r w:rsidR="00DA41F1">
        <w:rPr>
          <w:rFonts w:asciiTheme="minorHAnsi" w:hAnsiTheme="minorHAnsi" w:cs="Arial"/>
          <w:szCs w:val="24"/>
        </w:rPr>
        <w:t xml:space="preserve"> South West London &amp; St George’s MH NHS Trust,</w:t>
      </w:r>
      <w:r w:rsidRPr="00E5688F">
        <w:rPr>
          <w:rFonts w:asciiTheme="minorHAnsi" w:hAnsiTheme="minorHAnsi" w:cs="Arial"/>
          <w:szCs w:val="24"/>
        </w:rPr>
        <w:t xml:space="preserve"> St George's </w:t>
      </w:r>
      <w:r w:rsidR="00DA41F1">
        <w:rPr>
          <w:rFonts w:asciiTheme="minorHAnsi" w:hAnsiTheme="minorHAnsi" w:cs="Arial"/>
          <w:szCs w:val="24"/>
        </w:rPr>
        <w:t>Hospital, London, UK</w:t>
      </w:r>
    </w:p>
    <w:p w14:paraId="510F8618" w14:textId="0C4DEA3F" w:rsidR="00EA626F" w:rsidRPr="00E5688F" w:rsidRDefault="00EA626F" w:rsidP="00E5688F">
      <w:pPr>
        <w:pStyle w:val="ListParagraph"/>
        <w:numPr>
          <w:ilvl w:val="0"/>
          <w:numId w:val="4"/>
        </w:numPr>
        <w:spacing w:after="120" w:line="240" w:lineRule="auto"/>
        <w:jc w:val="both"/>
        <w:rPr>
          <w:rFonts w:asciiTheme="minorHAnsi" w:hAnsiTheme="minorHAnsi" w:cs="Arial"/>
          <w:szCs w:val="24"/>
        </w:rPr>
      </w:pPr>
      <w:r w:rsidRPr="00E5688F">
        <w:rPr>
          <w:rFonts w:asciiTheme="minorHAnsi" w:hAnsiTheme="minorHAnsi" w:cs="Arial"/>
          <w:szCs w:val="24"/>
        </w:rPr>
        <w:t>Epilepsy Group, Atkinson Morley Regional Neuroscience Centre, St George’s Hospital, London</w:t>
      </w:r>
      <w:r w:rsidR="00DA41F1">
        <w:rPr>
          <w:rFonts w:asciiTheme="minorHAnsi" w:hAnsiTheme="minorHAnsi" w:cs="Arial"/>
          <w:szCs w:val="24"/>
        </w:rPr>
        <w:t>, UK</w:t>
      </w:r>
    </w:p>
    <w:p w14:paraId="5B982367" w14:textId="0A02ACE6" w:rsidR="00EA626F" w:rsidRPr="00E5688F" w:rsidRDefault="00EA626F" w:rsidP="00E5688F">
      <w:pPr>
        <w:pStyle w:val="ListParagraph"/>
        <w:numPr>
          <w:ilvl w:val="0"/>
          <w:numId w:val="4"/>
        </w:numPr>
        <w:spacing w:after="120" w:line="240" w:lineRule="auto"/>
        <w:jc w:val="both"/>
        <w:rPr>
          <w:rFonts w:asciiTheme="minorHAnsi" w:hAnsiTheme="minorHAnsi" w:cs="Arial"/>
          <w:szCs w:val="24"/>
        </w:rPr>
      </w:pPr>
      <w:r w:rsidRPr="00E5688F">
        <w:rPr>
          <w:rFonts w:asciiTheme="minorHAnsi" w:hAnsiTheme="minorHAnsi" w:cs="Arial"/>
          <w:szCs w:val="24"/>
        </w:rPr>
        <w:t>Institute of Medical and Biomedical Sciences, St George’s Univ</w:t>
      </w:r>
      <w:r w:rsidR="00DA41F1">
        <w:rPr>
          <w:rFonts w:asciiTheme="minorHAnsi" w:hAnsiTheme="minorHAnsi" w:cs="Arial"/>
          <w:szCs w:val="24"/>
        </w:rPr>
        <w:t>ersity of London, UK</w:t>
      </w:r>
    </w:p>
    <w:p w14:paraId="76931AB4" w14:textId="23AF9BCB" w:rsidR="00EA626F" w:rsidRDefault="00EA626F" w:rsidP="00E5688F">
      <w:pPr>
        <w:pStyle w:val="ListParagraph"/>
        <w:numPr>
          <w:ilvl w:val="0"/>
          <w:numId w:val="4"/>
        </w:numPr>
        <w:spacing w:after="120" w:line="240" w:lineRule="auto"/>
        <w:jc w:val="both"/>
        <w:rPr>
          <w:rFonts w:asciiTheme="minorHAnsi" w:hAnsiTheme="minorHAnsi" w:cs="Arial"/>
          <w:szCs w:val="24"/>
        </w:rPr>
      </w:pPr>
      <w:r w:rsidRPr="00E5688F">
        <w:rPr>
          <w:rFonts w:asciiTheme="minorHAnsi" w:hAnsiTheme="minorHAnsi" w:cs="Arial"/>
          <w:szCs w:val="24"/>
        </w:rPr>
        <w:t>Leicestershire Partnership Trust, Leicester and Department of Cancer Studies and Molecular Medicine, University of Leicester</w:t>
      </w:r>
      <w:r w:rsidR="00DA41F1">
        <w:rPr>
          <w:rFonts w:asciiTheme="minorHAnsi" w:hAnsiTheme="minorHAnsi" w:cs="Arial"/>
          <w:szCs w:val="24"/>
        </w:rPr>
        <w:t>, UK</w:t>
      </w:r>
    </w:p>
    <w:p w14:paraId="04746800" w14:textId="77777777" w:rsidR="00EA626F" w:rsidRPr="00E5688F" w:rsidRDefault="00EA626F" w:rsidP="00E5688F">
      <w:pPr>
        <w:pStyle w:val="ListParagraph"/>
        <w:numPr>
          <w:ilvl w:val="0"/>
          <w:numId w:val="4"/>
        </w:numPr>
        <w:spacing w:after="120" w:line="240" w:lineRule="auto"/>
        <w:jc w:val="both"/>
        <w:rPr>
          <w:rFonts w:asciiTheme="minorHAnsi" w:hAnsiTheme="minorHAnsi" w:cs="Arial"/>
          <w:szCs w:val="24"/>
        </w:rPr>
      </w:pPr>
      <w:r w:rsidRPr="00E5688F">
        <w:rPr>
          <w:rFonts w:asciiTheme="minorHAnsi" w:hAnsiTheme="minorHAnsi" w:cs="Arial"/>
          <w:szCs w:val="24"/>
        </w:rPr>
        <w:t>Department of Neurology, Wagner-</w:t>
      </w:r>
      <w:proofErr w:type="spellStart"/>
      <w:r w:rsidRPr="00E5688F">
        <w:rPr>
          <w:rFonts w:asciiTheme="minorHAnsi" w:hAnsiTheme="minorHAnsi" w:cs="Arial"/>
          <w:szCs w:val="24"/>
        </w:rPr>
        <w:t>Jauregg</w:t>
      </w:r>
      <w:proofErr w:type="spellEnd"/>
      <w:r w:rsidRPr="00E5688F">
        <w:rPr>
          <w:rFonts w:asciiTheme="minorHAnsi" w:hAnsiTheme="minorHAnsi" w:cs="Arial"/>
          <w:szCs w:val="24"/>
        </w:rPr>
        <w:t xml:space="preserve"> Neuroscience Centre, Linz, Austria</w:t>
      </w:r>
    </w:p>
    <w:p w14:paraId="00C67E2D" w14:textId="77777777" w:rsidR="00EA626F" w:rsidRDefault="00EA626F" w:rsidP="00F67B11">
      <w:pPr>
        <w:spacing w:after="120" w:line="240" w:lineRule="auto"/>
        <w:jc w:val="both"/>
        <w:rPr>
          <w:rFonts w:asciiTheme="minorHAnsi" w:hAnsiTheme="minorHAnsi" w:cs="Arial"/>
          <w:color w:val="595959" w:themeColor="text1" w:themeTint="A6"/>
          <w:szCs w:val="24"/>
        </w:rPr>
      </w:pPr>
    </w:p>
    <w:p w14:paraId="59E34456" w14:textId="77777777" w:rsidR="00EA626F" w:rsidRPr="00F67B11" w:rsidRDefault="00EA626F" w:rsidP="00F67B11">
      <w:pPr>
        <w:spacing w:after="120" w:line="240" w:lineRule="auto"/>
        <w:jc w:val="both"/>
        <w:rPr>
          <w:rFonts w:asciiTheme="minorHAnsi" w:hAnsiTheme="minorHAnsi" w:cs="Arial"/>
          <w:color w:val="595959" w:themeColor="text1" w:themeTint="A6"/>
          <w:szCs w:val="24"/>
        </w:rPr>
      </w:pPr>
    </w:p>
    <w:p w14:paraId="7EC175B9" w14:textId="77777777" w:rsidR="00EA626F" w:rsidRPr="00F67B11" w:rsidRDefault="00EA626F" w:rsidP="00F67B11">
      <w:pPr>
        <w:spacing w:after="120" w:line="240" w:lineRule="auto"/>
        <w:ind w:left="360"/>
        <w:jc w:val="both"/>
        <w:rPr>
          <w:rFonts w:asciiTheme="minorHAnsi" w:hAnsiTheme="minorHAnsi" w:cs="Arial"/>
          <w:color w:val="595959" w:themeColor="text1" w:themeTint="A6"/>
          <w:szCs w:val="24"/>
        </w:rPr>
      </w:pPr>
      <w:r w:rsidRPr="00F67B11">
        <w:rPr>
          <w:rFonts w:asciiTheme="minorHAnsi" w:hAnsiTheme="minorHAnsi" w:cs="Arial"/>
          <w:color w:val="595959" w:themeColor="text1" w:themeTint="A6"/>
          <w:szCs w:val="24"/>
        </w:rPr>
        <w:t xml:space="preserve">* Correspondence: </w:t>
      </w:r>
    </w:p>
    <w:p w14:paraId="5ECE47BF" w14:textId="77777777" w:rsidR="00EA626F" w:rsidRPr="00F67B11" w:rsidRDefault="00EA626F" w:rsidP="00F67B11">
      <w:pPr>
        <w:spacing w:after="120" w:line="240" w:lineRule="auto"/>
        <w:ind w:firstLine="720"/>
        <w:jc w:val="both"/>
        <w:rPr>
          <w:rFonts w:asciiTheme="minorHAnsi" w:hAnsiTheme="minorHAnsi" w:cs="Arial"/>
          <w:color w:val="595959" w:themeColor="text1" w:themeTint="A6"/>
          <w:szCs w:val="24"/>
        </w:rPr>
      </w:pPr>
      <w:r w:rsidRPr="00F67B11">
        <w:rPr>
          <w:rFonts w:asciiTheme="minorHAnsi" w:hAnsiTheme="minorHAnsi" w:cs="Arial"/>
          <w:color w:val="595959" w:themeColor="text1" w:themeTint="A6"/>
          <w:szCs w:val="24"/>
        </w:rPr>
        <w:t>Niruj Agrawal</w:t>
      </w:r>
    </w:p>
    <w:p w14:paraId="2AA348DF" w14:textId="77777777" w:rsidR="00EA626F" w:rsidRPr="00F67B11" w:rsidRDefault="00EA626F" w:rsidP="00F67B11">
      <w:pPr>
        <w:spacing w:after="120" w:line="240" w:lineRule="auto"/>
        <w:ind w:left="720"/>
        <w:jc w:val="both"/>
        <w:rPr>
          <w:rFonts w:asciiTheme="minorHAnsi" w:hAnsiTheme="minorHAnsi" w:cs="Arial"/>
          <w:color w:val="595959" w:themeColor="text1" w:themeTint="A6"/>
          <w:szCs w:val="24"/>
        </w:rPr>
      </w:pPr>
      <w:r w:rsidRPr="00F67B11">
        <w:rPr>
          <w:rFonts w:asciiTheme="minorHAnsi" w:hAnsiTheme="minorHAnsi" w:cs="Arial"/>
          <w:color w:val="595959" w:themeColor="text1" w:themeTint="A6"/>
          <w:szCs w:val="24"/>
        </w:rPr>
        <w:t>Consultant Neuropsychiatrist</w:t>
      </w:r>
    </w:p>
    <w:p w14:paraId="552F6EB9" w14:textId="77777777" w:rsidR="00EA626F" w:rsidRPr="00F67B11" w:rsidRDefault="00EA626F" w:rsidP="00F67B11">
      <w:pPr>
        <w:spacing w:after="120" w:line="240" w:lineRule="auto"/>
        <w:ind w:left="720"/>
        <w:jc w:val="both"/>
        <w:rPr>
          <w:rFonts w:asciiTheme="minorHAnsi" w:hAnsiTheme="minorHAnsi" w:cs="Arial"/>
          <w:color w:val="595959" w:themeColor="text1" w:themeTint="A6"/>
          <w:szCs w:val="24"/>
        </w:rPr>
      </w:pPr>
      <w:r w:rsidRPr="00F67B11">
        <w:rPr>
          <w:rFonts w:asciiTheme="minorHAnsi" w:hAnsiTheme="minorHAnsi" w:cs="Arial"/>
          <w:color w:val="595959" w:themeColor="text1" w:themeTint="A6"/>
          <w:szCs w:val="24"/>
        </w:rPr>
        <w:t>Department of Neuropsychiatry</w:t>
      </w:r>
    </w:p>
    <w:p w14:paraId="17B795A3" w14:textId="77777777" w:rsidR="00EA626F" w:rsidRPr="00F67B11" w:rsidRDefault="00EA626F" w:rsidP="00F67B11">
      <w:pPr>
        <w:spacing w:after="120" w:line="240" w:lineRule="auto"/>
        <w:ind w:left="720"/>
        <w:jc w:val="both"/>
        <w:rPr>
          <w:rFonts w:asciiTheme="minorHAnsi" w:hAnsiTheme="minorHAnsi" w:cs="Arial"/>
          <w:color w:val="595959" w:themeColor="text1" w:themeTint="A6"/>
          <w:szCs w:val="24"/>
        </w:rPr>
      </w:pPr>
      <w:r w:rsidRPr="00F67B11">
        <w:rPr>
          <w:rFonts w:asciiTheme="minorHAnsi" w:hAnsiTheme="minorHAnsi" w:cs="Arial"/>
          <w:color w:val="595959" w:themeColor="text1" w:themeTint="A6"/>
          <w:szCs w:val="24"/>
        </w:rPr>
        <w:t>Clare House, St George’s Hospital</w:t>
      </w:r>
    </w:p>
    <w:p w14:paraId="78F44D4D" w14:textId="77777777" w:rsidR="00EA626F" w:rsidRPr="00F67B11" w:rsidRDefault="00EA626F" w:rsidP="00F67B11">
      <w:pPr>
        <w:spacing w:after="120" w:line="240" w:lineRule="auto"/>
        <w:ind w:left="720"/>
        <w:jc w:val="both"/>
        <w:rPr>
          <w:rFonts w:asciiTheme="minorHAnsi" w:hAnsiTheme="minorHAnsi" w:cs="Arial"/>
          <w:color w:val="595959" w:themeColor="text1" w:themeTint="A6"/>
          <w:szCs w:val="24"/>
        </w:rPr>
      </w:pPr>
      <w:proofErr w:type="spellStart"/>
      <w:r w:rsidRPr="00F67B11">
        <w:rPr>
          <w:rFonts w:asciiTheme="minorHAnsi" w:hAnsiTheme="minorHAnsi" w:cs="Arial"/>
          <w:color w:val="595959" w:themeColor="text1" w:themeTint="A6"/>
          <w:szCs w:val="24"/>
        </w:rPr>
        <w:t>Blackshaw</w:t>
      </w:r>
      <w:proofErr w:type="spellEnd"/>
      <w:r w:rsidRPr="00F67B11">
        <w:rPr>
          <w:rFonts w:asciiTheme="minorHAnsi" w:hAnsiTheme="minorHAnsi" w:cs="Arial"/>
          <w:color w:val="595959" w:themeColor="text1" w:themeTint="A6"/>
          <w:szCs w:val="24"/>
        </w:rPr>
        <w:t xml:space="preserve"> Road, London SW17 0QT</w:t>
      </w:r>
    </w:p>
    <w:p w14:paraId="4F4680ED" w14:textId="77777777" w:rsidR="00EA626F" w:rsidRDefault="00EA626F" w:rsidP="00F67B11">
      <w:pPr>
        <w:spacing w:after="120" w:line="240" w:lineRule="auto"/>
        <w:ind w:left="720"/>
        <w:jc w:val="both"/>
      </w:pPr>
    </w:p>
    <w:p w14:paraId="5ECCEAF9" w14:textId="77777777" w:rsidR="00EA626F" w:rsidRDefault="00EA626F" w:rsidP="00F67B11">
      <w:pPr>
        <w:spacing w:after="120" w:line="240" w:lineRule="auto"/>
        <w:ind w:left="720"/>
        <w:jc w:val="both"/>
      </w:pPr>
    </w:p>
    <w:p w14:paraId="765F3B5B" w14:textId="77777777" w:rsidR="00EA626F" w:rsidRPr="00B35836" w:rsidRDefault="00EA626F" w:rsidP="00F67B11">
      <w:pPr>
        <w:spacing w:after="120" w:line="240" w:lineRule="auto"/>
        <w:ind w:left="720"/>
        <w:jc w:val="both"/>
        <w:rPr>
          <w:rFonts w:asciiTheme="minorHAnsi" w:hAnsiTheme="minorHAnsi" w:cs="Arial"/>
          <w:color w:val="808080" w:themeColor="background1" w:themeShade="80"/>
          <w:szCs w:val="24"/>
        </w:rPr>
      </w:pPr>
      <w:r w:rsidRPr="00B35836">
        <w:rPr>
          <w:color w:val="808080" w:themeColor="background1" w:themeShade="80"/>
        </w:rPr>
        <w:t xml:space="preserve">Email: </w:t>
      </w:r>
      <w:hyperlink r:id="rId6" w:history="1">
        <w:r w:rsidRPr="00B35836">
          <w:rPr>
            <w:rStyle w:val="Hyperlink"/>
            <w:rFonts w:asciiTheme="minorHAnsi" w:hAnsiTheme="minorHAnsi" w:cs="Arial"/>
            <w:color w:val="808080" w:themeColor="background1" w:themeShade="80"/>
            <w:szCs w:val="24"/>
          </w:rPr>
          <w:t>Niruj.Agrawal@swlstg-tr.nhs.uk</w:t>
        </w:r>
      </w:hyperlink>
    </w:p>
    <w:p w14:paraId="3E74F74A" w14:textId="77777777" w:rsidR="00EA626F" w:rsidRPr="00B35836" w:rsidRDefault="00EA626F" w:rsidP="00F67B11">
      <w:pPr>
        <w:spacing w:after="120" w:line="240" w:lineRule="auto"/>
        <w:ind w:left="720"/>
        <w:jc w:val="both"/>
        <w:rPr>
          <w:rFonts w:asciiTheme="minorHAnsi" w:hAnsiTheme="minorHAnsi" w:cs="Arial"/>
          <w:color w:val="808080" w:themeColor="background1" w:themeShade="80"/>
          <w:szCs w:val="24"/>
        </w:rPr>
      </w:pPr>
      <w:r w:rsidRPr="00B35836">
        <w:rPr>
          <w:rFonts w:asciiTheme="minorHAnsi" w:hAnsiTheme="minorHAnsi" w:cs="Arial"/>
          <w:color w:val="808080" w:themeColor="background1" w:themeShade="80"/>
          <w:szCs w:val="24"/>
        </w:rPr>
        <w:t>Tel. +44 208 725 3786</w:t>
      </w:r>
    </w:p>
    <w:p w14:paraId="283F94A5" w14:textId="77777777" w:rsidR="00EA626F" w:rsidRPr="00B35836" w:rsidRDefault="00EA626F" w:rsidP="00F67B11">
      <w:pPr>
        <w:spacing w:after="120" w:line="240" w:lineRule="auto"/>
        <w:ind w:left="720"/>
        <w:jc w:val="both"/>
        <w:rPr>
          <w:rFonts w:asciiTheme="minorHAnsi" w:hAnsiTheme="minorHAnsi" w:cs="Arial"/>
          <w:color w:val="808080" w:themeColor="background1" w:themeShade="80"/>
          <w:szCs w:val="24"/>
        </w:rPr>
      </w:pPr>
      <w:proofErr w:type="gramStart"/>
      <w:r w:rsidRPr="00B35836">
        <w:rPr>
          <w:rFonts w:asciiTheme="minorHAnsi" w:hAnsiTheme="minorHAnsi" w:cs="Arial"/>
          <w:color w:val="808080" w:themeColor="background1" w:themeShade="80"/>
          <w:szCs w:val="24"/>
        </w:rPr>
        <w:t>Fax.</w:t>
      </w:r>
      <w:proofErr w:type="gramEnd"/>
      <w:r w:rsidRPr="00B35836">
        <w:rPr>
          <w:rFonts w:asciiTheme="minorHAnsi" w:hAnsiTheme="minorHAnsi" w:cs="Arial"/>
          <w:color w:val="808080" w:themeColor="background1" w:themeShade="80"/>
          <w:szCs w:val="24"/>
        </w:rPr>
        <w:t xml:space="preserve"> +44 208 725 2929</w:t>
      </w:r>
    </w:p>
    <w:p w14:paraId="2A3651B7" w14:textId="77777777" w:rsidR="00EA626F" w:rsidRPr="00F67B11" w:rsidRDefault="00EA626F" w:rsidP="00F67B11">
      <w:pPr>
        <w:spacing w:after="120" w:line="240" w:lineRule="auto"/>
        <w:jc w:val="both"/>
        <w:rPr>
          <w:rFonts w:asciiTheme="minorHAnsi" w:hAnsiTheme="minorHAnsi" w:cs="Arial"/>
          <w:b/>
          <w:szCs w:val="24"/>
        </w:rPr>
      </w:pPr>
    </w:p>
    <w:p w14:paraId="00E98FCF" w14:textId="77777777" w:rsidR="00EA626F" w:rsidRPr="00F67B11" w:rsidRDefault="00EA626F" w:rsidP="00F67B11">
      <w:pPr>
        <w:spacing w:after="120" w:line="240" w:lineRule="auto"/>
        <w:jc w:val="both"/>
        <w:rPr>
          <w:rFonts w:asciiTheme="minorHAnsi" w:hAnsiTheme="minorHAnsi" w:cs="Arial"/>
          <w:b/>
          <w:szCs w:val="24"/>
        </w:rPr>
      </w:pPr>
    </w:p>
    <w:p w14:paraId="1B3E9FC4" w14:textId="77777777" w:rsidR="00EA626F" w:rsidRPr="00F67B11" w:rsidRDefault="00EA626F" w:rsidP="00F67B11">
      <w:pPr>
        <w:spacing w:after="120" w:line="240" w:lineRule="auto"/>
        <w:jc w:val="both"/>
        <w:rPr>
          <w:rFonts w:asciiTheme="minorHAnsi" w:hAnsiTheme="minorHAnsi" w:cs="Arial"/>
          <w:b/>
          <w:szCs w:val="24"/>
        </w:rPr>
      </w:pPr>
      <w:r w:rsidRPr="00F67B11">
        <w:rPr>
          <w:rFonts w:asciiTheme="minorHAnsi" w:hAnsiTheme="minorHAnsi" w:cs="Arial"/>
          <w:b/>
          <w:szCs w:val="24"/>
        </w:rPr>
        <w:br w:type="page"/>
      </w:r>
    </w:p>
    <w:p w14:paraId="4C83D215" w14:textId="77777777" w:rsidR="00EA626F" w:rsidRPr="00E24084" w:rsidRDefault="00EA626F" w:rsidP="00E24084">
      <w:pPr>
        <w:spacing w:after="120" w:line="360" w:lineRule="auto"/>
        <w:jc w:val="both"/>
        <w:rPr>
          <w:rFonts w:asciiTheme="minorHAnsi" w:hAnsiTheme="minorHAnsi" w:cs="Arial"/>
          <w:b/>
          <w:sz w:val="22"/>
        </w:rPr>
      </w:pPr>
      <w:r w:rsidRPr="00E24084">
        <w:rPr>
          <w:rFonts w:asciiTheme="minorHAnsi" w:hAnsiTheme="minorHAnsi" w:cs="Arial"/>
          <w:b/>
          <w:sz w:val="22"/>
        </w:rPr>
        <w:lastRenderedPageBreak/>
        <w:t>ABSTRACT</w:t>
      </w:r>
    </w:p>
    <w:p w14:paraId="781F5797" w14:textId="7DED2D65" w:rsidR="00EA626F" w:rsidRPr="00E24084" w:rsidRDefault="005A3872" w:rsidP="00E24084">
      <w:pPr>
        <w:spacing w:after="120" w:line="360" w:lineRule="auto"/>
        <w:jc w:val="both"/>
        <w:rPr>
          <w:rFonts w:asciiTheme="minorHAnsi" w:hAnsiTheme="minorHAnsi" w:cs="Arial"/>
          <w:sz w:val="22"/>
        </w:rPr>
      </w:pPr>
      <w:r>
        <w:rPr>
          <w:rFonts w:asciiTheme="minorHAnsi" w:hAnsiTheme="minorHAnsi" w:cs="Arial"/>
          <w:sz w:val="22"/>
          <w:u w:val="single"/>
        </w:rPr>
        <w:t>Purpose</w:t>
      </w:r>
      <w:r w:rsidR="00EA626F" w:rsidRPr="00E24084">
        <w:rPr>
          <w:rFonts w:asciiTheme="minorHAnsi" w:hAnsiTheme="minorHAnsi" w:cs="Arial"/>
          <w:sz w:val="22"/>
          <w:u w:val="single"/>
        </w:rPr>
        <w:t>:</w:t>
      </w:r>
      <w:r w:rsidR="00EA626F" w:rsidRPr="00E24084">
        <w:rPr>
          <w:rFonts w:asciiTheme="minorHAnsi" w:hAnsiTheme="minorHAnsi" w:cs="Arial"/>
          <w:sz w:val="22"/>
        </w:rPr>
        <w:t xml:space="preserve"> A number of studies </w:t>
      </w:r>
      <w:r w:rsidR="00EA626F">
        <w:rPr>
          <w:rFonts w:asciiTheme="minorHAnsi" w:hAnsiTheme="minorHAnsi" w:cs="Arial"/>
          <w:sz w:val="22"/>
        </w:rPr>
        <w:t xml:space="preserve">have </w:t>
      </w:r>
      <w:r w:rsidR="00EA626F" w:rsidRPr="00E24084">
        <w:rPr>
          <w:rFonts w:asciiTheme="minorHAnsi" w:hAnsiTheme="minorHAnsi" w:cs="Arial"/>
          <w:sz w:val="22"/>
        </w:rPr>
        <w:t>suggested that depressed mood is one of the most important predictors of quality of life (</w:t>
      </w:r>
      <w:proofErr w:type="spellStart"/>
      <w:r w:rsidR="00EA626F" w:rsidRPr="00E24084">
        <w:rPr>
          <w:rFonts w:asciiTheme="minorHAnsi" w:hAnsiTheme="minorHAnsi" w:cs="Arial"/>
          <w:sz w:val="22"/>
        </w:rPr>
        <w:t>QoL</w:t>
      </w:r>
      <w:proofErr w:type="spellEnd"/>
      <w:r w:rsidR="00EA626F" w:rsidRPr="00E24084">
        <w:rPr>
          <w:rFonts w:asciiTheme="minorHAnsi" w:hAnsiTheme="minorHAnsi" w:cs="Arial"/>
          <w:sz w:val="22"/>
        </w:rPr>
        <w:t xml:space="preserve">) in patients with epilepsy. However, </w:t>
      </w:r>
      <w:proofErr w:type="spellStart"/>
      <w:r w:rsidR="00EA626F" w:rsidRPr="00E24084">
        <w:rPr>
          <w:rFonts w:asciiTheme="minorHAnsi" w:hAnsiTheme="minorHAnsi" w:cs="Arial"/>
          <w:sz w:val="22"/>
        </w:rPr>
        <w:t>QoL</w:t>
      </w:r>
      <w:proofErr w:type="spellEnd"/>
      <w:r w:rsidR="00EA626F" w:rsidRPr="00E24084">
        <w:rPr>
          <w:rFonts w:asciiTheme="minorHAnsi" w:hAnsiTheme="minorHAnsi" w:cs="Arial"/>
          <w:sz w:val="22"/>
        </w:rPr>
        <w:t xml:space="preserve"> measure used in previous studies was limited to the Quality Of Life in Epil</w:t>
      </w:r>
      <w:r w:rsidR="00E4208F">
        <w:rPr>
          <w:rFonts w:asciiTheme="minorHAnsi" w:hAnsiTheme="minorHAnsi" w:cs="Arial"/>
          <w:sz w:val="22"/>
        </w:rPr>
        <w:t>epsy (QOLIE) scales. It could be</w:t>
      </w:r>
      <w:r w:rsidR="00EA626F" w:rsidRPr="00E24084">
        <w:rPr>
          <w:rFonts w:asciiTheme="minorHAnsi" w:hAnsiTheme="minorHAnsi" w:cs="Arial"/>
          <w:sz w:val="22"/>
        </w:rPr>
        <w:t xml:space="preserve"> questioned whether correlation of QOLIE with measures of depression is influenced by the properties of the instrument</w:t>
      </w:r>
      <w:r w:rsidR="00EA626F">
        <w:rPr>
          <w:rFonts w:asciiTheme="minorHAnsi" w:hAnsiTheme="minorHAnsi" w:cs="Arial"/>
          <w:sz w:val="22"/>
        </w:rPr>
        <w:t>s</w:t>
      </w:r>
      <w:r w:rsidR="001D40EC">
        <w:rPr>
          <w:rFonts w:asciiTheme="minorHAnsi" w:hAnsiTheme="minorHAnsi" w:cs="Arial"/>
          <w:sz w:val="22"/>
        </w:rPr>
        <w:t xml:space="preserve"> used rather than being a valid</w:t>
      </w:r>
      <w:r w:rsidR="00EA626F" w:rsidRPr="00E24084">
        <w:rPr>
          <w:rFonts w:asciiTheme="minorHAnsi" w:hAnsiTheme="minorHAnsi" w:cs="Arial"/>
          <w:sz w:val="22"/>
        </w:rPr>
        <w:t xml:space="preserve"> effect. By using </w:t>
      </w:r>
      <w:r w:rsidR="00EA626F">
        <w:rPr>
          <w:rFonts w:asciiTheme="minorHAnsi" w:hAnsiTheme="minorHAnsi" w:cs="Arial"/>
          <w:sz w:val="22"/>
        </w:rPr>
        <w:t xml:space="preserve">visual </w:t>
      </w:r>
      <w:r w:rsidR="00EA626F" w:rsidRPr="00E24084">
        <w:rPr>
          <w:rFonts w:asciiTheme="minorHAnsi" w:hAnsiTheme="minorHAnsi" w:cs="Arial"/>
          <w:sz w:val="22"/>
        </w:rPr>
        <w:t xml:space="preserve">analogue scales, the current study aims to clarify whether depression and </w:t>
      </w:r>
      <w:proofErr w:type="spellStart"/>
      <w:r w:rsidR="00EA626F" w:rsidRPr="00E24084">
        <w:rPr>
          <w:rFonts w:asciiTheme="minorHAnsi" w:hAnsiTheme="minorHAnsi" w:cs="Arial"/>
          <w:sz w:val="22"/>
        </w:rPr>
        <w:t>QoL</w:t>
      </w:r>
      <w:proofErr w:type="spellEnd"/>
      <w:r w:rsidR="00EA626F" w:rsidRPr="00E24084">
        <w:rPr>
          <w:rFonts w:asciiTheme="minorHAnsi" w:hAnsiTheme="minorHAnsi" w:cs="Arial"/>
          <w:sz w:val="22"/>
        </w:rPr>
        <w:t xml:space="preserve"> are truly correlated in patients with epilepsy. </w:t>
      </w:r>
    </w:p>
    <w:p w14:paraId="657029D9" w14:textId="20613155" w:rsidR="00EA626F" w:rsidRPr="00E24084" w:rsidRDefault="00EA626F" w:rsidP="00E24084">
      <w:pPr>
        <w:spacing w:after="120" w:line="360" w:lineRule="auto"/>
        <w:jc w:val="both"/>
        <w:rPr>
          <w:rFonts w:asciiTheme="minorHAnsi" w:hAnsiTheme="minorHAnsi" w:cs="Arial"/>
          <w:sz w:val="22"/>
        </w:rPr>
      </w:pPr>
      <w:r w:rsidRPr="00E24084">
        <w:rPr>
          <w:rFonts w:asciiTheme="minorHAnsi" w:hAnsiTheme="minorHAnsi" w:cs="Arial"/>
          <w:sz w:val="22"/>
          <w:u w:val="single"/>
        </w:rPr>
        <w:t>Methods:</w:t>
      </w:r>
      <w:r w:rsidRPr="00E24084">
        <w:rPr>
          <w:rFonts w:asciiTheme="minorHAnsi" w:hAnsiTheme="minorHAnsi" w:cs="Arial"/>
          <w:color w:val="FF0000"/>
          <w:sz w:val="22"/>
        </w:rPr>
        <w:t xml:space="preserve"> </w:t>
      </w:r>
      <w:r w:rsidRPr="00E24084">
        <w:rPr>
          <w:rFonts w:asciiTheme="minorHAnsi" w:hAnsiTheme="minorHAnsi" w:cs="Arial"/>
          <w:sz w:val="22"/>
        </w:rPr>
        <w:t xml:space="preserve">Data from a sample of 261 outpatients with epilepsy </w:t>
      </w:r>
      <w:r w:rsidRPr="00E24084">
        <w:rPr>
          <w:rFonts w:asciiTheme="minorHAnsi" w:hAnsiTheme="minorHAnsi"/>
          <w:sz w:val="22"/>
        </w:rPr>
        <w:t>attending the Epilepsy Clinics of the Atkinson Morley Outpatient Department, St George’s Hospital in London, have been analysed. Patients were screened using the European Quality of Life scale (EQ-5D-3L)</w:t>
      </w:r>
      <w:r w:rsidR="00557F4A">
        <w:rPr>
          <w:rFonts w:asciiTheme="minorHAnsi" w:hAnsiTheme="minorHAnsi"/>
          <w:sz w:val="22"/>
        </w:rPr>
        <w:t xml:space="preserve"> </w:t>
      </w:r>
      <w:r w:rsidR="00557F4A" w:rsidRPr="00557F4A">
        <w:rPr>
          <w:rFonts w:asciiTheme="minorHAnsi" w:hAnsiTheme="minorHAnsi"/>
          <w:sz w:val="22"/>
        </w:rPr>
        <w:t>which includes an overall</w:t>
      </w:r>
      <w:r w:rsidR="00557F4A">
        <w:rPr>
          <w:rFonts w:asciiTheme="minorHAnsi" w:hAnsiTheme="minorHAnsi"/>
          <w:sz w:val="22"/>
        </w:rPr>
        <w:t xml:space="preserve"> visual analogue score (EQ-VAS)</w:t>
      </w:r>
      <w:r w:rsidRPr="00E24084">
        <w:rPr>
          <w:rFonts w:asciiTheme="minorHAnsi" w:hAnsiTheme="minorHAnsi"/>
          <w:sz w:val="22"/>
        </w:rPr>
        <w:t xml:space="preserve">, the Emotional Thermometer (ET7), </w:t>
      </w:r>
      <w:r w:rsidRPr="00E24084">
        <w:rPr>
          <w:rFonts w:asciiTheme="minorHAnsi" w:hAnsiTheme="minorHAnsi" w:cs="Arial"/>
          <w:sz w:val="22"/>
        </w:rPr>
        <w:t xml:space="preserve">Beck Depression Inventory-II (BDI-II), the Hospital Anxiety and Depression Scale (HADS), and the Major Depression Inventory (MDI). </w:t>
      </w:r>
    </w:p>
    <w:p w14:paraId="1B025C8D" w14:textId="77777777" w:rsidR="00EA626F" w:rsidRPr="00E24084" w:rsidRDefault="00EA626F" w:rsidP="00E24084">
      <w:pPr>
        <w:spacing w:after="120" w:line="360" w:lineRule="auto"/>
        <w:jc w:val="both"/>
        <w:rPr>
          <w:rFonts w:asciiTheme="minorHAnsi" w:hAnsiTheme="minorHAnsi" w:cs="Arial"/>
          <w:sz w:val="22"/>
        </w:rPr>
      </w:pPr>
      <w:r w:rsidRPr="00E24084">
        <w:rPr>
          <w:rFonts w:asciiTheme="minorHAnsi" w:hAnsiTheme="minorHAnsi" w:cs="Arial"/>
          <w:sz w:val="22"/>
          <w:u w:val="single"/>
        </w:rPr>
        <w:t>Results:</w:t>
      </w:r>
      <w:r w:rsidRPr="00E24084">
        <w:rPr>
          <w:rFonts w:asciiTheme="minorHAnsi" w:hAnsiTheme="minorHAnsi" w:cs="Arial"/>
          <w:sz w:val="22"/>
        </w:rPr>
        <w:t xml:space="preserve"> Depression was found to significantly correlate with EQ-VAS score with </w:t>
      </w:r>
      <w:r w:rsidRPr="00E24084">
        <w:rPr>
          <w:rFonts w:asciiTheme="minorHAnsi" w:hAnsiTheme="minorHAnsi" w:cs="Arial"/>
          <w:i/>
          <w:sz w:val="22"/>
        </w:rPr>
        <w:t>r</w:t>
      </w:r>
      <w:r w:rsidRPr="00E24084">
        <w:rPr>
          <w:rFonts w:asciiTheme="minorHAnsi" w:hAnsiTheme="minorHAnsi" w:cs="Arial"/>
          <w:sz w:val="22"/>
        </w:rPr>
        <w:t xml:space="preserve"> coefficient ranging from 0.42 to 0.51 and </w:t>
      </w:r>
      <w:r w:rsidRPr="00E24084">
        <w:rPr>
          <w:rFonts w:asciiTheme="minorHAnsi" w:hAnsiTheme="minorHAnsi" w:cs="Arial"/>
          <w:i/>
          <w:sz w:val="22"/>
        </w:rPr>
        <w:t>r</w:t>
      </w:r>
      <w:r w:rsidRPr="00E24084">
        <w:rPr>
          <w:rFonts w:asciiTheme="minorHAnsi" w:hAnsiTheme="minorHAnsi" w:cs="Arial"/>
          <w:i/>
          <w:sz w:val="22"/>
          <w:vertAlign w:val="superscript"/>
        </w:rPr>
        <w:t>2</w:t>
      </w:r>
      <w:r w:rsidRPr="00E24084">
        <w:rPr>
          <w:rFonts w:asciiTheme="minorHAnsi" w:hAnsiTheme="minorHAnsi" w:cs="Arial"/>
          <w:sz w:val="22"/>
          <w:vertAlign w:val="superscript"/>
        </w:rPr>
        <w:t xml:space="preserve"> </w:t>
      </w:r>
      <w:r w:rsidRPr="00E24084">
        <w:rPr>
          <w:rFonts w:asciiTheme="minorHAnsi" w:hAnsiTheme="minorHAnsi" w:cs="Arial"/>
          <w:sz w:val="22"/>
        </w:rPr>
        <w:t>coefficients ranging between 0.18 and 0.26. In addition, we identified patients who were depressed according to DSM</w:t>
      </w:r>
      <w:r>
        <w:rPr>
          <w:rFonts w:asciiTheme="minorHAnsi" w:hAnsiTheme="minorHAnsi" w:cs="Arial"/>
          <w:sz w:val="22"/>
        </w:rPr>
        <w:t>-IV</w:t>
      </w:r>
      <w:r w:rsidRPr="00E24084">
        <w:rPr>
          <w:rFonts w:asciiTheme="minorHAnsi" w:hAnsiTheme="minorHAnsi" w:cs="Arial"/>
          <w:sz w:val="22"/>
        </w:rPr>
        <w:t xml:space="preserve"> criteria</w:t>
      </w:r>
      <w:r>
        <w:rPr>
          <w:rFonts w:asciiTheme="minorHAnsi" w:hAnsiTheme="minorHAnsi" w:cs="Arial"/>
          <w:sz w:val="22"/>
        </w:rPr>
        <w:t xml:space="preserve"> (MD)</w:t>
      </w:r>
      <w:r w:rsidRPr="00E24084">
        <w:rPr>
          <w:rFonts w:asciiTheme="minorHAnsi" w:hAnsiTheme="minorHAnsi" w:cs="Arial"/>
          <w:sz w:val="22"/>
        </w:rPr>
        <w:t xml:space="preserve"> and those with atypical forms of depression (AD). EQ-5D-3L scores in these subjects as compared to those without depression (ND) showed a different impact of AD and MD on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w:t>
      </w:r>
    </w:p>
    <w:p w14:paraId="44A54438" w14:textId="6DA557C4" w:rsidR="00EA626F" w:rsidRPr="00E24084" w:rsidRDefault="005A3872" w:rsidP="00E24084">
      <w:pPr>
        <w:spacing w:after="120" w:line="360" w:lineRule="auto"/>
        <w:jc w:val="both"/>
        <w:rPr>
          <w:rFonts w:asciiTheme="minorHAnsi" w:hAnsiTheme="minorHAnsi" w:cs="Arial"/>
          <w:sz w:val="22"/>
        </w:rPr>
      </w:pPr>
      <w:r>
        <w:rPr>
          <w:rFonts w:asciiTheme="minorHAnsi" w:hAnsiTheme="minorHAnsi" w:cs="Arial"/>
          <w:sz w:val="22"/>
          <w:u w:val="single"/>
        </w:rPr>
        <w:t>Conclusions</w:t>
      </w:r>
      <w:r w:rsidR="00EA626F" w:rsidRPr="00E24084">
        <w:rPr>
          <w:rFonts w:asciiTheme="minorHAnsi" w:hAnsiTheme="minorHAnsi" w:cs="Arial"/>
          <w:sz w:val="22"/>
          <w:u w:val="single"/>
        </w:rPr>
        <w:t>:</w:t>
      </w:r>
      <w:r w:rsidR="00EA626F" w:rsidRPr="00E24084">
        <w:rPr>
          <w:rFonts w:asciiTheme="minorHAnsi" w:hAnsiTheme="minorHAnsi" w:cs="Arial"/>
          <w:sz w:val="22"/>
        </w:rPr>
        <w:t xml:space="preserve"> The relationship between depression and quality of life in people with epilepsy has been demo</w:t>
      </w:r>
      <w:r w:rsidR="001D40EC">
        <w:rPr>
          <w:rFonts w:asciiTheme="minorHAnsi" w:hAnsiTheme="minorHAnsi" w:cs="Arial"/>
          <w:sz w:val="22"/>
        </w:rPr>
        <w:t>nstrated to be a robust and valid</w:t>
      </w:r>
      <w:r w:rsidR="00EA626F" w:rsidRPr="00E24084">
        <w:rPr>
          <w:rFonts w:asciiTheme="minorHAnsi" w:hAnsiTheme="minorHAnsi" w:cs="Arial"/>
          <w:sz w:val="22"/>
        </w:rPr>
        <w:t xml:space="preserve"> effect, not a </w:t>
      </w:r>
      <w:r w:rsidR="00E4208F">
        <w:rPr>
          <w:rFonts w:asciiTheme="minorHAnsi" w:hAnsiTheme="minorHAnsi" w:cs="Arial"/>
          <w:sz w:val="22"/>
        </w:rPr>
        <w:t xml:space="preserve">result of potential </w:t>
      </w:r>
      <w:r w:rsidR="00EA626F" w:rsidRPr="00E24084">
        <w:rPr>
          <w:rFonts w:asciiTheme="minorHAnsi" w:hAnsiTheme="minorHAnsi" w:cs="Arial"/>
          <w:sz w:val="22"/>
        </w:rPr>
        <w:t xml:space="preserve">bias of the specific measures used. However, the strength </w:t>
      </w:r>
      <w:r w:rsidR="00557F4A">
        <w:rPr>
          <w:rFonts w:asciiTheme="minorHAnsi" w:hAnsiTheme="minorHAnsi" w:cs="Arial"/>
          <w:sz w:val="22"/>
        </w:rPr>
        <w:t>of the association is</w:t>
      </w:r>
      <w:r w:rsidR="00EA626F" w:rsidRPr="00E24084">
        <w:rPr>
          <w:rFonts w:asciiTheme="minorHAnsi" w:hAnsiTheme="minorHAnsi" w:cs="Arial"/>
          <w:sz w:val="22"/>
        </w:rPr>
        <w:t xml:space="preserve"> influenced by the individual instrument. Atypical </w:t>
      </w:r>
      <w:r w:rsidR="00E4208F">
        <w:rPr>
          <w:rFonts w:asciiTheme="minorHAnsi" w:hAnsiTheme="minorHAnsi" w:cs="Arial"/>
          <w:sz w:val="22"/>
        </w:rPr>
        <w:t xml:space="preserve">or </w:t>
      </w:r>
      <w:proofErr w:type="spellStart"/>
      <w:r w:rsidR="00E4208F">
        <w:rPr>
          <w:rFonts w:asciiTheme="minorHAnsi" w:hAnsiTheme="minorHAnsi" w:cs="Arial"/>
          <w:sz w:val="22"/>
        </w:rPr>
        <w:t>subsyndromic</w:t>
      </w:r>
      <w:proofErr w:type="spellEnd"/>
      <w:r w:rsidR="00E4208F">
        <w:rPr>
          <w:rFonts w:asciiTheme="minorHAnsi" w:hAnsiTheme="minorHAnsi" w:cs="Arial"/>
          <w:sz w:val="22"/>
        </w:rPr>
        <w:t xml:space="preserve"> </w:t>
      </w:r>
      <w:r w:rsidR="00EA626F" w:rsidRPr="00E24084">
        <w:rPr>
          <w:rFonts w:asciiTheme="minorHAnsi" w:hAnsiTheme="minorHAnsi" w:cs="Arial"/>
          <w:sz w:val="22"/>
        </w:rPr>
        <w:t>forms of depression are as relevant as DSM-based depression in terms of</w:t>
      </w:r>
      <w:r w:rsidR="002011B3">
        <w:rPr>
          <w:rFonts w:asciiTheme="minorHAnsi" w:hAnsiTheme="minorHAnsi" w:cs="Arial"/>
          <w:sz w:val="22"/>
        </w:rPr>
        <w:t xml:space="preserve"> impact on</w:t>
      </w:r>
      <w:r w:rsidR="00EA626F" w:rsidRPr="00E24084">
        <w:rPr>
          <w:rFonts w:asciiTheme="minorHAnsi" w:hAnsiTheme="minorHAnsi" w:cs="Arial"/>
          <w:sz w:val="22"/>
        </w:rPr>
        <w:t xml:space="preserve"> </w:t>
      </w:r>
      <w:proofErr w:type="spellStart"/>
      <w:r w:rsidR="00EA626F" w:rsidRPr="00E24084">
        <w:rPr>
          <w:rFonts w:asciiTheme="minorHAnsi" w:hAnsiTheme="minorHAnsi" w:cs="Arial"/>
          <w:sz w:val="22"/>
        </w:rPr>
        <w:t>QoL</w:t>
      </w:r>
      <w:proofErr w:type="spellEnd"/>
      <w:r w:rsidR="00EA626F" w:rsidRPr="00E24084">
        <w:rPr>
          <w:rFonts w:asciiTheme="minorHAnsi" w:hAnsiTheme="minorHAnsi" w:cs="Arial"/>
          <w:sz w:val="22"/>
        </w:rPr>
        <w:t>.</w:t>
      </w:r>
    </w:p>
    <w:p w14:paraId="1336FEA0" w14:textId="77777777" w:rsidR="00EA626F" w:rsidRPr="00E24084" w:rsidRDefault="00EA626F" w:rsidP="00E24084">
      <w:pPr>
        <w:spacing w:after="120" w:line="360" w:lineRule="auto"/>
        <w:jc w:val="both"/>
        <w:rPr>
          <w:rFonts w:asciiTheme="minorHAnsi" w:hAnsiTheme="minorHAnsi" w:cs="Arial"/>
          <w:sz w:val="22"/>
          <w:u w:val="single"/>
        </w:rPr>
      </w:pPr>
    </w:p>
    <w:p w14:paraId="3FD2F147" w14:textId="77777777" w:rsidR="00EA626F" w:rsidRPr="00E24084" w:rsidRDefault="00EA626F" w:rsidP="00E24084">
      <w:pPr>
        <w:spacing w:after="120" w:line="360" w:lineRule="auto"/>
        <w:jc w:val="both"/>
        <w:rPr>
          <w:rFonts w:asciiTheme="minorHAnsi" w:hAnsiTheme="minorHAnsi" w:cs="Arial"/>
          <w:sz w:val="22"/>
        </w:rPr>
      </w:pPr>
      <w:r w:rsidRPr="00E24084">
        <w:rPr>
          <w:rFonts w:asciiTheme="minorHAnsi" w:hAnsiTheme="minorHAnsi" w:cs="Arial"/>
          <w:b/>
          <w:sz w:val="22"/>
        </w:rPr>
        <w:t xml:space="preserve">KEY WORDS: </w:t>
      </w:r>
      <w:r w:rsidRPr="00E24084">
        <w:rPr>
          <w:rFonts w:asciiTheme="minorHAnsi" w:hAnsiTheme="minorHAnsi" w:cs="Arial"/>
          <w:sz w:val="22"/>
        </w:rPr>
        <w:t>Epilepsy, depression, quality of life, screening and emotional thermometer.</w:t>
      </w:r>
    </w:p>
    <w:p w14:paraId="1A7F10A1" w14:textId="77777777" w:rsidR="00EA626F" w:rsidRPr="00E24084" w:rsidRDefault="00EA626F" w:rsidP="00E24084">
      <w:pPr>
        <w:spacing w:after="120" w:line="360" w:lineRule="auto"/>
        <w:jc w:val="both"/>
        <w:rPr>
          <w:rFonts w:asciiTheme="minorHAnsi" w:hAnsiTheme="minorHAnsi" w:cs="Arial"/>
          <w:b/>
          <w:sz w:val="22"/>
        </w:rPr>
      </w:pPr>
    </w:p>
    <w:p w14:paraId="17ADB02E" w14:textId="77777777" w:rsidR="00EA626F" w:rsidRPr="00E24084" w:rsidRDefault="00EA626F" w:rsidP="00E24084">
      <w:pPr>
        <w:spacing w:after="120" w:line="360" w:lineRule="auto"/>
        <w:jc w:val="both"/>
        <w:rPr>
          <w:rFonts w:asciiTheme="minorHAnsi" w:hAnsiTheme="minorHAnsi" w:cs="Arial"/>
          <w:b/>
          <w:sz w:val="22"/>
        </w:rPr>
      </w:pPr>
    </w:p>
    <w:p w14:paraId="7D4C9752" w14:textId="77777777" w:rsidR="00EA626F" w:rsidRPr="00E24084" w:rsidRDefault="00EA626F" w:rsidP="00E24084">
      <w:pPr>
        <w:spacing w:after="120" w:line="360" w:lineRule="auto"/>
        <w:jc w:val="both"/>
        <w:rPr>
          <w:rFonts w:asciiTheme="minorHAnsi" w:hAnsiTheme="minorHAnsi" w:cs="Arial"/>
          <w:sz w:val="22"/>
        </w:rPr>
      </w:pPr>
      <w:r w:rsidRPr="00E24084">
        <w:rPr>
          <w:rFonts w:asciiTheme="minorHAnsi" w:hAnsiTheme="minorHAnsi" w:cs="Arial"/>
          <w:sz w:val="22"/>
        </w:rPr>
        <w:tab/>
      </w:r>
    </w:p>
    <w:p w14:paraId="7E5610FB" w14:textId="77777777" w:rsidR="00EA626F" w:rsidRPr="00E24084" w:rsidRDefault="00EA626F" w:rsidP="00E24084">
      <w:pPr>
        <w:spacing w:after="120" w:line="360" w:lineRule="auto"/>
        <w:jc w:val="both"/>
        <w:rPr>
          <w:rFonts w:asciiTheme="minorHAnsi" w:hAnsiTheme="minorHAnsi" w:cs="Arial"/>
          <w:b/>
          <w:sz w:val="22"/>
          <w:u w:val="single"/>
        </w:rPr>
      </w:pPr>
      <w:r w:rsidRPr="00E24084">
        <w:rPr>
          <w:rFonts w:asciiTheme="minorHAnsi" w:hAnsiTheme="minorHAnsi" w:cs="Arial"/>
          <w:b/>
          <w:sz w:val="22"/>
          <w:u w:val="single"/>
        </w:rPr>
        <w:br w:type="page"/>
      </w:r>
    </w:p>
    <w:p w14:paraId="46D6787A" w14:textId="77777777" w:rsidR="00EA626F" w:rsidRPr="00E24084" w:rsidRDefault="00EA626F" w:rsidP="00E24084">
      <w:pPr>
        <w:pStyle w:val="ListParagraph"/>
        <w:numPr>
          <w:ilvl w:val="0"/>
          <w:numId w:val="2"/>
        </w:numPr>
        <w:spacing w:after="120" w:line="360" w:lineRule="auto"/>
        <w:jc w:val="both"/>
        <w:rPr>
          <w:rFonts w:asciiTheme="minorHAnsi" w:hAnsiTheme="minorHAnsi" w:cs="Arial"/>
          <w:b/>
          <w:sz w:val="22"/>
        </w:rPr>
      </w:pPr>
      <w:r w:rsidRPr="00E24084">
        <w:rPr>
          <w:rFonts w:asciiTheme="minorHAnsi" w:hAnsiTheme="minorHAnsi" w:cs="Arial"/>
          <w:b/>
          <w:sz w:val="22"/>
        </w:rPr>
        <w:lastRenderedPageBreak/>
        <w:t>Introduction</w:t>
      </w:r>
    </w:p>
    <w:p w14:paraId="2CD8AD93" w14:textId="77777777" w:rsidR="00EA626F" w:rsidRPr="00E24084" w:rsidRDefault="00EA626F" w:rsidP="0007263F">
      <w:pPr>
        <w:spacing w:after="120" w:line="360" w:lineRule="auto"/>
        <w:jc w:val="both"/>
        <w:rPr>
          <w:rFonts w:asciiTheme="minorHAnsi" w:hAnsiTheme="minorHAnsi" w:cs="Arial"/>
          <w:sz w:val="22"/>
        </w:rPr>
      </w:pPr>
      <w:r w:rsidRPr="00E24084">
        <w:rPr>
          <w:rFonts w:asciiTheme="minorHAnsi" w:hAnsiTheme="minorHAnsi" w:cs="Arial"/>
          <w:sz w:val="22"/>
        </w:rPr>
        <w:t xml:space="preserve">Depression is the most frequently reported psychiatric comorbidity among patients with epilepsy. The life-time prevalence rates range between 24% in community-based studies </w:t>
      </w:r>
      <w:r>
        <w:rPr>
          <w:rFonts w:asciiTheme="minorHAnsi" w:hAnsiTheme="minorHAnsi" w:cs="Arial"/>
          <w:noProof/>
          <w:sz w:val="22"/>
        </w:rPr>
        <w:t>(1)</w:t>
      </w:r>
      <w:r w:rsidRPr="00E24084">
        <w:rPr>
          <w:rFonts w:asciiTheme="minorHAnsi" w:hAnsiTheme="minorHAnsi" w:cs="Arial"/>
          <w:sz w:val="22"/>
        </w:rPr>
        <w:t xml:space="preserve">, to 50% in tertiary referral centres or surgery programs </w:t>
      </w:r>
      <w:r>
        <w:rPr>
          <w:rFonts w:asciiTheme="minorHAnsi" w:hAnsiTheme="minorHAnsi" w:cs="Arial"/>
          <w:noProof/>
          <w:sz w:val="22"/>
        </w:rPr>
        <w:t>(2)</w:t>
      </w:r>
      <w:r w:rsidRPr="00E24084">
        <w:rPr>
          <w:rFonts w:asciiTheme="minorHAnsi" w:hAnsiTheme="minorHAnsi" w:cs="Arial"/>
          <w:sz w:val="22"/>
        </w:rPr>
        <w:t xml:space="preserve">. Reasons for such a close link are both biological and psychosocial </w:t>
      </w:r>
      <w:r>
        <w:rPr>
          <w:rFonts w:asciiTheme="minorHAnsi" w:hAnsiTheme="minorHAnsi" w:cs="Arial"/>
          <w:noProof/>
          <w:sz w:val="22"/>
        </w:rPr>
        <w:t>(3)</w:t>
      </w:r>
      <w:r w:rsidRPr="00E24084">
        <w:rPr>
          <w:rFonts w:asciiTheme="minorHAnsi" w:hAnsiTheme="minorHAnsi" w:cs="Arial"/>
          <w:sz w:val="22"/>
        </w:rPr>
        <w:t xml:space="preserve">. In fact, on one hand, epilepsy is a chronic disorder which brings about social discriminations, burden and limitations </w:t>
      </w:r>
      <w:r>
        <w:rPr>
          <w:rFonts w:asciiTheme="minorHAnsi" w:hAnsiTheme="minorHAnsi" w:cs="Arial"/>
          <w:noProof/>
          <w:sz w:val="22"/>
        </w:rPr>
        <w:t>(4)</w:t>
      </w:r>
      <w:r w:rsidRPr="00E24084">
        <w:rPr>
          <w:rFonts w:asciiTheme="minorHAnsi" w:hAnsiTheme="minorHAnsi" w:cs="Arial"/>
          <w:sz w:val="22"/>
        </w:rPr>
        <w:t xml:space="preserve"> on the other </w:t>
      </w:r>
      <w:proofErr w:type="gramStart"/>
      <w:r w:rsidRPr="00E24084">
        <w:rPr>
          <w:rFonts w:asciiTheme="minorHAnsi" w:hAnsiTheme="minorHAnsi" w:cs="Arial"/>
          <w:sz w:val="22"/>
        </w:rPr>
        <w:t>hand,</w:t>
      </w:r>
      <w:proofErr w:type="gramEnd"/>
      <w:r w:rsidRPr="00E24084">
        <w:rPr>
          <w:rFonts w:asciiTheme="minorHAnsi" w:hAnsiTheme="minorHAnsi" w:cs="Arial"/>
          <w:sz w:val="22"/>
        </w:rPr>
        <w:t xml:space="preserve"> neuroimaging and neurobiological studies are emphasizing the biological contribution to this association based on neuroanatomical and neurochemical principles </w:t>
      </w:r>
      <w:r>
        <w:rPr>
          <w:rFonts w:asciiTheme="minorHAnsi" w:hAnsiTheme="minorHAnsi" w:cs="Arial"/>
          <w:noProof/>
          <w:sz w:val="22"/>
        </w:rPr>
        <w:t>(5)</w:t>
      </w:r>
      <w:r w:rsidRPr="00E24084">
        <w:rPr>
          <w:rFonts w:asciiTheme="minorHAnsi" w:hAnsiTheme="minorHAnsi" w:cs="Arial"/>
          <w:sz w:val="22"/>
        </w:rPr>
        <w:t xml:space="preserve">. This is further supported by epidemiological studies suggesting a bidirectional relationship between the two disorders, namely that depression does not always follow the onset of the epilepsy but it may also precede the onset of a seizure disorder </w:t>
      </w:r>
      <w:r>
        <w:rPr>
          <w:rFonts w:asciiTheme="minorHAnsi" w:hAnsiTheme="minorHAnsi" w:cs="Arial"/>
          <w:noProof/>
          <w:sz w:val="22"/>
        </w:rPr>
        <w:t>(6, 7)</w:t>
      </w:r>
      <w:r w:rsidRPr="00E24084">
        <w:rPr>
          <w:rFonts w:asciiTheme="minorHAnsi" w:hAnsiTheme="minorHAnsi" w:cs="Arial"/>
          <w:sz w:val="22"/>
        </w:rPr>
        <w:t xml:space="preserve">, suggesting an underlying common neurobiological background </w:t>
      </w:r>
      <w:r>
        <w:rPr>
          <w:rFonts w:asciiTheme="minorHAnsi" w:hAnsiTheme="minorHAnsi" w:cs="Arial"/>
          <w:noProof/>
          <w:sz w:val="22"/>
        </w:rPr>
        <w:t>(8)</w:t>
      </w:r>
      <w:r w:rsidRPr="00E24084">
        <w:rPr>
          <w:rFonts w:asciiTheme="minorHAnsi" w:hAnsiTheme="minorHAnsi" w:cs="Arial"/>
          <w:sz w:val="22"/>
        </w:rPr>
        <w:t>.</w:t>
      </w:r>
    </w:p>
    <w:p w14:paraId="0F879E4C" w14:textId="3EF1A843" w:rsidR="00EA626F" w:rsidRPr="00E24084" w:rsidRDefault="00EA626F" w:rsidP="00E24084">
      <w:pPr>
        <w:spacing w:after="120" w:line="360" w:lineRule="auto"/>
        <w:jc w:val="both"/>
        <w:rPr>
          <w:rFonts w:asciiTheme="minorHAnsi" w:hAnsiTheme="minorHAnsi" w:cs="Arial"/>
          <w:sz w:val="22"/>
        </w:rPr>
      </w:pPr>
      <w:r w:rsidRPr="00E24084">
        <w:rPr>
          <w:rFonts w:asciiTheme="minorHAnsi" w:hAnsiTheme="minorHAnsi" w:cs="Arial"/>
          <w:sz w:val="22"/>
        </w:rPr>
        <w:t xml:space="preserve">A number of studies pointed out that depression </w:t>
      </w:r>
      <w:proofErr w:type="gramStart"/>
      <w:r w:rsidRPr="00E24084">
        <w:rPr>
          <w:rFonts w:asciiTheme="minorHAnsi" w:hAnsiTheme="minorHAnsi" w:cs="Arial"/>
          <w:sz w:val="22"/>
        </w:rPr>
        <w:t>is</w:t>
      </w:r>
      <w:proofErr w:type="gramEnd"/>
      <w:r w:rsidRPr="00E24084">
        <w:rPr>
          <w:rFonts w:asciiTheme="minorHAnsi" w:hAnsiTheme="minorHAnsi" w:cs="Arial"/>
          <w:sz w:val="22"/>
        </w:rPr>
        <w:t xml:space="preserve"> the most important predictor of quality of life (</w:t>
      </w:r>
      <w:proofErr w:type="spellStart"/>
      <w:r w:rsidRPr="00E24084">
        <w:rPr>
          <w:rFonts w:asciiTheme="minorHAnsi" w:hAnsiTheme="minorHAnsi" w:cs="Arial"/>
          <w:sz w:val="22"/>
        </w:rPr>
        <w:t>QoL</w:t>
      </w:r>
      <w:proofErr w:type="spellEnd"/>
      <w:r w:rsidRPr="00E24084">
        <w:rPr>
          <w:rFonts w:asciiTheme="minorHAnsi" w:hAnsiTheme="minorHAnsi" w:cs="Arial"/>
          <w:sz w:val="22"/>
        </w:rPr>
        <w:t>), perhaps even more than seizures themselves</w:t>
      </w:r>
      <w:r w:rsidR="005F2E71">
        <w:rPr>
          <w:rFonts w:asciiTheme="minorHAnsi" w:hAnsiTheme="minorHAnsi" w:cs="Arial"/>
          <w:sz w:val="22"/>
        </w:rPr>
        <w:t xml:space="preserve"> </w:t>
      </w:r>
      <w:r>
        <w:rPr>
          <w:rFonts w:asciiTheme="minorHAnsi" w:hAnsiTheme="minorHAnsi" w:cs="Arial"/>
          <w:noProof/>
          <w:sz w:val="22"/>
        </w:rPr>
        <w:t>(9-12)</w:t>
      </w:r>
      <w:r w:rsidRPr="00E24084">
        <w:rPr>
          <w:rFonts w:asciiTheme="minorHAnsi" w:hAnsiTheme="minorHAnsi" w:cs="Arial"/>
          <w:sz w:val="22"/>
        </w:rPr>
        <w:t>.</w:t>
      </w:r>
      <w:r w:rsidRPr="00E24084">
        <w:rPr>
          <w:rFonts w:asciiTheme="minorHAnsi" w:hAnsiTheme="minorHAnsi" w:cs="Arial"/>
          <w:sz w:val="22"/>
          <w:vertAlign w:val="superscript"/>
        </w:rPr>
        <w:t xml:space="preserve"> </w:t>
      </w:r>
      <w:r w:rsidRPr="00E24084">
        <w:rPr>
          <w:rFonts w:asciiTheme="minorHAnsi" w:hAnsiTheme="minorHAnsi" w:cs="Arial"/>
          <w:sz w:val="22"/>
        </w:rPr>
        <w:t xml:space="preserve">In addition, depression </w:t>
      </w:r>
      <w:r w:rsidR="00962BB1">
        <w:rPr>
          <w:rFonts w:asciiTheme="minorHAnsi" w:hAnsiTheme="minorHAnsi" w:cs="Arial"/>
          <w:sz w:val="22"/>
        </w:rPr>
        <w:t>has been shown to be associated with</w:t>
      </w:r>
      <w:r w:rsidRPr="00E24084">
        <w:rPr>
          <w:rFonts w:asciiTheme="minorHAnsi" w:hAnsiTheme="minorHAnsi" w:cs="Arial"/>
          <w:sz w:val="22"/>
        </w:rPr>
        <w:t xml:space="preserve"> poor response</w:t>
      </w:r>
      <w:r w:rsidR="00962BB1">
        <w:rPr>
          <w:rFonts w:asciiTheme="minorHAnsi" w:hAnsiTheme="minorHAnsi" w:cs="Arial"/>
          <w:sz w:val="22"/>
        </w:rPr>
        <w:t xml:space="preserve"> of epilepsy</w:t>
      </w:r>
      <w:r w:rsidRPr="00E24084">
        <w:rPr>
          <w:rFonts w:asciiTheme="minorHAnsi" w:hAnsiTheme="minorHAnsi" w:cs="Arial"/>
          <w:sz w:val="22"/>
        </w:rPr>
        <w:t xml:space="preserve"> to antiepileptic drugs (AEDs) </w:t>
      </w:r>
      <w:r>
        <w:rPr>
          <w:rFonts w:asciiTheme="minorHAnsi" w:hAnsiTheme="minorHAnsi" w:cs="Arial"/>
          <w:noProof/>
          <w:sz w:val="22"/>
        </w:rPr>
        <w:t>(13)</w:t>
      </w:r>
      <w:r w:rsidRPr="00E24084">
        <w:rPr>
          <w:rFonts w:asciiTheme="minorHAnsi" w:hAnsiTheme="minorHAnsi" w:cs="Arial"/>
          <w:sz w:val="22"/>
        </w:rPr>
        <w:t xml:space="preserve">, as well as poor outcome after epilepsy surgery </w:t>
      </w:r>
      <w:r>
        <w:rPr>
          <w:rFonts w:asciiTheme="minorHAnsi" w:hAnsiTheme="minorHAnsi" w:cs="Arial"/>
          <w:noProof/>
          <w:sz w:val="22"/>
        </w:rPr>
        <w:t>(14)</w:t>
      </w:r>
      <w:r w:rsidRPr="00E24084">
        <w:rPr>
          <w:rFonts w:asciiTheme="minorHAnsi" w:hAnsiTheme="minorHAnsi" w:cs="Arial"/>
          <w:sz w:val="22"/>
        </w:rPr>
        <w:t xml:space="preserve">. So far, the effect of depression on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in patients with epilepsy ha</w:t>
      </w:r>
      <w:r w:rsidR="00E4208F">
        <w:rPr>
          <w:rFonts w:asciiTheme="minorHAnsi" w:hAnsiTheme="minorHAnsi" w:cs="Arial"/>
          <w:sz w:val="22"/>
        </w:rPr>
        <w:t>s been demonstrated using</w:t>
      </w:r>
      <w:r w:rsidRPr="00E24084">
        <w:rPr>
          <w:rFonts w:asciiTheme="minorHAnsi" w:hAnsiTheme="minorHAnsi" w:cs="Arial"/>
          <w:sz w:val="22"/>
        </w:rPr>
        <w:t xml:space="preserve"> the same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scale, namely Quality of Life in Epilepsy (QOLIE, either 89 or 31). Moreover, most of the studies have used the Beck Depression inventory (BDI) as a measure for depression and, only recently, the Hospital Anxiety and Depression scale (HADS). While the evidence to date shows a strong correlation between depression scores and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it remains unclear whether this is a true effect or a function of </w:t>
      </w:r>
      <w:r w:rsidR="00962BB1">
        <w:rPr>
          <w:rFonts w:asciiTheme="minorHAnsi" w:hAnsiTheme="minorHAnsi" w:cs="Arial"/>
          <w:sz w:val="22"/>
        </w:rPr>
        <w:t xml:space="preserve">potential </w:t>
      </w:r>
      <w:r w:rsidRPr="00E24084">
        <w:rPr>
          <w:rFonts w:asciiTheme="minorHAnsi" w:hAnsiTheme="minorHAnsi" w:cs="Arial"/>
          <w:sz w:val="22"/>
        </w:rPr>
        <w:t>biases associated with the specific scales used, namely QOLIE</w:t>
      </w:r>
      <w:r w:rsidR="00E4208F">
        <w:rPr>
          <w:rFonts w:asciiTheme="minorHAnsi" w:hAnsiTheme="minorHAnsi" w:cs="Arial"/>
          <w:sz w:val="22"/>
        </w:rPr>
        <w:t xml:space="preserve"> and </w:t>
      </w:r>
      <w:r w:rsidR="00E4208F" w:rsidRPr="00E4208F">
        <w:rPr>
          <w:rFonts w:asciiTheme="minorHAnsi" w:hAnsiTheme="minorHAnsi" w:cs="Arial"/>
          <w:sz w:val="22"/>
        </w:rPr>
        <w:t>Beck Depression inventory (BDI)</w:t>
      </w:r>
      <w:r w:rsidR="00E4208F">
        <w:rPr>
          <w:rFonts w:asciiTheme="minorHAnsi" w:hAnsiTheme="minorHAnsi" w:cs="Arial"/>
          <w:sz w:val="22"/>
        </w:rPr>
        <w:t xml:space="preserve"> or </w:t>
      </w:r>
      <w:r w:rsidR="00E4208F" w:rsidRPr="00E4208F">
        <w:rPr>
          <w:rFonts w:asciiTheme="minorHAnsi" w:hAnsiTheme="minorHAnsi" w:cs="Arial"/>
          <w:sz w:val="22"/>
        </w:rPr>
        <w:t>Hospital Anxiety and Depression scale (HADS)</w:t>
      </w:r>
      <w:r w:rsidRPr="00E24084">
        <w:rPr>
          <w:rFonts w:asciiTheme="minorHAnsi" w:hAnsiTheme="minorHAnsi" w:cs="Arial"/>
          <w:sz w:val="22"/>
        </w:rPr>
        <w:t xml:space="preserve">. </w:t>
      </w:r>
    </w:p>
    <w:p w14:paraId="60D07E6F" w14:textId="42140C48" w:rsidR="00EA626F" w:rsidRPr="00E24084" w:rsidRDefault="00EA626F" w:rsidP="00E24084">
      <w:pPr>
        <w:spacing w:after="120" w:line="360" w:lineRule="auto"/>
        <w:jc w:val="both"/>
        <w:rPr>
          <w:rFonts w:asciiTheme="minorHAnsi" w:hAnsiTheme="minorHAnsi" w:cs="Arial"/>
          <w:sz w:val="22"/>
        </w:rPr>
      </w:pPr>
      <w:r w:rsidRPr="00E24084">
        <w:rPr>
          <w:rFonts w:asciiTheme="minorHAnsi" w:hAnsiTheme="minorHAnsi" w:cs="Arial"/>
          <w:sz w:val="22"/>
        </w:rPr>
        <w:t xml:space="preserve">This study aims to examine the association between depression and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in patients with epilepsy using a different independently validated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instrument consisting of a visual analogue scale and four different validated measures of depression including a visual analogue scale based instrument. The potentially different impact of different forms of depressio</w:t>
      </w:r>
      <w:r w:rsidR="00E4208F">
        <w:rPr>
          <w:rFonts w:asciiTheme="minorHAnsi" w:hAnsiTheme="minorHAnsi" w:cs="Arial"/>
          <w:sz w:val="22"/>
        </w:rPr>
        <w:t>n, satisfying DSM-IV criteria and</w:t>
      </w:r>
      <w:r w:rsidRPr="00E24084">
        <w:rPr>
          <w:rFonts w:asciiTheme="minorHAnsi" w:hAnsiTheme="minorHAnsi" w:cs="Arial"/>
          <w:sz w:val="22"/>
        </w:rPr>
        <w:t xml:space="preserve"> atypical forms</w:t>
      </w:r>
      <w:r w:rsidR="00E4208F">
        <w:rPr>
          <w:rFonts w:asciiTheme="minorHAnsi" w:hAnsiTheme="minorHAnsi" w:cs="Arial"/>
          <w:sz w:val="22"/>
        </w:rPr>
        <w:t xml:space="preserve"> or </w:t>
      </w:r>
      <w:proofErr w:type="spellStart"/>
      <w:r w:rsidR="00E4208F">
        <w:rPr>
          <w:rFonts w:asciiTheme="minorHAnsi" w:hAnsiTheme="minorHAnsi" w:cs="Arial"/>
          <w:sz w:val="22"/>
        </w:rPr>
        <w:t>subsyndromic</w:t>
      </w:r>
      <w:proofErr w:type="spellEnd"/>
      <w:r w:rsidR="00E4208F">
        <w:rPr>
          <w:rFonts w:asciiTheme="minorHAnsi" w:hAnsiTheme="minorHAnsi" w:cs="Arial"/>
          <w:sz w:val="22"/>
        </w:rPr>
        <w:t xml:space="preserve"> forms</w:t>
      </w:r>
      <w:r w:rsidRPr="00E24084">
        <w:rPr>
          <w:rFonts w:asciiTheme="minorHAnsi" w:hAnsiTheme="minorHAnsi" w:cs="Arial"/>
          <w:sz w:val="22"/>
        </w:rPr>
        <w:t xml:space="preserve">, on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is also examined.</w:t>
      </w:r>
    </w:p>
    <w:p w14:paraId="398F4456" w14:textId="77777777" w:rsidR="00EA626F" w:rsidRPr="00E24084" w:rsidRDefault="00EA626F" w:rsidP="00E24084">
      <w:pPr>
        <w:spacing w:after="120" w:line="360" w:lineRule="auto"/>
        <w:jc w:val="both"/>
        <w:rPr>
          <w:rFonts w:asciiTheme="minorHAnsi" w:hAnsiTheme="minorHAnsi" w:cs="Arial"/>
          <w:sz w:val="22"/>
        </w:rPr>
      </w:pPr>
    </w:p>
    <w:p w14:paraId="483D732E" w14:textId="77777777" w:rsidR="00EA626F" w:rsidRPr="00E24084" w:rsidRDefault="00EA626F" w:rsidP="00E24084">
      <w:pPr>
        <w:spacing w:line="360" w:lineRule="auto"/>
        <w:rPr>
          <w:rFonts w:asciiTheme="minorHAnsi" w:hAnsiTheme="minorHAnsi"/>
          <w:sz w:val="22"/>
        </w:rPr>
      </w:pPr>
      <w:r w:rsidRPr="00E24084">
        <w:rPr>
          <w:rFonts w:asciiTheme="minorHAnsi" w:hAnsiTheme="minorHAnsi" w:cs="Arial"/>
          <w:b/>
          <w:sz w:val="22"/>
        </w:rPr>
        <w:t>2. Methods</w:t>
      </w:r>
    </w:p>
    <w:p w14:paraId="787880AD" w14:textId="77777777" w:rsidR="00EA626F" w:rsidRPr="00E24084" w:rsidRDefault="00EA626F" w:rsidP="00E24084">
      <w:pPr>
        <w:spacing w:after="120" w:line="360" w:lineRule="auto"/>
        <w:jc w:val="both"/>
        <w:rPr>
          <w:rFonts w:asciiTheme="minorHAnsi" w:hAnsiTheme="minorHAnsi" w:cs="Arial"/>
          <w:sz w:val="22"/>
        </w:rPr>
      </w:pPr>
      <w:r w:rsidRPr="00E24084">
        <w:rPr>
          <w:rFonts w:asciiTheme="minorHAnsi" w:hAnsiTheme="minorHAnsi" w:cs="Arial"/>
          <w:sz w:val="22"/>
        </w:rPr>
        <w:t xml:space="preserve">This study includes data collected as part of a service improvement project at the Outpatient Epilepsy Clinics, Atkinson Morley Neurosciences Centre, </w:t>
      </w:r>
      <w:proofErr w:type="gramStart"/>
      <w:r w:rsidRPr="00E24084">
        <w:rPr>
          <w:rFonts w:asciiTheme="minorHAnsi" w:hAnsiTheme="minorHAnsi" w:cs="Arial"/>
          <w:sz w:val="22"/>
        </w:rPr>
        <w:t>St</w:t>
      </w:r>
      <w:proofErr w:type="gramEnd"/>
      <w:r w:rsidRPr="00E24084">
        <w:rPr>
          <w:rFonts w:asciiTheme="minorHAnsi" w:hAnsiTheme="minorHAnsi" w:cs="Arial"/>
          <w:sz w:val="22"/>
        </w:rPr>
        <w:t xml:space="preserve"> George’s Hospital in London. Over a ten-month period, as a routine, all patients with an established diagnosis of epilepsy according to ILAE </w:t>
      </w:r>
      <w:proofErr w:type="gramStart"/>
      <w:r w:rsidRPr="00E24084">
        <w:rPr>
          <w:rFonts w:asciiTheme="minorHAnsi" w:hAnsiTheme="minorHAnsi" w:cs="Arial"/>
          <w:sz w:val="22"/>
        </w:rPr>
        <w:t>criteria,</w:t>
      </w:r>
      <w:proofErr w:type="gramEnd"/>
      <w:r w:rsidRPr="00E24084">
        <w:rPr>
          <w:rFonts w:asciiTheme="minorHAnsi" w:hAnsiTheme="minorHAnsi" w:cs="Arial"/>
          <w:sz w:val="22"/>
        </w:rPr>
        <w:t xml:space="preserve"> were given a number of questionnaires in</w:t>
      </w:r>
      <w:r>
        <w:rPr>
          <w:rFonts w:asciiTheme="minorHAnsi" w:hAnsiTheme="minorHAnsi" w:cs="Arial"/>
          <w:sz w:val="22"/>
        </w:rPr>
        <w:t xml:space="preserve">cluding those for mood and </w:t>
      </w:r>
      <w:proofErr w:type="spellStart"/>
      <w:r>
        <w:rPr>
          <w:rFonts w:asciiTheme="minorHAnsi" w:hAnsiTheme="minorHAnsi" w:cs="Arial"/>
          <w:sz w:val="22"/>
        </w:rPr>
        <w:t>QoL</w:t>
      </w:r>
      <w:proofErr w:type="spellEnd"/>
      <w:r>
        <w:rPr>
          <w:rFonts w:asciiTheme="minorHAnsi" w:hAnsiTheme="minorHAnsi" w:cs="Arial"/>
          <w:sz w:val="22"/>
        </w:rPr>
        <w:t xml:space="preserve">. </w:t>
      </w:r>
      <w:r w:rsidRPr="00E24084">
        <w:rPr>
          <w:rFonts w:asciiTheme="minorHAnsi" w:hAnsiTheme="minorHAnsi" w:cs="Arial"/>
          <w:sz w:val="22"/>
        </w:rPr>
        <w:t xml:space="preserve">Patients with severe learning disabilities, gross cognitive abnormalities or poor English language skills were excluded from this study.  </w:t>
      </w:r>
    </w:p>
    <w:p w14:paraId="41ED6C4D" w14:textId="1627FAE7" w:rsidR="00EA626F" w:rsidRPr="00E24084" w:rsidRDefault="00EA626F" w:rsidP="00E24084">
      <w:pPr>
        <w:spacing w:after="120" w:line="360" w:lineRule="auto"/>
        <w:jc w:val="both"/>
        <w:rPr>
          <w:rFonts w:asciiTheme="minorHAnsi" w:hAnsiTheme="minorHAnsi" w:cs="Arial"/>
          <w:sz w:val="22"/>
        </w:rPr>
      </w:pPr>
      <w:r w:rsidRPr="00E24084">
        <w:rPr>
          <w:rFonts w:asciiTheme="minorHAnsi" w:hAnsiTheme="minorHAnsi" w:cs="Arial"/>
          <w:sz w:val="22"/>
        </w:rPr>
        <w:lastRenderedPageBreak/>
        <w:t>Participation was voluntary and anonymously collected data was subsequently analysed for the purpose of this study. Local Research Ethic Committee deemed the project as a service development project not requiring formal research ethics approval</w:t>
      </w:r>
      <w:r w:rsidR="00E4208F">
        <w:rPr>
          <w:rFonts w:asciiTheme="minorHAnsi" w:hAnsiTheme="minorHAnsi" w:cs="Arial"/>
          <w:sz w:val="22"/>
        </w:rPr>
        <w:t xml:space="preserve"> for anonymised data previously collected</w:t>
      </w:r>
      <w:r w:rsidRPr="00E24084">
        <w:rPr>
          <w:rFonts w:asciiTheme="minorHAnsi" w:hAnsiTheme="minorHAnsi" w:cs="Arial"/>
          <w:sz w:val="22"/>
        </w:rPr>
        <w:t xml:space="preserve">.  </w:t>
      </w:r>
    </w:p>
    <w:p w14:paraId="4C609EC3" w14:textId="5E88C997" w:rsidR="00EA626F" w:rsidRPr="00E24084" w:rsidRDefault="00EA626F" w:rsidP="00E24084">
      <w:pPr>
        <w:spacing w:after="120" w:line="360" w:lineRule="auto"/>
        <w:jc w:val="both"/>
        <w:rPr>
          <w:rFonts w:asciiTheme="minorHAnsi" w:hAnsiTheme="minorHAnsi" w:cs="Arial"/>
          <w:b/>
          <w:sz w:val="22"/>
        </w:rPr>
      </w:pPr>
      <w:r w:rsidRPr="00E24084">
        <w:rPr>
          <w:rFonts w:asciiTheme="minorHAnsi" w:hAnsiTheme="minorHAnsi" w:cs="Arial"/>
          <w:sz w:val="22"/>
        </w:rPr>
        <w:t xml:space="preserve">All subjects completed the Beck Depression Inventory (BDI-II) </w:t>
      </w:r>
      <w:r>
        <w:rPr>
          <w:rFonts w:asciiTheme="minorHAnsi" w:hAnsiTheme="minorHAnsi" w:cs="Arial"/>
          <w:noProof/>
          <w:sz w:val="22"/>
        </w:rPr>
        <w:t>(15)</w:t>
      </w:r>
      <w:r w:rsidRPr="00E24084">
        <w:rPr>
          <w:rFonts w:asciiTheme="minorHAnsi" w:hAnsiTheme="minorHAnsi" w:cs="Arial"/>
          <w:sz w:val="22"/>
        </w:rPr>
        <w:t xml:space="preserve">, the Hospital Anxiety and Depression Scale (HADS) </w:t>
      </w:r>
      <w:r>
        <w:rPr>
          <w:rFonts w:asciiTheme="minorHAnsi" w:hAnsiTheme="minorHAnsi" w:cs="Arial"/>
          <w:noProof/>
          <w:sz w:val="22"/>
        </w:rPr>
        <w:t>(16)</w:t>
      </w:r>
      <w:r w:rsidRPr="00E24084">
        <w:rPr>
          <w:rFonts w:asciiTheme="minorHAnsi" w:hAnsiTheme="minorHAnsi" w:cs="Arial"/>
          <w:sz w:val="22"/>
        </w:rPr>
        <w:t xml:space="preserve">, the Neurological Disorders Depression </w:t>
      </w:r>
      <w:r w:rsidR="00962BB1" w:rsidRPr="00E24084">
        <w:rPr>
          <w:rFonts w:asciiTheme="minorHAnsi" w:hAnsiTheme="minorHAnsi" w:cs="Arial"/>
          <w:sz w:val="22"/>
        </w:rPr>
        <w:t>Inventory</w:t>
      </w:r>
      <w:r w:rsidRPr="00E24084">
        <w:rPr>
          <w:rFonts w:asciiTheme="minorHAnsi" w:hAnsiTheme="minorHAnsi" w:cs="Arial"/>
          <w:sz w:val="22"/>
        </w:rPr>
        <w:t xml:space="preserve"> for Epilepsy (NDDI-E) </w:t>
      </w:r>
      <w:r>
        <w:rPr>
          <w:rFonts w:asciiTheme="minorHAnsi" w:hAnsiTheme="minorHAnsi" w:cs="Arial"/>
          <w:noProof/>
          <w:sz w:val="22"/>
        </w:rPr>
        <w:t>(17)</w:t>
      </w:r>
      <w:r w:rsidRPr="00E24084">
        <w:rPr>
          <w:rFonts w:asciiTheme="minorHAnsi" w:hAnsiTheme="minorHAnsi" w:cs="Arial"/>
          <w:sz w:val="22"/>
        </w:rPr>
        <w:t xml:space="preserve"> and the Emotional Thermometer (ET-7) </w:t>
      </w:r>
      <w:r>
        <w:rPr>
          <w:rFonts w:asciiTheme="minorHAnsi" w:hAnsiTheme="minorHAnsi" w:cs="Arial"/>
          <w:noProof/>
          <w:sz w:val="22"/>
        </w:rPr>
        <w:t>(18)</w:t>
      </w:r>
      <w:r w:rsidRPr="00E24084">
        <w:rPr>
          <w:rFonts w:asciiTheme="minorHAnsi" w:hAnsiTheme="minorHAnsi" w:cs="Arial"/>
          <w:sz w:val="22"/>
        </w:rPr>
        <w:t xml:space="preserve">. A Diagnostic and Statistical Manual-IV (DSM-IV) diagnosis of depression was made using the Major Depression Inventory (MDI) </w:t>
      </w:r>
      <w:r>
        <w:rPr>
          <w:rFonts w:asciiTheme="minorHAnsi" w:hAnsiTheme="minorHAnsi" w:cs="Arial"/>
          <w:noProof/>
          <w:sz w:val="22"/>
        </w:rPr>
        <w:t>(19)</w:t>
      </w:r>
      <w:r w:rsidRPr="00E24084">
        <w:rPr>
          <w:rFonts w:asciiTheme="minorHAnsi" w:hAnsiTheme="minorHAnsi" w:cs="Arial"/>
          <w:sz w:val="22"/>
        </w:rPr>
        <w:t xml:space="preserve">, which was administered to all patients. Quality of life was measured using the EQ-5D-3L </w:t>
      </w:r>
      <w:r>
        <w:rPr>
          <w:rFonts w:asciiTheme="minorHAnsi" w:hAnsiTheme="minorHAnsi" w:cs="Arial"/>
          <w:noProof/>
          <w:sz w:val="22"/>
        </w:rPr>
        <w:t>(20)</w:t>
      </w:r>
      <w:r w:rsidR="00962BB1" w:rsidRPr="00962BB1">
        <w:t xml:space="preserve"> </w:t>
      </w:r>
      <w:r w:rsidR="00962BB1" w:rsidRPr="00962BB1">
        <w:rPr>
          <w:rFonts w:asciiTheme="minorHAnsi" w:hAnsiTheme="minorHAnsi" w:cs="Arial"/>
          <w:noProof/>
          <w:sz w:val="22"/>
        </w:rPr>
        <w:t>which includes an overall v</w:t>
      </w:r>
      <w:r w:rsidR="00962BB1">
        <w:rPr>
          <w:rFonts w:asciiTheme="minorHAnsi" w:hAnsiTheme="minorHAnsi" w:cs="Arial"/>
          <w:noProof/>
          <w:sz w:val="22"/>
        </w:rPr>
        <w:t>isual analogue scale (EQ-VAS)</w:t>
      </w:r>
      <w:r w:rsidRPr="00E24084">
        <w:rPr>
          <w:rFonts w:asciiTheme="minorHAnsi" w:hAnsiTheme="minorHAnsi" w:cs="Arial"/>
          <w:sz w:val="22"/>
        </w:rPr>
        <w:t xml:space="preserve">. </w:t>
      </w:r>
      <w:r w:rsidRPr="00E24084">
        <w:rPr>
          <w:rFonts w:asciiTheme="minorHAnsi" w:hAnsiTheme="minorHAnsi" w:cs="Arial"/>
          <w:b/>
          <w:sz w:val="22"/>
        </w:rPr>
        <w:t xml:space="preserve"> </w:t>
      </w:r>
    </w:p>
    <w:p w14:paraId="31B7820C" w14:textId="093E5AC4" w:rsidR="00EA626F" w:rsidRPr="00E24084" w:rsidRDefault="00EA626F" w:rsidP="00E24084">
      <w:pPr>
        <w:spacing w:after="120" w:line="360" w:lineRule="auto"/>
        <w:jc w:val="both"/>
        <w:rPr>
          <w:rFonts w:asciiTheme="minorHAnsi" w:hAnsiTheme="minorHAnsi" w:cs="Arial"/>
          <w:sz w:val="22"/>
        </w:rPr>
      </w:pPr>
      <w:r w:rsidRPr="00E24084">
        <w:rPr>
          <w:rFonts w:asciiTheme="minorHAnsi" w:hAnsiTheme="minorHAnsi" w:cs="Arial"/>
          <w:sz w:val="22"/>
        </w:rPr>
        <w:t xml:space="preserve">Both BDI-II and HADS are well known screening instruments for depression and both have been validated in the epilepsy setting </w:t>
      </w:r>
      <w:r>
        <w:rPr>
          <w:rFonts w:asciiTheme="minorHAnsi" w:hAnsiTheme="minorHAnsi" w:cs="Arial"/>
          <w:noProof/>
          <w:sz w:val="22"/>
        </w:rPr>
        <w:t>(21, 22)</w:t>
      </w:r>
      <w:r w:rsidRPr="00E24084">
        <w:rPr>
          <w:rFonts w:asciiTheme="minorHAnsi" w:hAnsiTheme="minorHAnsi" w:cs="Arial"/>
          <w:sz w:val="22"/>
        </w:rPr>
        <w:t>. The NDDI-E is a well-known clinical instrument, developed for the rapid and objective detection of a major depressive episode in patients with epilepsy. It has been found to be a very practical and user-friendly screening instrument in an outpatient setting. The ET7 is a screening tool made up of seven visual analogue scales also validated in patients with epilepsy with a sensitivity of 85.1% and specificity of 78.8%, PPV of 0.463 and NPV of 0.961. The MDI is a self-ad</w:t>
      </w:r>
      <w:r w:rsidR="00962BB1">
        <w:rPr>
          <w:rFonts w:asciiTheme="minorHAnsi" w:hAnsiTheme="minorHAnsi" w:cs="Arial"/>
          <w:sz w:val="22"/>
        </w:rPr>
        <w:t xml:space="preserve">ministered WHO scale which </w:t>
      </w:r>
      <w:r w:rsidRPr="00E24084">
        <w:rPr>
          <w:rFonts w:asciiTheme="minorHAnsi" w:hAnsiTheme="minorHAnsi" w:cs="Arial"/>
          <w:sz w:val="22"/>
        </w:rPr>
        <w:t>is able to generate an ICD-10 or DSM-IV diagnosis of clinical depression in addition to an estimate of symptom severity.</w:t>
      </w:r>
    </w:p>
    <w:p w14:paraId="6804CCB7" w14:textId="77777777" w:rsidR="00EA626F" w:rsidRPr="00C54884" w:rsidRDefault="00EA626F" w:rsidP="00E24084">
      <w:pPr>
        <w:spacing w:after="120" w:line="360" w:lineRule="auto"/>
        <w:jc w:val="both"/>
        <w:rPr>
          <w:rFonts w:asciiTheme="minorHAnsi" w:hAnsiTheme="minorHAnsi" w:cs="Arial"/>
          <w:sz w:val="22"/>
        </w:rPr>
      </w:pPr>
      <w:r w:rsidRPr="00E24084">
        <w:rPr>
          <w:rFonts w:asciiTheme="minorHAnsi" w:hAnsiTheme="minorHAnsi" w:cs="Arial"/>
          <w:sz w:val="22"/>
        </w:rPr>
        <w:t xml:space="preserve">The EQ-5D-3L consists of two measures namely the European Quality of life Visual Analogue Scale (EQ-VAS) and the European Quality of life 5 Dimension scale (EQ-5D). EQ-VAS is a visual-analogue scale, similar in appearance to a thermometer, for recording an individual’s rating for their current health-related quality of life state from ‘best imaginable health state’ at the top with a rating of 100, to ‘worst imaginable health state’ at the bottom with a rating of 0. Patients mark the point on the scale corresponding to their overall health state. The EQ-5D consists of five dimensions; mobility, self-care, usual activities, pain/discomfort, and anxiety/depression. Each of these dimensions can take one of three responses representing three levels of severity; no problems, some or moderate problems, or extreme problems. </w:t>
      </w:r>
    </w:p>
    <w:p w14:paraId="1B2E77D4" w14:textId="77777777" w:rsidR="00EA626F" w:rsidRPr="00E24084" w:rsidRDefault="00EA626F" w:rsidP="00E24084">
      <w:pPr>
        <w:spacing w:after="120" w:line="360" w:lineRule="auto"/>
        <w:jc w:val="both"/>
        <w:rPr>
          <w:rFonts w:asciiTheme="minorHAnsi" w:hAnsiTheme="minorHAnsi"/>
          <w:sz w:val="22"/>
        </w:rPr>
      </w:pPr>
      <w:r w:rsidRPr="00E24084">
        <w:rPr>
          <w:rFonts w:asciiTheme="minorHAnsi" w:hAnsiTheme="minorHAnsi"/>
          <w:sz w:val="22"/>
        </w:rPr>
        <w:t>Frequencies of categorical demographic and clinical variables were analysed using the χ2 analysis or Fisher’s exact test. Continuous demographic and clinical variables, BDI, HADS</w:t>
      </w:r>
      <w:proofErr w:type="gramStart"/>
      <w:r w:rsidRPr="00E24084">
        <w:rPr>
          <w:rFonts w:asciiTheme="minorHAnsi" w:hAnsiTheme="minorHAnsi"/>
          <w:sz w:val="22"/>
        </w:rPr>
        <w:t>,  AEP</w:t>
      </w:r>
      <w:proofErr w:type="gramEnd"/>
      <w:r w:rsidRPr="00E24084">
        <w:rPr>
          <w:rFonts w:asciiTheme="minorHAnsi" w:hAnsiTheme="minorHAnsi"/>
          <w:sz w:val="22"/>
        </w:rPr>
        <w:t xml:space="preserve"> and ET scores were compared using the Student’s t-test for independent samples.  Correlations were tested using a bivariate two-tailed parametric correlation procedure (Pearson’s coefficient) and simple linear regression procedures. The alpha error was set at 0.05. </w:t>
      </w:r>
    </w:p>
    <w:p w14:paraId="60B7B058" w14:textId="77777777" w:rsidR="00EA626F" w:rsidRPr="00E24084" w:rsidRDefault="00EA626F" w:rsidP="00E24084">
      <w:pPr>
        <w:spacing w:after="120" w:line="360" w:lineRule="auto"/>
        <w:jc w:val="both"/>
        <w:rPr>
          <w:rFonts w:asciiTheme="minorHAnsi" w:hAnsiTheme="minorHAnsi"/>
          <w:sz w:val="22"/>
        </w:rPr>
      </w:pPr>
      <w:r w:rsidRPr="00E24084">
        <w:rPr>
          <w:rFonts w:asciiTheme="minorHAnsi" w:hAnsiTheme="minorHAnsi"/>
          <w:sz w:val="22"/>
        </w:rPr>
        <w:t xml:space="preserve">Patients with depression have been then categorised in two different groups. Those with a DSM-IV diagnosis according to the MDI and those who did not satisfied DSM criteria but presented a positive screening at the NDDIE, representing atypical forms of depression. One-way analysis of variance (ANOVA) with post-hoc pairwise Tukey’s comparisons was used to compare EQ-5D-3L scores in these patients as </w:t>
      </w:r>
      <w:r w:rsidRPr="00E24084">
        <w:rPr>
          <w:rFonts w:asciiTheme="minorHAnsi" w:hAnsiTheme="minorHAnsi"/>
          <w:sz w:val="22"/>
        </w:rPr>
        <w:lastRenderedPageBreak/>
        <w:t xml:space="preserve">compared to subjects without depression (negative MDI and NDDIE). In this case, the probability level was set to 0.016 (0.05/3) to reduce the Type-I error associated with multiple comparisons. All statistical analyses were 2-tailed and conducted using the Statistical Package for Social Sciences (Version 21 for Windows, SPSS Inc. Chicago, IL). </w:t>
      </w:r>
    </w:p>
    <w:p w14:paraId="01F4FFE2" w14:textId="77777777" w:rsidR="00EA626F" w:rsidRPr="00E24084" w:rsidRDefault="00EA626F" w:rsidP="00E24084">
      <w:pPr>
        <w:spacing w:after="120" w:line="360" w:lineRule="auto"/>
        <w:jc w:val="both"/>
        <w:rPr>
          <w:rFonts w:asciiTheme="minorHAnsi" w:hAnsiTheme="minorHAnsi" w:cs="Arial"/>
          <w:sz w:val="22"/>
        </w:rPr>
      </w:pPr>
    </w:p>
    <w:p w14:paraId="2F092166" w14:textId="77777777" w:rsidR="00EA626F" w:rsidRPr="00E24084" w:rsidRDefault="00EA626F" w:rsidP="00E24084">
      <w:pPr>
        <w:pStyle w:val="ListParagraph"/>
        <w:numPr>
          <w:ilvl w:val="0"/>
          <w:numId w:val="3"/>
        </w:numPr>
        <w:spacing w:after="120" w:line="360" w:lineRule="auto"/>
        <w:jc w:val="both"/>
        <w:rPr>
          <w:rFonts w:asciiTheme="minorHAnsi" w:hAnsiTheme="minorHAnsi" w:cs="Arial"/>
          <w:b/>
          <w:sz w:val="22"/>
        </w:rPr>
      </w:pPr>
      <w:r w:rsidRPr="00E24084">
        <w:rPr>
          <w:rFonts w:asciiTheme="minorHAnsi" w:hAnsiTheme="minorHAnsi" w:cs="Arial"/>
          <w:b/>
          <w:sz w:val="22"/>
        </w:rPr>
        <w:t>RESULTS</w:t>
      </w:r>
    </w:p>
    <w:p w14:paraId="0C53048D" w14:textId="77777777" w:rsidR="00EA626F" w:rsidRPr="00E24084" w:rsidRDefault="00EA626F" w:rsidP="00C54884">
      <w:pPr>
        <w:spacing w:after="120" w:line="360" w:lineRule="auto"/>
        <w:jc w:val="both"/>
        <w:rPr>
          <w:rFonts w:asciiTheme="minorHAnsi" w:hAnsiTheme="minorHAnsi" w:cs="Arial"/>
          <w:sz w:val="22"/>
        </w:rPr>
      </w:pPr>
      <w:r w:rsidRPr="00E24084">
        <w:rPr>
          <w:rFonts w:asciiTheme="minorHAnsi" w:hAnsiTheme="minorHAnsi" w:cs="Arial"/>
          <w:sz w:val="22"/>
        </w:rPr>
        <w:t xml:space="preserve">Our sample includes 261 patients. Clinical and demographic characteristics are shown in </w:t>
      </w:r>
      <w:r w:rsidRPr="00E24084">
        <w:rPr>
          <w:rFonts w:asciiTheme="minorHAnsi" w:hAnsiTheme="minorHAnsi" w:cs="Arial"/>
          <w:b/>
          <w:sz w:val="22"/>
        </w:rPr>
        <w:t>Table 1</w:t>
      </w:r>
      <w:r w:rsidRPr="00E24084">
        <w:rPr>
          <w:rFonts w:asciiTheme="minorHAnsi" w:hAnsiTheme="minorHAnsi" w:cs="Arial"/>
          <w:sz w:val="22"/>
        </w:rPr>
        <w:t>. EQ-VAS scores inversely correlated with all measures of depression with coefficients ranging between r = -0.509 (p&lt;0.001) for BDI-II to r = -0.420 (p&lt;0.001) for NDDIE (</w:t>
      </w:r>
      <w:r w:rsidRPr="00E24084">
        <w:rPr>
          <w:rFonts w:asciiTheme="minorHAnsi" w:hAnsiTheme="minorHAnsi" w:cs="Arial"/>
          <w:b/>
          <w:sz w:val="22"/>
        </w:rPr>
        <w:t>Table 2</w:t>
      </w:r>
      <w:r w:rsidRPr="00E24084">
        <w:rPr>
          <w:rFonts w:asciiTheme="minorHAnsi" w:hAnsiTheme="minorHAnsi" w:cs="Arial"/>
          <w:sz w:val="22"/>
        </w:rPr>
        <w:t xml:space="preserve">). Adjusted linear regression scores and scatter plots are shown in </w:t>
      </w:r>
      <w:r w:rsidRPr="00E24084">
        <w:rPr>
          <w:rFonts w:asciiTheme="minorHAnsi" w:hAnsiTheme="minorHAnsi" w:cs="Arial"/>
          <w:b/>
          <w:sz w:val="22"/>
        </w:rPr>
        <w:t>Figure 1</w:t>
      </w:r>
      <w:r w:rsidRPr="00E24084">
        <w:rPr>
          <w:rFonts w:asciiTheme="minorHAnsi" w:hAnsiTheme="minorHAnsi" w:cs="Arial"/>
          <w:sz w:val="22"/>
        </w:rPr>
        <w:t xml:space="preserve">. </w:t>
      </w:r>
    </w:p>
    <w:p w14:paraId="67E24C11" w14:textId="0177AB9E" w:rsidR="00EA626F" w:rsidRPr="00E24084" w:rsidRDefault="0062477D" w:rsidP="00E24084">
      <w:pPr>
        <w:spacing w:after="120" w:line="360" w:lineRule="auto"/>
        <w:jc w:val="both"/>
        <w:rPr>
          <w:rFonts w:asciiTheme="minorHAnsi" w:hAnsiTheme="minorHAnsi" w:cs="Arial"/>
          <w:sz w:val="22"/>
        </w:rPr>
      </w:pPr>
      <w:r>
        <w:rPr>
          <w:rFonts w:asciiTheme="minorHAnsi" w:hAnsiTheme="minorHAnsi" w:cs="Arial"/>
          <w:sz w:val="22"/>
        </w:rPr>
        <w:t>Utilising the MDI 41</w:t>
      </w:r>
      <w:r w:rsidR="00EA626F" w:rsidRPr="00E24084">
        <w:rPr>
          <w:rFonts w:asciiTheme="minorHAnsi" w:hAnsiTheme="minorHAnsi" w:cs="Arial"/>
          <w:sz w:val="22"/>
        </w:rPr>
        <w:t xml:space="preserve"> patients received a DSM-IV diagnosis of Major Depression (MD) while 90 had a positive screening with the NDDIE. We, therefore, identifie</w:t>
      </w:r>
      <w:r w:rsidR="00962BB1">
        <w:rPr>
          <w:rFonts w:asciiTheme="minorHAnsi" w:hAnsiTheme="minorHAnsi" w:cs="Arial"/>
          <w:sz w:val="22"/>
        </w:rPr>
        <w:t>d 49 patients who scored positive</w:t>
      </w:r>
      <w:r w:rsidR="00EA626F" w:rsidRPr="00E24084">
        <w:rPr>
          <w:rFonts w:asciiTheme="minorHAnsi" w:hAnsiTheme="minorHAnsi" w:cs="Arial"/>
          <w:sz w:val="22"/>
        </w:rPr>
        <w:t xml:space="preserve"> according to the NDDIE </w:t>
      </w:r>
      <w:r w:rsidR="00962BB1">
        <w:rPr>
          <w:rFonts w:asciiTheme="minorHAnsi" w:hAnsiTheme="minorHAnsi" w:cs="Arial"/>
          <w:sz w:val="22"/>
        </w:rPr>
        <w:t xml:space="preserve">screening </w:t>
      </w:r>
      <w:r w:rsidR="00EA626F" w:rsidRPr="00E24084">
        <w:rPr>
          <w:rFonts w:asciiTheme="minorHAnsi" w:hAnsiTheme="minorHAnsi" w:cs="Arial"/>
          <w:sz w:val="22"/>
        </w:rPr>
        <w:t xml:space="preserve">but did not fulfil DSM criteria for depression representing a group of patients with </w:t>
      </w:r>
      <w:r w:rsidR="00962BB1">
        <w:rPr>
          <w:rFonts w:asciiTheme="minorHAnsi" w:hAnsiTheme="minorHAnsi" w:cs="Arial"/>
          <w:sz w:val="22"/>
        </w:rPr>
        <w:t xml:space="preserve">either </w:t>
      </w:r>
      <w:r w:rsidR="00EA626F" w:rsidRPr="00E24084">
        <w:rPr>
          <w:rFonts w:asciiTheme="minorHAnsi" w:hAnsiTheme="minorHAnsi" w:cs="Arial"/>
          <w:sz w:val="22"/>
        </w:rPr>
        <w:t>atypical forms of depression (AD)</w:t>
      </w:r>
      <w:r w:rsidR="00962BB1">
        <w:rPr>
          <w:rFonts w:asciiTheme="minorHAnsi" w:hAnsiTheme="minorHAnsi" w:cs="Arial"/>
          <w:sz w:val="22"/>
        </w:rPr>
        <w:t xml:space="preserve"> or </w:t>
      </w:r>
      <w:proofErr w:type="spellStart"/>
      <w:r w:rsidR="00962BB1">
        <w:rPr>
          <w:rFonts w:asciiTheme="minorHAnsi" w:hAnsiTheme="minorHAnsi" w:cs="Arial"/>
          <w:sz w:val="22"/>
        </w:rPr>
        <w:t>subsyndromic</w:t>
      </w:r>
      <w:proofErr w:type="spellEnd"/>
      <w:r w:rsidR="00962BB1">
        <w:rPr>
          <w:rFonts w:asciiTheme="minorHAnsi" w:hAnsiTheme="minorHAnsi" w:cs="Arial"/>
          <w:sz w:val="22"/>
        </w:rPr>
        <w:t xml:space="preserve"> depressive episode (SSDE)</w:t>
      </w:r>
      <w:r w:rsidR="00EA626F" w:rsidRPr="00E24084">
        <w:rPr>
          <w:rFonts w:asciiTheme="minorHAnsi" w:hAnsiTheme="minorHAnsi" w:cs="Arial"/>
          <w:sz w:val="22"/>
        </w:rPr>
        <w:t xml:space="preserve">. EQ-5D-3L scores in these subjects as compared to those without depression (ND) showed a different impact of AD and MD on </w:t>
      </w:r>
      <w:proofErr w:type="spellStart"/>
      <w:r w:rsidR="00EA626F" w:rsidRPr="00E24084">
        <w:rPr>
          <w:rFonts w:asciiTheme="minorHAnsi" w:hAnsiTheme="minorHAnsi" w:cs="Arial"/>
          <w:sz w:val="22"/>
        </w:rPr>
        <w:t>QoL</w:t>
      </w:r>
      <w:proofErr w:type="spellEnd"/>
      <w:r w:rsidR="00EA626F" w:rsidRPr="00E24084">
        <w:rPr>
          <w:rFonts w:asciiTheme="minorHAnsi" w:hAnsiTheme="minorHAnsi" w:cs="Arial"/>
          <w:sz w:val="22"/>
        </w:rPr>
        <w:t xml:space="preserve"> (</w:t>
      </w:r>
      <w:r w:rsidR="00EA626F" w:rsidRPr="00E24084">
        <w:rPr>
          <w:rFonts w:asciiTheme="minorHAnsi" w:hAnsiTheme="minorHAnsi" w:cs="Arial"/>
          <w:b/>
          <w:sz w:val="22"/>
        </w:rPr>
        <w:t>Table 3</w:t>
      </w:r>
      <w:r w:rsidR="00EA626F" w:rsidRPr="00E24084">
        <w:rPr>
          <w:rFonts w:asciiTheme="minorHAnsi" w:hAnsiTheme="minorHAnsi" w:cs="Arial"/>
          <w:sz w:val="22"/>
        </w:rPr>
        <w:t xml:space="preserve">). AD is as relevant as MD in terms of </w:t>
      </w:r>
      <w:proofErr w:type="spellStart"/>
      <w:r w:rsidR="00EA626F" w:rsidRPr="00E24084">
        <w:rPr>
          <w:rFonts w:asciiTheme="minorHAnsi" w:hAnsiTheme="minorHAnsi" w:cs="Arial"/>
          <w:sz w:val="22"/>
        </w:rPr>
        <w:t>QoL</w:t>
      </w:r>
      <w:proofErr w:type="spellEnd"/>
      <w:r w:rsidR="00EA626F" w:rsidRPr="00E24084">
        <w:rPr>
          <w:rFonts w:asciiTheme="minorHAnsi" w:hAnsiTheme="minorHAnsi" w:cs="Arial"/>
          <w:sz w:val="22"/>
        </w:rPr>
        <w:t xml:space="preserve"> in general, as measured with the EQ VAS, and limitations in daily activities (e.g. work, study, housework, </w:t>
      </w:r>
      <w:proofErr w:type="gramStart"/>
      <w:r w:rsidR="00EA626F" w:rsidRPr="00E24084">
        <w:rPr>
          <w:rFonts w:asciiTheme="minorHAnsi" w:hAnsiTheme="minorHAnsi" w:cs="Arial"/>
          <w:sz w:val="22"/>
        </w:rPr>
        <w:t>family</w:t>
      </w:r>
      <w:proofErr w:type="gramEnd"/>
      <w:r w:rsidR="00EA626F" w:rsidRPr="00E24084">
        <w:rPr>
          <w:rFonts w:asciiTheme="minorHAnsi" w:hAnsiTheme="minorHAnsi" w:cs="Arial"/>
          <w:sz w:val="22"/>
        </w:rPr>
        <w:t xml:space="preserve"> or leisure activities) as measured with the EQ5D Usual activities subscale. </w:t>
      </w:r>
    </w:p>
    <w:p w14:paraId="6F8D26E0" w14:textId="77777777" w:rsidR="00EA626F" w:rsidRPr="00E24084" w:rsidRDefault="00EA626F" w:rsidP="00E24084">
      <w:pPr>
        <w:spacing w:after="120" w:line="360" w:lineRule="auto"/>
        <w:jc w:val="both"/>
        <w:rPr>
          <w:rFonts w:asciiTheme="minorHAnsi" w:hAnsiTheme="minorHAnsi" w:cs="Arial"/>
          <w:sz w:val="22"/>
        </w:rPr>
      </w:pPr>
      <w:r w:rsidRPr="00E24084">
        <w:rPr>
          <w:rFonts w:asciiTheme="minorHAnsi" w:hAnsiTheme="minorHAnsi" w:cs="Arial"/>
          <w:b/>
          <w:sz w:val="22"/>
        </w:rPr>
        <w:t xml:space="preserve"> </w:t>
      </w:r>
    </w:p>
    <w:p w14:paraId="15196580" w14:textId="77777777" w:rsidR="00EA626F" w:rsidRPr="00E24084" w:rsidRDefault="00EA626F" w:rsidP="00E24084">
      <w:pPr>
        <w:pStyle w:val="ListParagraph"/>
        <w:numPr>
          <w:ilvl w:val="0"/>
          <w:numId w:val="3"/>
        </w:numPr>
        <w:spacing w:after="120" w:line="360" w:lineRule="auto"/>
        <w:jc w:val="both"/>
        <w:rPr>
          <w:rFonts w:asciiTheme="minorHAnsi" w:hAnsiTheme="minorHAnsi" w:cs="Arial"/>
          <w:b/>
          <w:sz w:val="22"/>
        </w:rPr>
      </w:pPr>
      <w:r w:rsidRPr="00E24084">
        <w:rPr>
          <w:rFonts w:asciiTheme="minorHAnsi" w:hAnsiTheme="minorHAnsi" w:cs="Arial"/>
          <w:b/>
          <w:sz w:val="22"/>
        </w:rPr>
        <w:t xml:space="preserve">Discussion </w:t>
      </w:r>
    </w:p>
    <w:p w14:paraId="0A579860" w14:textId="3A3413BA" w:rsidR="00EA626F" w:rsidRPr="00E24084" w:rsidRDefault="00EA626F" w:rsidP="001E65A2">
      <w:pPr>
        <w:spacing w:after="120" w:line="360" w:lineRule="auto"/>
        <w:jc w:val="both"/>
        <w:rPr>
          <w:rFonts w:asciiTheme="minorHAnsi" w:hAnsiTheme="minorHAnsi" w:cs="Arial"/>
          <w:sz w:val="22"/>
        </w:rPr>
      </w:pPr>
      <w:r w:rsidRPr="00E24084">
        <w:rPr>
          <w:rFonts w:asciiTheme="minorHAnsi" w:hAnsiTheme="minorHAnsi" w:cs="Arial"/>
          <w:sz w:val="22"/>
        </w:rPr>
        <w:t xml:space="preserve">Our results confirm that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correlates with depression in patients with epilepsy irrespective of the instruments used to measure either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or depression including use of visual analogue measures. This suggests that the correlation </w:t>
      </w:r>
      <w:r w:rsidR="001D40EC">
        <w:rPr>
          <w:rFonts w:asciiTheme="minorHAnsi" w:hAnsiTheme="minorHAnsi" w:cs="Arial"/>
          <w:sz w:val="22"/>
        </w:rPr>
        <w:t xml:space="preserve">of depression with </w:t>
      </w:r>
      <w:proofErr w:type="spellStart"/>
      <w:r w:rsidR="001D40EC">
        <w:rPr>
          <w:rFonts w:asciiTheme="minorHAnsi" w:hAnsiTheme="minorHAnsi" w:cs="Arial"/>
          <w:sz w:val="22"/>
        </w:rPr>
        <w:t>QoL</w:t>
      </w:r>
      <w:proofErr w:type="spellEnd"/>
      <w:r w:rsidR="001D40EC">
        <w:rPr>
          <w:rFonts w:asciiTheme="minorHAnsi" w:hAnsiTheme="minorHAnsi" w:cs="Arial"/>
          <w:sz w:val="22"/>
        </w:rPr>
        <w:t xml:space="preserve"> is a valid</w:t>
      </w:r>
      <w:r w:rsidRPr="00E24084">
        <w:rPr>
          <w:rFonts w:asciiTheme="minorHAnsi" w:hAnsiTheme="minorHAnsi" w:cs="Arial"/>
          <w:sz w:val="22"/>
        </w:rPr>
        <w:t xml:space="preserve"> effect, and not a </w:t>
      </w:r>
      <w:r w:rsidR="00DB73A1">
        <w:rPr>
          <w:rFonts w:asciiTheme="minorHAnsi" w:hAnsiTheme="minorHAnsi" w:cs="Arial"/>
          <w:sz w:val="22"/>
        </w:rPr>
        <w:t>function of potential</w:t>
      </w:r>
      <w:r w:rsidRPr="00E24084">
        <w:rPr>
          <w:rFonts w:asciiTheme="minorHAnsi" w:hAnsiTheme="minorHAnsi" w:cs="Arial"/>
          <w:sz w:val="22"/>
        </w:rPr>
        <w:t xml:space="preserve"> bias</w:t>
      </w:r>
      <w:r w:rsidR="00DB73A1">
        <w:rPr>
          <w:rFonts w:asciiTheme="minorHAnsi" w:hAnsiTheme="minorHAnsi" w:cs="Arial"/>
          <w:sz w:val="22"/>
        </w:rPr>
        <w:t>es</w:t>
      </w:r>
      <w:r w:rsidRPr="00E24084">
        <w:rPr>
          <w:rFonts w:asciiTheme="minorHAnsi" w:hAnsiTheme="minorHAnsi" w:cs="Arial"/>
          <w:sz w:val="22"/>
        </w:rPr>
        <w:t xml:space="preserve"> of the individual scales used. In fact, the EQ-VAS is a visual-analogue scale and, by definition, neutral in terms of specific items that might have a strong correlation with depression as it happens for the QOLIE. In addition, correlation coefficients are quite similar among the four different clinical instruments for depression used in our study, further confirming the true correlation with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w:t>
      </w:r>
    </w:p>
    <w:p w14:paraId="673FD761" w14:textId="77777777" w:rsidR="00DB73A1" w:rsidRDefault="00EA626F" w:rsidP="00E24084">
      <w:pPr>
        <w:spacing w:after="120" w:line="360" w:lineRule="auto"/>
        <w:jc w:val="both"/>
        <w:rPr>
          <w:rFonts w:asciiTheme="minorHAnsi" w:hAnsiTheme="minorHAnsi" w:cs="Arial"/>
          <w:sz w:val="22"/>
        </w:rPr>
      </w:pPr>
      <w:r w:rsidRPr="00E24084">
        <w:rPr>
          <w:rFonts w:asciiTheme="minorHAnsi" w:hAnsiTheme="minorHAnsi" w:cs="Arial"/>
          <w:sz w:val="22"/>
        </w:rPr>
        <w:t xml:space="preserve">Our results should be discussed in the light of previous studies on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in epilepsy. The paper by Boylan</w:t>
      </w:r>
      <w:r w:rsidR="002011B3">
        <w:rPr>
          <w:rFonts w:asciiTheme="minorHAnsi" w:hAnsiTheme="minorHAnsi" w:cs="Arial"/>
          <w:sz w:val="22"/>
        </w:rPr>
        <w:t xml:space="preserve"> </w:t>
      </w:r>
      <w:r>
        <w:rPr>
          <w:rFonts w:asciiTheme="minorHAnsi" w:hAnsiTheme="minorHAnsi" w:cs="Arial"/>
          <w:noProof/>
          <w:sz w:val="22"/>
        </w:rPr>
        <w:t>(9)</w:t>
      </w:r>
      <w:r w:rsidRPr="00E24084">
        <w:rPr>
          <w:rFonts w:asciiTheme="minorHAnsi" w:hAnsiTheme="minorHAnsi" w:cs="Arial"/>
          <w:sz w:val="22"/>
        </w:rPr>
        <w:t xml:space="preserve"> using the BDI and QOLIE31 reported </w:t>
      </w:r>
      <w:proofErr w:type="gramStart"/>
      <w:r w:rsidRPr="00E24084">
        <w:rPr>
          <w:rFonts w:asciiTheme="minorHAnsi" w:hAnsiTheme="minorHAnsi" w:cs="Arial"/>
          <w:sz w:val="22"/>
        </w:rPr>
        <w:t>a</w:t>
      </w:r>
      <w:proofErr w:type="gramEnd"/>
      <w:r w:rsidRPr="00E24084">
        <w:rPr>
          <w:rFonts w:asciiTheme="minorHAnsi" w:hAnsiTheme="minorHAnsi" w:cs="Arial"/>
          <w:sz w:val="22"/>
        </w:rPr>
        <w:t xml:space="preserve"> r² = 0.51, with values ranging from r² = 0.18 for seizure worry to 0.44 for emotional wellbeing. An earlier paper by Cramer et al. </w:t>
      </w:r>
      <w:r>
        <w:rPr>
          <w:rFonts w:asciiTheme="minorHAnsi" w:hAnsiTheme="minorHAnsi" w:cs="Arial"/>
          <w:noProof/>
          <w:sz w:val="22"/>
        </w:rPr>
        <w:t>(10)</w:t>
      </w:r>
      <w:r w:rsidRPr="00E24084">
        <w:rPr>
          <w:rFonts w:asciiTheme="minorHAnsi" w:hAnsiTheme="minorHAnsi" w:cs="Arial"/>
          <w:sz w:val="22"/>
        </w:rPr>
        <w:t xml:space="preserve"> using the </w:t>
      </w:r>
      <w:proofErr w:type="spellStart"/>
      <w:r w:rsidRPr="00E24084">
        <w:rPr>
          <w:rFonts w:asciiTheme="minorHAnsi" w:hAnsiTheme="minorHAnsi" w:cs="Arial"/>
          <w:sz w:val="22"/>
        </w:rPr>
        <w:t>Center</w:t>
      </w:r>
      <w:proofErr w:type="spellEnd"/>
      <w:r w:rsidRPr="00E24084">
        <w:rPr>
          <w:rFonts w:asciiTheme="minorHAnsi" w:hAnsiTheme="minorHAnsi" w:cs="Arial"/>
          <w:sz w:val="22"/>
        </w:rPr>
        <w:t xml:space="preserve"> for </w:t>
      </w:r>
      <w:r>
        <w:rPr>
          <w:rFonts w:asciiTheme="minorHAnsi" w:hAnsiTheme="minorHAnsi" w:cs="Arial"/>
          <w:sz w:val="22"/>
        </w:rPr>
        <w:t xml:space="preserve">Epidemiologic </w:t>
      </w:r>
      <w:r w:rsidRPr="00E24084">
        <w:rPr>
          <w:rFonts w:asciiTheme="minorHAnsi" w:hAnsiTheme="minorHAnsi" w:cs="Arial"/>
          <w:sz w:val="22"/>
        </w:rPr>
        <w:t>Studies Depression Scale (CES-D) and QOLIE89, reported a correlation score r = - 0.723. A subsequent paper from the same group using the HADS-D and the QOLIE-10 found a correlation coefficient r² = 0.51</w:t>
      </w:r>
      <w:r>
        <w:rPr>
          <w:rFonts w:asciiTheme="minorHAnsi" w:hAnsiTheme="minorHAnsi" w:cs="Arial"/>
          <w:noProof/>
          <w:sz w:val="22"/>
        </w:rPr>
        <w:t>(23)</w:t>
      </w:r>
      <w:r w:rsidRPr="00E24084">
        <w:rPr>
          <w:rFonts w:asciiTheme="minorHAnsi" w:hAnsiTheme="minorHAnsi" w:cs="Arial"/>
          <w:sz w:val="22"/>
        </w:rPr>
        <w:t>. Our study showed coefficients r</w:t>
      </w:r>
      <w:r w:rsidRPr="00E24084">
        <w:rPr>
          <w:rFonts w:asciiTheme="minorHAnsi" w:hAnsiTheme="minorHAnsi" w:cs="Arial"/>
          <w:sz w:val="22"/>
          <w:vertAlign w:val="superscript"/>
        </w:rPr>
        <w:t>2</w:t>
      </w:r>
      <w:r w:rsidRPr="00E24084">
        <w:rPr>
          <w:rFonts w:asciiTheme="minorHAnsi" w:hAnsiTheme="minorHAnsi" w:cs="Arial"/>
          <w:sz w:val="22"/>
        </w:rPr>
        <w:t xml:space="preserve"> = 0.259 for the BDI-II and r² = 0.26 for the HADS-D, suggesting that depression </w:t>
      </w:r>
      <w:r w:rsidRPr="00E24084">
        <w:rPr>
          <w:rFonts w:asciiTheme="minorHAnsi" w:hAnsiTheme="minorHAnsi" w:cs="Arial"/>
          <w:sz w:val="22"/>
        </w:rPr>
        <w:lastRenderedPageBreak/>
        <w:t xml:space="preserve">indeed correlates with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and but the strength of the association could have been influenced by the adopted clinical instrument. In fact, the QOLIE questionnaires have three specific subscales covering Emotional well-being, Energy and fatigue and Cognitive functioning and all these domains strongly correlate also with </w:t>
      </w:r>
      <w:proofErr w:type="gramStart"/>
      <w:r w:rsidRPr="00E24084">
        <w:rPr>
          <w:rFonts w:asciiTheme="minorHAnsi" w:hAnsiTheme="minorHAnsi" w:cs="Arial"/>
          <w:sz w:val="22"/>
        </w:rPr>
        <w:t>depression</w:t>
      </w:r>
      <w:r>
        <w:rPr>
          <w:rFonts w:asciiTheme="minorHAnsi" w:hAnsiTheme="minorHAnsi" w:cs="Arial"/>
          <w:noProof/>
          <w:sz w:val="22"/>
        </w:rPr>
        <w:t>(</w:t>
      </w:r>
      <w:proofErr w:type="gramEnd"/>
      <w:r>
        <w:rPr>
          <w:rFonts w:asciiTheme="minorHAnsi" w:hAnsiTheme="minorHAnsi" w:cs="Arial"/>
          <w:noProof/>
          <w:sz w:val="22"/>
        </w:rPr>
        <w:t>10)</w:t>
      </w:r>
      <w:r w:rsidRPr="00E24084">
        <w:rPr>
          <w:rFonts w:asciiTheme="minorHAnsi" w:hAnsiTheme="minorHAnsi" w:cs="Arial"/>
          <w:sz w:val="22"/>
        </w:rPr>
        <w:t>. In the first paper by Cramer et al.</w:t>
      </w:r>
      <w:r>
        <w:rPr>
          <w:rFonts w:asciiTheme="minorHAnsi" w:hAnsiTheme="minorHAnsi" w:cs="Arial"/>
          <w:noProof/>
          <w:sz w:val="22"/>
        </w:rPr>
        <w:t>(10)</w:t>
      </w:r>
      <w:r w:rsidRPr="00E24084">
        <w:rPr>
          <w:rFonts w:asciiTheme="minorHAnsi" w:hAnsiTheme="minorHAnsi" w:cs="Arial"/>
          <w:sz w:val="22"/>
        </w:rPr>
        <w:t xml:space="preserve"> CESD scores showed correlation scores up to -0.776 for the Emotional well-being as compared to other domains such as Seizure worry (r=-0.386) or Physical function (r=-0.320). It is, thus, evident that the way the individual instrument is structured may influence the strength of the association with depression. </w:t>
      </w:r>
    </w:p>
    <w:p w14:paraId="5D7D492E" w14:textId="1736A03F" w:rsidR="00EA626F" w:rsidRPr="00E24084" w:rsidRDefault="00EA626F" w:rsidP="00E24084">
      <w:pPr>
        <w:spacing w:after="120" w:line="360" w:lineRule="auto"/>
        <w:jc w:val="both"/>
        <w:rPr>
          <w:rFonts w:asciiTheme="minorHAnsi" w:hAnsiTheme="minorHAnsi" w:cs="Arial"/>
          <w:sz w:val="22"/>
        </w:rPr>
      </w:pPr>
      <w:r w:rsidRPr="00E24084">
        <w:rPr>
          <w:rFonts w:asciiTheme="minorHAnsi" w:hAnsiTheme="minorHAnsi" w:cs="Arial"/>
          <w:sz w:val="22"/>
        </w:rPr>
        <w:t>The aim of this study is not to criticize the QOLIE series (QOLIE10, 31 or 89) or their reliabi</w:t>
      </w:r>
      <w:r w:rsidR="00DB73A1">
        <w:rPr>
          <w:rFonts w:asciiTheme="minorHAnsi" w:hAnsiTheme="minorHAnsi" w:cs="Arial"/>
          <w:sz w:val="22"/>
        </w:rPr>
        <w:t>lity. On the contrary, our aim</w:t>
      </w:r>
      <w:r w:rsidRPr="00E24084">
        <w:rPr>
          <w:rFonts w:asciiTheme="minorHAnsi" w:hAnsiTheme="minorHAnsi" w:cs="Arial"/>
          <w:sz w:val="22"/>
        </w:rPr>
        <w:t xml:space="preserve"> was to finally demonstrate that depression </w:t>
      </w:r>
      <w:r>
        <w:rPr>
          <w:rFonts w:asciiTheme="minorHAnsi" w:hAnsiTheme="minorHAnsi" w:cs="Arial"/>
          <w:sz w:val="22"/>
        </w:rPr>
        <w:t xml:space="preserve">truly </w:t>
      </w:r>
      <w:r w:rsidRPr="00E24084">
        <w:rPr>
          <w:rFonts w:asciiTheme="minorHAnsi" w:hAnsiTheme="minorHAnsi" w:cs="Arial"/>
          <w:sz w:val="22"/>
        </w:rPr>
        <w:t xml:space="preserve">correlates with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in patients with epilepsy. Having said that,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is a multidimensional construct and as such, good clinical instruments should include generic domains (i.e. those designed to assess health status among patients with different health states, conditions, and diseases) and domains specific to single diseases. It is now established that emotional well-being is an important part of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in patients with epilepsy and it is, therefore, evident that questionnaires covering all these aspects, such as the QOLIE series, should be preferred when planning a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study in epilepsy. </w:t>
      </w:r>
    </w:p>
    <w:p w14:paraId="2A6D4D4B" w14:textId="77777777" w:rsidR="00EA626F" w:rsidRPr="00E24084" w:rsidRDefault="00EA626F" w:rsidP="00E24084">
      <w:pPr>
        <w:spacing w:after="120" w:line="360" w:lineRule="auto"/>
        <w:jc w:val="both"/>
        <w:rPr>
          <w:rFonts w:asciiTheme="minorHAnsi" w:hAnsiTheme="minorHAnsi" w:cs="Arial"/>
          <w:sz w:val="22"/>
        </w:rPr>
      </w:pPr>
      <w:r w:rsidRPr="00E24084">
        <w:rPr>
          <w:rFonts w:asciiTheme="minorHAnsi" w:hAnsiTheme="minorHAnsi" w:cs="Arial"/>
          <w:sz w:val="22"/>
        </w:rPr>
        <w:t xml:space="preserve">Obviously other differences may be responsible for the different correlations observed in our study. In the study by Boylan </w:t>
      </w:r>
      <w:proofErr w:type="gramStart"/>
      <w:r w:rsidRPr="00E24084">
        <w:rPr>
          <w:rFonts w:asciiTheme="minorHAnsi" w:hAnsiTheme="minorHAnsi" w:cs="Arial"/>
          <w:sz w:val="22"/>
        </w:rPr>
        <w:t>et</w:t>
      </w:r>
      <w:proofErr w:type="gramEnd"/>
      <w:r w:rsidRPr="00E24084">
        <w:rPr>
          <w:rFonts w:asciiTheme="minorHAnsi" w:hAnsiTheme="minorHAnsi" w:cs="Arial"/>
          <w:sz w:val="22"/>
        </w:rPr>
        <w:t xml:space="preserve"> al.</w:t>
      </w:r>
      <w:r w:rsidRPr="00E24084">
        <w:rPr>
          <w:rFonts w:asciiTheme="minorHAnsi" w:hAnsiTheme="minorHAnsi" w:cs="Arial"/>
          <w:sz w:val="22"/>
          <w:vertAlign w:val="superscript"/>
        </w:rPr>
        <w:t>9</w:t>
      </w:r>
      <w:r w:rsidRPr="00E24084">
        <w:rPr>
          <w:rFonts w:asciiTheme="minorHAnsi" w:hAnsiTheme="minorHAnsi" w:cs="Arial"/>
          <w:sz w:val="22"/>
        </w:rPr>
        <w:t>, the prevalence of depression was as high as 54% while, in our study, it was 18%. An interaction between the two factors may therefore be more difficult to tease out, or less profound in our study. Most of the studies focused on selected samples of patients with drug-refractory epilepsies while our study investigated an unselected sample of consecutive patients referred to our Outpatient Clinics.</w:t>
      </w:r>
    </w:p>
    <w:p w14:paraId="3E3AF915" w14:textId="4874CE05" w:rsidR="00EA626F" w:rsidRPr="00E24084" w:rsidRDefault="00EA626F" w:rsidP="00E24084">
      <w:pPr>
        <w:spacing w:after="120" w:line="360" w:lineRule="auto"/>
        <w:jc w:val="both"/>
        <w:rPr>
          <w:rFonts w:asciiTheme="minorHAnsi" w:hAnsiTheme="minorHAnsi" w:cs="Arial"/>
          <w:sz w:val="22"/>
        </w:rPr>
      </w:pPr>
      <w:r w:rsidRPr="00E24084">
        <w:rPr>
          <w:rFonts w:asciiTheme="minorHAnsi" w:hAnsiTheme="minorHAnsi" w:cs="Arial"/>
          <w:sz w:val="22"/>
        </w:rPr>
        <w:t xml:space="preserve">The different pattern of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impairment among people with typical depression fulfilling DSM </w:t>
      </w:r>
      <w:r w:rsidR="00570F43">
        <w:rPr>
          <w:rFonts w:asciiTheme="minorHAnsi" w:hAnsiTheme="minorHAnsi" w:cs="Arial"/>
          <w:sz w:val="22"/>
        </w:rPr>
        <w:t>criteria (MD) and atypical depression</w:t>
      </w:r>
      <w:r w:rsidRPr="00E24084">
        <w:rPr>
          <w:rFonts w:asciiTheme="minorHAnsi" w:hAnsiTheme="minorHAnsi" w:cs="Arial"/>
          <w:sz w:val="22"/>
        </w:rPr>
        <w:t xml:space="preserve"> (AD)</w:t>
      </w:r>
      <w:r w:rsidR="00570F43">
        <w:rPr>
          <w:rFonts w:asciiTheme="minorHAnsi" w:hAnsiTheme="minorHAnsi" w:cs="Arial"/>
          <w:sz w:val="22"/>
        </w:rPr>
        <w:t xml:space="preserve"> or </w:t>
      </w:r>
      <w:proofErr w:type="spellStart"/>
      <w:r w:rsidR="00570F43">
        <w:rPr>
          <w:rFonts w:asciiTheme="minorHAnsi" w:hAnsiTheme="minorHAnsi" w:cs="Arial"/>
          <w:sz w:val="22"/>
        </w:rPr>
        <w:t>subsyndromic</w:t>
      </w:r>
      <w:proofErr w:type="spellEnd"/>
      <w:r w:rsidR="00570F43">
        <w:rPr>
          <w:rFonts w:asciiTheme="minorHAnsi" w:hAnsiTheme="minorHAnsi" w:cs="Arial"/>
          <w:sz w:val="22"/>
        </w:rPr>
        <w:t xml:space="preserve"> depressive episode (SSDE)</w:t>
      </w:r>
      <w:r w:rsidRPr="00E24084">
        <w:rPr>
          <w:rFonts w:asciiTheme="minorHAnsi" w:hAnsiTheme="minorHAnsi" w:cs="Arial"/>
          <w:sz w:val="22"/>
        </w:rPr>
        <w:t xml:space="preserve"> is another interesting finding of our study. MD showed to have a significant impact on each of the five domains of EQ-5D. Obviously, it is difficult to say whether all patients who had a positive NDDIE screening were depressed considering that it has a positive predictive value of 53%. However, our data suggest that probably these patients have </w:t>
      </w:r>
      <w:r w:rsidR="00570F43">
        <w:rPr>
          <w:rFonts w:asciiTheme="minorHAnsi" w:hAnsiTheme="minorHAnsi" w:cs="Arial"/>
          <w:sz w:val="22"/>
        </w:rPr>
        <w:t xml:space="preserve">either </w:t>
      </w:r>
      <w:r w:rsidRPr="00E24084">
        <w:rPr>
          <w:rFonts w:asciiTheme="minorHAnsi" w:hAnsiTheme="minorHAnsi" w:cs="Arial"/>
          <w:sz w:val="22"/>
        </w:rPr>
        <w:t>an atypical form of depression</w:t>
      </w:r>
      <w:r w:rsidR="00570F43">
        <w:rPr>
          <w:rFonts w:asciiTheme="minorHAnsi" w:hAnsiTheme="minorHAnsi" w:cs="Arial"/>
          <w:sz w:val="22"/>
        </w:rPr>
        <w:t xml:space="preserve"> which do not get diagnosed as major depression as per DSM criteria or </w:t>
      </w:r>
      <w:proofErr w:type="spellStart"/>
      <w:r w:rsidR="00570F43">
        <w:rPr>
          <w:rFonts w:asciiTheme="minorHAnsi" w:hAnsiTheme="minorHAnsi" w:cs="Arial"/>
          <w:sz w:val="22"/>
        </w:rPr>
        <w:t>subsyndromic</w:t>
      </w:r>
      <w:proofErr w:type="spellEnd"/>
      <w:r w:rsidR="00570F43">
        <w:rPr>
          <w:rFonts w:asciiTheme="minorHAnsi" w:hAnsiTheme="minorHAnsi" w:cs="Arial"/>
          <w:sz w:val="22"/>
        </w:rPr>
        <w:t xml:space="preserve"> depressive episode</w:t>
      </w:r>
      <w:r w:rsidRPr="00E24084">
        <w:rPr>
          <w:rFonts w:asciiTheme="minorHAnsi" w:hAnsiTheme="minorHAnsi" w:cs="Arial"/>
          <w:sz w:val="22"/>
        </w:rPr>
        <w:t xml:space="preserve"> as they presented with lower scores for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as compared to patients without depression and in a similar fashion as compared with patients with a DSM based diagnosis of depression. It is now evident that mood disorders in epilepsy present a number of atypical features that are not efficiently captured by standardized clinical instruments shaped on DSM criteria. Reasons for such atypical features are still matter of debate </w:t>
      </w:r>
      <w:r>
        <w:rPr>
          <w:rFonts w:asciiTheme="minorHAnsi" w:hAnsiTheme="minorHAnsi" w:cs="Arial"/>
          <w:noProof/>
          <w:sz w:val="22"/>
        </w:rPr>
        <w:t>(5, 24)</w:t>
      </w:r>
      <w:r w:rsidRPr="00E24084">
        <w:rPr>
          <w:rFonts w:asciiTheme="minorHAnsi" w:hAnsiTheme="minorHAnsi" w:cs="Arial"/>
          <w:sz w:val="22"/>
        </w:rPr>
        <w:t xml:space="preserve">. On one hand, they may be secondary to the antiepileptic drug (AED) treatment and </w:t>
      </w:r>
      <w:proofErr w:type="spellStart"/>
      <w:r w:rsidRPr="00E24084">
        <w:rPr>
          <w:rFonts w:asciiTheme="minorHAnsi" w:hAnsiTheme="minorHAnsi" w:cs="Arial"/>
          <w:sz w:val="22"/>
        </w:rPr>
        <w:t>peri</w:t>
      </w:r>
      <w:proofErr w:type="spellEnd"/>
      <w:r w:rsidRPr="00E24084">
        <w:rPr>
          <w:rFonts w:asciiTheme="minorHAnsi" w:hAnsiTheme="minorHAnsi" w:cs="Arial"/>
          <w:sz w:val="22"/>
        </w:rPr>
        <w:t>-ictal symptoms. On the oth</w:t>
      </w:r>
      <w:r>
        <w:rPr>
          <w:rFonts w:asciiTheme="minorHAnsi" w:hAnsiTheme="minorHAnsi" w:cs="Arial"/>
          <w:sz w:val="22"/>
        </w:rPr>
        <w:t>er hand, increasing evidence is</w:t>
      </w:r>
      <w:r w:rsidRPr="00E24084">
        <w:rPr>
          <w:rFonts w:asciiTheme="minorHAnsi" w:hAnsiTheme="minorHAnsi" w:cs="Arial"/>
          <w:sz w:val="22"/>
        </w:rPr>
        <w:t xml:space="preserve"> pointing out that some patients may present with a peculiar mood syndrome largely atypical from thos</w:t>
      </w:r>
      <w:r w:rsidR="00570F43">
        <w:rPr>
          <w:rFonts w:asciiTheme="minorHAnsi" w:hAnsiTheme="minorHAnsi" w:cs="Arial"/>
          <w:sz w:val="22"/>
        </w:rPr>
        <w:t xml:space="preserve">e described by </w:t>
      </w:r>
      <w:r w:rsidR="00570F43">
        <w:rPr>
          <w:rFonts w:asciiTheme="minorHAnsi" w:hAnsiTheme="minorHAnsi" w:cs="Arial"/>
          <w:sz w:val="22"/>
        </w:rPr>
        <w:lastRenderedPageBreak/>
        <w:t>international diagnostic</w:t>
      </w:r>
      <w:r w:rsidRPr="00E24084">
        <w:rPr>
          <w:rFonts w:asciiTheme="minorHAnsi" w:hAnsiTheme="minorHAnsi" w:cs="Arial"/>
          <w:sz w:val="22"/>
        </w:rPr>
        <w:t xml:space="preserve"> systems (i.e. ICD and DSM), namely the </w:t>
      </w:r>
      <w:proofErr w:type="spellStart"/>
      <w:r w:rsidRPr="00E24084">
        <w:rPr>
          <w:rFonts w:asciiTheme="minorHAnsi" w:hAnsiTheme="minorHAnsi" w:cs="Arial"/>
          <w:sz w:val="22"/>
        </w:rPr>
        <w:t>interictal</w:t>
      </w:r>
      <w:proofErr w:type="spellEnd"/>
      <w:r w:rsidRPr="00E24084">
        <w:rPr>
          <w:rFonts w:asciiTheme="minorHAnsi" w:hAnsiTheme="minorHAnsi" w:cs="Arial"/>
          <w:sz w:val="22"/>
        </w:rPr>
        <w:t xml:space="preserve"> dysphoric disorder (IDD) </w:t>
      </w:r>
      <w:r>
        <w:rPr>
          <w:rFonts w:asciiTheme="minorHAnsi" w:hAnsiTheme="minorHAnsi" w:cs="Arial"/>
          <w:noProof/>
          <w:sz w:val="22"/>
        </w:rPr>
        <w:t>(25)</w:t>
      </w:r>
      <w:r w:rsidRPr="00E24084">
        <w:rPr>
          <w:rFonts w:asciiTheme="minorHAnsi" w:hAnsiTheme="minorHAnsi" w:cs="Arial"/>
          <w:sz w:val="22"/>
        </w:rPr>
        <w:t xml:space="preserve">. It </w:t>
      </w:r>
      <w:r w:rsidR="00570F43">
        <w:rPr>
          <w:rFonts w:asciiTheme="minorHAnsi" w:hAnsiTheme="minorHAnsi" w:cs="Arial"/>
          <w:sz w:val="22"/>
        </w:rPr>
        <w:t xml:space="preserve">is not possible to be certain whether the patients had IDD </w:t>
      </w:r>
      <w:r w:rsidR="00570F43" w:rsidRPr="00570F43">
        <w:rPr>
          <w:rFonts w:asciiTheme="minorHAnsi" w:hAnsiTheme="minorHAnsi" w:cs="Arial"/>
          <w:sz w:val="22"/>
        </w:rPr>
        <w:t>in our sample</w:t>
      </w:r>
      <w:r w:rsidR="00570F43">
        <w:rPr>
          <w:rFonts w:asciiTheme="minorHAnsi" w:hAnsiTheme="minorHAnsi" w:cs="Arial"/>
          <w:sz w:val="22"/>
        </w:rPr>
        <w:t>.</w:t>
      </w:r>
      <w:r w:rsidRPr="00E24084">
        <w:rPr>
          <w:rFonts w:asciiTheme="minorHAnsi" w:hAnsiTheme="minorHAnsi" w:cs="Arial"/>
          <w:sz w:val="22"/>
        </w:rPr>
        <w:t xml:space="preserve"> </w:t>
      </w:r>
    </w:p>
    <w:p w14:paraId="7772755D" w14:textId="77777777" w:rsidR="00EA626F" w:rsidRPr="00E24084" w:rsidRDefault="00EA626F" w:rsidP="00E24084">
      <w:pPr>
        <w:spacing w:after="120" w:line="360" w:lineRule="auto"/>
        <w:jc w:val="both"/>
        <w:rPr>
          <w:rFonts w:asciiTheme="minorHAnsi" w:hAnsiTheme="minorHAnsi" w:cs="Arial"/>
          <w:sz w:val="22"/>
        </w:rPr>
      </w:pPr>
      <w:r w:rsidRPr="00E24084">
        <w:rPr>
          <w:rFonts w:asciiTheme="minorHAnsi" w:hAnsiTheme="minorHAnsi" w:cs="Arial"/>
          <w:sz w:val="22"/>
        </w:rPr>
        <w:t xml:space="preserve">Finally, our findings should be considered bearing in mind the following limitations. First, seizure frequency was not reported as well as the proportion of seizure free patients. However, our aim was not to dissect out the relative contribution of depression to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as compared to depression but verify the correlation between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w:t>
      </w:r>
      <w:proofErr w:type="gramStart"/>
      <w:r w:rsidRPr="00E24084">
        <w:rPr>
          <w:rFonts w:asciiTheme="minorHAnsi" w:hAnsiTheme="minorHAnsi" w:cs="Arial"/>
          <w:sz w:val="22"/>
        </w:rPr>
        <w:t>measure</w:t>
      </w:r>
      <w:proofErr w:type="gramEnd"/>
      <w:r w:rsidRPr="00E24084">
        <w:rPr>
          <w:rFonts w:asciiTheme="minorHAnsi" w:hAnsiTheme="minorHAnsi" w:cs="Arial"/>
          <w:sz w:val="22"/>
        </w:rPr>
        <w:t xml:space="preserve"> with a neutral clinical instruments, namely a visual analogue scale, against different measures of depression. Second, our results may not be representative of the general population of patients with epilepsy as they come from a tertiary referral centre where more severe and drug-refractory cases are present. However, the majority of other studies in this area have been done in selected samples. </w:t>
      </w:r>
    </w:p>
    <w:p w14:paraId="7D0D6FB6" w14:textId="77777777" w:rsidR="00EA626F" w:rsidRPr="00E24084" w:rsidRDefault="00EA626F" w:rsidP="00730CCB">
      <w:pPr>
        <w:spacing w:after="120" w:line="360" w:lineRule="auto"/>
        <w:jc w:val="both"/>
        <w:rPr>
          <w:rFonts w:asciiTheme="minorHAnsi" w:hAnsiTheme="minorHAnsi" w:cs="Arial"/>
          <w:sz w:val="22"/>
        </w:rPr>
      </w:pPr>
      <w:r w:rsidRPr="00E24084">
        <w:rPr>
          <w:rFonts w:asciiTheme="minorHAnsi" w:hAnsiTheme="minorHAnsi" w:cs="Arial"/>
          <w:sz w:val="22"/>
        </w:rPr>
        <w:t xml:space="preserve">In conclusion, our study helps substantiate the finding of correlation of depression with </w:t>
      </w:r>
      <w:proofErr w:type="spellStart"/>
      <w:r w:rsidRPr="00E24084">
        <w:rPr>
          <w:rFonts w:asciiTheme="minorHAnsi" w:hAnsiTheme="minorHAnsi" w:cs="Arial"/>
          <w:sz w:val="22"/>
        </w:rPr>
        <w:t>QoL</w:t>
      </w:r>
      <w:proofErr w:type="spellEnd"/>
      <w:r w:rsidRPr="00E24084">
        <w:rPr>
          <w:rFonts w:asciiTheme="minorHAnsi" w:hAnsiTheme="minorHAnsi" w:cs="Arial"/>
          <w:sz w:val="22"/>
        </w:rPr>
        <w:t xml:space="preserve"> in patients with epilepsy. However, clinical utility of this finding must be explored. All the evidence so far has looked at this correlation in cross-sectional studies. It remains unclear whether identification and treatment of depression in patients with epilepsy would lead to an appreciable, real world improvement in their quality of life. It seems logical to assume so, however, there may be as yet unidentified moderators involved in the process, and isolating the depressive effects of anti-epileptic drugs would need to be controlled for. Prospective cohort studies are now required to clarify whether this would indeed be the case.</w:t>
      </w:r>
    </w:p>
    <w:p w14:paraId="07838DEF" w14:textId="77777777" w:rsidR="00EA626F" w:rsidRPr="00E24084" w:rsidRDefault="00EA626F" w:rsidP="00E24084">
      <w:pPr>
        <w:spacing w:after="120" w:line="360" w:lineRule="auto"/>
        <w:ind w:firstLine="720"/>
        <w:jc w:val="both"/>
        <w:rPr>
          <w:rFonts w:asciiTheme="minorHAnsi" w:hAnsiTheme="minorHAnsi" w:cs="Arial"/>
          <w:b/>
          <w:color w:val="FF0000"/>
          <w:sz w:val="22"/>
        </w:rPr>
      </w:pPr>
    </w:p>
    <w:p w14:paraId="5CE8C431" w14:textId="77777777" w:rsidR="00EA626F" w:rsidRPr="00E24084" w:rsidRDefault="00EA626F" w:rsidP="00E24084">
      <w:pPr>
        <w:spacing w:after="120" w:line="360" w:lineRule="auto"/>
        <w:jc w:val="both"/>
        <w:rPr>
          <w:rFonts w:asciiTheme="minorHAnsi" w:hAnsiTheme="minorHAnsi" w:cs="Arial"/>
          <w:b/>
          <w:sz w:val="22"/>
        </w:rPr>
      </w:pPr>
      <w:r w:rsidRPr="00E24084">
        <w:rPr>
          <w:rFonts w:asciiTheme="minorHAnsi" w:hAnsiTheme="minorHAnsi" w:cs="Arial"/>
          <w:b/>
          <w:sz w:val="22"/>
        </w:rPr>
        <w:t>DISCLOSURES</w:t>
      </w:r>
    </w:p>
    <w:p w14:paraId="68BB78BF" w14:textId="77777777" w:rsidR="00EA626F" w:rsidRPr="00F93427" w:rsidRDefault="00EA626F">
      <w:pPr>
        <w:spacing w:line="240" w:lineRule="auto"/>
        <w:rPr>
          <w:rFonts w:asciiTheme="minorHAnsi" w:hAnsiTheme="minorHAnsi" w:cs="Arial"/>
          <w:sz w:val="22"/>
        </w:rPr>
      </w:pPr>
      <w:r w:rsidRPr="00F93427">
        <w:rPr>
          <w:rFonts w:asciiTheme="minorHAnsi" w:hAnsiTheme="minorHAnsi" w:cs="Arial"/>
          <w:sz w:val="22"/>
        </w:rPr>
        <w:t>Alex J Mitchell holds the copyright on the revised Emotional Thermometers tool but has made it freely available (royalty-free) for non-commercial and clinical use. The remaining authors have no conflicts of interest. We confirm that we have read the journal’s position on issues involved in ethical publication and affirm that this report is consistent with those guidelines.</w:t>
      </w:r>
      <w:r w:rsidRPr="00F93427">
        <w:rPr>
          <w:rFonts w:asciiTheme="minorHAnsi" w:hAnsiTheme="minorHAnsi" w:cs="Arial"/>
          <w:sz w:val="22"/>
        </w:rPr>
        <w:br w:type="page"/>
      </w:r>
    </w:p>
    <w:p w14:paraId="7B141545" w14:textId="77777777" w:rsidR="00EA626F" w:rsidRPr="00E24084" w:rsidRDefault="00EA626F" w:rsidP="00F67B11">
      <w:pPr>
        <w:spacing w:after="120" w:line="240" w:lineRule="auto"/>
        <w:jc w:val="both"/>
        <w:rPr>
          <w:rFonts w:asciiTheme="minorHAnsi" w:hAnsiTheme="minorHAnsi" w:cs="Arial"/>
          <w:sz w:val="22"/>
        </w:rPr>
      </w:pPr>
    </w:p>
    <w:p w14:paraId="4C80E8C2" w14:textId="77777777" w:rsidR="00EA626F" w:rsidRPr="00F17E4A" w:rsidRDefault="00EA626F" w:rsidP="00F17E4A">
      <w:pPr>
        <w:jc w:val="center"/>
        <w:rPr>
          <w:rFonts w:cs="Arial"/>
          <w:b/>
          <w:noProof/>
        </w:rPr>
      </w:pPr>
      <w:r w:rsidRPr="00F17E4A">
        <w:rPr>
          <w:rFonts w:cs="Arial"/>
          <w:b/>
          <w:noProof/>
        </w:rPr>
        <w:t>References</w:t>
      </w:r>
    </w:p>
    <w:p w14:paraId="086E3B83" w14:textId="77777777" w:rsidR="00EA626F" w:rsidRPr="00F17E4A" w:rsidRDefault="00EA626F" w:rsidP="00F17E4A">
      <w:pPr>
        <w:jc w:val="center"/>
        <w:rPr>
          <w:rFonts w:cs="Arial"/>
          <w:b/>
          <w:noProof/>
        </w:rPr>
      </w:pPr>
    </w:p>
    <w:p w14:paraId="07EDCCB0" w14:textId="77777777" w:rsidR="00EA626F" w:rsidRPr="00F17E4A" w:rsidRDefault="00EA626F" w:rsidP="00F17E4A">
      <w:pPr>
        <w:spacing w:line="240" w:lineRule="auto"/>
        <w:jc w:val="both"/>
        <w:rPr>
          <w:rFonts w:cs="Arial"/>
          <w:noProof/>
        </w:rPr>
      </w:pPr>
      <w:bookmarkStart w:id="0" w:name="_ENREF_1"/>
      <w:r w:rsidRPr="00F17E4A">
        <w:rPr>
          <w:rFonts w:cs="Arial"/>
          <w:noProof/>
        </w:rPr>
        <w:t>1.</w:t>
      </w:r>
      <w:r w:rsidRPr="00F17E4A">
        <w:rPr>
          <w:rFonts w:cs="Arial"/>
          <w:noProof/>
        </w:rPr>
        <w:tab/>
        <w:t>Tellez-Zenteno JF, Patten SB, Jette N, Williams J, Wiebe S. Psychiatric comorbidity in epilepsy: a population-based analysis. Epilepsia. 2007 Dec;48(12):2336-44.</w:t>
      </w:r>
      <w:bookmarkEnd w:id="0"/>
    </w:p>
    <w:p w14:paraId="48D222FA" w14:textId="77777777" w:rsidR="00EA626F" w:rsidRPr="00F17E4A" w:rsidRDefault="00EA626F" w:rsidP="00F17E4A">
      <w:pPr>
        <w:spacing w:line="240" w:lineRule="auto"/>
        <w:jc w:val="both"/>
        <w:rPr>
          <w:rFonts w:cs="Arial"/>
          <w:noProof/>
        </w:rPr>
      </w:pPr>
      <w:bookmarkStart w:id="1" w:name="_ENREF_2"/>
      <w:r w:rsidRPr="00F17E4A">
        <w:rPr>
          <w:rFonts w:cs="Arial"/>
          <w:noProof/>
        </w:rPr>
        <w:t>2.</w:t>
      </w:r>
      <w:r w:rsidRPr="00F17E4A">
        <w:rPr>
          <w:rFonts w:cs="Arial"/>
          <w:noProof/>
        </w:rPr>
        <w:tab/>
        <w:t>Kanner AM. Depression in epilepsy: a frequently neglected multifaceted disorder. Epilepsy Behav. 2003 Dec;4 Suppl 4:11-9.</w:t>
      </w:r>
      <w:bookmarkEnd w:id="1"/>
    </w:p>
    <w:p w14:paraId="40949CA6" w14:textId="77777777" w:rsidR="00EA626F" w:rsidRPr="00F17E4A" w:rsidRDefault="00EA626F" w:rsidP="00F17E4A">
      <w:pPr>
        <w:spacing w:line="240" w:lineRule="auto"/>
        <w:jc w:val="both"/>
        <w:rPr>
          <w:rFonts w:cs="Arial"/>
          <w:noProof/>
        </w:rPr>
      </w:pPr>
      <w:bookmarkStart w:id="2" w:name="_ENREF_3"/>
      <w:r w:rsidRPr="00F17E4A">
        <w:rPr>
          <w:rFonts w:cs="Arial"/>
          <w:noProof/>
        </w:rPr>
        <w:t>3.</w:t>
      </w:r>
      <w:r w:rsidRPr="00F17E4A">
        <w:rPr>
          <w:rFonts w:cs="Arial"/>
          <w:noProof/>
        </w:rPr>
        <w:tab/>
        <w:t>Lin JJ, Mula M, Hermann BP. Uncovering the neurobehavioural comorbidities of epilepsy over the lifespan. Lancet. [Research Support, N.I.H., Extramural</w:t>
      </w:r>
    </w:p>
    <w:p w14:paraId="204A5F41" w14:textId="77777777" w:rsidR="00EA626F" w:rsidRPr="00F17E4A" w:rsidRDefault="00EA626F" w:rsidP="00F17E4A">
      <w:pPr>
        <w:spacing w:line="240" w:lineRule="auto"/>
        <w:jc w:val="both"/>
        <w:rPr>
          <w:rFonts w:cs="Arial"/>
          <w:noProof/>
        </w:rPr>
      </w:pPr>
      <w:r w:rsidRPr="00F17E4A">
        <w:rPr>
          <w:rFonts w:cs="Arial"/>
          <w:noProof/>
        </w:rPr>
        <w:t>Review]. 2012 Sep 29;380(9848):1180-92.</w:t>
      </w:r>
      <w:bookmarkEnd w:id="2"/>
    </w:p>
    <w:p w14:paraId="6034F702" w14:textId="77777777" w:rsidR="00EA626F" w:rsidRPr="00F17E4A" w:rsidRDefault="00EA626F" w:rsidP="00F17E4A">
      <w:pPr>
        <w:spacing w:line="240" w:lineRule="auto"/>
        <w:jc w:val="both"/>
        <w:rPr>
          <w:rFonts w:cs="Arial"/>
          <w:noProof/>
        </w:rPr>
      </w:pPr>
      <w:bookmarkStart w:id="3" w:name="_ENREF_4"/>
      <w:r w:rsidRPr="00F17E4A">
        <w:rPr>
          <w:rFonts w:cs="Arial"/>
          <w:noProof/>
        </w:rPr>
        <w:t>4.</w:t>
      </w:r>
      <w:r w:rsidRPr="00F17E4A">
        <w:rPr>
          <w:rFonts w:cs="Arial"/>
          <w:noProof/>
        </w:rPr>
        <w:tab/>
        <w:t>de Boer HM, Mula M, Sander JW. The global burden and stigma of epilepsy. Epilepsy Behav. 2008 May;12(4):540-6.</w:t>
      </w:r>
      <w:bookmarkEnd w:id="3"/>
    </w:p>
    <w:p w14:paraId="6AF502FB" w14:textId="77777777" w:rsidR="00EA626F" w:rsidRPr="00F17E4A" w:rsidRDefault="00EA626F" w:rsidP="00F17E4A">
      <w:pPr>
        <w:spacing w:line="240" w:lineRule="auto"/>
        <w:jc w:val="both"/>
        <w:rPr>
          <w:rFonts w:cs="Arial"/>
          <w:noProof/>
        </w:rPr>
      </w:pPr>
      <w:bookmarkStart w:id="4" w:name="_ENREF_5"/>
      <w:r w:rsidRPr="00F17E4A">
        <w:rPr>
          <w:rFonts w:cs="Arial"/>
          <w:noProof/>
        </w:rPr>
        <w:t>5.</w:t>
      </w:r>
      <w:r w:rsidRPr="00F17E4A">
        <w:rPr>
          <w:rFonts w:cs="Arial"/>
          <w:noProof/>
        </w:rPr>
        <w:tab/>
        <w:t>Mula M, Schmitz B. Depression in epilepsy: mechanisms and therapeutic approach. Ther Adv Neurol Disord. 2009 Sep;2(5):337-44.</w:t>
      </w:r>
      <w:bookmarkEnd w:id="4"/>
    </w:p>
    <w:p w14:paraId="54804FAB" w14:textId="77777777" w:rsidR="00EA626F" w:rsidRPr="00F17E4A" w:rsidRDefault="00EA626F" w:rsidP="00F17E4A">
      <w:pPr>
        <w:spacing w:line="240" w:lineRule="auto"/>
        <w:jc w:val="both"/>
        <w:rPr>
          <w:rFonts w:cs="Arial"/>
          <w:noProof/>
        </w:rPr>
      </w:pPr>
      <w:bookmarkStart w:id="5" w:name="_ENREF_6"/>
      <w:r w:rsidRPr="00F17E4A">
        <w:rPr>
          <w:rFonts w:cs="Arial"/>
          <w:noProof/>
        </w:rPr>
        <w:t>6.</w:t>
      </w:r>
      <w:r w:rsidRPr="00F17E4A">
        <w:rPr>
          <w:rFonts w:cs="Arial"/>
          <w:noProof/>
        </w:rPr>
        <w:tab/>
        <w:t>Hesdorffer DC, Hauser WA, Olafsson E, Ludvigsson P, Kjartansson O. Depression and suicide attempt as risk factors for incident unprovoked seizures. Ann Neurol. 2006 Jan;59(1):35-41.</w:t>
      </w:r>
      <w:bookmarkEnd w:id="5"/>
    </w:p>
    <w:p w14:paraId="597D2FF5" w14:textId="77777777" w:rsidR="00EA626F" w:rsidRPr="00F17E4A" w:rsidRDefault="00EA626F" w:rsidP="00F17E4A">
      <w:pPr>
        <w:spacing w:line="240" w:lineRule="auto"/>
        <w:jc w:val="both"/>
        <w:rPr>
          <w:rFonts w:cs="Arial"/>
          <w:noProof/>
        </w:rPr>
      </w:pPr>
      <w:bookmarkStart w:id="6" w:name="_ENREF_7"/>
      <w:r w:rsidRPr="00F17E4A">
        <w:rPr>
          <w:rFonts w:cs="Arial"/>
          <w:noProof/>
        </w:rPr>
        <w:t>7.</w:t>
      </w:r>
      <w:r w:rsidRPr="00F17E4A">
        <w:rPr>
          <w:rFonts w:cs="Arial"/>
          <w:noProof/>
        </w:rPr>
        <w:tab/>
        <w:t>Hesdorffer DC, Ishihara L, Mynepalli L, Webb DJ, Weil J, Hauser WA. Epilepsy, suicidality, and psychiatric disorders: a bidirectional association. Ann Neurol. [Research Support, Non-U.S. Gov't]. 2012 Aug;72(2):184-91.</w:t>
      </w:r>
      <w:bookmarkEnd w:id="6"/>
    </w:p>
    <w:p w14:paraId="32A5A5DE" w14:textId="77777777" w:rsidR="00EA626F" w:rsidRPr="00F17E4A" w:rsidRDefault="00EA626F" w:rsidP="00F17E4A">
      <w:pPr>
        <w:spacing w:line="240" w:lineRule="auto"/>
        <w:jc w:val="both"/>
        <w:rPr>
          <w:rFonts w:cs="Arial"/>
          <w:noProof/>
        </w:rPr>
      </w:pPr>
      <w:bookmarkStart w:id="7" w:name="_ENREF_8"/>
      <w:r w:rsidRPr="00F17E4A">
        <w:rPr>
          <w:rFonts w:cs="Arial"/>
          <w:noProof/>
        </w:rPr>
        <w:t>8.</w:t>
      </w:r>
      <w:r w:rsidRPr="00F17E4A">
        <w:rPr>
          <w:rFonts w:cs="Arial"/>
          <w:noProof/>
        </w:rPr>
        <w:tab/>
        <w:t>Mula M. Epilepsy: Bidirectional link between epilepsy and psychiatric disorders. Nat Rev Neurol. 2012;8(5):252-3.</w:t>
      </w:r>
      <w:bookmarkEnd w:id="7"/>
    </w:p>
    <w:p w14:paraId="17D903A7" w14:textId="77777777" w:rsidR="00EA626F" w:rsidRPr="00F17E4A" w:rsidRDefault="00EA626F" w:rsidP="00F17E4A">
      <w:pPr>
        <w:spacing w:line="240" w:lineRule="auto"/>
        <w:jc w:val="both"/>
        <w:rPr>
          <w:rFonts w:cs="Arial"/>
          <w:noProof/>
        </w:rPr>
      </w:pPr>
      <w:bookmarkStart w:id="8" w:name="_ENREF_9"/>
      <w:r w:rsidRPr="00F17E4A">
        <w:rPr>
          <w:rFonts w:cs="Arial"/>
          <w:noProof/>
        </w:rPr>
        <w:t>9.</w:t>
      </w:r>
      <w:r w:rsidRPr="00F17E4A">
        <w:rPr>
          <w:rFonts w:cs="Arial"/>
          <w:noProof/>
        </w:rPr>
        <w:tab/>
        <w:t>Boylan LS, Flint LA, Labovitz DL, Jackson SC, Starner K, Devinsky O. Depression but not seizure frequency predicts quality of life in treatment-resistant epilepsy. Neurology. 2004 Jan 27;62(2):258-61.</w:t>
      </w:r>
      <w:bookmarkEnd w:id="8"/>
    </w:p>
    <w:p w14:paraId="7B6DD483" w14:textId="77777777" w:rsidR="00EA626F" w:rsidRPr="00F17E4A" w:rsidRDefault="00EA626F" w:rsidP="00F17E4A">
      <w:pPr>
        <w:spacing w:line="240" w:lineRule="auto"/>
        <w:jc w:val="both"/>
        <w:rPr>
          <w:rFonts w:cs="Arial"/>
          <w:noProof/>
        </w:rPr>
      </w:pPr>
      <w:bookmarkStart w:id="9" w:name="_ENREF_10"/>
      <w:r w:rsidRPr="00F17E4A">
        <w:rPr>
          <w:rFonts w:cs="Arial"/>
          <w:noProof/>
        </w:rPr>
        <w:t>10.</w:t>
      </w:r>
      <w:r w:rsidRPr="00F17E4A">
        <w:rPr>
          <w:rFonts w:cs="Arial"/>
          <w:noProof/>
        </w:rPr>
        <w:tab/>
        <w:t>Cramer JA, Blum D, Reed M, Fanning K. The influence of comorbid depression on quality of life for people with epilepsy. Epilepsy Behav. 2003 Oct;4(5):515-21.</w:t>
      </w:r>
      <w:bookmarkEnd w:id="9"/>
    </w:p>
    <w:p w14:paraId="3F7EA44B" w14:textId="77777777" w:rsidR="00EA626F" w:rsidRPr="00F17E4A" w:rsidRDefault="00EA626F" w:rsidP="00F17E4A">
      <w:pPr>
        <w:spacing w:line="240" w:lineRule="auto"/>
        <w:jc w:val="both"/>
        <w:rPr>
          <w:rFonts w:cs="Arial"/>
          <w:noProof/>
        </w:rPr>
      </w:pPr>
      <w:bookmarkStart w:id="10" w:name="_ENREF_11"/>
      <w:r w:rsidRPr="00F17E4A">
        <w:rPr>
          <w:rFonts w:cs="Arial"/>
          <w:noProof/>
        </w:rPr>
        <w:t>11.</w:t>
      </w:r>
      <w:r w:rsidRPr="00F17E4A">
        <w:rPr>
          <w:rFonts w:cs="Arial"/>
          <w:noProof/>
        </w:rPr>
        <w:tab/>
        <w:t>Eddy CM, Rizzo R, Gulisano M, Cali P, Robertson MM, Cavanna AE. Quality of life in young people with treatment-responsive epilepsy: A controlled study. Epilepsy Behav. 2010 Dec;19(4):623-6.</w:t>
      </w:r>
      <w:bookmarkEnd w:id="10"/>
    </w:p>
    <w:p w14:paraId="7871B114" w14:textId="77777777" w:rsidR="00EA626F" w:rsidRPr="00F17E4A" w:rsidRDefault="00EA626F" w:rsidP="00F17E4A">
      <w:pPr>
        <w:spacing w:line="240" w:lineRule="auto"/>
        <w:jc w:val="both"/>
        <w:rPr>
          <w:rFonts w:cs="Arial"/>
          <w:noProof/>
        </w:rPr>
      </w:pPr>
      <w:bookmarkStart w:id="11" w:name="_ENREF_12"/>
      <w:r w:rsidRPr="00F17E4A">
        <w:rPr>
          <w:rFonts w:cs="Arial"/>
          <w:noProof/>
        </w:rPr>
        <w:t>12.</w:t>
      </w:r>
      <w:r w:rsidRPr="00F17E4A">
        <w:rPr>
          <w:rFonts w:cs="Arial"/>
          <w:noProof/>
        </w:rPr>
        <w:tab/>
        <w:t>Gilliam F. Optimizing health outcomes in active epilepsy. Neurology. 2002 Apr 23;58(8 Suppl 5):S9-20.</w:t>
      </w:r>
      <w:bookmarkEnd w:id="11"/>
    </w:p>
    <w:p w14:paraId="3CA33252" w14:textId="77777777" w:rsidR="00EA626F" w:rsidRPr="00F17E4A" w:rsidRDefault="00EA626F" w:rsidP="00F17E4A">
      <w:pPr>
        <w:spacing w:line="240" w:lineRule="auto"/>
        <w:jc w:val="both"/>
        <w:rPr>
          <w:rFonts w:cs="Arial"/>
          <w:noProof/>
        </w:rPr>
      </w:pPr>
      <w:bookmarkStart w:id="12" w:name="_ENREF_13"/>
      <w:r w:rsidRPr="00F17E4A">
        <w:rPr>
          <w:rFonts w:cs="Arial"/>
          <w:noProof/>
        </w:rPr>
        <w:t>13.</w:t>
      </w:r>
      <w:r w:rsidRPr="00F17E4A">
        <w:rPr>
          <w:rFonts w:cs="Arial"/>
          <w:noProof/>
        </w:rPr>
        <w:tab/>
        <w:t>Hitiris N, Mohanraj R, Norrie J, Brodie MJ. Mortality in epilepsy. Epilepsy Behav. 2007 May;10(3):363-76.</w:t>
      </w:r>
      <w:bookmarkEnd w:id="12"/>
    </w:p>
    <w:p w14:paraId="5BCE368C" w14:textId="77777777" w:rsidR="00EA626F" w:rsidRPr="00F17E4A" w:rsidRDefault="00EA626F" w:rsidP="00F17E4A">
      <w:pPr>
        <w:spacing w:line="240" w:lineRule="auto"/>
        <w:jc w:val="both"/>
        <w:rPr>
          <w:rFonts w:cs="Arial"/>
          <w:noProof/>
        </w:rPr>
      </w:pPr>
      <w:bookmarkStart w:id="13" w:name="_ENREF_14"/>
      <w:r w:rsidRPr="00F17E4A">
        <w:rPr>
          <w:rFonts w:cs="Arial"/>
          <w:noProof/>
        </w:rPr>
        <w:t>14.</w:t>
      </w:r>
      <w:r w:rsidRPr="00F17E4A">
        <w:rPr>
          <w:rFonts w:cs="Arial"/>
          <w:noProof/>
        </w:rPr>
        <w:tab/>
        <w:t>Kanner AM. Depression in epilepsy: a complex relation with unexpected consequences. Curr Opin Neurol. 2008 Apr;21(2):190-4.</w:t>
      </w:r>
      <w:bookmarkEnd w:id="13"/>
    </w:p>
    <w:p w14:paraId="110F92FF" w14:textId="77777777" w:rsidR="00EA626F" w:rsidRPr="00F17E4A" w:rsidRDefault="00EA626F" w:rsidP="00F17E4A">
      <w:pPr>
        <w:spacing w:line="240" w:lineRule="auto"/>
        <w:jc w:val="both"/>
        <w:rPr>
          <w:rFonts w:cs="Arial"/>
          <w:noProof/>
        </w:rPr>
      </w:pPr>
      <w:bookmarkStart w:id="14" w:name="_ENREF_15"/>
      <w:r w:rsidRPr="00F17E4A">
        <w:rPr>
          <w:rFonts w:cs="Arial"/>
          <w:noProof/>
        </w:rPr>
        <w:t>15.</w:t>
      </w:r>
      <w:r w:rsidRPr="00F17E4A">
        <w:rPr>
          <w:rFonts w:cs="Arial"/>
          <w:noProof/>
        </w:rPr>
        <w:tab/>
        <w:t>Beck AT, Ward CH, Mendelson M, Mock J, Erbaugh J. An inventory for measuring depression. . Arch Gen Psychiatry 1961;4:561-71.</w:t>
      </w:r>
      <w:bookmarkEnd w:id="14"/>
    </w:p>
    <w:p w14:paraId="1D86F6F6" w14:textId="77777777" w:rsidR="00EA626F" w:rsidRPr="00F17E4A" w:rsidRDefault="00EA626F" w:rsidP="00F17E4A">
      <w:pPr>
        <w:spacing w:line="240" w:lineRule="auto"/>
        <w:jc w:val="both"/>
        <w:rPr>
          <w:rFonts w:cs="Arial"/>
          <w:noProof/>
        </w:rPr>
      </w:pPr>
      <w:bookmarkStart w:id="15" w:name="_ENREF_16"/>
      <w:r w:rsidRPr="00F17E4A">
        <w:rPr>
          <w:rFonts w:cs="Arial"/>
          <w:noProof/>
        </w:rPr>
        <w:t>16.</w:t>
      </w:r>
      <w:r w:rsidRPr="00F17E4A">
        <w:rPr>
          <w:rFonts w:cs="Arial"/>
          <w:noProof/>
        </w:rPr>
        <w:tab/>
        <w:t>Zigmond AS, Snaith RP. The hospital anxiety and depression scale. Acta Psychiatr Scand. 1983 Jun;67(6):361-70.</w:t>
      </w:r>
      <w:bookmarkEnd w:id="15"/>
    </w:p>
    <w:p w14:paraId="5DBD094B" w14:textId="77777777" w:rsidR="00EA626F" w:rsidRPr="00F17E4A" w:rsidRDefault="00EA626F" w:rsidP="00F17E4A">
      <w:pPr>
        <w:spacing w:line="240" w:lineRule="auto"/>
        <w:jc w:val="both"/>
        <w:rPr>
          <w:rFonts w:cs="Arial"/>
          <w:noProof/>
        </w:rPr>
      </w:pPr>
      <w:bookmarkStart w:id="16" w:name="_ENREF_17"/>
      <w:r w:rsidRPr="00F17E4A">
        <w:rPr>
          <w:rFonts w:cs="Arial"/>
          <w:noProof/>
        </w:rPr>
        <w:t>17.</w:t>
      </w:r>
      <w:r w:rsidRPr="00F17E4A">
        <w:rPr>
          <w:rFonts w:cs="Arial"/>
          <w:noProof/>
        </w:rPr>
        <w:tab/>
        <w:t>Gilliam FG, Barry JJ, Hermann BP, Meador KJ, Vahle V, Kanner AM. Rapid detection of major depression in epilepsy: a multicentre study. Lancet Neurol. 2006 May;5(5):399-405.</w:t>
      </w:r>
      <w:bookmarkEnd w:id="16"/>
    </w:p>
    <w:p w14:paraId="381A587D" w14:textId="77777777" w:rsidR="00EA626F" w:rsidRPr="00F17E4A" w:rsidRDefault="00EA626F" w:rsidP="00F17E4A">
      <w:pPr>
        <w:spacing w:line="240" w:lineRule="auto"/>
        <w:jc w:val="both"/>
        <w:rPr>
          <w:rFonts w:cs="Arial"/>
          <w:noProof/>
        </w:rPr>
      </w:pPr>
      <w:bookmarkStart w:id="17" w:name="_ENREF_18"/>
      <w:r w:rsidRPr="00F17E4A">
        <w:rPr>
          <w:rFonts w:cs="Arial"/>
          <w:noProof/>
        </w:rPr>
        <w:t>18.</w:t>
      </w:r>
      <w:r w:rsidRPr="00F17E4A">
        <w:rPr>
          <w:rFonts w:cs="Arial"/>
          <w:noProof/>
        </w:rPr>
        <w:tab/>
        <w:t>Rampling J, Mitchell AJ, Von Oertzen T, Docker J, Jackson J, Cock H, et al. Screening for depression in epilepsy clinics. A comparison of conventional and visual-analog methods. Epilepsia. 2012 Oct;53(10):1713-21.</w:t>
      </w:r>
      <w:bookmarkEnd w:id="17"/>
    </w:p>
    <w:p w14:paraId="65C18FDF" w14:textId="77777777" w:rsidR="00EA626F" w:rsidRPr="00F17E4A" w:rsidRDefault="00EA626F" w:rsidP="00F17E4A">
      <w:pPr>
        <w:spacing w:line="240" w:lineRule="auto"/>
        <w:jc w:val="both"/>
        <w:rPr>
          <w:rFonts w:cs="Arial"/>
          <w:noProof/>
        </w:rPr>
      </w:pPr>
      <w:bookmarkStart w:id="18" w:name="_ENREF_19"/>
      <w:r w:rsidRPr="00F17E4A">
        <w:rPr>
          <w:rFonts w:cs="Arial"/>
          <w:noProof/>
        </w:rPr>
        <w:t>19.</w:t>
      </w:r>
      <w:r w:rsidRPr="00F17E4A">
        <w:rPr>
          <w:rFonts w:cs="Arial"/>
          <w:noProof/>
        </w:rPr>
        <w:tab/>
        <w:t>Bech P, Rasmussen NA, Olsen LR, Noerholm V, Abildgaard W. The sensitivity and specificity of the Major Depression Inventory, using the Present State Examination as the index of diagnostic validity. J Affect Disord. [Clinical Trial</w:t>
      </w:r>
    </w:p>
    <w:p w14:paraId="4DB93D65" w14:textId="77777777" w:rsidR="00EA626F" w:rsidRPr="00F17E4A" w:rsidRDefault="00EA626F" w:rsidP="00F17E4A">
      <w:pPr>
        <w:spacing w:line="240" w:lineRule="auto"/>
        <w:jc w:val="both"/>
        <w:rPr>
          <w:rFonts w:cs="Arial"/>
          <w:noProof/>
        </w:rPr>
      </w:pPr>
      <w:r w:rsidRPr="00F17E4A">
        <w:rPr>
          <w:rFonts w:cs="Arial"/>
          <w:noProof/>
        </w:rPr>
        <w:t>Randomized Controlled Trial]. 2001 Oct;66(2-3):159-64.</w:t>
      </w:r>
      <w:bookmarkEnd w:id="18"/>
    </w:p>
    <w:p w14:paraId="56752E4C" w14:textId="77777777" w:rsidR="00EA626F" w:rsidRPr="00F17E4A" w:rsidRDefault="00EA626F" w:rsidP="00F17E4A">
      <w:pPr>
        <w:spacing w:line="240" w:lineRule="auto"/>
        <w:jc w:val="both"/>
        <w:rPr>
          <w:rFonts w:cs="Arial"/>
          <w:noProof/>
        </w:rPr>
      </w:pPr>
      <w:bookmarkStart w:id="19" w:name="_ENREF_20"/>
      <w:r w:rsidRPr="00F17E4A">
        <w:rPr>
          <w:rFonts w:cs="Arial"/>
          <w:noProof/>
        </w:rPr>
        <w:lastRenderedPageBreak/>
        <w:t>20.</w:t>
      </w:r>
      <w:r w:rsidRPr="00F17E4A">
        <w:rPr>
          <w:rFonts w:cs="Arial"/>
          <w:noProof/>
        </w:rPr>
        <w:tab/>
        <w:t>Group TE. EuroQol a new facility for the measurement of health-related quality of life. Health Policy. 1990;16(3):199-208.</w:t>
      </w:r>
      <w:bookmarkEnd w:id="19"/>
    </w:p>
    <w:p w14:paraId="687DF4F2" w14:textId="77777777" w:rsidR="00EA626F" w:rsidRPr="00F17E4A" w:rsidRDefault="00EA626F" w:rsidP="00F17E4A">
      <w:pPr>
        <w:spacing w:line="240" w:lineRule="auto"/>
        <w:jc w:val="both"/>
        <w:rPr>
          <w:rFonts w:cs="Arial"/>
          <w:noProof/>
        </w:rPr>
      </w:pPr>
      <w:bookmarkStart w:id="20" w:name="_ENREF_21"/>
      <w:r w:rsidRPr="00F17E4A">
        <w:rPr>
          <w:rFonts w:cs="Arial"/>
          <w:noProof/>
        </w:rPr>
        <w:t>21.</w:t>
      </w:r>
      <w:r w:rsidRPr="00F17E4A">
        <w:rPr>
          <w:rFonts w:cs="Arial"/>
          <w:noProof/>
        </w:rPr>
        <w:tab/>
        <w:t>Jones JE, Hermann BP, Woodard JL, Barry JJ, Gilliam F, Kanner AM, et al. Screening for major depression in epilepsy with common self-report depression inventories. Epilepsia. 2005 May;46(5):731-5.</w:t>
      </w:r>
      <w:bookmarkEnd w:id="20"/>
    </w:p>
    <w:p w14:paraId="432AD1DD" w14:textId="77777777" w:rsidR="00EA626F" w:rsidRPr="00F17E4A" w:rsidRDefault="00EA626F" w:rsidP="00F17E4A">
      <w:pPr>
        <w:spacing w:line="240" w:lineRule="auto"/>
        <w:jc w:val="both"/>
        <w:rPr>
          <w:rFonts w:cs="Arial"/>
          <w:noProof/>
        </w:rPr>
      </w:pPr>
      <w:bookmarkStart w:id="21" w:name="_ENREF_22"/>
      <w:r w:rsidRPr="00F17E4A">
        <w:rPr>
          <w:rFonts w:cs="Arial"/>
          <w:noProof/>
        </w:rPr>
        <w:t>22.</w:t>
      </w:r>
      <w:r w:rsidRPr="00F17E4A">
        <w:rPr>
          <w:rFonts w:cs="Arial"/>
          <w:noProof/>
        </w:rPr>
        <w:tab/>
        <w:t>Al-Asmi A, Dorvlo AS, Burke DT, Al-Adawi S, Al-Zaabi A, Al-Zadjali HA, et al. The detection of mood and anxiety in people with epilepsy using two-phase designs: experiences from a tertiary care centre in Oman. Epilepsy Res. 2012 Feb;98(2-3):174-81.</w:t>
      </w:r>
      <w:bookmarkEnd w:id="21"/>
    </w:p>
    <w:p w14:paraId="5CC1DEFB" w14:textId="77777777" w:rsidR="00EA626F" w:rsidRPr="00F17E4A" w:rsidRDefault="00EA626F" w:rsidP="00F17E4A">
      <w:pPr>
        <w:spacing w:line="240" w:lineRule="auto"/>
        <w:jc w:val="both"/>
        <w:rPr>
          <w:rFonts w:cs="Arial"/>
          <w:noProof/>
        </w:rPr>
      </w:pPr>
      <w:bookmarkStart w:id="22" w:name="_ENREF_23"/>
      <w:r w:rsidRPr="00F17E4A">
        <w:rPr>
          <w:rFonts w:cs="Arial"/>
          <w:noProof/>
        </w:rPr>
        <w:t>23.</w:t>
      </w:r>
      <w:r w:rsidRPr="00F17E4A">
        <w:rPr>
          <w:rFonts w:cs="Arial"/>
          <w:noProof/>
        </w:rPr>
        <w:tab/>
        <w:t>Cramer JA, Brandenburg N, Xu X. Differentiating anxiety and depression symptoms in patients with partial epilepsy. Epilepsy Behav. 2005 Jun;6(4):563-9.</w:t>
      </w:r>
      <w:bookmarkEnd w:id="22"/>
    </w:p>
    <w:p w14:paraId="149418E8" w14:textId="77777777" w:rsidR="00EA626F" w:rsidRPr="00F17E4A" w:rsidRDefault="00EA626F" w:rsidP="00F17E4A">
      <w:pPr>
        <w:spacing w:line="240" w:lineRule="auto"/>
        <w:jc w:val="both"/>
        <w:rPr>
          <w:rFonts w:cs="Arial"/>
          <w:noProof/>
        </w:rPr>
      </w:pPr>
      <w:bookmarkStart w:id="23" w:name="_ENREF_24"/>
      <w:r w:rsidRPr="00F17E4A">
        <w:rPr>
          <w:rFonts w:cs="Arial"/>
          <w:noProof/>
        </w:rPr>
        <w:t>24.</w:t>
      </w:r>
      <w:r w:rsidRPr="00F17E4A">
        <w:rPr>
          <w:rFonts w:cs="Arial"/>
          <w:noProof/>
        </w:rPr>
        <w:tab/>
        <w:t>Kanner AM. Depression and epilepsy: a review of multiple facets of their close relation. Neurol Clin. 2009 Nov;27(4):865-80.</w:t>
      </w:r>
      <w:bookmarkEnd w:id="23"/>
    </w:p>
    <w:p w14:paraId="108C27F8" w14:textId="77777777" w:rsidR="00EA626F" w:rsidRPr="00F17E4A" w:rsidRDefault="00EA626F" w:rsidP="00F17E4A">
      <w:pPr>
        <w:spacing w:line="240" w:lineRule="auto"/>
        <w:jc w:val="both"/>
        <w:rPr>
          <w:rFonts w:cs="Arial"/>
          <w:noProof/>
        </w:rPr>
      </w:pPr>
      <w:bookmarkStart w:id="24" w:name="_ENREF_25"/>
      <w:r w:rsidRPr="00F17E4A">
        <w:rPr>
          <w:rFonts w:cs="Arial"/>
          <w:noProof/>
        </w:rPr>
        <w:t>25.</w:t>
      </w:r>
      <w:r w:rsidRPr="00F17E4A">
        <w:rPr>
          <w:rFonts w:cs="Arial"/>
          <w:noProof/>
        </w:rPr>
        <w:tab/>
        <w:t>Mula M. The interictal dysphoric disorder of epilepsy: a still open debate. Curr Neurol Neurosci Rep. 2013 Jun;13(6):355.</w:t>
      </w:r>
      <w:bookmarkEnd w:id="24"/>
    </w:p>
    <w:p w14:paraId="6BE60499" w14:textId="77777777" w:rsidR="00EA626F" w:rsidRDefault="00EA626F" w:rsidP="00F17E4A">
      <w:pPr>
        <w:spacing w:line="240" w:lineRule="auto"/>
        <w:jc w:val="both"/>
        <w:rPr>
          <w:rFonts w:cs="Arial"/>
          <w:b/>
          <w:noProof/>
        </w:rPr>
      </w:pPr>
    </w:p>
    <w:p w14:paraId="724B4190" w14:textId="77777777" w:rsidR="00EA626F" w:rsidRPr="00E24084" w:rsidRDefault="00EA626F" w:rsidP="00F67B11">
      <w:pPr>
        <w:spacing w:after="120" w:line="240" w:lineRule="auto"/>
        <w:ind w:firstLine="720"/>
        <w:jc w:val="both"/>
        <w:rPr>
          <w:rFonts w:asciiTheme="minorHAnsi" w:hAnsiTheme="minorHAnsi" w:cs="Arial"/>
          <w:sz w:val="22"/>
        </w:rPr>
      </w:pPr>
    </w:p>
    <w:p w14:paraId="4C1F2560" w14:textId="77777777" w:rsidR="00EA626F" w:rsidRPr="00E24084" w:rsidRDefault="00EA626F" w:rsidP="00F67B11">
      <w:pPr>
        <w:spacing w:after="120" w:line="240" w:lineRule="auto"/>
        <w:ind w:firstLine="720"/>
        <w:jc w:val="both"/>
        <w:rPr>
          <w:rFonts w:asciiTheme="minorHAnsi" w:hAnsiTheme="minorHAnsi" w:cs="Arial"/>
          <w:sz w:val="22"/>
        </w:rPr>
      </w:pPr>
    </w:p>
    <w:p w14:paraId="61E9BBA6" w14:textId="77777777" w:rsidR="00EA626F" w:rsidRPr="00E24084" w:rsidRDefault="00EA626F" w:rsidP="00F67B11">
      <w:pPr>
        <w:spacing w:after="120" w:line="240" w:lineRule="auto"/>
        <w:ind w:firstLine="720"/>
        <w:jc w:val="both"/>
        <w:rPr>
          <w:rFonts w:asciiTheme="minorHAnsi" w:hAnsiTheme="minorHAnsi" w:cs="Arial"/>
          <w:sz w:val="22"/>
        </w:rPr>
      </w:pPr>
    </w:p>
    <w:p w14:paraId="5ED0BF19" w14:textId="77777777" w:rsidR="00EA626F" w:rsidRPr="00E24084" w:rsidRDefault="00EA626F">
      <w:pPr>
        <w:spacing w:after="120" w:line="240" w:lineRule="auto"/>
        <w:ind w:firstLine="720"/>
        <w:jc w:val="both"/>
        <w:rPr>
          <w:rFonts w:asciiTheme="minorHAnsi" w:hAnsiTheme="minorHAnsi" w:cs="Arial"/>
          <w:sz w:val="22"/>
        </w:rPr>
      </w:pPr>
      <w:r w:rsidRPr="00E24084">
        <w:rPr>
          <w:rFonts w:asciiTheme="minorHAnsi" w:hAnsiTheme="minorHAnsi" w:cs="Arial"/>
          <w:sz w:val="22"/>
        </w:rPr>
        <w:br w:type="page"/>
      </w:r>
    </w:p>
    <w:p w14:paraId="093FFC39" w14:textId="77777777" w:rsidR="00EA626F" w:rsidRPr="00E24084" w:rsidRDefault="00EA626F" w:rsidP="007860C8">
      <w:pPr>
        <w:spacing w:after="120" w:line="240" w:lineRule="auto"/>
        <w:jc w:val="both"/>
        <w:rPr>
          <w:rFonts w:asciiTheme="minorHAnsi" w:hAnsiTheme="minorHAnsi" w:cs="Arial"/>
          <w:b/>
          <w:sz w:val="22"/>
        </w:rPr>
      </w:pPr>
      <w:proofErr w:type="gramStart"/>
      <w:r w:rsidRPr="00E24084">
        <w:rPr>
          <w:rFonts w:asciiTheme="minorHAnsi" w:hAnsiTheme="minorHAnsi" w:cs="Arial"/>
          <w:b/>
          <w:sz w:val="22"/>
        </w:rPr>
        <w:lastRenderedPageBreak/>
        <w:t>Table 1.</w:t>
      </w:r>
      <w:proofErr w:type="gramEnd"/>
      <w:r w:rsidRPr="00E24084">
        <w:rPr>
          <w:rFonts w:asciiTheme="minorHAnsi" w:hAnsiTheme="minorHAnsi" w:cs="Arial"/>
          <w:b/>
          <w:sz w:val="22"/>
        </w:rPr>
        <w:t xml:space="preserve"> Clinical and demographic characteristics (Total N = 261).</w:t>
      </w:r>
    </w:p>
    <w:tbl>
      <w:tblPr>
        <w:tblStyle w:val="TableGrid"/>
        <w:tblW w:w="5000" w:type="pct"/>
        <w:tblLook w:val="04A0" w:firstRow="1" w:lastRow="0" w:firstColumn="1" w:lastColumn="0" w:noHBand="0" w:noVBand="1"/>
      </w:tblPr>
      <w:tblGrid>
        <w:gridCol w:w="6419"/>
        <w:gridCol w:w="3435"/>
      </w:tblGrid>
      <w:tr w:rsidR="00EA626F" w:rsidRPr="00E24084" w14:paraId="41F2C819" w14:textId="77777777" w:rsidTr="001727CD">
        <w:tc>
          <w:tcPr>
            <w:tcW w:w="3257" w:type="pct"/>
          </w:tcPr>
          <w:p w14:paraId="76BBDDE3" w14:textId="77777777" w:rsidR="00EA626F" w:rsidRPr="00E24084" w:rsidRDefault="00EA626F" w:rsidP="007860C8">
            <w:pPr>
              <w:spacing w:after="120"/>
              <w:jc w:val="both"/>
              <w:rPr>
                <w:rFonts w:asciiTheme="minorHAnsi" w:hAnsiTheme="minorHAnsi" w:cs="Arial"/>
              </w:rPr>
            </w:pPr>
            <w:r w:rsidRPr="00E24084">
              <w:rPr>
                <w:rFonts w:asciiTheme="minorHAnsi" w:hAnsiTheme="minorHAnsi" w:cs="Arial"/>
                <w:b/>
              </w:rPr>
              <w:t>Mean Age</w:t>
            </w:r>
            <w:r w:rsidRPr="00E24084">
              <w:rPr>
                <w:rFonts w:asciiTheme="minorHAnsi" w:hAnsiTheme="minorHAnsi" w:cs="Arial"/>
              </w:rPr>
              <w:t>, (years range)</w:t>
            </w:r>
          </w:p>
        </w:tc>
        <w:tc>
          <w:tcPr>
            <w:tcW w:w="1743" w:type="pct"/>
          </w:tcPr>
          <w:p w14:paraId="203C3CBC"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39.3 (16-89)</w:t>
            </w:r>
          </w:p>
        </w:tc>
      </w:tr>
      <w:tr w:rsidR="00EA626F" w:rsidRPr="00E24084" w14:paraId="02461D7A" w14:textId="77777777" w:rsidTr="001727CD">
        <w:tc>
          <w:tcPr>
            <w:tcW w:w="3257" w:type="pct"/>
          </w:tcPr>
          <w:p w14:paraId="19F32BB8" w14:textId="77777777" w:rsidR="00EA626F" w:rsidRPr="00E24084" w:rsidRDefault="00EA626F" w:rsidP="007860C8">
            <w:pPr>
              <w:spacing w:after="120"/>
              <w:jc w:val="both"/>
              <w:rPr>
                <w:rFonts w:asciiTheme="minorHAnsi" w:hAnsiTheme="minorHAnsi" w:cs="Arial"/>
              </w:rPr>
            </w:pPr>
            <w:r w:rsidRPr="00E24084">
              <w:rPr>
                <w:rFonts w:asciiTheme="minorHAnsi" w:hAnsiTheme="minorHAnsi" w:cs="Arial"/>
                <w:b/>
              </w:rPr>
              <w:t>Gender</w:t>
            </w:r>
            <w:r w:rsidRPr="00E24084">
              <w:rPr>
                <w:rFonts w:asciiTheme="minorHAnsi" w:hAnsiTheme="minorHAnsi" w:cs="Arial"/>
              </w:rPr>
              <w:t xml:space="preserve"> %</w:t>
            </w:r>
          </w:p>
          <w:p w14:paraId="20E0F402" w14:textId="77777777" w:rsidR="00EA626F" w:rsidRPr="00E24084" w:rsidRDefault="00EA626F" w:rsidP="007860C8">
            <w:pPr>
              <w:spacing w:after="120"/>
              <w:jc w:val="both"/>
              <w:rPr>
                <w:rFonts w:asciiTheme="minorHAnsi" w:hAnsiTheme="minorHAnsi" w:cs="Arial"/>
              </w:rPr>
            </w:pPr>
            <w:r w:rsidRPr="00E24084">
              <w:rPr>
                <w:rFonts w:asciiTheme="minorHAnsi" w:hAnsiTheme="minorHAnsi" w:cs="Arial"/>
              </w:rPr>
              <w:t xml:space="preserve">              Female</w:t>
            </w:r>
          </w:p>
          <w:p w14:paraId="70FDB31C" w14:textId="77777777" w:rsidR="00EA626F" w:rsidRPr="00E24084" w:rsidRDefault="00EA626F" w:rsidP="007860C8">
            <w:pPr>
              <w:spacing w:after="120"/>
              <w:jc w:val="both"/>
              <w:rPr>
                <w:rFonts w:asciiTheme="minorHAnsi" w:hAnsiTheme="minorHAnsi" w:cs="Arial"/>
              </w:rPr>
            </w:pPr>
            <w:r w:rsidRPr="00E24084">
              <w:rPr>
                <w:rFonts w:asciiTheme="minorHAnsi" w:hAnsiTheme="minorHAnsi" w:cs="Arial"/>
              </w:rPr>
              <w:t xml:space="preserve">              Male</w:t>
            </w:r>
          </w:p>
        </w:tc>
        <w:tc>
          <w:tcPr>
            <w:tcW w:w="1743" w:type="pct"/>
          </w:tcPr>
          <w:p w14:paraId="4FCD36D3" w14:textId="77777777" w:rsidR="00EA626F" w:rsidRPr="00E24084" w:rsidRDefault="00EA626F" w:rsidP="001727CD">
            <w:pPr>
              <w:spacing w:after="120"/>
              <w:jc w:val="center"/>
              <w:rPr>
                <w:rFonts w:asciiTheme="minorHAnsi" w:hAnsiTheme="minorHAnsi" w:cs="Arial"/>
              </w:rPr>
            </w:pPr>
          </w:p>
          <w:p w14:paraId="0EBD2E06"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54.0%</w:t>
            </w:r>
          </w:p>
          <w:p w14:paraId="0A9B48D7"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46.0%</w:t>
            </w:r>
          </w:p>
        </w:tc>
      </w:tr>
      <w:tr w:rsidR="00EA626F" w:rsidRPr="00E24084" w14:paraId="724BAF5B" w14:textId="77777777" w:rsidTr="001727CD">
        <w:tc>
          <w:tcPr>
            <w:tcW w:w="3257" w:type="pct"/>
          </w:tcPr>
          <w:p w14:paraId="56E57BBB" w14:textId="77777777" w:rsidR="00EA626F" w:rsidRPr="00E24084" w:rsidRDefault="00EA626F" w:rsidP="007860C8">
            <w:pPr>
              <w:spacing w:after="120"/>
              <w:jc w:val="both"/>
              <w:rPr>
                <w:rFonts w:asciiTheme="minorHAnsi" w:hAnsiTheme="minorHAnsi" w:cs="Arial"/>
              </w:rPr>
            </w:pPr>
            <w:r w:rsidRPr="00E24084">
              <w:rPr>
                <w:rFonts w:asciiTheme="minorHAnsi" w:hAnsiTheme="minorHAnsi" w:cs="Arial"/>
                <w:b/>
              </w:rPr>
              <w:t>Ethnicity</w:t>
            </w:r>
            <w:r w:rsidRPr="00E24084">
              <w:rPr>
                <w:rFonts w:asciiTheme="minorHAnsi" w:hAnsiTheme="minorHAnsi" w:cs="Arial"/>
              </w:rPr>
              <w:t xml:space="preserve"> %</w:t>
            </w:r>
          </w:p>
          <w:p w14:paraId="3CC8876F" w14:textId="77777777" w:rsidR="00EA626F" w:rsidRPr="00E24084" w:rsidRDefault="00EA626F" w:rsidP="007860C8">
            <w:pPr>
              <w:spacing w:after="120"/>
              <w:jc w:val="both"/>
              <w:rPr>
                <w:rFonts w:asciiTheme="minorHAnsi" w:hAnsiTheme="minorHAnsi" w:cs="Arial"/>
              </w:rPr>
            </w:pPr>
            <w:r w:rsidRPr="00E24084">
              <w:rPr>
                <w:rFonts w:asciiTheme="minorHAnsi" w:hAnsiTheme="minorHAnsi" w:cs="Arial"/>
              </w:rPr>
              <w:t xml:space="preserve">              White</w:t>
            </w:r>
          </w:p>
          <w:p w14:paraId="74007747" w14:textId="77777777" w:rsidR="00EA626F" w:rsidRPr="00E24084" w:rsidRDefault="00EA626F" w:rsidP="007860C8">
            <w:pPr>
              <w:spacing w:after="120"/>
              <w:jc w:val="both"/>
              <w:rPr>
                <w:rFonts w:asciiTheme="minorHAnsi" w:hAnsiTheme="minorHAnsi" w:cs="Arial"/>
              </w:rPr>
            </w:pPr>
            <w:r w:rsidRPr="00E24084">
              <w:rPr>
                <w:rFonts w:asciiTheme="minorHAnsi" w:hAnsiTheme="minorHAnsi" w:cs="Arial"/>
              </w:rPr>
              <w:t xml:space="preserve">              Black</w:t>
            </w:r>
          </w:p>
          <w:p w14:paraId="50ECC359" w14:textId="77777777" w:rsidR="00EA626F" w:rsidRPr="00E24084" w:rsidRDefault="00EA626F" w:rsidP="007860C8">
            <w:pPr>
              <w:spacing w:after="120"/>
              <w:jc w:val="both"/>
              <w:rPr>
                <w:rFonts w:asciiTheme="minorHAnsi" w:hAnsiTheme="minorHAnsi" w:cs="Arial"/>
              </w:rPr>
            </w:pPr>
            <w:r w:rsidRPr="00E24084">
              <w:rPr>
                <w:rFonts w:asciiTheme="minorHAnsi" w:hAnsiTheme="minorHAnsi" w:cs="Arial"/>
              </w:rPr>
              <w:t xml:space="preserve">              Asian</w:t>
            </w:r>
          </w:p>
          <w:p w14:paraId="260EFE2E" w14:textId="77777777" w:rsidR="00EA626F" w:rsidRPr="00E24084" w:rsidRDefault="00EA626F" w:rsidP="007860C8">
            <w:pPr>
              <w:spacing w:after="120"/>
              <w:jc w:val="both"/>
              <w:rPr>
                <w:rFonts w:asciiTheme="minorHAnsi" w:hAnsiTheme="minorHAnsi" w:cs="Arial"/>
              </w:rPr>
            </w:pPr>
            <w:r w:rsidRPr="00E24084">
              <w:rPr>
                <w:rFonts w:asciiTheme="minorHAnsi" w:hAnsiTheme="minorHAnsi" w:cs="Arial"/>
              </w:rPr>
              <w:t xml:space="preserve">              Mixed Race</w:t>
            </w:r>
          </w:p>
          <w:p w14:paraId="283A042D" w14:textId="77777777" w:rsidR="00EA626F" w:rsidRPr="00E24084" w:rsidRDefault="00EA626F" w:rsidP="007860C8">
            <w:pPr>
              <w:spacing w:after="120"/>
              <w:jc w:val="both"/>
              <w:rPr>
                <w:rFonts w:asciiTheme="minorHAnsi" w:hAnsiTheme="minorHAnsi" w:cs="Arial"/>
              </w:rPr>
            </w:pPr>
            <w:r w:rsidRPr="00E24084">
              <w:rPr>
                <w:rFonts w:asciiTheme="minorHAnsi" w:hAnsiTheme="minorHAnsi" w:cs="Arial"/>
              </w:rPr>
              <w:t xml:space="preserve">              Unknown </w:t>
            </w:r>
          </w:p>
        </w:tc>
        <w:tc>
          <w:tcPr>
            <w:tcW w:w="1743" w:type="pct"/>
          </w:tcPr>
          <w:p w14:paraId="54BF078A" w14:textId="77777777" w:rsidR="00EA626F" w:rsidRPr="00E24084" w:rsidRDefault="00EA626F" w:rsidP="001727CD">
            <w:pPr>
              <w:spacing w:after="120"/>
              <w:jc w:val="center"/>
              <w:rPr>
                <w:rFonts w:asciiTheme="minorHAnsi" w:hAnsiTheme="minorHAnsi" w:cs="Arial"/>
              </w:rPr>
            </w:pPr>
          </w:p>
          <w:p w14:paraId="3F912721"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80.1%</w:t>
            </w:r>
          </w:p>
          <w:p w14:paraId="3E96E957"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8.1%</w:t>
            </w:r>
          </w:p>
          <w:p w14:paraId="3E828BF7"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6.1%</w:t>
            </w:r>
          </w:p>
          <w:p w14:paraId="31406902"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4.2%</w:t>
            </w:r>
          </w:p>
          <w:p w14:paraId="0F09493F"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1.5%</w:t>
            </w:r>
          </w:p>
        </w:tc>
      </w:tr>
      <w:tr w:rsidR="00EA626F" w:rsidRPr="00E24084" w14:paraId="36333EB5" w14:textId="77777777" w:rsidTr="001727CD">
        <w:tc>
          <w:tcPr>
            <w:tcW w:w="3257" w:type="pct"/>
          </w:tcPr>
          <w:p w14:paraId="5C931C1C" w14:textId="77777777" w:rsidR="00EA626F" w:rsidRPr="00E24084" w:rsidRDefault="00EA626F" w:rsidP="007860C8">
            <w:pPr>
              <w:spacing w:after="120"/>
              <w:jc w:val="both"/>
              <w:rPr>
                <w:rFonts w:asciiTheme="minorHAnsi" w:hAnsiTheme="minorHAnsi" w:cs="Arial"/>
              </w:rPr>
            </w:pPr>
            <w:r w:rsidRPr="00E24084">
              <w:rPr>
                <w:rFonts w:asciiTheme="minorHAnsi" w:hAnsiTheme="minorHAnsi" w:cs="Arial"/>
                <w:b/>
              </w:rPr>
              <w:t>Epilepsy type</w:t>
            </w:r>
            <w:r w:rsidRPr="00E24084">
              <w:rPr>
                <w:rFonts w:asciiTheme="minorHAnsi" w:hAnsiTheme="minorHAnsi" w:cs="Arial"/>
              </w:rPr>
              <w:t xml:space="preserve"> %</w:t>
            </w:r>
          </w:p>
          <w:p w14:paraId="12AA474D" w14:textId="77777777" w:rsidR="00EA626F" w:rsidRPr="00E24084" w:rsidRDefault="00EA626F" w:rsidP="007860C8">
            <w:pPr>
              <w:spacing w:after="120"/>
              <w:jc w:val="both"/>
              <w:rPr>
                <w:rFonts w:asciiTheme="minorHAnsi" w:hAnsiTheme="minorHAnsi" w:cs="Arial"/>
              </w:rPr>
            </w:pPr>
            <w:r w:rsidRPr="00E24084">
              <w:rPr>
                <w:rFonts w:asciiTheme="minorHAnsi" w:hAnsiTheme="minorHAnsi" w:cs="Arial"/>
              </w:rPr>
              <w:t xml:space="preserve">              Generalised</w:t>
            </w:r>
          </w:p>
          <w:p w14:paraId="297E0262" w14:textId="77777777" w:rsidR="00EA626F" w:rsidRPr="00E24084" w:rsidRDefault="00EA626F" w:rsidP="007860C8">
            <w:pPr>
              <w:spacing w:after="120"/>
              <w:jc w:val="both"/>
              <w:rPr>
                <w:rFonts w:asciiTheme="minorHAnsi" w:hAnsiTheme="minorHAnsi" w:cs="Arial"/>
              </w:rPr>
            </w:pPr>
            <w:r w:rsidRPr="00E24084">
              <w:rPr>
                <w:rFonts w:asciiTheme="minorHAnsi" w:hAnsiTheme="minorHAnsi" w:cs="Arial"/>
              </w:rPr>
              <w:t xml:space="preserve">              Focal</w:t>
            </w:r>
          </w:p>
          <w:p w14:paraId="622E1FEC" w14:textId="77777777" w:rsidR="00EA626F" w:rsidRPr="00E24084" w:rsidRDefault="00EA626F" w:rsidP="007860C8">
            <w:pPr>
              <w:spacing w:after="120"/>
              <w:jc w:val="both"/>
              <w:rPr>
                <w:rFonts w:asciiTheme="minorHAnsi" w:hAnsiTheme="minorHAnsi" w:cs="Arial"/>
              </w:rPr>
            </w:pPr>
            <w:r w:rsidRPr="00E24084">
              <w:rPr>
                <w:rFonts w:asciiTheme="minorHAnsi" w:hAnsiTheme="minorHAnsi" w:cs="Arial"/>
              </w:rPr>
              <w:t xml:space="preserve">              Unknown</w:t>
            </w:r>
          </w:p>
        </w:tc>
        <w:tc>
          <w:tcPr>
            <w:tcW w:w="1743" w:type="pct"/>
          </w:tcPr>
          <w:p w14:paraId="1E8B9507" w14:textId="77777777" w:rsidR="00EA626F" w:rsidRPr="00E24084" w:rsidRDefault="00EA626F" w:rsidP="001727CD">
            <w:pPr>
              <w:spacing w:after="120"/>
              <w:jc w:val="center"/>
              <w:rPr>
                <w:rFonts w:asciiTheme="minorHAnsi" w:hAnsiTheme="minorHAnsi" w:cs="Arial"/>
              </w:rPr>
            </w:pPr>
          </w:p>
          <w:p w14:paraId="6BE0DD6B"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37.2%</w:t>
            </w:r>
          </w:p>
          <w:p w14:paraId="2C9B54B3"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57.8%</w:t>
            </w:r>
          </w:p>
          <w:p w14:paraId="5E0D1032"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5.0%</w:t>
            </w:r>
          </w:p>
        </w:tc>
      </w:tr>
      <w:tr w:rsidR="00EA626F" w:rsidRPr="00E24084" w14:paraId="4893B90F" w14:textId="77777777" w:rsidTr="001727CD">
        <w:tc>
          <w:tcPr>
            <w:tcW w:w="3257" w:type="pct"/>
          </w:tcPr>
          <w:p w14:paraId="66F978D9" w14:textId="77777777" w:rsidR="00EA626F" w:rsidRPr="00E24084" w:rsidRDefault="00EA626F" w:rsidP="001727CD">
            <w:pPr>
              <w:spacing w:after="120"/>
              <w:jc w:val="both"/>
              <w:rPr>
                <w:rFonts w:asciiTheme="minorHAnsi" w:hAnsiTheme="minorHAnsi" w:cs="Arial"/>
                <w:b/>
              </w:rPr>
            </w:pPr>
            <w:r w:rsidRPr="00E24084">
              <w:rPr>
                <w:rFonts w:asciiTheme="minorHAnsi" w:hAnsiTheme="minorHAnsi" w:cs="Arial"/>
                <w:b/>
              </w:rPr>
              <w:t>DSM IV diagnosis of depression (MDI)</w:t>
            </w:r>
          </w:p>
        </w:tc>
        <w:tc>
          <w:tcPr>
            <w:tcW w:w="1743" w:type="pct"/>
          </w:tcPr>
          <w:p w14:paraId="0B9E0789"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17.6%</w:t>
            </w:r>
          </w:p>
        </w:tc>
      </w:tr>
      <w:tr w:rsidR="00EA626F" w:rsidRPr="00E24084" w14:paraId="49672F25" w14:textId="77777777" w:rsidTr="001727CD">
        <w:tc>
          <w:tcPr>
            <w:tcW w:w="3257" w:type="pct"/>
          </w:tcPr>
          <w:p w14:paraId="662F4751" w14:textId="77777777" w:rsidR="00EA626F" w:rsidRPr="00E24084" w:rsidRDefault="00EA626F" w:rsidP="007860C8">
            <w:pPr>
              <w:spacing w:after="120"/>
              <w:jc w:val="both"/>
              <w:rPr>
                <w:rFonts w:asciiTheme="minorHAnsi" w:hAnsiTheme="minorHAnsi" w:cs="Arial"/>
                <w:b/>
              </w:rPr>
            </w:pPr>
            <w:r w:rsidRPr="00E24084">
              <w:rPr>
                <w:rFonts w:asciiTheme="minorHAnsi" w:hAnsiTheme="minorHAnsi" w:cs="Arial"/>
                <w:b/>
              </w:rPr>
              <w:t>BDI mean score (SD)</w:t>
            </w:r>
          </w:p>
        </w:tc>
        <w:tc>
          <w:tcPr>
            <w:tcW w:w="1743" w:type="pct"/>
          </w:tcPr>
          <w:p w14:paraId="3ECFEA95"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13 (11)</w:t>
            </w:r>
          </w:p>
        </w:tc>
      </w:tr>
      <w:tr w:rsidR="00EA626F" w:rsidRPr="00E24084" w14:paraId="0F489DA1" w14:textId="77777777" w:rsidTr="001727CD">
        <w:tc>
          <w:tcPr>
            <w:tcW w:w="3257" w:type="pct"/>
          </w:tcPr>
          <w:p w14:paraId="16887031" w14:textId="77777777" w:rsidR="00EA626F" w:rsidRPr="00E24084" w:rsidRDefault="00EA626F" w:rsidP="007860C8">
            <w:pPr>
              <w:spacing w:after="120"/>
              <w:jc w:val="both"/>
              <w:rPr>
                <w:rFonts w:asciiTheme="minorHAnsi" w:hAnsiTheme="minorHAnsi" w:cs="Arial"/>
                <w:b/>
              </w:rPr>
            </w:pPr>
            <w:r w:rsidRPr="00E24084">
              <w:rPr>
                <w:rFonts w:asciiTheme="minorHAnsi" w:hAnsiTheme="minorHAnsi" w:cs="Arial"/>
                <w:b/>
              </w:rPr>
              <w:t>HADS-D, mean score (SD)</w:t>
            </w:r>
          </w:p>
          <w:p w14:paraId="0B44C1CC" w14:textId="77777777" w:rsidR="00EA626F" w:rsidRPr="00E24084" w:rsidRDefault="00EA626F" w:rsidP="007860C8">
            <w:pPr>
              <w:spacing w:after="120"/>
              <w:jc w:val="both"/>
              <w:rPr>
                <w:rFonts w:asciiTheme="minorHAnsi" w:hAnsiTheme="minorHAnsi" w:cs="Arial"/>
                <w:b/>
              </w:rPr>
            </w:pPr>
            <w:r w:rsidRPr="00E24084">
              <w:rPr>
                <w:rFonts w:asciiTheme="minorHAnsi" w:hAnsiTheme="minorHAnsi" w:cs="Arial"/>
                <w:b/>
              </w:rPr>
              <w:t>HADS-A, mean score (SD)</w:t>
            </w:r>
          </w:p>
        </w:tc>
        <w:tc>
          <w:tcPr>
            <w:tcW w:w="1743" w:type="pct"/>
          </w:tcPr>
          <w:p w14:paraId="67CB7936"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4.9 (4.4)</w:t>
            </w:r>
          </w:p>
          <w:p w14:paraId="03F5FF1D"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7.2 (4.9)</w:t>
            </w:r>
          </w:p>
        </w:tc>
      </w:tr>
      <w:tr w:rsidR="00EA626F" w:rsidRPr="00E24084" w14:paraId="51A34FB1" w14:textId="77777777" w:rsidTr="001727CD">
        <w:tc>
          <w:tcPr>
            <w:tcW w:w="3257" w:type="pct"/>
          </w:tcPr>
          <w:p w14:paraId="6FD3F5C3" w14:textId="77777777" w:rsidR="00EA626F" w:rsidRPr="00E24084" w:rsidRDefault="00EA626F" w:rsidP="007860C8">
            <w:pPr>
              <w:spacing w:after="120"/>
              <w:jc w:val="both"/>
              <w:rPr>
                <w:rFonts w:asciiTheme="minorHAnsi" w:hAnsiTheme="minorHAnsi" w:cs="Arial"/>
                <w:b/>
              </w:rPr>
            </w:pPr>
            <w:r w:rsidRPr="00E24084">
              <w:rPr>
                <w:rFonts w:asciiTheme="minorHAnsi" w:hAnsiTheme="minorHAnsi" w:cs="Arial"/>
                <w:b/>
              </w:rPr>
              <w:t>ET-D, mean score (SD)</w:t>
            </w:r>
          </w:p>
        </w:tc>
        <w:tc>
          <w:tcPr>
            <w:tcW w:w="1743" w:type="pct"/>
          </w:tcPr>
          <w:p w14:paraId="31883699"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3.0 (2.9)</w:t>
            </w:r>
          </w:p>
        </w:tc>
      </w:tr>
      <w:tr w:rsidR="00EA626F" w:rsidRPr="00E24084" w14:paraId="012BBBEA" w14:textId="77777777" w:rsidTr="001727CD">
        <w:tc>
          <w:tcPr>
            <w:tcW w:w="3257" w:type="pct"/>
          </w:tcPr>
          <w:p w14:paraId="0135176A" w14:textId="77777777" w:rsidR="00EA626F" w:rsidRPr="00E24084" w:rsidRDefault="00EA626F" w:rsidP="007860C8">
            <w:pPr>
              <w:spacing w:after="120"/>
              <w:jc w:val="both"/>
              <w:rPr>
                <w:rFonts w:asciiTheme="minorHAnsi" w:hAnsiTheme="minorHAnsi" w:cs="Arial"/>
                <w:b/>
              </w:rPr>
            </w:pPr>
            <w:r w:rsidRPr="00E24084">
              <w:rPr>
                <w:rFonts w:asciiTheme="minorHAnsi" w:hAnsiTheme="minorHAnsi" w:cs="Arial"/>
                <w:b/>
              </w:rPr>
              <w:t>NDDIE, mean score (SD)</w:t>
            </w:r>
          </w:p>
        </w:tc>
        <w:tc>
          <w:tcPr>
            <w:tcW w:w="1743" w:type="pct"/>
          </w:tcPr>
          <w:p w14:paraId="6CCFF660"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12.3 (4.3)</w:t>
            </w:r>
          </w:p>
        </w:tc>
      </w:tr>
      <w:tr w:rsidR="00EA626F" w:rsidRPr="00E24084" w14:paraId="1125C1A9" w14:textId="77777777" w:rsidTr="001727CD">
        <w:tc>
          <w:tcPr>
            <w:tcW w:w="3257" w:type="pct"/>
          </w:tcPr>
          <w:p w14:paraId="05D4A267" w14:textId="77777777" w:rsidR="00EA626F" w:rsidRPr="00E24084" w:rsidRDefault="00EA626F" w:rsidP="007860C8">
            <w:pPr>
              <w:spacing w:after="120"/>
              <w:jc w:val="both"/>
              <w:rPr>
                <w:rFonts w:asciiTheme="minorHAnsi" w:hAnsiTheme="minorHAnsi" w:cs="Arial"/>
                <w:b/>
              </w:rPr>
            </w:pPr>
            <w:r w:rsidRPr="00E24084">
              <w:rPr>
                <w:rFonts w:asciiTheme="minorHAnsi" w:hAnsiTheme="minorHAnsi" w:cs="Arial"/>
                <w:b/>
              </w:rPr>
              <w:t>NDDIE positive screening for depression</w:t>
            </w:r>
          </w:p>
        </w:tc>
        <w:tc>
          <w:tcPr>
            <w:tcW w:w="1743" w:type="pct"/>
          </w:tcPr>
          <w:p w14:paraId="49670B35"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34.5%</w:t>
            </w:r>
          </w:p>
        </w:tc>
      </w:tr>
      <w:tr w:rsidR="00EA626F" w:rsidRPr="00E24084" w14:paraId="6ACCEB69" w14:textId="77777777" w:rsidTr="001727CD">
        <w:tc>
          <w:tcPr>
            <w:tcW w:w="3257" w:type="pct"/>
          </w:tcPr>
          <w:p w14:paraId="70833CF8" w14:textId="77777777" w:rsidR="00EA626F" w:rsidRPr="00E24084" w:rsidRDefault="00EA626F" w:rsidP="007860C8">
            <w:pPr>
              <w:spacing w:after="120"/>
              <w:jc w:val="both"/>
              <w:rPr>
                <w:rFonts w:asciiTheme="minorHAnsi" w:hAnsiTheme="minorHAnsi" w:cs="Arial"/>
                <w:b/>
              </w:rPr>
            </w:pPr>
            <w:r w:rsidRPr="00E24084">
              <w:rPr>
                <w:rFonts w:asciiTheme="minorHAnsi" w:hAnsiTheme="minorHAnsi" w:cs="Arial"/>
                <w:b/>
              </w:rPr>
              <w:t>EQ-VAS mean score (SD)</w:t>
            </w:r>
          </w:p>
        </w:tc>
        <w:tc>
          <w:tcPr>
            <w:tcW w:w="1743" w:type="pct"/>
          </w:tcPr>
          <w:p w14:paraId="75C6E85B" w14:textId="77777777" w:rsidR="00EA626F" w:rsidRPr="00E24084" w:rsidRDefault="00EA626F" w:rsidP="001727CD">
            <w:pPr>
              <w:spacing w:after="120"/>
              <w:jc w:val="center"/>
              <w:rPr>
                <w:rFonts w:asciiTheme="minorHAnsi" w:hAnsiTheme="minorHAnsi" w:cs="Arial"/>
              </w:rPr>
            </w:pPr>
            <w:r w:rsidRPr="00E24084">
              <w:rPr>
                <w:rFonts w:asciiTheme="minorHAnsi" w:hAnsiTheme="minorHAnsi" w:cs="Arial"/>
              </w:rPr>
              <w:t>66.8 (21.4)</w:t>
            </w:r>
          </w:p>
        </w:tc>
      </w:tr>
    </w:tbl>
    <w:p w14:paraId="526FFAD4" w14:textId="77777777" w:rsidR="00EA626F" w:rsidRPr="00E24084" w:rsidRDefault="00EA626F" w:rsidP="007860C8">
      <w:pPr>
        <w:spacing w:after="120" w:line="240" w:lineRule="auto"/>
        <w:jc w:val="both"/>
        <w:rPr>
          <w:rFonts w:asciiTheme="minorHAnsi" w:hAnsiTheme="minorHAnsi" w:cs="Arial"/>
          <w:sz w:val="22"/>
        </w:rPr>
      </w:pPr>
    </w:p>
    <w:p w14:paraId="2CF66F35" w14:textId="77777777" w:rsidR="00EA626F" w:rsidRPr="00E24084" w:rsidRDefault="00EA626F" w:rsidP="00F67B11">
      <w:pPr>
        <w:spacing w:after="120" w:line="240" w:lineRule="auto"/>
        <w:ind w:firstLine="720"/>
        <w:jc w:val="both"/>
        <w:rPr>
          <w:rFonts w:asciiTheme="minorHAnsi" w:hAnsiTheme="minorHAnsi"/>
          <w:sz w:val="22"/>
        </w:rPr>
      </w:pPr>
    </w:p>
    <w:p w14:paraId="05151614" w14:textId="77777777" w:rsidR="00EA626F" w:rsidRPr="00E24084" w:rsidRDefault="00EA626F" w:rsidP="0077272D">
      <w:pPr>
        <w:autoSpaceDE w:val="0"/>
        <w:autoSpaceDN w:val="0"/>
        <w:adjustRightInd w:val="0"/>
        <w:spacing w:after="120" w:line="240" w:lineRule="auto"/>
        <w:jc w:val="both"/>
        <w:rPr>
          <w:rFonts w:asciiTheme="minorHAnsi" w:hAnsiTheme="minorHAnsi" w:cs="Arial"/>
          <w:b/>
          <w:sz w:val="22"/>
        </w:rPr>
      </w:pPr>
      <w:r w:rsidRPr="00E24084">
        <w:rPr>
          <w:rFonts w:asciiTheme="minorHAnsi" w:hAnsiTheme="minorHAnsi" w:cs="Arial"/>
          <w:b/>
          <w:sz w:val="22"/>
        </w:rPr>
        <w:br w:type="page"/>
      </w:r>
    </w:p>
    <w:p w14:paraId="14FCBE3B" w14:textId="77777777" w:rsidR="00EA626F" w:rsidRPr="00E24084" w:rsidRDefault="00EA626F" w:rsidP="0077272D">
      <w:pPr>
        <w:autoSpaceDE w:val="0"/>
        <w:autoSpaceDN w:val="0"/>
        <w:adjustRightInd w:val="0"/>
        <w:spacing w:after="120" w:line="240" w:lineRule="auto"/>
        <w:jc w:val="both"/>
        <w:rPr>
          <w:rFonts w:asciiTheme="minorHAnsi" w:hAnsiTheme="minorHAnsi" w:cs="Arial"/>
          <w:b/>
          <w:sz w:val="22"/>
        </w:rPr>
      </w:pPr>
      <w:r w:rsidRPr="00E24084">
        <w:rPr>
          <w:rFonts w:asciiTheme="minorHAnsi" w:hAnsiTheme="minorHAnsi" w:cs="Arial"/>
          <w:b/>
          <w:sz w:val="22"/>
        </w:rPr>
        <w:lastRenderedPageBreak/>
        <w:t xml:space="preserve">Table </w:t>
      </w:r>
      <w:proofErr w:type="gramStart"/>
      <w:r w:rsidRPr="00E24084">
        <w:rPr>
          <w:rFonts w:asciiTheme="minorHAnsi" w:hAnsiTheme="minorHAnsi" w:cs="Arial"/>
          <w:b/>
          <w:sz w:val="22"/>
        </w:rPr>
        <w:t>2 .</w:t>
      </w:r>
      <w:proofErr w:type="gramEnd"/>
      <w:r w:rsidRPr="00E24084">
        <w:rPr>
          <w:rFonts w:asciiTheme="minorHAnsi" w:hAnsiTheme="minorHAnsi" w:cs="Arial"/>
          <w:b/>
          <w:sz w:val="22"/>
        </w:rPr>
        <w:t xml:space="preserve"> </w:t>
      </w:r>
      <w:proofErr w:type="gramStart"/>
      <w:r w:rsidRPr="00E24084">
        <w:rPr>
          <w:rFonts w:asciiTheme="minorHAnsi" w:hAnsiTheme="minorHAnsi" w:cs="Arial"/>
          <w:b/>
          <w:sz w:val="22"/>
        </w:rPr>
        <w:t>Correlations of EQ-VAS with depression screening scales.</w:t>
      </w:r>
      <w:proofErr w:type="gramEnd"/>
    </w:p>
    <w:p w14:paraId="3F1AA36B" w14:textId="77777777" w:rsidR="00EA626F" w:rsidRPr="00E24084" w:rsidRDefault="00EA626F" w:rsidP="0077272D">
      <w:pPr>
        <w:autoSpaceDE w:val="0"/>
        <w:autoSpaceDN w:val="0"/>
        <w:adjustRightInd w:val="0"/>
        <w:spacing w:after="120" w:line="240" w:lineRule="auto"/>
        <w:jc w:val="both"/>
        <w:rPr>
          <w:rFonts w:asciiTheme="minorHAnsi" w:hAnsiTheme="minorHAnsi" w:cs="Arial"/>
          <w:sz w:val="22"/>
        </w:rPr>
      </w:pPr>
    </w:p>
    <w:tbl>
      <w:tblPr>
        <w:tblStyle w:val="TableGrid"/>
        <w:tblW w:w="0" w:type="auto"/>
        <w:tblLook w:val="04A0" w:firstRow="1" w:lastRow="0" w:firstColumn="1" w:lastColumn="0" w:noHBand="0" w:noVBand="1"/>
      </w:tblPr>
      <w:tblGrid>
        <w:gridCol w:w="2291"/>
        <w:gridCol w:w="1361"/>
        <w:gridCol w:w="1559"/>
        <w:gridCol w:w="1276"/>
        <w:gridCol w:w="1418"/>
        <w:gridCol w:w="1381"/>
      </w:tblGrid>
      <w:tr w:rsidR="00EA626F" w:rsidRPr="00E24084" w14:paraId="6B75CF86" w14:textId="77777777" w:rsidTr="00441111">
        <w:tc>
          <w:tcPr>
            <w:tcW w:w="2291" w:type="dxa"/>
          </w:tcPr>
          <w:p w14:paraId="7BFC0C5F"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Pearson correlation</w:t>
            </w:r>
          </w:p>
        </w:tc>
        <w:tc>
          <w:tcPr>
            <w:tcW w:w="1361" w:type="dxa"/>
          </w:tcPr>
          <w:p w14:paraId="0F7383D0"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EQ-VAS</w:t>
            </w:r>
          </w:p>
        </w:tc>
        <w:tc>
          <w:tcPr>
            <w:tcW w:w="1559" w:type="dxa"/>
          </w:tcPr>
          <w:p w14:paraId="5D947A3C"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BDI-II</w:t>
            </w:r>
          </w:p>
        </w:tc>
        <w:tc>
          <w:tcPr>
            <w:tcW w:w="1276" w:type="dxa"/>
          </w:tcPr>
          <w:p w14:paraId="24222810"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HADS-D</w:t>
            </w:r>
          </w:p>
        </w:tc>
        <w:tc>
          <w:tcPr>
            <w:tcW w:w="1418" w:type="dxa"/>
          </w:tcPr>
          <w:p w14:paraId="4D67C69A"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ET-D</w:t>
            </w:r>
          </w:p>
        </w:tc>
        <w:tc>
          <w:tcPr>
            <w:tcW w:w="1381" w:type="dxa"/>
          </w:tcPr>
          <w:p w14:paraId="213AE527"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NDDI-E</w:t>
            </w:r>
          </w:p>
        </w:tc>
      </w:tr>
      <w:tr w:rsidR="00EA626F" w:rsidRPr="00E24084" w14:paraId="338A5061" w14:textId="77777777" w:rsidTr="00441111">
        <w:tc>
          <w:tcPr>
            <w:tcW w:w="2291" w:type="dxa"/>
          </w:tcPr>
          <w:p w14:paraId="21A73706"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EQ-VAS</w:t>
            </w:r>
          </w:p>
        </w:tc>
        <w:tc>
          <w:tcPr>
            <w:tcW w:w="1361" w:type="dxa"/>
          </w:tcPr>
          <w:p w14:paraId="26F6B806"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1</w:t>
            </w:r>
          </w:p>
        </w:tc>
        <w:tc>
          <w:tcPr>
            <w:tcW w:w="1559" w:type="dxa"/>
          </w:tcPr>
          <w:p w14:paraId="61FE85A9"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-0.509**</w:t>
            </w:r>
          </w:p>
        </w:tc>
        <w:tc>
          <w:tcPr>
            <w:tcW w:w="1276" w:type="dxa"/>
          </w:tcPr>
          <w:p w14:paraId="7C5A892B"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-0.505**</w:t>
            </w:r>
          </w:p>
        </w:tc>
        <w:tc>
          <w:tcPr>
            <w:tcW w:w="1418" w:type="dxa"/>
          </w:tcPr>
          <w:p w14:paraId="384D4297"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-0.443**</w:t>
            </w:r>
          </w:p>
        </w:tc>
        <w:tc>
          <w:tcPr>
            <w:tcW w:w="1381" w:type="dxa"/>
          </w:tcPr>
          <w:p w14:paraId="07005A06"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-0.420**</w:t>
            </w:r>
          </w:p>
        </w:tc>
      </w:tr>
      <w:tr w:rsidR="00EA626F" w:rsidRPr="00E24084" w14:paraId="5309B31E" w14:textId="77777777" w:rsidTr="00441111">
        <w:tc>
          <w:tcPr>
            <w:tcW w:w="2291" w:type="dxa"/>
          </w:tcPr>
          <w:p w14:paraId="5C3A558E"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BDI-II</w:t>
            </w:r>
          </w:p>
        </w:tc>
        <w:tc>
          <w:tcPr>
            <w:tcW w:w="1361" w:type="dxa"/>
          </w:tcPr>
          <w:p w14:paraId="44F10AE4"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-0.509**</w:t>
            </w:r>
          </w:p>
        </w:tc>
        <w:tc>
          <w:tcPr>
            <w:tcW w:w="1559" w:type="dxa"/>
          </w:tcPr>
          <w:p w14:paraId="6E3BB2A7"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1</w:t>
            </w:r>
          </w:p>
        </w:tc>
        <w:tc>
          <w:tcPr>
            <w:tcW w:w="1276" w:type="dxa"/>
          </w:tcPr>
          <w:p w14:paraId="0341AB1B"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0.771**</w:t>
            </w:r>
          </w:p>
        </w:tc>
        <w:tc>
          <w:tcPr>
            <w:tcW w:w="1418" w:type="dxa"/>
          </w:tcPr>
          <w:p w14:paraId="094DD6CC"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0.741**</w:t>
            </w:r>
          </w:p>
        </w:tc>
        <w:tc>
          <w:tcPr>
            <w:tcW w:w="1381" w:type="dxa"/>
          </w:tcPr>
          <w:p w14:paraId="0A35F521"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0.773**</w:t>
            </w:r>
          </w:p>
        </w:tc>
      </w:tr>
      <w:tr w:rsidR="00EA626F" w:rsidRPr="00E24084" w14:paraId="2B9D88EC" w14:textId="77777777" w:rsidTr="00441111">
        <w:tc>
          <w:tcPr>
            <w:tcW w:w="2291" w:type="dxa"/>
          </w:tcPr>
          <w:p w14:paraId="36296310"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HADS-D</w:t>
            </w:r>
          </w:p>
        </w:tc>
        <w:tc>
          <w:tcPr>
            <w:tcW w:w="1361" w:type="dxa"/>
          </w:tcPr>
          <w:p w14:paraId="6CCA359A"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-0.505**</w:t>
            </w:r>
          </w:p>
        </w:tc>
        <w:tc>
          <w:tcPr>
            <w:tcW w:w="1559" w:type="dxa"/>
          </w:tcPr>
          <w:p w14:paraId="24773827"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0.771**</w:t>
            </w:r>
          </w:p>
        </w:tc>
        <w:tc>
          <w:tcPr>
            <w:tcW w:w="1276" w:type="dxa"/>
          </w:tcPr>
          <w:p w14:paraId="0CB1F687"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1</w:t>
            </w:r>
          </w:p>
        </w:tc>
        <w:tc>
          <w:tcPr>
            <w:tcW w:w="1418" w:type="dxa"/>
          </w:tcPr>
          <w:p w14:paraId="224B6206"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0.689**</w:t>
            </w:r>
          </w:p>
        </w:tc>
        <w:tc>
          <w:tcPr>
            <w:tcW w:w="1381" w:type="dxa"/>
          </w:tcPr>
          <w:p w14:paraId="40FC56DF"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0.661**</w:t>
            </w:r>
          </w:p>
        </w:tc>
      </w:tr>
      <w:tr w:rsidR="00EA626F" w:rsidRPr="00E24084" w14:paraId="2035C5EF" w14:textId="77777777" w:rsidTr="00441111">
        <w:tc>
          <w:tcPr>
            <w:tcW w:w="2291" w:type="dxa"/>
          </w:tcPr>
          <w:p w14:paraId="559A8C64"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ET-D</w:t>
            </w:r>
          </w:p>
        </w:tc>
        <w:tc>
          <w:tcPr>
            <w:tcW w:w="1361" w:type="dxa"/>
          </w:tcPr>
          <w:p w14:paraId="2508BD2F"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-0.443**</w:t>
            </w:r>
          </w:p>
        </w:tc>
        <w:tc>
          <w:tcPr>
            <w:tcW w:w="1559" w:type="dxa"/>
          </w:tcPr>
          <w:p w14:paraId="5B4E7A48"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0.741**</w:t>
            </w:r>
          </w:p>
        </w:tc>
        <w:tc>
          <w:tcPr>
            <w:tcW w:w="1276" w:type="dxa"/>
          </w:tcPr>
          <w:p w14:paraId="6CB5FD90"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0.689**</w:t>
            </w:r>
          </w:p>
        </w:tc>
        <w:tc>
          <w:tcPr>
            <w:tcW w:w="1418" w:type="dxa"/>
          </w:tcPr>
          <w:p w14:paraId="1CCD5C40"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1</w:t>
            </w:r>
          </w:p>
        </w:tc>
        <w:tc>
          <w:tcPr>
            <w:tcW w:w="1381" w:type="dxa"/>
          </w:tcPr>
          <w:p w14:paraId="0D58BC20"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0.695**</w:t>
            </w:r>
          </w:p>
        </w:tc>
      </w:tr>
      <w:tr w:rsidR="00EA626F" w:rsidRPr="00E24084" w14:paraId="13CD40D9" w14:textId="77777777" w:rsidTr="00441111">
        <w:tc>
          <w:tcPr>
            <w:tcW w:w="2291" w:type="dxa"/>
          </w:tcPr>
          <w:p w14:paraId="49F71F0A"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NDDI-E</w:t>
            </w:r>
          </w:p>
        </w:tc>
        <w:tc>
          <w:tcPr>
            <w:tcW w:w="1361" w:type="dxa"/>
          </w:tcPr>
          <w:p w14:paraId="286EABD5"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-0.420**</w:t>
            </w:r>
          </w:p>
        </w:tc>
        <w:tc>
          <w:tcPr>
            <w:tcW w:w="1559" w:type="dxa"/>
          </w:tcPr>
          <w:p w14:paraId="38C2E51E"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0.773**</w:t>
            </w:r>
          </w:p>
        </w:tc>
        <w:tc>
          <w:tcPr>
            <w:tcW w:w="1276" w:type="dxa"/>
          </w:tcPr>
          <w:p w14:paraId="27DC8877"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0.661**</w:t>
            </w:r>
          </w:p>
        </w:tc>
        <w:tc>
          <w:tcPr>
            <w:tcW w:w="1418" w:type="dxa"/>
          </w:tcPr>
          <w:p w14:paraId="526C0B88"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0.695**</w:t>
            </w:r>
          </w:p>
        </w:tc>
        <w:tc>
          <w:tcPr>
            <w:tcW w:w="1381" w:type="dxa"/>
          </w:tcPr>
          <w:p w14:paraId="16033321" w14:textId="77777777" w:rsidR="00EA626F" w:rsidRPr="00E24084" w:rsidRDefault="00EA626F" w:rsidP="00441111">
            <w:pPr>
              <w:autoSpaceDE w:val="0"/>
              <w:autoSpaceDN w:val="0"/>
              <w:adjustRightInd w:val="0"/>
              <w:spacing w:after="120"/>
              <w:jc w:val="both"/>
              <w:rPr>
                <w:rFonts w:asciiTheme="minorHAnsi" w:hAnsiTheme="minorHAnsi" w:cs="Arial"/>
              </w:rPr>
            </w:pPr>
            <w:r w:rsidRPr="00E24084">
              <w:rPr>
                <w:rFonts w:asciiTheme="minorHAnsi" w:hAnsiTheme="minorHAnsi" w:cs="Arial"/>
              </w:rPr>
              <w:t>1</w:t>
            </w:r>
          </w:p>
        </w:tc>
      </w:tr>
    </w:tbl>
    <w:p w14:paraId="443D7FBA" w14:textId="77777777" w:rsidR="00EA626F" w:rsidRPr="00E24084" w:rsidRDefault="00EA626F" w:rsidP="0077272D">
      <w:pPr>
        <w:autoSpaceDE w:val="0"/>
        <w:autoSpaceDN w:val="0"/>
        <w:adjustRightInd w:val="0"/>
        <w:spacing w:after="120" w:line="240" w:lineRule="auto"/>
        <w:jc w:val="both"/>
        <w:rPr>
          <w:rFonts w:asciiTheme="minorHAnsi" w:hAnsiTheme="minorHAnsi" w:cs="Arial"/>
          <w:sz w:val="22"/>
        </w:rPr>
      </w:pPr>
      <w:r w:rsidRPr="00E24084">
        <w:rPr>
          <w:rFonts w:asciiTheme="minorHAnsi" w:hAnsiTheme="minorHAnsi" w:cs="Arial"/>
          <w:sz w:val="22"/>
        </w:rPr>
        <w:t xml:space="preserve"> ** p&lt;0.001</w:t>
      </w:r>
    </w:p>
    <w:p w14:paraId="0659D392" w14:textId="77777777" w:rsidR="00EA626F" w:rsidRPr="00E24084" w:rsidRDefault="00EA626F" w:rsidP="0077272D">
      <w:pPr>
        <w:autoSpaceDE w:val="0"/>
        <w:autoSpaceDN w:val="0"/>
        <w:adjustRightInd w:val="0"/>
        <w:spacing w:after="120" w:line="240" w:lineRule="auto"/>
        <w:jc w:val="both"/>
        <w:rPr>
          <w:rFonts w:asciiTheme="minorHAnsi" w:hAnsiTheme="minorHAnsi" w:cs="Arial"/>
          <w:sz w:val="22"/>
        </w:rPr>
      </w:pPr>
    </w:p>
    <w:p w14:paraId="3F164914" w14:textId="77777777" w:rsidR="00EA626F" w:rsidRPr="00E24084" w:rsidRDefault="00EA626F" w:rsidP="00F67B11">
      <w:pPr>
        <w:spacing w:after="120" w:line="240" w:lineRule="auto"/>
        <w:jc w:val="both"/>
        <w:rPr>
          <w:rFonts w:asciiTheme="minorHAnsi" w:hAnsiTheme="minorHAnsi"/>
          <w:sz w:val="22"/>
        </w:rPr>
      </w:pPr>
    </w:p>
    <w:p w14:paraId="54FE5137" w14:textId="77777777" w:rsidR="00EA626F" w:rsidRPr="00E24084" w:rsidRDefault="00EA626F" w:rsidP="00F67B11">
      <w:pPr>
        <w:spacing w:after="120" w:line="240" w:lineRule="auto"/>
        <w:jc w:val="both"/>
        <w:rPr>
          <w:rFonts w:asciiTheme="minorHAnsi" w:hAnsiTheme="minorHAnsi"/>
          <w:sz w:val="22"/>
        </w:rPr>
      </w:pPr>
    </w:p>
    <w:p w14:paraId="3B7E99BA" w14:textId="77777777" w:rsidR="00EA626F" w:rsidRPr="00E24084" w:rsidRDefault="00EA626F">
      <w:pPr>
        <w:spacing w:line="240" w:lineRule="auto"/>
        <w:rPr>
          <w:rFonts w:asciiTheme="minorHAnsi" w:hAnsiTheme="minorHAnsi"/>
          <w:sz w:val="22"/>
        </w:rPr>
      </w:pPr>
      <w:r w:rsidRPr="00E24084">
        <w:rPr>
          <w:rFonts w:asciiTheme="minorHAnsi" w:hAnsiTheme="minorHAnsi"/>
          <w:sz w:val="22"/>
        </w:rPr>
        <w:br w:type="page"/>
      </w:r>
    </w:p>
    <w:p w14:paraId="02DC39E2" w14:textId="77777777" w:rsidR="00EA626F" w:rsidRPr="00E24084" w:rsidRDefault="00EA626F" w:rsidP="00F67B11">
      <w:pPr>
        <w:spacing w:after="120" w:line="240" w:lineRule="auto"/>
        <w:jc w:val="both"/>
        <w:rPr>
          <w:rFonts w:asciiTheme="minorHAnsi" w:hAnsiTheme="minorHAnsi"/>
          <w:b/>
          <w:sz w:val="22"/>
        </w:rPr>
      </w:pPr>
      <w:proofErr w:type="gramStart"/>
      <w:r w:rsidRPr="00E24084">
        <w:rPr>
          <w:rFonts w:asciiTheme="minorHAnsi" w:hAnsiTheme="minorHAnsi"/>
          <w:b/>
          <w:sz w:val="22"/>
        </w:rPr>
        <w:lastRenderedPageBreak/>
        <w:t>Table 3.</w:t>
      </w:r>
      <w:proofErr w:type="gramEnd"/>
      <w:r w:rsidRPr="00E24084">
        <w:rPr>
          <w:rFonts w:asciiTheme="minorHAnsi" w:hAnsiTheme="minorHAnsi"/>
          <w:b/>
          <w:sz w:val="22"/>
        </w:rPr>
        <w:t xml:space="preserve"> Quality of life scores (EQ-5D-3L) in patients with a DSM-based diagnosis of depression (MD), atypical depression (AD) and without depression (ND).</w:t>
      </w:r>
    </w:p>
    <w:tbl>
      <w:tblPr>
        <w:tblStyle w:val="TableGrid"/>
        <w:tblW w:w="0" w:type="auto"/>
        <w:tblLook w:val="04A0" w:firstRow="1" w:lastRow="0" w:firstColumn="1" w:lastColumn="0" w:noHBand="0" w:noVBand="1"/>
      </w:tblPr>
      <w:tblGrid>
        <w:gridCol w:w="1921"/>
        <w:gridCol w:w="1256"/>
        <w:gridCol w:w="1255"/>
        <w:gridCol w:w="1257"/>
        <w:gridCol w:w="1941"/>
        <w:gridCol w:w="2224"/>
      </w:tblGrid>
      <w:tr w:rsidR="00EA626F" w:rsidRPr="00E24084" w14:paraId="120D370D" w14:textId="77777777" w:rsidTr="00F35CE2">
        <w:tc>
          <w:tcPr>
            <w:tcW w:w="0" w:type="auto"/>
          </w:tcPr>
          <w:p w14:paraId="55A54740" w14:textId="77777777" w:rsidR="00EA626F" w:rsidRPr="00E24084" w:rsidRDefault="00EA626F" w:rsidP="00F67B11">
            <w:pPr>
              <w:spacing w:after="120"/>
              <w:jc w:val="both"/>
              <w:rPr>
                <w:rFonts w:asciiTheme="minorHAnsi" w:hAnsiTheme="minorHAnsi"/>
                <w:b/>
              </w:rPr>
            </w:pPr>
          </w:p>
        </w:tc>
        <w:tc>
          <w:tcPr>
            <w:tcW w:w="0" w:type="auto"/>
          </w:tcPr>
          <w:p w14:paraId="40AB4C47" w14:textId="77777777" w:rsidR="00EA626F" w:rsidRPr="00E24084" w:rsidRDefault="00EA626F" w:rsidP="00466EDC">
            <w:pPr>
              <w:spacing w:after="120"/>
              <w:jc w:val="center"/>
              <w:rPr>
                <w:rFonts w:asciiTheme="minorHAnsi" w:hAnsiTheme="minorHAnsi"/>
                <w:b/>
              </w:rPr>
            </w:pPr>
            <w:r w:rsidRPr="00E24084">
              <w:rPr>
                <w:rFonts w:asciiTheme="minorHAnsi" w:hAnsiTheme="minorHAnsi"/>
                <w:b/>
              </w:rPr>
              <w:t>MD</w:t>
            </w:r>
          </w:p>
          <w:p w14:paraId="069A0B1A" w14:textId="77777777" w:rsidR="00EA626F" w:rsidRPr="00E24084" w:rsidRDefault="00EA626F" w:rsidP="00466EDC">
            <w:pPr>
              <w:spacing w:after="120"/>
              <w:jc w:val="center"/>
              <w:rPr>
                <w:rFonts w:asciiTheme="minorHAnsi" w:hAnsiTheme="minorHAnsi"/>
                <w:b/>
              </w:rPr>
            </w:pPr>
            <w:r w:rsidRPr="00E24084">
              <w:rPr>
                <w:rFonts w:asciiTheme="minorHAnsi" w:hAnsiTheme="minorHAnsi"/>
                <w:b/>
              </w:rPr>
              <w:t>N=41</w:t>
            </w:r>
          </w:p>
        </w:tc>
        <w:tc>
          <w:tcPr>
            <w:tcW w:w="0" w:type="auto"/>
          </w:tcPr>
          <w:p w14:paraId="5EA8869C" w14:textId="77777777" w:rsidR="00EA626F" w:rsidRPr="00E24084" w:rsidRDefault="00EA626F" w:rsidP="00466EDC">
            <w:pPr>
              <w:spacing w:after="120"/>
              <w:jc w:val="center"/>
              <w:rPr>
                <w:rFonts w:asciiTheme="minorHAnsi" w:hAnsiTheme="minorHAnsi"/>
                <w:b/>
              </w:rPr>
            </w:pPr>
            <w:r w:rsidRPr="00E24084">
              <w:rPr>
                <w:rFonts w:asciiTheme="minorHAnsi" w:hAnsiTheme="minorHAnsi"/>
                <w:b/>
              </w:rPr>
              <w:t>AD</w:t>
            </w:r>
          </w:p>
          <w:p w14:paraId="02410849" w14:textId="77777777" w:rsidR="00EA626F" w:rsidRPr="00E24084" w:rsidRDefault="00EA626F" w:rsidP="00466EDC">
            <w:pPr>
              <w:spacing w:after="120"/>
              <w:jc w:val="center"/>
              <w:rPr>
                <w:rFonts w:asciiTheme="minorHAnsi" w:hAnsiTheme="minorHAnsi"/>
                <w:b/>
              </w:rPr>
            </w:pPr>
            <w:r w:rsidRPr="00E24084">
              <w:rPr>
                <w:rFonts w:asciiTheme="minorHAnsi" w:hAnsiTheme="minorHAnsi"/>
                <w:b/>
              </w:rPr>
              <w:t>N=49</w:t>
            </w:r>
          </w:p>
        </w:tc>
        <w:tc>
          <w:tcPr>
            <w:tcW w:w="0" w:type="auto"/>
          </w:tcPr>
          <w:p w14:paraId="13E7846E" w14:textId="77777777" w:rsidR="00EA626F" w:rsidRPr="00E24084" w:rsidRDefault="00EA626F" w:rsidP="00466EDC">
            <w:pPr>
              <w:spacing w:after="120"/>
              <w:jc w:val="center"/>
              <w:rPr>
                <w:rFonts w:asciiTheme="minorHAnsi" w:hAnsiTheme="minorHAnsi"/>
                <w:b/>
              </w:rPr>
            </w:pPr>
            <w:r w:rsidRPr="00E24084">
              <w:rPr>
                <w:rFonts w:asciiTheme="minorHAnsi" w:hAnsiTheme="minorHAnsi"/>
                <w:b/>
              </w:rPr>
              <w:t>ND</w:t>
            </w:r>
          </w:p>
          <w:p w14:paraId="33D03460" w14:textId="77777777" w:rsidR="00EA626F" w:rsidRPr="00E24084" w:rsidRDefault="00EA626F" w:rsidP="00466EDC">
            <w:pPr>
              <w:spacing w:after="120"/>
              <w:jc w:val="center"/>
              <w:rPr>
                <w:rFonts w:asciiTheme="minorHAnsi" w:hAnsiTheme="minorHAnsi"/>
                <w:b/>
              </w:rPr>
            </w:pPr>
            <w:r w:rsidRPr="00E24084">
              <w:rPr>
                <w:rFonts w:asciiTheme="minorHAnsi" w:hAnsiTheme="minorHAnsi"/>
                <w:b/>
              </w:rPr>
              <w:t>N=166</w:t>
            </w:r>
          </w:p>
        </w:tc>
        <w:tc>
          <w:tcPr>
            <w:tcW w:w="0" w:type="auto"/>
          </w:tcPr>
          <w:p w14:paraId="55760B22" w14:textId="77777777" w:rsidR="00EA626F" w:rsidRPr="00E24084" w:rsidRDefault="00EA626F" w:rsidP="00F35CE2">
            <w:pPr>
              <w:spacing w:after="120"/>
              <w:jc w:val="center"/>
              <w:rPr>
                <w:rFonts w:asciiTheme="minorHAnsi" w:hAnsiTheme="minorHAnsi"/>
                <w:b/>
              </w:rPr>
            </w:pPr>
            <w:r w:rsidRPr="00E24084">
              <w:rPr>
                <w:rFonts w:asciiTheme="minorHAnsi" w:hAnsiTheme="minorHAnsi"/>
                <w:b/>
              </w:rPr>
              <w:t>ANOVA p value</w:t>
            </w:r>
          </w:p>
        </w:tc>
        <w:tc>
          <w:tcPr>
            <w:tcW w:w="0" w:type="auto"/>
          </w:tcPr>
          <w:p w14:paraId="2C960366" w14:textId="77777777" w:rsidR="00EA626F" w:rsidRPr="00E24084" w:rsidRDefault="00EA626F" w:rsidP="00F35CE2">
            <w:pPr>
              <w:spacing w:after="120"/>
              <w:jc w:val="center"/>
              <w:rPr>
                <w:rFonts w:asciiTheme="minorHAnsi" w:hAnsiTheme="minorHAnsi"/>
                <w:b/>
              </w:rPr>
            </w:pPr>
            <w:r w:rsidRPr="00E24084">
              <w:rPr>
                <w:rFonts w:asciiTheme="minorHAnsi" w:hAnsiTheme="minorHAnsi"/>
                <w:b/>
              </w:rPr>
              <w:t>Tukey p value</w:t>
            </w:r>
          </w:p>
        </w:tc>
      </w:tr>
      <w:tr w:rsidR="00EA626F" w:rsidRPr="00E24084" w14:paraId="32549968" w14:textId="77777777" w:rsidTr="00F35CE2">
        <w:tc>
          <w:tcPr>
            <w:tcW w:w="0" w:type="auto"/>
          </w:tcPr>
          <w:p w14:paraId="20059CC8" w14:textId="77777777" w:rsidR="00EA626F" w:rsidRPr="00E24084" w:rsidRDefault="00EA626F" w:rsidP="00466EDC">
            <w:pPr>
              <w:spacing w:after="120"/>
              <w:rPr>
                <w:rFonts w:asciiTheme="minorHAnsi" w:hAnsiTheme="minorHAnsi"/>
                <w:b/>
              </w:rPr>
            </w:pPr>
            <w:r w:rsidRPr="00E24084">
              <w:rPr>
                <w:rFonts w:asciiTheme="minorHAnsi" w:hAnsiTheme="minorHAnsi"/>
                <w:b/>
              </w:rPr>
              <w:t>EQ VAS (SD)</w:t>
            </w:r>
          </w:p>
        </w:tc>
        <w:tc>
          <w:tcPr>
            <w:tcW w:w="0" w:type="auto"/>
          </w:tcPr>
          <w:p w14:paraId="125C5AD5" w14:textId="77777777" w:rsidR="00EA626F" w:rsidRPr="00E24084" w:rsidRDefault="00EA626F" w:rsidP="00466EDC">
            <w:pPr>
              <w:spacing w:after="120"/>
              <w:jc w:val="center"/>
              <w:rPr>
                <w:rFonts w:asciiTheme="minorHAnsi" w:hAnsiTheme="minorHAnsi"/>
              </w:rPr>
            </w:pPr>
            <w:r w:rsidRPr="00E24084">
              <w:rPr>
                <w:rFonts w:asciiTheme="minorHAnsi" w:hAnsiTheme="minorHAnsi"/>
              </w:rPr>
              <w:t>52.1 (24.8)</w:t>
            </w:r>
          </w:p>
        </w:tc>
        <w:tc>
          <w:tcPr>
            <w:tcW w:w="0" w:type="auto"/>
          </w:tcPr>
          <w:p w14:paraId="7C155D5D" w14:textId="77777777" w:rsidR="00EA626F" w:rsidRPr="00E24084" w:rsidRDefault="00EA626F" w:rsidP="00466EDC">
            <w:pPr>
              <w:spacing w:after="120"/>
              <w:jc w:val="center"/>
              <w:rPr>
                <w:rFonts w:asciiTheme="minorHAnsi" w:hAnsiTheme="minorHAnsi"/>
              </w:rPr>
            </w:pPr>
            <w:r w:rsidRPr="00E24084">
              <w:rPr>
                <w:rFonts w:asciiTheme="minorHAnsi" w:hAnsiTheme="minorHAnsi"/>
              </w:rPr>
              <w:t>60.5 (18.2)</w:t>
            </w:r>
          </w:p>
        </w:tc>
        <w:tc>
          <w:tcPr>
            <w:tcW w:w="0" w:type="auto"/>
          </w:tcPr>
          <w:p w14:paraId="5AABBDA2" w14:textId="77777777" w:rsidR="00EA626F" w:rsidRPr="00E24084" w:rsidRDefault="00EA626F" w:rsidP="00466EDC">
            <w:pPr>
              <w:spacing w:after="120"/>
              <w:jc w:val="center"/>
              <w:rPr>
                <w:rFonts w:asciiTheme="minorHAnsi" w:hAnsiTheme="minorHAnsi"/>
              </w:rPr>
            </w:pPr>
            <w:r w:rsidRPr="00E24084">
              <w:rPr>
                <w:rFonts w:asciiTheme="minorHAnsi" w:hAnsiTheme="minorHAnsi"/>
              </w:rPr>
              <w:t>72.7 (19.2)</w:t>
            </w:r>
          </w:p>
        </w:tc>
        <w:tc>
          <w:tcPr>
            <w:tcW w:w="0" w:type="auto"/>
          </w:tcPr>
          <w:p w14:paraId="0996CBA4" w14:textId="77777777" w:rsidR="00EA626F" w:rsidRPr="00E24084" w:rsidRDefault="00EA626F" w:rsidP="00F35CE2">
            <w:pPr>
              <w:spacing w:after="120"/>
              <w:jc w:val="center"/>
              <w:rPr>
                <w:rFonts w:asciiTheme="minorHAnsi" w:hAnsiTheme="minorHAnsi"/>
              </w:rPr>
            </w:pPr>
            <w:r w:rsidRPr="00E24084">
              <w:rPr>
                <w:rFonts w:asciiTheme="minorHAnsi" w:hAnsiTheme="minorHAnsi"/>
              </w:rPr>
              <w:t>F=20.609 p&lt;0.001</w:t>
            </w:r>
          </w:p>
        </w:tc>
        <w:tc>
          <w:tcPr>
            <w:tcW w:w="0" w:type="auto"/>
          </w:tcPr>
          <w:p w14:paraId="790F199B" w14:textId="77777777" w:rsidR="00EA626F" w:rsidRPr="00E24084" w:rsidRDefault="00EA626F" w:rsidP="00466EDC">
            <w:pPr>
              <w:spacing w:after="120"/>
              <w:jc w:val="center"/>
              <w:rPr>
                <w:rFonts w:asciiTheme="minorHAnsi" w:hAnsiTheme="minorHAnsi"/>
              </w:rPr>
            </w:pPr>
            <w:r w:rsidRPr="00E24084">
              <w:rPr>
                <w:rFonts w:asciiTheme="minorHAnsi" w:hAnsiTheme="minorHAnsi"/>
              </w:rPr>
              <w:t>MD&gt;ND p&lt;0.001</w:t>
            </w:r>
          </w:p>
          <w:p w14:paraId="53565701" w14:textId="77777777" w:rsidR="00EA626F" w:rsidRPr="00E24084" w:rsidRDefault="00EA626F" w:rsidP="00466EDC">
            <w:pPr>
              <w:spacing w:after="120"/>
              <w:jc w:val="center"/>
              <w:rPr>
                <w:rFonts w:asciiTheme="minorHAnsi" w:hAnsiTheme="minorHAnsi"/>
              </w:rPr>
            </w:pPr>
            <w:r w:rsidRPr="00E24084">
              <w:rPr>
                <w:rFonts w:asciiTheme="minorHAnsi" w:hAnsiTheme="minorHAnsi"/>
              </w:rPr>
              <w:t>AD&gt;ND p=0.001</w:t>
            </w:r>
          </w:p>
        </w:tc>
      </w:tr>
      <w:tr w:rsidR="00EA626F" w:rsidRPr="00E24084" w14:paraId="01EEACF8" w14:textId="77777777" w:rsidTr="00F35CE2">
        <w:tc>
          <w:tcPr>
            <w:tcW w:w="0" w:type="auto"/>
          </w:tcPr>
          <w:p w14:paraId="728DEEAA" w14:textId="77777777" w:rsidR="00EA626F" w:rsidRPr="00E24084" w:rsidRDefault="00EA626F" w:rsidP="00466EDC">
            <w:pPr>
              <w:spacing w:after="120"/>
              <w:jc w:val="both"/>
              <w:rPr>
                <w:rFonts w:asciiTheme="minorHAnsi" w:hAnsiTheme="minorHAnsi"/>
                <w:b/>
              </w:rPr>
            </w:pPr>
            <w:r w:rsidRPr="00E24084">
              <w:rPr>
                <w:rFonts w:asciiTheme="minorHAnsi" w:hAnsiTheme="minorHAnsi"/>
                <w:b/>
              </w:rPr>
              <w:t>EQ Mobility (SD)</w:t>
            </w:r>
          </w:p>
        </w:tc>
        <w:tc>
          <w:tcPr>
            <w:tcW w:w="0" w:type="auto"/>
          </w:tcPr>
          <w:p w14:paraId="4A09DF53" w14:textId="77777777" w:rsidR="00EA626F" w:rsidRPr="00E24084" w:rsidRDefault="00EA626F" w:rsidP="00466EDC">
            <w:pPr>
              <w:spacing w:after="120"/>
              <w:jc w:val="center"/>
              <w:rPr>
                <w:rFonts w:asciiTheme="minorHAnsi" w:hAnsiTheme="minorHAnsi"/>
              </w:rPr>
            </w:pPr>
            <w:r w:rsidRPr="00E24084">
              <w:rPr>
                <w:rFonts w:asciiTheme="minorHAnsi" w:hAnsiTheme="minorHAnsi"/>
              </w:rPr>
              <w:t>1.4 (0.5)</w:t>
            </w:r>
          </w:p>
        </w:tc>
        <w:tc>
          <w:tcPr>
            <w:tcW w:w="0" w:type="auto"/>
          </w:tcPr>
          <w:p w14:paraId="77C95ED2" w14:textId="77777777" w:rsidR="00EA626F" w:rsidRPr="00E24084" w:rsidRDefault="00EA626F" w:rsidP="00466EDC">
            <w:pPr>
              <w:spacing w:after="120"/>
              <w:jc w:val="center"/>
              <w:rPr>
                <w:rFonts w:asciiTheme="minorHAnsi" w:hAnsiTheme="minorHAnsi"/>
              </w:rPr>
            </w:pPr>
            <w:r w:rsidRPr="00E24084">
              <w:rPr>
                <w:rFonts w:asciiTheme="minorHAnsi" w:hAnsiTheme="minorHAnsi"/>
              </w:rPr>
              <w:t>1.2 (0.4)</w:t>
            </w:r>
          </w:p>
        </w:tc>
        <w:tc>
          <w:tcPr>
            <w:tcW w:w="0" w:type="auto"/>
          </w:tcPr>
          <w:p w14:paraId="03479F2B" w14:textId="77777777" w:rsidR="00EA626F" w:rsidRPr="00E24084" w:rsidRDefault="00EA626F" w:rsidP="00466EDC">
            <w:pPr>
              <w:spacing w:after="120"/>
              <w:jc w:val="center"/>
              <w:rPr>
                <w:rFonts w:asciiTheme="minorHAnsi" w:hAnsiTheme="minorHAnsi"/>
              </w:rPr>
            </w:pPr>
            <w:r w:rsidRPr="00E24084">
              <w:rPr>
                <w:rFonts w:asciiTheme="minorHAnsi" w:hAnsiTheme="minorHAnsi"/>
              </w:rPr>
              <w:t>1.2 (0.4)</w:t>
            </w:r>
          </w:p>
        </w:tc>
        <w:tc>
          <w:tcPr>
            <w:tcW w:w="0" w:type="auto"/>
          </w:tcPr>
          <w:p w14:paraId="6DB1F847" w14:textId="77777777" w:rsidR="00EA626F" w:rsidRPr="00E24084" w:rsidRDefault="00EA626F" w:rsidP="00F35CE2">
            <w:pPr>
              <w:spacing w:after="120"/>
              <w:jc w:val="center"/>
              <w:rPr>
                <w:rFonts w:asciiTheme="minorHAnsi" w:hAnsiTheme="minorHAnsi"/>
              </w:rPr>
            </w:pPr>
            <w:r w:rsidRPr="00E24084">
              <w:rPr>
                <w:rFonts w:asciiTheme="minorHAnsi" w:hAnsiTheme="minorHAnsi"/>
              </w:rPr>
              <w:t xml:space="preserve">F=5.385 p=0.005 </w:t>
            </w:r>
          </w:p>
        </w:tc>
        <w:tc>
          <w:tcPr>
            <w:tcW w:w="0" w:type="auto"/>
          </w:tcPr>
          <w:p w14:paraId="5F8EBCD2" w14:textId="77777777" w:rsidR="00EA626F" w:rsidRPr="00E24084" w:rsidRDefault="00EA626F" w:rsidP="00466EDC">
            <w:pPr>
              <w:spacing w:after="120"/>
              <w:jc w:val="center"/>
              <w:rPr>
                <w:rFonts w:asciiTheme="minorHAnsi" w:hAnsiTheme="minorHAnsi"/>
              </w:rPr>
            </w:pPr>
            <w:r w:rsidRPr="00E24084">
              <w:rPr>
                <w:rFonts w:asciiTheme="minorHAnsi" w:hAnsiTheme="minorHAnsi"/>
              </w:rPr>
              <w:t>MD&gt;ND p=0.004</w:t>
            </w:r>
          </w:p>
        </w:tc>
      </w:tr>
      <w:tr w:rsidR="00EA626F" w:rsidRPr="00E24084" w14:paraId="031DAA73" w14:textId="77777777" w:rsidTr="00F35CE2">
        <w:tc>
          <w:tcPr>
            <w:tcW w:w="0" w:type="auto"/>
          </w:tcPr>
          <w:p w14:paraId="3C6E500E" w14:textId="77777777" w:rsidR="00EA626F" w:rsidRPr="00E24084" w:rsidRDefault="00EA626F" w:rsidP="00F67B11">
            <w:pPr>
              <w:spacing w:after="120"/>
              <w:jc w:val="both"/>
              <w:rPr>
                <w:rFonts w:asciiTheme="minorHAnsi" w:hAnsiTheme="minorHAnsi"/>
                <w:b/>
              </w:rPr>
            </w:pPr>
            <w:r w:rsidRPr="00E24084">
              <w:rPr>
                <w:rFonts w:asciiTheme="minorHAnsi" w:hAnsiTheme="minorHAnsi"/>
                <w:b/>
              </w:rPr>
              <w:t xml:space="preserve">EQ Self-care (SD) </w:t>
            </w:r>
          </w:p>
        </w:tc>
        <w:tc>
          <w:tcPr>
            <w:tcW w:w="0" w:type="auto"/>
          </w:tcPr>
          <w:p w14:paraId="6F01F823" w14:textId="77777777" w:rsidR="00EA626F" w:rsidRPr="00E24084" w:rsidRDefault="00EA626F" w:rsidP="00466EDC">
            <w:pPr>
              <w:spacing w:after="120"/>
              <w:jc w:val="center"/>
              <w:rPr>
                <w:rFonts w:asciiTheme="minorHAnsi" w:hAnsiTheme="minorHAnsi"/>
              </w:rPr>
            </w:pPr>
            <w:r w:rsidRPr="00E24084">
              <w:rPr>
                <w:rFonts w:asciiTheme="minorHAnsi" w:hAnsiTheme="minorHAnsi"/>
              </w:rPr>
              <w:t>1.2 (0.4)</w:t>
            </w:r>
          </w:p>
        </w:tc>
        <w:tc>
          <w:tcPr>
            <w:tcW w:w="0" w:type="auto"/>
          </w:tcPr>
          <w:p w14:paraId="39993965" w14:textId="77777777" w:rsidR="00EA626F" w:rsidRPr="00E24084" w:rsidRDefault="00EA626F" w:rsidP="00466EDC">
            <w:pPr>
              <w:spacing w:after="120"/>
              <w:jc w:val="center"/>
              <w:rPr>
                <w:rFonts w:asciiTheme="minorHAnsi" w:hAnsiTheme="minorHAnsi"/>
              </w:rPr>
            </w:pPr>
            <w:r w:rsidRPr="00E24084">
              <w:rPr>
                <w:rFonts w:asciiTheme="minorHAnsi" w:hAnsiTheme="minorHAnsi"/>
              </w:rPr>
              <w:t>1.1 (0.3)</w:t>
            </w:r>
          </w:p>
        </w:tc>
        <w:tc>
          <w:tcPr>
            <w:tcW w:w="0" w:type="auto"/>
          </w:tcPr>
          <w:p w14:paraId="463BBA12" w14:textId="77777777" w:rsidR="00EA626F" w:rsidRPr="00E24084" w:rsidRDefault="00EA626F" w:rsidP="00466EDC">
            <w:pPr>
              <w:spacing w:after="120"/>
              <w:jc w:val="center"/>
              <w:rPr>
                <w:rFonts w:asciiTheme="minorHAnsi" w:hAnsiTheme="minorHAnsi"/>
              </w:rPr>
            </w:pPr>
            <w:r w:rsidRPr="00E24084">
              <w:rPr>
                <w:rFonts w:asciiTheme="minorHAnsi" w:hAnsiTheme="minorHAnsi"/>
              </w:rPr>
              <w:t>1.0 (0.2)</w:t>
            </w:r>
          </w:p>
        </w:tc>
        <w:tc>
          <w:tcPr>
            <w:tcW w:w="0" w:type="auto"/>
          </w:tcPr>
          <w:p w14:paraId="7C5E3155" w14:textId="77777777" w:rsidR="00EA626F" w:rsidRPr="00E24084" w:rsidRDefault="00EA626F" w:rsidP="00F35CE2">
            <w:pPr>
              <w:spacing w:after="120"/>
              <w:jc w:val="center"/>
              <w:rPr>
                <w:rFonts w:asciiTheme="minorHAnsi" w:hAnsiTheme="minorHAnsi"/>
              </w:rPr>
            </w:pPr>
            <w:r w:rsidRPr="00E24084">
              <w:rPr>
                <w:rFonts w:asciiTheme="minorHAnsi" w:hAnsiTheme="minorHAnsi"/>
              </w:rPr>
              <w:t xml:space="preserve">F=5.177 p=0.006  </w:t>
            </w:r>
          </w:p>
        </w:tc>
        <w:tc>
          <w:tcPr>
            <w:tcW w:w="0" w:type="auto"/>
          </w:tcPr>
          <w:p w14:paraId="44978031" w14:textId="77777777" w:rsidR="00EA626F" w:rsidRPr="00E24084" w:rsidRDefault="00EA626F" w:rsidP="00466EDC">
            <w:pPr>
              <w:spacing w:after="120"/>
              <w:jc w:val="center"/>
              <w:rPr>
                <w:rFonts w:asciiTheme="minorHAnsi" w:hAnsiTheme="minorHAnsi"/>
              </w:rPr>
            </w:pPr>
            <w:r w:rsidRPr="00E24084">
              <w:rPr>
                <w:rFonts w:asciiTheme="minorHAnsi" w:hAnsiTheme="minorHAnsi"/>
              </w:rPr>
              <w:t>MD&gt;ND p=0.007</w:t>
            </w:r>
          </w:p>
        </w:tc>
      </w:tr>
      <w:tr w:rsidR="00EA626F" w:rsidRPr="00E24084" w14:paraId="46028CA8" w14:textId="77777777" w:rsidTr="00F35CE2">
        <w:tc>
          <w:tcPr>
            <w:tcW w:w="0" w:type="auto"/>
          </w:tcPr>
          <w:p w14:paraId="2420BEAB" w14:textId="77777777" w:rsidR="00EA626F" w:rsidRPr="00E24084" w:rsidRDefault="00EA626F" w:rsidP="00F67B11">
            <w:pPr>
              <w:spacing w:after="120"/>
              <w:jc w:val="both"/>
              <w:rPr>
                <w:rFonts w:asciiTheme="minorHAnsi" w:hAnsiTheme="minorHAnsi"/>
                <w:b/>
              </w:rPr>
            </w:pPr>
            <w:r w:rsidRPr="00E24084">
              <w:rPr>
                <w:rFonts w:asciiTheme="minorHAnsi" w:hAnsiTheme="minorHAnsi"/>
                <w:b/>
              </w:rPr>
              <w:t>EQ Activities (SD)</w:t>
            </w:r>
          </w:p>
        </w:tc>
        <w:tc>
          <w:tcPr>
            <w:tcW w:w="0" w:type="auto"/>
          </w:tcPr>
          <w:p w14:paraId="173F6524" w14:textId="77777777" w:rsidR="00EA626F" w:rsidRPr="00E24084" w:rsidRDefault="00EA626F" w:rsidP="00851150">
            <w:pPr>
              <w:spacing w:after="120"/>
              <w:jc w:val="center"/>
              <w:rPr>
                <w:rFonts w:asciiTheme="minorHAnsi" w:hAnsiTheme="minorHAnsi"/>
              </w:rPr>
            </w:pPr>
            <w:r w:rsidRPr="00E24084">
              <w:rPr>
                <w:rFonts w:asciiTheme="minorHAnsi" w:hAnsiTheme="minorHAnsi"/>
              </w:rPr>
              <w:t>1.7 (0.7)</w:t>
            </w:r>
          </w:p>
        </w:tc>
        <w:tc>
          <w:tcPr>
            <w:tcW w:w="0" w:type="auto"/>
          </w:tcPr>
          <w:p w14:paraId="7617D756" w14:textId="77777777" w:rsidR="00EA626F" w:rsidRPr="00E24084" w:rsidRDefault="00EA626F" w:rsidP="00466EDC">
            <w:pPr>
              <w:spacing w:after="120"/>
              <w:jc w:val="center"/>
              <w:rPr>
                <w:rFonts w:asciiTheme="minorHAnsi" w:hAnsiTheme="minorHAnsi"/>
              </w:rPr>
            </w:pPr>
            <w:r w:rsidRPr="00E24084">
              <w:rPr>
                <w:rFonts w:asciiTheme="minorHAnsi" w:hAnsiTheme="minorHAnsi"/>
              </w:rPr>
              <w:t>1.6 (0.6)</w:t>
            </w:r>
          </w:p>
        </w:tc>
        <w:tc>
          <w:tcPr>
            <w:tcW w:w="0" w:type="auto"/>
          </w:tcPr>
          <w:p w14:paraId="0BAD0677" w14:textId="77777777" w:rsidR="00EA626F" w:rsidRPr="00E24084" w:rsidRDefault="00EA626F" w:rsidP="00466EDC">
            <w:pPr>
              <w:spacing w:after="120"/>
              <w:jc w:val="center"/>
              <w:rPr>
                <w:rFonts w:asciiTheme="minorHAnsi" w:hAnsiTheme="minorHAnsi"/>
              </w:rPr>
            </w:pPr>
            <w:r w:rsidRPr="00E24084">
              <w:rPr>
                <w:rFonts w:asciiTheme="minorHAnsi" w:hAnsiTheme="minorHAnsi"/>
              </w:rPr>
              <w:t>1.2 (0.5)</w:t>
            </w:r>
          </w:p>
        </w:tc>
        <w:tc>
          <w:tcPr>
            <w:tcW w:w="0" w:type="auto"/>
          </w:tcPr>
          <w:p w14:paraId="07DDBF67" w14:textId="77777777" w:rsidR="00EA626F" w:rsidRPr="00E24084" w:rsidRDefault="00EA626F" w:rsidP="00F35CE2">
            <w:pPr>
              <w:spacing w:after="120"/>
              <w:jc w:val="center"/>
              <w:rPr>
                <w:rFonts w:asciiTheme="minorHAnsi" w:hAnsiTheme="minorHAnsi"/>
              </w:rPr>
            </w:pPr>
            <w:r w:rsidRPr="00E24084">
              <w:rPr>
                <w:rFonts w:asciiTheme="minorHAnsi" w:hAnsiTheme="minorHAnsi"/>
              </w:rPr>
              <w:t xml:space="preserve">F=16.853 p&lt;0.001 </w:t>
            </w:r>
          </w:p>
        </w:tc>
        <w:tc>
          <w:tcPr>
            <w:tcW w:w="0" w:type="auto"/>
          </w:tcPr>
          <w:p w14:paraId="6104806C" w14:textId="77777777" w:rsidR="00EA626F" w:rsidRPr="00E24084" w:rsidRDefault="00EA626F" w:rsidP="00466EDC">
            <w:pPr>
              <w:spacing w:after="120"/>
              <w:jc w:val="center"/>
              <w:rPr>
                <w:rFonts w:asciiTheme="minorHAnsi" w:hAnsiTheme="minorHAnsi"/>
              </w:rPr>
            </w:pPr>
            <w:r w:rsidRPr="00E24084">
              <w:rPr>
                <w:rFonts w:asciiTheme="minorHAnsi" w:hAnsiTheme="minorHAnsi"/>
              </w:rPr>
              <w:t>MD&gt;ND p&lt;0.001</w:t>
            </w:r>
          </w:p>
          <w:p w14:paraId="04BF9D4F" w14:textId="77777777" w:rsidR="00EA626F" w:rsidRPr="00E24084" w:rsidRDefault="00EA626F" w:rsidP="00466EDC">
            <w:pPr>
              <w:spacing w:after="120"/>
              <w:jc w:val="center"/>
              <w:rPr>
                <w:rFonts w:asciiTheme="minorHAnsi" w:hAnsiTheme="minorHAnsi"/>
              </w:rPr>
            </w:pPr>
            <w:r w:rsidRPr="00E24084">
              <w:rPr>
                <w:rFonts w:asciiTheme="minorHAnsi" w:hAnsiTheme="minorHAnsi"/>
              </w:rPr>
              <w:t>AD&gt;ND p=0.001</w:t>
            </w:r>
          </w:p>
        </w:tc>
      </w:tr>
      <w:tr w:rsidR="00EA626F" w:rsidRPr="00E24084" w14:paraId="4727B58F" w14:textId="77777777" w:rsidTr="00F35CE2">
        <w:tc>
          <w:tcPr>
            <w:tcW w:w="0" w:type="auto"/>
          </w:tcPr>
          <w:p w14:paraId="6ADAE245" w14:textId="77777777" w:rsidR="00EA626F" w:rsidRPr="00E24084" w:rsidRDefault="00EA626F" w:rsidP="00F67B11">
            <w:pPr>
              <w:spacing w:after="120"/>
              <w:jc w:val="both"/>
              <w:rPr>
                <w:rFonts w:asciiTheme="minorHAnsi" w:hAnsiTheme="minorHAnsi"/>
                <w:b/>
              </w:rPr>
            </w:pPr>
            <w:r w:rsidRPr="00E24084">
              <w:rPr>
                <w:rFonts w:asciiTheme="minorHAnsi" w:hAnsiTheme="minorHAnsi"/>
                <w:b/>
              </w:rPr>
              <w:t>EQ Pain (SD)</w:t>
            </w:r>
          </w:p>
        </w:tc>
        <w:tc>
          <w:tcPr>
            <w:tcW w:w="0" w:type="auto"/>
          </w:tcPr>
          <w:p w14:paraId="6A2757B7" w14:textId="77777777" w:rsidR="00EA626F" w:rsidRPr="00E24084" w:rsidRDefault="00EA626F" w:rsidP="00466EDC">
            <w:pPr>
              <w:spacing w:after="120"/>
              <w:jc w:val="center"/>
              <w:rPr>
                <w:rFonts w:asciiTheme="minorHAnsi" w:hAnsiTheme="minorHAnsi"/>
              </w:rPr>
            </w:pPr>
            <w:r w:rsidRPr="00E24084">
              <w:rPr>
                <w:rFonts w:asciiTheme="minorHAnsi" w:hAnsiTheme="minorHAnsi"/>
              </w:rPr>
              <w:t>1.8 (0.7)</w:t>
            </w:r>
          </w:p>
        </w:tc>
        <w:tc>
          <w:tcPr>
            <w:tcW w:w="0" w:type="auto"/>
          </w:tcPr>
          <w:p w14:paraId="025D01FE" w14:textId="77777777" w:rsidR="00EA626F" w:rsidRPr="00E24084" w:rsidRDefault="00EA626F" w:rsidP="00466EDC">
            <w:pPr>
              <w:spacing w:after="120"/>
              <w:jc w:val="center"/>
              <w:rPr>
                <w:rFonts w:asciiTheme="minorHAnsi" w:hAnsiTheme="minorHAnsi"/>
              </w:rPr>
            </w:pPr>
            <w:r w:rsidRPr="00E24084">
              <w:rPr>
                <w:rFonts w:asciiTheme="minorHAnsi" w:hAnsiTheme="minorHAnsi"/>
              </w:rPr>
              <w:t>1.5 (0.5)</w:t>
            </w:r>
          </w:p>
        </w:tc>
        <w:tc>
          <w:tcPr>
            <w:tcW w:w="0" w:type="auto"/>
          </w:tcPr>
          <w:p w14:paraId="45222013" w14:textId="77777777" w:rsidR="00EA626F" w:rsidRPr="00E24084" w:rsidRDefault="00EA626F" w:rsidP="00466EDC">
            <w:pPr>
              <w:spacing w:after="120"/>
              <w:jc w:val="center"/>
              <w:rPr>
                <w:rFonts w:asciiTheme="minorHAnsi" w:hAnsiTheme="minorHAnsi"/>
              </w:rPr>
            </w:pPr>
            <w:r w:rsidRPr="00E24084">
              <w:rPr>
                <w:rFonts w:asciiTheme="minorHAnsi" w:hAnsiTheme="minorHAnsi"/>
              </w:rPr>
              <w:t>1.3 (0.5)</w:t>
            </w:r>
          </w:p>
        </w:tc>
        <w:tc>
          <w:tcPr>
            <w:tcW w:w="0" w:type="auto"/>
          </w:tcPr>
          <w:p w14:paraId="49355896" w14:textId="77777777" w:rsidR="00EA626F" w:rsidRPr="00E24084" w:rsidRDefault="00EA626F" w:rsidP="00F35CE2">
            <w:pPr>
              <w:spacing w:after="120"/>
              <w:jc w:val="center"/>
              <w:rPr>
                <w:rFonts w:asciiTheme="minorHAnsi" w:hAnsiTheme="minorHAnsi"/>
              </w:rPr>
            </w:pPr>
            <w:r w:rsidRPr="00E24084">
              <w:rPr>
                <w:rFonts w:asciiTheme="minorHAnsi" w:hAnsiTheme="minorHAnsi"/>
              </w:rPr>
              <w:t xml:space="preserve">F=13.825 p&lt;0.001 </w:t>
            </w:r>
          </w:p>
        </w:tc>
        <w:tc>
          <w:tcPr>
            <w:tcW w:w="0" w:type="auto"/>
          </w:tcPr>
          <w:p w14:paraId="1E94619D" w14:textId="77777777" w:rsidR="00EA626F" w:rsidRPr="00E24084" w:rsidRDefault="00EA626F" w:rsidP="00466EDC">
            <w:pPr>
              <w:spacing w:after="120"/>
              <w:jc w:val="center"/>
              <w:rPr>
                <w:rFonts w:asciiTheme="minorHAnsi" w:hAnsiTheme="minorHAnsi"/>
              </w:rPr>
            </w:pPr>
            <w:r w:rsidRPr="00E24084">
              <w:rPr>
                <w:rFonts w:asciiTheme="minorHAnsi" w:hAnsiTheme="minorHAnsi"/>
              </w:rPr>
              <w:t>MD&gt;AD p=0.015</w:t>
            </w:r>
          </w:p>
          <w:p w14:paraId="3D7185D3" w14:textId="77777777" w:rsidR="00EA626F" w:rsidRPr="00E24084" w:rsidRDefault="00EA626F" w:rsidP="00466EDC">
            <w:pPr>
              <w:spacing w:after="120"/>
              <w:jc w:val="center"/>
              <w:rPr>
                <w:rFonts w:asciiTheme="minorHAnsi" w:hAnsiTheme="minorHAnsi"/>
              </w:rPr>
            </w:pPr>
            <w:r w:rsidRPr="00E24084">
              <w:rPr>
                <w:rFonts w:asciiTheme="minorHAnsi" w:hAnsiTheme="minorHAnsi"/>
              </w:rPr>
              <w:t>MD&gt;ND p&lt;0.001</w:t>
            </w:r>
          </w:p>
        </w:tc>
      </w:tr>
      <w:tr w:rsidR="00EA626F" w:rsidRPr="00E24084" w14:paraId="6617E932" w14:textId="77777777" w:rsidTr="00F35CE2">
        <w:tc>
          <w:tcPr>
            <w:tcW w:w="0" w:type="auto"/>
          </w:tcPr>
          <w:p w14:paraId="596D1AD8" w14:textId="77777777" w:rsidR="00EA626F" w:rsidRPr="00E24084" w:rsidRDefault="00EA626F" w:rsidP="00F67B11">
            <w:pPr>
              <w:spacing w:after="120"/>
              <w:jc w:val="both"/>
              <w:rPr>
                <w:rFonts w:asciiTheme="minorHAnsi" w:hAnsiTheme="minorHAnsi"/>
                <w:b/>
              </w:rPr>
            </w:pPr>
            <w:r w:rsidRPr="00E24084">
              <w:rPr>
                <w:rFonts w:asciiTheme="minorHAnsi" w:hAnsiTheme="minorHAnsi"/>
                <w:b/>
              </w:rPr>
              <w:t xml:space="preserve">EQ </w:t>
            </w:r>
            <w:proofErr w:type="spellStart"/>
            <w:r w:rsidRPr="00E24084">
              <w:rPr>
                <w:rFonts w:asciiTheme="minorHAnsi" w:hAnsiTheme="minorHAnsi"/>
                <w:b/>
              </w:rPr>
              <w:t>Anx</w:t>
            </w:r>
            <w:proofErr w:type="spellEnd"/>
            <w:r w:rsidRPr="00E24084">
              <w:rPr>
                <w:rFonts w:asciiTheme="minorHAnsi" w:hAnsiTheme="minorHAnsi"/>
                <w:b/>
              </w:rPr>
              <w:t>/</w:t>
            </w:r>
            <w:proofErr w:type="spellStart"/>
            <w:r w:rsidRPr="00E24084">
              <w:rPr>
                <w:rFonts w:asciiTheme="minorHAnsi" w:hAnsiTheme="minorHAnsi"/>
                <w:b/>
              </w:rPr>
              <w:t>Dep</w:t>
            </w:r>
            <w:proofErr w:type="spellEnd"/>
            <w:r w:rsidRPr="00E24084">
              <w:rPr>
                <w:rFonts w:asciiTheme="minorHAnsi" w:hAnsiTheme="minorHAnsi"/>
                <w:b/>
              </w:rPr>
              <w:t xml:space="preserve"> (SD)</w:t>
            </w:r>
          </w:p>
        </w:tc>
        <w:tc>
          <w:tcPr>
            <w:tcW w:w="0" w:type="auto"/>
          </w:tcPr>
          <w:p w14:paraId="49ABBFE3" w14:textId="77777777" w:rsidR="00EA626F" w:rsidRPr="00E24084" w:rsidRDefault="00EA626F" w:rsidP="00466EDC">
            <w:pPr>
              <w:spacing w:after="120"/>
              <w:jc w:val="center"/>
              <w:rPr>
                <w:rFonts w:asciiTheme="minorHAnsi" w:hAnsiTheme="minorHAnsi"/>
              </w:rPr>
            </w:pPr>
            <w:r w:rsidRPr="00E24084">
              <w:rPr>
                <w:rFonts w:asciiTheme="minorHAnsi" w:hAnsiTheme="minorHAnsi"/>
              </w:rPr>
              <w:t>2.1 (0.5)</w:t>
            </w:r>
          </w:p>
        </w:tc>
        <w:tc>
          <w:tcPr>
            <w:tcW w:w="0" w:type="auto"/>
          </w:tcPr>
          <w:p w14:paraId="5CED4520" w14:textId="77777777" w:rsidR="00EA626F" w:rsidRPr="00E24084" w:rsidRDefault="00EA626F" w:rsidP="00466EDC">
            <w:pPr>
              <w:spacing w:after="120"/>
              <w:jc w:val="center"/>
              <w:rPr>
                <w:rFonts w:asciiTheme="minorHAnsi" w:hAnsiTheme="minorHAnsi"/>
              </w:rPr>
            </w:pPr>
            <w:r w:rsidRPr="00E24084">
              <w:rPr>
                <w:rFonts w:asciiTheme="minorHAnsi" w:hAnsiTheme="minorHAnsi"/>
              </w:rPr>
              <w:t>1.7 (0.5)</w:t>
            </w:r>
          </w:p>
        </w:tc>
        <w:tc>
          <w:tcPr>
            <w:tcW w:w="0" w:type="auto"/>
          </w:tcPr>
          <w:p w14:paraId="1581B86A" w14:textId="77777777" w:rsidR="00EA626F" w:rsidRPr="00E24084" w:rsidRDefault="00EA626F" w:rsidP="00466EDC">
            <w:pPr>
              <w:spacing w:after="120"/>
              <w:jc w:val="center"/>
              <w:rPr>
                <w:rFonts w:asciiTheme="minorHAnsi" w:hAnsiTheme="minorHAnsi"/>
              </w:rPr>
            </w:pPr>
            <w:r w:rsidRPr="00E24084">
              <w:rPr>
                <w:rFonts w:asciiTheme="minorHAnsi" w:hAnsiTheme="minorHAnsi"/>
              </w:rPr>
              <w:t>1.3 (0.5)</w:t>
            </w:r>
          </w:p>
        </w:tc>
        <w:tc>
          <w:tcPr>
            <w:tcW w:w="0" w:type="auto"/>
          </w:tcPr>
          <w:p w14:paraId="2C8C818B" w14:textId="77777777" w:rsidR="00EA626F" w:rsidRPr="00E24084" w:rsidRDefault="00EA626F" w:rsidP="00F35CE2">
            <w:pPr>
              <w:spacing w:after="120"/>
              <w:jc w:val="center"/>
              <w:rPr>
                <w:rFonts w:asciiTheme="minorHAnsi" w:hAnsiTheme="minorHAnsi"/>
              </w:rPr>
            </w:pPr>
            <w:r w:rsidRPr="00E24084">
              <w:rPr>
                <w:rFonts w:asciiTheme="minorHAnsi" w:hAnsiTheme="minorHAnsi"/>
              </w:rPr>
              <w:t>F=43.797 p&lt;0.001</w:t>
            </w:r>
          </w:p>
        </w:tc>
        <w:tc>
          <w:tcPr>
            <w:tcW w:w="0" w:type="auto"/>
          </w:tcPr>
          <w:p w14:paraId="25526C77" w14:textId="77777777" w:rsidR="00EA626F" w:rsidRPr="00E24084" w:rsidRDefault="00EA626F" w:rsidP="00466EDC">
            <w:pPr>
              <w:spacing w:after="120"/>
              <w:jc w:val="center"/>
              <w:rPr>
                <w:rFonts w:asciiTheme="minorHAnsi" w:hAnsiTheme="minorHAnsi"/>
              </w:rPr>
            </w:pPr>
            <w:r w:rsidRPr="00E24084">
              <w:rPr>
                <w:rFonts w:asciiTheme="minorHAnsi" w:hAnsiTheme="minorHAnsi"/>
              </w:rPr>
              <w:t>MD&gt;AD&gt;ND p=0.001</w:t>
            </w:r>
          </w:p>
        </w:tc>
      </w:tr>
    </w:tbl>
    <w:p w14:paraId="3E5A0672" w14:textId="77777777" w:rsidR="00EA626F" w:rsidRPr="00E24084" w:rsidRDefault="00EA626F" w:rsidP="00F67B11">
      <w:pPr>
        <w:spacing w:after="120" w:line="240" w:lineRule="auto"/>
        <w:jc w:val="both"/>
        <w:rPr>
          <w:rFonts w:asciiTheme="minorHAnsi" w:hAnsiTheme="minorHAnsi"/>
          <w:b/>
          <w:sz w:val="22"/>
        </w:rPr>
      </w:pPr>
    </w:p>
    <w:p w14:paraId="1EB610BE" w14:textId="77777777" w:rsidR="00EA626F" w:rsidRPr="00E24084" w:rsidRDefault="00EA626F" w:rsidP="00F67B11">
      <w:pPr>
        <w:spacing w:after="120" w:line="240" w:lineRule="auto"/>
        <w:jc w:val="both"/>
        <w:rPr>
          <w:rFonts w:asciiTheme="minorHAnsi" w:hAnsiTheme="minorHAnsi"/>
          <w:b/>
          <w:sz w:val="22"/>
        </w:rPr>
      </w:pPr>
    </w:p>
    <w:p w14:paraId="49AD0DE2" w14:textId="77777777" w:rsidR="00EA626F" w:rsidRPr="00E24084" w:rsidRDefault="00EA626F" w:rsidP="00F67B11">
      <w:pPr>
        <w:spacing w:after="120" w:line="240" w:lineRule="auto"/>
        <w:jc w:val="both"/>
        <w:rPr>
          <w:rFonts w:asciiTheme="minorHAnsi" w:hAnsiTheme="minorHAnsi"/>
          <w:sz w:val="22"/>
        </w:rPr>
      </w:pPr>
    </w:p>
    <w:p w14:paraId="0EFA6E2C" w14:textId="77777777" w:rsidR="00EA626F" w:rsidRPr="00E24084" w:rsidRDefault="00EA626F" w:rsidP="00F67B11">
      <w:pPr>
        <w:spacing w:after="120" w:line="240" w:lineRule="auto"/>
        <w:jc w:val="both"/>
        <w:rPr>
          <w:rFonts w:asciiTheme="minorHAnsi" w:hAnsiTheme="minorHAnsi"/>
          <w:sz w:val="22"/>
        </w:rPr>
      </w:pPr>
    </w:p>
    <w:p w14:paraId="38614402" w14:textId="77777777" w:rsidR="00EA626F" w:rsidRPr="00E24084" w:rsidRDefault="00EA626F" w:rsidP="0077272D">
      <w:pPr>
        <w:spacing w:after="120" w:line="240" w:lineRule="auto"/>
        <w:jc w:val="both"/>
        <w:rPr>
          <w:rFonts w:asciiTheme="minorHAnsi" w:hAnsiTheme="minorHAnsi" w:cs="Arial"/>
          <w:b/>
          <w:sz w:val="22"/>
        </w:rPr>
      </w:pPr>
    </w:p>
    <w:p w14:paraId="067AD925" w14:textId="77777777" w:rsidR="00EA626F" w:rsidRPr="00E24084" w:rsidRDefault="00EA626F" w:rsidP="0077272D">
      <w:pPr>
        <w:spacing w:after="120" w:line="240" w:lineRule="auto"/>
        <w:jc w:val="both"/>
        <w:rPr>
          <w:rFonts w:asciiTheme="minorHAnsi" w:hAnsiTheme="minorHAnsi" w:cs="Arial"/>
          <w:b/>
          <w:sz w:val="22"/>
        </w:rPr>
      </w:pPr>
    </w:p>
    <w:p w14:paraId="31E920CE" w14:textId="77777777" w:rsidR="00EA626F" w:rsidRPr="00E24084" w:rsidRDefault="00EA626F" w:rsidP="0077272D">
      <w:pPr>
        <w:spacing w:after="120" w:line="240" w:lineRule="auto"/>
        <w:jc w:val="both"/>
        <w:rPr>
          <w:rFonts w:asciiTheme="minorHAnsi" w:hAnsiTheme="minorHAnsi" w:cs="Arial"/>
          <w:b/>
          <w:sz w:val="22"/>
        </w:rPr>
      </w:pPr>
    </w:p>
    <w:p w14:paraId="579C59CC" w14:textId="77777777" w:rsidR="00EA626F" w:rsidRPr="00E24084" w:rsidRDefault="00EA626F">
      <w:pPr>
        <w:spacing w:line="240" w:lineRule="auto"/>
        <w:rPr>
          <w:rFonts w:asciiTheme="minorHAnsi" w:hAnsiTheme="minorHAnsi" w:cs="Arial"/>
          <w:b/>
          <w:sz w:val="22"/>
        </w:rPr>
      </w:pPr>
      <w:r w:rsidRPr="00E24084">
        <w:rPr>
          <w:rFonts w:asciiTheme="minorHAnsi" w:hAnsiTheme="minorHAnsi" w:cs="Arial"/>
          <w:b/>
          <w:sz w:val="22"/>
        </w:rPr>
        <w:br w:type="page"/>
      </w:r>
    </w:p>
    <w:p w14:paraId="242DD495" w14:textId="77777777" w:rsidR="00EA626F" w:rsidRPr="00E24084" w:rsidRDefault="00EA626F" w:rsidP="0077272D">
      <w:pPr>
        <w:spacing w:after="120" w:line="240" w:lineRule="auto"/>
        <w:jc w:val="both"/>
        <w:rPr>
          <w:rFonts w:asciiTheme="minorHAnsi" w:hAnsiTheme="minorHAnsi" w:cs="Arial"/>
          <w:b/>
          <w:sz w:val="22"/>
        </w:rPr>
      </w:pPr>
      <w:proofErr w:type="gramStart"/>
      <w:r w:rsidRPr="00E24084">
        <w:rPr>
          <w:rFonts w:asciiTheme="minorHAnsi" w:hAnsiTheme="minorHAnsi" w:cs="Arial"/>
          <w:b/>
          <w:sz w:val="22"/>
        </w:rPr>
        <w:lastRenderedPageBreak/>
        <w:t>Figure 1.</w:t>
      </w:r>
      <w:proofErr w:type="gramEnd"/>
      <w:r w:rsidRPr="00E24084">
        <w:rPr>
          <w:rFonts w:asciiTheme="minorHAnsi" w:hAnsiTheme="minorHAnsi" w:cs="Arial"/>
          <w:b/>
          <w:sz w:val="22"/>
        </w:rPr>
        <w:t xml:space="preserve"> Scatter plot for EQ-VAS and BDI-II (a), HADS-D (b), </w:t>
      </w:r>
      <w:proofErr w:type="gramStart"/>
      <w:r w:rsidRPr="00E24084">
        <w:rPr>
          <w:rFonts w:asciiTheme="minorHAnsi" w:hAnsiTheme="minorHAnsi" w:cs="Arial"/>
          <w:b/>
          <w:sz w:val="22"/>
        </w:rPr>
        <w:t>ET-</w:t>
      </w:r>
      <w:proofErr w:type="spellStart"/>
      <w:r w:rsidRPr="00E24084">
        <w:rPr>
          <w:rFonts w:asciiTheme="minorHAnsi" w:hAnsiTheme="minorHAnsi" w:cs="Arial"/>
          <w:b/>
          <w:sz w:val="22"/>
        </w:rPr>
        <w:t>Dep</w:t>
      </w:r>
      <w:proofErr w:type="spellEnd"/>
      <w:r w:rsidRPr="00E24084">
        <w:rPr>
          <w:rFonts w:asciiTheme="minorHAnsi" w:hAnsiTheme="minorHAnsi" w:cs="Arial"/>
          <w:b/>
          <w:sz w:val="22"/>
        </w:rPr>
        <w:t xml:space="preserve"> (c) and NDDI-E (d)</w:t>
      </w:r>
      <w:proofErr w:type="gramEnd"/>
      <w:r w:rsidRPr="00E24084">
        <w:rPr>
          <w:rFonts w:asciiTheme="minorHAnsi" w:hAnsiTheme="minorHAnsi" w:cs="Arial"/>
          <w:b/>
          <w:sz w:val="22"/>
        </w:rPr>
        <w:t>.</w:t>
      </w:r>
    </w:p>
    <w:p w14:paraId="0D411A12" w14:textId="77777777" w:rsidR="00EA626F" w:rsidRPr="00E24084" w:rsidRDefault="00EA626F" w:rsidP="00F67B11">
      <w:pPr>
        <w:spacing w:after="120" w:line="240" w:lineRule="auto"/>
        <w:jc w:val="both"/>
        <w:rPr>
          <w:rFonts w:asciiTheme="minorHAnsi" w:hAnsiTheme="minorHAnsi"/>
          <w:sz w:val="22"/>
        </w:rPr>
      </w:pPr>
    </w:p>
    <w:p w14:paraId="1591D206" w14:textId="77777777" w:rsidR="00EA626F" w:rsidRDefault="00EA626F" w:rsidP="00F67B11">
      <w:pPr>
        <w:spacing w:after="120" w:line="240" w:lineRule="auto"/>
        <w:jc w:val="both"/>
        <w:rPr>
          <w:rFonts w:asciiTheme="minorHAnsi" w:hAnsiTheme="minorHAnsi"/>
          <w:sz w:val="22"/>
        </w:rPr>
      </w:pPr>
      <w:r>
        <w:rPr>
          <w:rFonts w:asciiTheme="minorHAnsi" w:hAnsiTheme="minorHAnsi"/>
          <w:noProof/>
          <w:sz w:val="22"/>
          <w:lang w:eastAsia="en-GB"/>
        </w:rPr>
        <w:drawing>
          <wp:inline distT="0" distB="0" distL="0" distR="0" wp14:anchorId="0DB20F33" wp14:editId="029DD8B0">
            <wp:extent cx="2747752" cy="2061768"/>
            <wp:effectExtent l="0" t="0" r="0" b="0"/>
            <wp:docPr id="1" name="Picture 1" descr="C:\Users\niruj-agrawal\AppData\Local\Microsoft\Windows\Temporary Internet Files\Content.Outlook\DI7HC2UN\Figure 1a and 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uj-agrawal\AppData\Local\Microsoft\Windows\Temporary Internet Files\Content.Outlook\DI7HC2UN\Figure 1a and 1b.tif"/>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47752" cy="2061768"/>
                    </a:xfrm>
                    <a:prstGeom prst="rect">
                      <a:avLst/>
                    </a:prstGeom>
                    <a:noFill/>
                    <a:ln>
                      <a:noFill/>
                    </a:ln>
                  </pic:spPr>
                </pic:pic>
              </a:graphicData>
            </a:graphic>
          </wp:inline>
        </w:drawing>
      </w:r>
      <w:r w:rsidRPr="001E65A2">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Pr>
          <w:rFonts w:asciiTheme="minorHAnsi" w:hAnsiTheme="minorHAnsi"/>
          <w:noProof/>
          <w:sz w:val="22"/>
          <w:lang w:eastAsia="en-GB"/>
        </w:rPr>
        <w:drawing>
          <wp:inline distT="0" distB="0" distL="0" distR="0" wp14:anchorId="5B92EBDB" wp14:editId="7C8E9C7E">
            <wp:extent cx="2737267" cy="2053900"/>
            <wp:effectExtent l="0" t="0" r="6350" b="3810"/>
            <wp:docPr id="2" name="Picture 2" descr="C:\Users\niruj-agrawal\AppData\Local\Microsoft\Windows\Temporary Internet Files\Content.Outlook\DI7HC2UN\Figure 1c and 1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ruj-agrawal\AppData\Local\Microsoft\Windows\Temporary Internet Files\Content.Outlook\DI7HC2UN\Figure 1c and 1d.tif"/>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37267" cy="2053900"/>
                    </a:xfrm>
                    <a:prstGeom prst="rect">
                      <a:avLst/>
                    </a:prstGeom>
                    <a:noFill/>
                    <a:ln>
                      <a:noFill/>
                    </a:ln>
                  </pic:spPr>
                </pic:pic>
              </a:graphicData>
            </a:graphic>
          </wp:inline>
        </w:drawing>
      </w:r>
      <w:bookmarkStart w:id="25" w:name="_GoBack"/>
      <w:bookmarkEnd w:id="25"/>
    </w:p>
    <w:p w14:paraId="1632ED79" w14:textId="77777777" w:rsidR="00EA626F" w:rsidRDefault="00EA626F" w:rsidP="001E65A2">
      <w:pPr>
        <w:rPr>
          <w:rFonts w:asciiTheme="minorHAnsi" w:hAnsiTheme="minorHAnsi"/>
          <w:sz w:val="22"/>
        </w:rPr>
      </w:pPr>
    </w:p>
    <w:p w14:paraId="3ACD04C3" w14:textId="77777777" w:rsidR="00EA626F" w:rsidRDefault="00EA626F" w:rsidP="001E65A2">
      <w:pPr>
        <w:rPr>
          <w:rFonts w:asciiTheme="minorHAnsi" w:hAnsiTheme="minorHAnsi"/>
          <w:sz w:val="22"/>
        </w:rPr>
      </w:pPr>
    </w:p>
    <w:p w14:paraId="663C8374" w14:textId="77777777" w:rsidR="00EA626F" w:rsidRDefault="00EA626F" w:rsidP="001E65A2">
      <w:pPr>
        <w:rPr>
          <w:rFonts w:asciiTheme="minorHAnsi" w:hAnsiTheme="minorHAnsi"/>
          <w:sz w:val="22"/>
        </w:rPr>
      </w:pPr>
    </w:p>
    <w:p w14:paraId="3A8BF872" w14:textId="77777777" w:rsidR="00EA626F" w:rsidRDefault="00EA626F" w:rsidP="001E65A2">
      <w:pPr>
        <w:rPr>
          <w:rFonts w:asciiTheme="minorHAnsi" w:hAnsiTheme="minorHAnsi"/>
          <w:sz w:val="22"/>
        </w:rPr>
      </w:pPr>
    </w:p>
    <w:p w14:paraId="26C6F832" w14:textId="77777777" w:rsidR="00EA626F" w:rsidRDefault="00EA626F" w:rsidP="001E65A2">
      <w:pPr>
        <w:rPr>
          <w:rFonts w:asciiTheme="minorHAnsi" w:hAnsiTheme="minorHAnsi"/>
          <w:sz w:val="22"/>
        </w:rPr>
      </w:pPr>
    </w:p>
    <w:p w14:paraId="3A2C5448" w14:textId="77777777" w:rsidR="00EA626F" w:rsidRDefault="00EA626F" w:rsidP="001E65A2">
      <w:pPr>
        <w:rPr>
          <w:rFonts w:asciiTheme="minorHAnsi" w:hAnsiTheme="minorHAnsi"/>
          <w:sz w:val="22"/>
        </w:rPr>
      </w:pPr>
    </w:p>
    <w:p w14:paraId="51AA17E3" w14:textId="77777777" w:rsidR="00EA626F" w:rsidRDefault="00EA626F" w:rsidP="001E65A2">
      <w:pPr>
        <w:rPr>
          <w:rFonts w:asciiTheme="minorHAnsi" w:hAnsiTheme="minorHAnsi"/>
          <w:sz w:val="22"/>
        </w:rPr>
      </w:pPr>
    </w:p>
    <w:p w14:paraId="05632F1E" w14:textId="77777777" w:rsidR="00EA626F" w:rsidRDefault="00EA626F" w:rsidP="001E65A2">
      <w:pPr>
        <w:rPr>
          <w:rFonts w:asciiTheme="minorHAnsi" w:hAnsiTheme="minorHAnsi"/>
          <w:sz w:val="22"/>
        </w:rPr>
      </w:pPr>
      <w:proofErr w:type="gramStart"/>
      <w:r w:rsidRPr="001E65A2">
        <w:rPr>
          <w:rFonts w:asciiTheme="minorHAnsi" w:hAnsiTheme="minorHAnsi"/>
          <w:sz w:val="22"/>
        </w:rPr>
        <w:t>Figure 2.</w:t>
      </w:r>
      <w:proofErr w:type="gramEnd"/>
      <w:r w:rsidRPr="001E65A2">
        <w:rPr>
          <w:rFonts w:asciiTheme="minorHAnsi" w:hAnsiTheme="minorHAnsi"/>
          <w:sz w:val="22"/>
        </w:rPr>
        <w:t xml:space="preserve"> </w:t>
      </w:r>
      <w:proofErr w:type="spellStart"/>
      <w:proofErr w:type="gramStart"/>
      <w:r w:rsidRPr="001E65A2">
        <w:rPr>
          <w:rFonts w:asciiTheme="minorHAnsi" w:hAnsiTheme="minorHAnsi"/>
          <w:sz w:val="22"/>
        </w:rPr>
        <w:t>QoL</w:t>
      </w:r>
      <w:proofErr w:type="spellEnd"/>
      <w:r w:rsidRPr="001E65A2">
        <w:rPr>
          <w:rFonts w:asciiTheme="minorHAnsi" w:hAnsiTheme="minorHAnsi"/>
          <w:sz w:val="22"/>
        </w:rPr>
        <w:t xml:space="preserve"> impairment by EQ-5D domains in patients with and without a DSM diagnosis of depression.</w:t>
      </w:r>
      <w:proofErr w:type="gramEnd"/>
    </w:p>
    <w:p w14:paraId="49134899" w14:textId="77777777" w:rsidR="00EA626F" w:rsidRDefault="00EA626F" w:rsidP="001E65A2">
      <w:pPr>
        <w:rPr>
          <w:rFonts w:asciiTheme="minorHAnsi" w:hAnsiTheme="minorHAnsi"/>
          <w:sz w:val="22"/>
        </w:rPr>
      </w:pPr>
    </w:p>
    <w:p w14:paraId="03D4DFFD" w14:textId="06F01EE5" w:rsidR="00EA626F" w:rsidRPr="001E65A2" w:rsidRDefault="00EA626F" w:rsidP="001E65A2">
      <w:pPr>
        <w:rPr>
          <w:rFonts w:asciiTheme="minorHAnsi" w:hAnsiTheme="minorHAnsi"/>
          <w:sz w:val="22"/>
        </w:rPr>
      </w:pPr>
    </w:p>
    <w:p w14:paraId="18A1AE8D" w14:textId="66BDC386" w:rsidR="00694E7A" w:rsidRDefault="005B4910">
      <w:r>
        <w:rPr>
          <w:noProof/>
          <w:lang w:eastAsia="en-GB"/>
        </w:rPr>
        <w:drawing>
          <wp:inline distT="0" distB="0" distL="0" distR="0" wp14:anchorId="446B8742" wp14:editId="130EAA53">
            <wp:extent cx="5824771" cy="4404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6596" cy="4405740"/>
                    </a:xfrm>
                    <a:prstGeom prst="rect">
                      <a:avLst/>
                    </a:prstGeom>
                    <a:noFill/>
                  </pic:spPr>
                </pic:pic>
              </a:graphicData>
            </a:graphic>
          </wp:inline>
        </w:drawing>
      </w:r>
    </w:p>
    <w:sectPr w:rsidR="00694E7A" w:rsidSect="00F17E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349D"/>
    <w:multiLevelType w:val="hybridMultilevel"/>
    <w:tmpl w:val="222A0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E42DD5"/>
    <w:multiLevelType w:val="hybridMultilevel"/>
    <w:tmpl w:val="BA443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DA19A6"/>
    <w:multiLevelType w:val="hybridMultilevel"/>
    <w:tmpl w:val="EE6C2C0A"/>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7A9C0F16"/>
    <w:multiLevelType w:val="hybridMultilevel"/>
    <w:tmpl w:val="73BC7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EA626F"/>
    <w:rsid w:val="001D40EC"/>
    <w:rsid w:val="002011B3"/>
    <w:rsid w:val="002E6932"/>
    <w:rsid w:val="00557F4A"/>
    <w:rsid w:val="00570F43"/>
    <w:rsid w:val="005A3872"/>
    <w:rsid w:val="005B4910"/>
    <w:rsid w:val="005F2E71"/>
    <w:rsid w:val="0062477D"/>
    <w:rsid w:val="00694E7A"/>
    <w:rsid w:val="007E4D80"/>
    <w:rsid w:val="00872C6F"/>
    <w:rsid w:val="00962BB1"/>
    <w:rsid w:val="00D35F1F"/>
    <w:rsid w:val="00D8112C"/>
    <w:rsid w:val="00DA41F1"/>
    <w:rsid w:val="00DB73A1"/>
    <w:rsid w:val="00E379AF"/>
    <w:rsid w:val="00E4208F"/>
    <w:rsid w:val="00EA626F"/>
    <w:rsid w:val="00FA31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6F"/>
    <w:pPr>
      <w:spacing w:after="0"/>
    </w:pPr>
    <w:rPr>
      <w:rFonts w:ascii="Arial" w:eastAsia="Calibri" w:hAnsi="Arial"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26F"/>
    <w:rPr>
      <w:color w:val="0000FF" w:themeColor="hyperlink"/>
      <w:u w:val="single"/>
    </w:rPr>
  </w:style>
  <w:style w:type="character" w:styleId="CommentReference">
    <w:name w:val="annotation reference"/>
    <w:basedOn w:val="DefaultParagraphFont"/>
    <w:uiPriority w:val="99"/>
    <w:semiHidden/>
    <w:unhideWhenUsed/>
    <w:rsid w:val="00EA626F"/>
    <w:rPr>
      <w:sz w:val="16"/>
      <w:szCs w:val="16"/>
    </w:rPr>
  </w:style>
  <w:style w:type="paragraph" w:styleId="CommentText">
    <w:name w:val="annotation text"/>
    <w:basedOn w:val="Normal"/>
    <w:link w:val="CommentTextChar"/>
    <w:uiPriority w:val="99"/>
    <w:semiHidden/>
    <w:unhideWhenUsed/>
    <w:rsid w:val="00EA626F"/>
    <w:pPr>
      <w:spacing w:line="240" w:lineRule="auto"/>
    </w:pPr>
    <w:rPr>
      <w:sz w:val="20"/>
      <w:szCs w:val="20"/>
    </w:rPr>
  </w:style>
  <w:style w:type="character" w:customStyle="1" w:styleId="CommentTextChar">
    <w:name w:val="Comment Text Char"/>
    <w:basedOn w:val="DefaultParagraphFont"/>
    <w:link w:val="CommentText"/>
    <w:uiPriority w:val="99"/>
    <w:semiHidden/>
    <w:rsid w:val="00EA626F"/>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A626F"/>
    <w:rPr>
      <w:b/>
      <w:bCs/>
    </w:rPr>
  </w:style>
  <w:style w:type="character" w:customStyle="1" w:styleId="CommentSubjectChar">
    <w:name w:val="Comment Subject Char"/>
    <w:basedOn w:val="CommentTextChar"/>
    <w:link w:val="CommentSubject"/>
    <w:uiPriority w:val="99"/>
    <w:semiHidden/>
    <w:rsid w:val="00EA626F"/>
    <w:rPr>
      <w:rFonts w:ascii="Arial" w:eastAsia="Calibri" w:hAnsi="Arial" w:cs="Times New Roman"/>
      <w:b/>
      <w:bCs/>
      <w:sz w:val="20"/>
      <w:szCs w:val="20"/>
      <w:lang w:val="en-GB"/>
    </w:rPr>
  </w:style>
  <w:style w:type="paragraph" w:styleId="BalloonText">
    <w:name w:val="Balloon Text"/>
    <w:basedOn w:val="Normal"/>
    <w:link w:val="BalloonTextChar"/>
    <w:uiPriority w:val="99"/>
    <w:semiHidden/>
    <w:unhideWhenUsed/>
    <w:rsid w:val="00EA62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26F"/>
    <w:rPr>
      <w:rFonts w:ascii="Tahoma" w:eastAsia="Calibri" w:hAnsi="Tahoma" w:cs="Tahoma"/>
      <w:sz w:val="16"/>
      <w:szCs w:val="16"/>
      <w:lang w:val="en-GB"/>
    </w:rPr>
  </w:style>
  <w:style w:type="paragraph" w:styleId="Revision">
    <w:name w:val="Revision"/>
    <w:hidden/>
    <w:uiPriority w:val="99"/>
    <w:semiHidden/>
    <w:rsid w:val="00EA626F"/>
    <w:pPr>
      <w:spacing w:after="0" w:line="240" w:lineRule="auto"/>
    </w:pPr>
    <w:rPr>
      <w:rFonts w:ascii="Arial" w:eastAsia="Calibri" w:hAnsi="Arial" w:cs="Times New Roman"/>
      <w:sz w:val="24"/>
      <w:lang w:val="en-GB"/>
    </w:rPr>
  </w:style>
  <w:style w:type="table" w:styleId="TableGrid">
    <w:name w:val="Table Grid"/>
    <w:basedOn w:val="TableNormal"/>
    <w:rsid w:val="00EA626F"/>
    <w:pPr>
      <w:spacing w:after="0" w:line="240" w:lineRule="auto"/>
    </w:pPr>
    <w:rPr>
      <w:rFonts w:ascii="Arial" w:eastAsia="Calibri" w:hAnsi="Arial"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26F"/>
    <w:pPr>
      <w:ind w:left="720"/>
      <w:contextualSpacing/>
    </w:pPr>
  </w:style>
  <w:style w:type="table" w:customStyle="1" w:styleId="TableGrid1">
    <w:name w:val="Table Grid1"/>
    <w:basedOn w:val="TableNormal"/>
    <w:next w:val="TableGrid"/>
    <w:locked/>
    <w:rsid w:val="00EA626F"/>
    <w:pPr>
      <w:spacing w:after="0" w:line="240" w:lineRule="auto"/>
    </w:pPr>
    <w:rPr>
      <w:rFonts w:ascii="Arial" w:eastAsia="Calibri" w:hAnsi="Arial"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6F"/>
    <w:pPr>
      <w:spacing w:after="0"/>
    </w:pPr>
    <w:rPr>
      <w:rFonts w:ascii="Arial" w:eastAsia="Calibri" w:hAnsi="Arial"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26F"/>
    <w:rPr>
      <w:color w:val="0000FF" w:themeColor="hyperlink"/>
      <w:u w:val="single"/>
    </w:rPr>
  </w:style>
  <w:style w:type="character" w:styleId="CommentReference">
    <w:name w:val="annotation reference"/>
    <w:basedOn w:val="DefaultParagraphFont"/>
    <w:uiPriority w:val="99"/>
    <w:semiHidden/>
    <w:unhideWhenUsed/>
    <w:rsid w:val="00EA626F"/>
    <w:rPr>
      <w:sz w:val="16"/>
      <w:szCs w:val="16"/>
    </w:rPr>
  </w:style>
  <w:style w:type="paragraph" w:styleId="CommentText">
    <w:name w:val="annotation text"/>
    <w:basedOn w:val="Normal"/>
    <w:link w:val="CommentTextChar"/>
    <w:uiPriority w:val="99"/>
    <w:semiHidden/>
    <w:unhideWhenUsed/>
    <w:rsid w:val="00EA626F"/>
    <w:pPr>
      <w:spacing w:line="240" w:lineRule="auto"/>
    </w:pPr>
    <w:rPr>
      <w:sz w:val="20"/>
      <w:szCs w:val="20"/>
    </w:rPr>
  </w:style>
  <w:style w:type="character" w:customStyle="1" w:styleId="CommentTextChar">
    <w:name w:val="Comment Text Char"/>
    <w:basedOn w:val="DefaultParagraphFont"/>
    <w:link w:val="CommentText"/>
    <w:uiPriority w:val="99"/>
    <w:semiHidden/>
    <w:rsid w:val="00EA626F"/>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A626F"/>
    <w:rPr>
      <w:b/>
      <w:bCs/>
    </w:rPr>
  </w:style>
  <w:style w:type="character" w:customStyle="1" w:styleId="CommentSubjectChar">
    <w:name w:val="Comment Subject Char"/>
    <w:basedOn w:val="CommentTextChar"/>
    <w:link w:val="CommentSubject"/>
    <w:uiPriority w:val="99"/>
    <w:semiHidden/>
    <w:rsid w:val="00EA626F"/>
    <w:rPr>
      <w:rFonts w:ascii="Arial" w:eastAsia="Calibri" w:hAnsi="Arial" w:cs="Times New Roman"/>
      <w:b/>
      <w:bCs/>
      <w:sz w:val="20"/>
      <w:szCs w:val="20"/>
      <w:lang w:val="en-GB"/>
    </w:rPr>
  </w:style>
  <w:style w:type="paragraph" w:styleId="BalloonText">
    <w:name w:val="Balloon Text"/>
    <w:basedOn w:val="Normal"/>
    <w:link w:val="BalloonTextChar"/>
    <w:uiPriority w:val="99"/>
    <w:semiHidden/>
    <w:unhideWhenUsed/>
    <w:rsid w:val="00EA62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26F"/>
    <w:rPr>
      <w:rFonts w:ascii="Tahoma" w:eastAsia="Calibri" w:hAnsi="Tahoma" w:cs="Tahoma"/>
      <w:sz w:val="16"/>
      <w:szCs w:val="16"/>
      <w:lang w:val="en-GB"/>
    </w:rPr>
  </w:style>
  <w:style w:type="paragraph" w:styleId="Revision">
    <w:name w:val="Revision"/>
    <w:hidden/>
    <w:uiPriority w:val="99"/>
    <w:semiHidden/>
    <w:rsid w:val="00EA626F"/>
    <w:pPr>
      <w:spacing w:after="0" w:line="240" w:lineRule="auto"/>
    </w:pPr>
    <w:rPr>
      <w:rFonts w:ascii="Arial" w:eastAsia="Calibri" w:hAnsi="Arial" w:cs="Times New Roman"/>
      <w:sz w:val="24"/>
      <w:lang w:val="en-GB"/>
    </w:rPr>
  </w:style>
  <w:style w:type="table" w:styleId="TableGrid">
    <w:name w:val="Table Grid"/>
    <w:basedOn w:val="TableNormal"/>
    <w:rsid w:val="00EA626F"/>
    <w:pPr>
      <w:spacing w:after="0" w:line="240" w:lineRule="auto"/>
    </w:pPr>
    <w:rPr>
      <w:rFonts w:ascii="Arial" w:eastAsia="Calibri" w:hAnsi="Arial"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26F"/>
    <w:pPr>
      <w:ind w:left="720"/>
      <w:contextualSpacing/>
    </w:pPr>
  </w:style>
  <w:style w:type="table" w:customStyle="1" w:styleId="TableGrid1">
    <w:name w:val="Table Grid1"/>
    <w:basedOn w:val="TableNormal"/>
    <w:next w:val="TableGrid"/>
    <w:locked/>
    <w:rsid w:val="00EA626F"/>
    <w:pPr>
      <w:spacing w:after="0" w:line="240" w:lineRule="auto"/>
    </w:pPr>
    <w:rPr>
      <w:rFonts w:ascii="Arial" w:eastAsia="Calibri" w:hAnsi="Arial"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ruj.Agrawal@swlstg-tr.nhs.uk"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SWLSTG NHS Trust</Company>
  <LinksUpToDate>false</LinksUpToDate>
  <CharactersWithSpaces>23592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Mula</dc:creator>
  <cp:lastModifiedBy>Agrawal, Niruj</cp:lastModifiedBy>
  <cp:revision>6</cp:revision>
  <dcterms:created xsi:type="dcterms:W3CDTF">2016-07-08T15:16:00Z</dcterms:created>
  <dcterms:modified xsi:type="dcterms:W3CDTF">2016-07-08T15:50:00Z</dcterms:modified>
</cp:coreProperties>
</file>