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C722" w14:textId="77777777" w:rsidR="00F7634D" w:rsidRPr="00476F80" w:rsidRDefault="00F7634D" w:rsidP="00F7634D">
      <w:pPr>
        <w:jc w:val="center"/>
        <w:rPr>
          <w:rFonts w:ascii="Calibri" w:hAnsi="Calibri" w:cs="Calibri"/>
          <w:color w:val="000000" w:themeColor="text1"/>
          <w:sz w:val="28"/>
          <w:szCs w:val="28"/>
          <w:shd w:val="clear" w:color="auto" w:fill="FFFFFF"/>
          <w:lang w:val="en-GB"/>
        </w:rPr>
      </w:pPr>
    </w:p>
    <w:p w14:paraId="7488412B" w14:textId="37D25B9D" w:rsidR="00A62427" w:rsidRPr="00476F80" w:rsidRDefault="00833A6C" w:rsidP="00651223">
      <w:pPr>
        <w:jc w:val="center"/>
        <w:rPr>
          <w:rFonts w:ascii="Calibri" w:hAnsi="Calibri" w:cs="Calibri"/>
          <w:color w:val="000000" w:themeColor="text1"/>
          <w:sz w:val="36"/>
          <w:szCs w:val="36"/>
          <w:shd w:val="clear" w:color="auto" w:fill="FFFFFF"/>
          <w:lang w:val="en-GB"/>
        </w:rPr>
      </w:pPr>
      <w:r>
        <w:rPr>
          <w:rFonts w:ascii="Calibri" w:hAnsi="Calibri" w:cs="Calibri"/>
          <w:color w:val="000000" w:themeColor="text1"/>
          <w:sz w:val="36"/>
          <w:szCs w:val="36"/>
          <w:shd w:val="clear" w:color="auto" w:fill="FFFFFF"/>
          <w:lang w:val="en-GB"/>
        </w:rPr>
        <w:t xml:space="preserve">Harmonising </w:t>
      </w:r>
      <w:r w:rsidR="00A62427" w:rsidRPr="00476F80">
        <w:rPr>
          <w:rFonts w:ascii="Calibri" w:hAnsi="Calibri" w:cs="Calibri"/>
          <w:color w:val="000000" w:themeColor="text1"/>
          <w:sz w:val="36"/>
          <w:szCs w:val="36"/>
          <w:shd w:val="clear" w:color="auto" w:fill="FFFFFF"/>
          <w:lang w:val="en-GB"/>
        </w:rPr>
        <w:t>Regulatory Approval</w:t>
      </w:r>
      <w:r w:rsidR="00651223" w:rsidRPr="00476F80">
        <w:rPr>
          <w:rFonts w:ascii="Calibri" w:hAnsi="Calibri" w:cs="Calibri"/>
          <w:color w:val="000000" w:themeColor="text1"/>
          <w:sz w:val="36"/>
          <w:szCs w:val="36"/>
          <w:shd w:val="clear" w:color="auto" w:fill="FFFFFF"/>
          <w:lang w:val="en-GB"/>
        </w:rPr>
        <w:t xml:space="preserve"> </w:t>
      </w:r>
      <w:r w:rsidR="00A62427" w:rsidRPr="00476F80">
        <w:rPr>
          <w:rFonts w:ascii="Calibri" w:hAnsi="Calibri" w:cs="Calibri"/>
          <w:color w:val="000000" w:themeColor="text1"/>
          <w:sz w:val="36"/>
          <w:szCs w:val="36"/>
          <w:shd w:val="clear" w:color="auto" w:fill="FFFFFF"/>
          <w:lang w:val="en-GB"/>
        </w:rPr>
        <w:t>for Antibiotic</w:t>
      </w:r>
      <w:r>
        <w:rPr>
          <w:rFonts w:ascii="Calibri" w:hAnsi="Calibri" w:cs="Calibri"/>
          <w:color w:val="000000" w:themeColor="text1"/>
          <w:sz w:val="36"/>
          <w:szCs w:val="36"/>
          <w:shd w:val="clear" w:color="auto" w:fill="FFFFFF"/>
          <w:lang w:val="en-GB"/>
        </w:rPr>
        <w:t>s</w:t>
      </w:r>
      <w:r w:rsidR="00AC271B">
        <w:rPr>
          <w:rFonts w:ascii="Calibri" w:hAnsi="Calibri" w:cs="Calibri"/>
          <w:color w:val="000000" w:themeColor="text1"/>
          <w:sz w:val="36"/>
          <w:szCs w:val="36"/>
          <w:shd w:val="clear" w:color="auto" w:fill="FFFFFF"/>
          <w:lang w:val="en-GB"/>
        </w:rPr>
        <w:t xml:space="preserve"> in Children</w:t>
      </w:r>
    </w:p>
    <w:p w14:paraId="05035BBB" w14:textId="133388F4" w:rsidR="00F7634D" w:rsidRPr="00476F80" w:rsidRDefault="00F7634D" w:rsidP="00F7634D">
      <w:pPr>
        <w:jc w:val="center"/>
        <w:rPr>
          <w:rFonts w:ascii="Calibri" w:hAnsi="Calibri" w:cs="Calibri"/>
          <w:color w:val="000000" w:themeColor="text1"/>
          <w:sz w:val="28"/>
          <w:szCs w:val="28"/>
          <w:shd w:val="clear" w:color="auto" w:fill="FFFFFF"/>
          <w:lang w:val="en-GB"/>
        </w:rPr>
      </w:pPr>
    </w:p>
    <w:p w14:paraId="54AAA4BF" w14:textId="04AABCFF" w:rsidR="00F7634D" w:rsidRPr="00476F80" w:rsidRDefault="00F7634D" w:rsidP="00651223">
      <w:pPr>
        <w:rPr>
          <w:rFonts w:asciiTheme="minorHAnsi" w:hAnsiTheme="minorHAnsi" w:cstheme="minorHAnsi"/>
          <w:color w:val="000000" w:themeColor="text1"/>
          <w:shd w:val="clear" w:color="auto" w:fill="FFFFFF"/>
          <w:vertAlign w:val="superscript"/>
          <w:lang w:val="en-GB"/>
        </w:rPr>
      </w:pPr>
      <w:r w:rsidRPr="00476F80">
        <w:rPr>
          <w:rFonts w:asciiTheme="minorHAnsi" w:hAnsiTheme="minorHAnsi" w:cstheme="minorHAnsi"/>
          <w:color w:val="000000" w:themeColor="text1"/>
          <w:shd w:val="clear" w:color="auto" w:fill="FFFFFF"/>
          <w:lang w:val="en-GB"/>
        </w:rPr>
        <w:t>Dr Phoebe CM Williams</w:t>
      </w:r>
      <w:r w:rsidR="006A16AD" w:rsidRPr="00476F80">
        <w:rPr>
          <w:rFonts w:asciiTheme="minorHAnsi" w:hAnsiTheme="minorHAnsi" w:cstheme="minorHAnsi"/>
          <w:color w:val="000000" w:themeColor="text1"/>
          <w:shd w:val="clear" w:color="auto" w:fill="FFFFFF"/>
          <w:lang w:val="en-GB"/>
        </w:rPr>
        <w:t xml:space="preserve"> DPhil</w:t>
      </w:r>
      <w:r w:rsidR="00F93603" w:rsidRPr="00476F80">
        <w:rPr>
          <w:rFonts w:asciiTheme="minorHAnsi" w:hAnsiTheme="minorHAnsi" w:cstheme="minorHAnsi"/>
          <w:color w:val="000000" w:themeColor="text1"/>
          <w:shd w:val="clear" w:color="auto" w:fill="FFFFFF"/>
          <w:vertAlign w:val="superscript"/>
          <w:lang w:val="en-GB"/>
        </w:rPr>
        <w:t>1,2</w:t>
      </w:r>
    </w:p>
    <w:p w14:paraId="206E4FE4" w14:textId="3A062420" w:rsidR="00F7634D" w:rsidRPr="00476F80" w:rsidRDefault="00F7634D" w:rsidP="00651223">
      <w:pPr>
        <w:rPr>
          <w:rFonts w:asciiTheme="minorHAnsi" w:hAnsiTheme="minorHAnsi" w:cstheme="minorHAnsi"/>
          <w:color w:val="000000" w:themeColor="text1"/>
          <w:shd w:val="clear" w:color="auto" w:fill="FFFFFF"/>
          <w:vertAlign w:val="superscript"/>
          <w:lang w:val="en-GB"/>
        </w:rPr>
      </w:pPr>
      <w:r w:rsidRPr="00476F80">
        <w:rPr>
          <w:rFonts w:asciiTheme="minorHAnsi" w:hAnsiTheme="minorHAnsi" w:cstheme="minorHAnsi"/>
          <w:color w:val="000000" w:themeColor="text1"/>
          <w:shd w:val="clear" w:color="auto" w:fill="FFFFFF"/>
          <w:lang w:val="en-GB"/>
        </w:rPr>
        <w:t>Prof John</w:t>
      </w:r>
      <w:r w:rsidR="00A62427" w:rsidRPr="00476F80">
        <w:rPr>
          <w:rFonts w:asciiTheme="minorHAnsi" w:hAnsiTheme="minorHAnsi" w:cstheme="minorHAnsi"/>
          <w:color w:val="000000" w:themeColor="text1"/>
          <w:shd w:val="clear" w:color="auto" w:fill="FFFFFF"/>
          <w:lang w:val="en-GB"/>
        </w:rPr>
        <w:t xml:space="preserve"> Bradley</w:t>
      </w:r>
      <w:r w:rsidR="006A16AD" w:rsidRPr="00476F80">
        <w:rPr>
          <w:rFonts w:asciiTheme="minorHAnsi" w:hAnsiTheme="minorHAnsi" w:cstheme="minorHAnsi"/>
          <w:color w:val="000000" w:themeColor="text1"/>
          <w:shd w:val="clear" w:color="auto" w:fill="FFFFFF"/>
          <w:lang w:val="en-GB"/>
        </w:rPr>
        <w:t>, MD</w:t>
      </w:r>
      <w:r w:rsidR="00F93603" w:rsidRPr="00476F80">
        <w:rPr>
          <w:rFonts w:asciiTheme="minorHAnsi" w:hAnsiTheme="minorHAnsi" w:cstheme="minorHAnsi"/>
          <w:color w:val="000000" w:themeColor="text1"/>
          <w:shd w:val="clear" w:color="auto" w:fill="FFFFFF"/>
          <w:vertAlign w:val="superscript"/>
          <w:lang w:val="en-GB"/>
        </w:rPr>
        <w:t>3</w:t>
      </w:r>
    </w:p>
    <w:p w14:paraId="0B579E39" w14:textId="1EF6C2B8" w:rsidR="00480D10" w:rsidRPr="00476F80" w:rsidRDefault="00480D10" w:rsidP="00651223">
      <w:pPr>
        <w:rPr>
          <w:rFonts w:asciiTheme="minorHAnsi" w:hAnsiTheme="minorHAnsi" w:cstheme="minorHAnsi"/>
          <w:color w:val="000000" w:themeColor="text1"/>
          <w:shd w:val="clear" w:color="auto" w:fill="FFFFFF"/>
          <w:vertAlign w:val="superscript"/>
          <w:lang w:val="en-GB"/>
        </w:rPr>
      </w:pPr>
      <w:r w:rsidRPr="00476F80">
        <w:rPr>
          <w:rFonts w:asciiTheme="minorHAnsi" w:hAnsiTheme="minorHAnsi" w:cstheme="minorHAnsi"/>
          <w:color w:val="000000" w:themeColor="text1"/>
          <w:shd w:val="clear" w:color="auto" w:fill="FFFFFF"/>
          <w:lang w:val="en-GB"/>
        </w:rPr>
        <w:t xml:space="preserve">Prof Emmanuel </w:t>
      </w:r>
      <w:proofErr w:type="spellStart"/>
      <w:r w:rsidRPr="00476F80">
        <w:rPr>
          <w:rFonts w:asciiTheme="minorHAnsi" w:hAnsiTheme="minorHAnsi" w:cstheme="minorHAnsi"/>
          <w:color w:val="000000" w:themeColor="text1"/>
          <w:shd w:val="clear" w:color="auto" w:fill="FFFFFF"/>
          <w:lang w:val="en-GB"/>
        </w:rPr>
        <w:t>Ro</w:t>
      </w:r>
      <w:r w:rsidR="00A62427" w:rsidRPr="00476F80">
        <w:rPr>
          <w:rFonts w:asciiTheme="minorHAnsi" w:hAnsiTheme="minorHAnsi" w:cstheme="minorHAnsi"/>
          <w:color w:val="000000" w:themeColor="text1"/>
          <w:shd w:val="clear" w:color="auto" w:fill="FFFFFF"/>
          <w:lang w:val="en-GB"/>
        </w:rPr>
        <w:t>i</w:t>
      </w:r>
      <w:r w:rsidRPr="00476F80">
        <w:rPr>
          <w:rFonts w:asciiTheme="minorHAnsi" w:hAnsiTheme="minorHAnsi" w:cstheme="minorHAnsi"/>
          <w:color w:val="000000" w:themeColor="text1"/>
          <w:shd w:val="clear" w:color="auto" w:fill="FFFFFF"/>
          <w:lang w:val="en-GB"/>
        </w:rPr>
        <w:t>lides</w:t>
      </w:r>
      <w:proofErr w:type="spellEnd"/>
      <w:r w:rsidRPr="00476F80">
        <w:rPr>
          <w:rFonts w:asciiTheme="minorHAnsi" w:hAnsiTheme="minorHAnsi" w:cstheme="minorHAnsi"/>
          <w:color w:val="000000" w:themeColor="text1"/>
          <w:shd w:val="clear" w:color="auto" w:fill="FFFFFF"/>
          <w:lang w:val="en-GB"/>
        </w:rPr>
        <w:t xml:space="preserve"> MD</w:t>
      </w:r>
      <w:r w:rsidR="00F93603" w:rsidRPr="00476F80">
        <w:rPr>
          <w:rFonts w:asciiTheme="minorHAnsi" w:hAnsiTheme="minorHAnsi" w:cstheme="minorHAnsi"/>
          <w:color w:val="000000" w:themeColor="text1"/>
          <w:shd w:val="clear" w:color="auto" w:fill="FFFFFF"/>
          <w:vertAlign w:val="superscript"/>
          <w:lang w:val="en-GB"/>
        </w:rPr>
        <w:t>4</w:t>
      </w:r>
    </w:p>
    <w:p w14:paraId="434F1374" w14:textId="681A925B" w:rsidR="000E25CE" w:rsidRPr="00476F80" w:rsidRDefault="000E25CE" w:rsidP="00651223">
      <w:pPr>
        <w:rPr>
          <w:rFonts w:asciiTheme="minorHAnsi" w:hAnsiTheme="minorHAnsi" w:cstheme="minorHAnsi"/>
          <w:color w:val="000000" w:themeColor="text1"/>
          <w:shd w:val="clear" w:color="auto" w:fill="FFFFFF"/>
          <w:vertAlign w:val="superscript"/>
          <w:lang w:val="en-GB"/>
        </w:rPr>
      </w:pPr>
      <w:r w:rsidRPr="00476F80">
        <w:rPr>
          <w:rFonts w:asciiTheme="minorHAnsi" w:hAnsiTheme="minorHAnsi" w:cstheme="minorHAnsi"/>
          <w:color w:val="000000" w:themeColor="text1"/>
          <w:shd w:val="clear" w:color="auto" w:fill="FFFFFF"/>
          <w:lang w:val="en-GB"/>
        </w:rPr>
        <w:t xml:space="preserve">Dr Linus Olsen </w:t>
      </w:r>
      <w:r w:rsidR="00AA1C51" w:rsidRPr="00476F80">
        <w:rPr>
          <w:rFonts w:asciiTheme="minorHAnsi" w:hAnsiTheme="minorHAnsi" w:cstheme="minorHAnsi"/>
          <w:color w:val="000000" w:themeColor="text1"/>
          <w:shd w:val="clear" w:color="auto" w:fill="FFFFFF"/>
          <w:lang w:val="en-GB"/>
        </w:rPr>
        <w:t>PhD</w:t>
      </w:r>
      <w:r w:rsidR="00F93603" w:rsidRPr="00476F80">
        <w:rPr>
          <w:rFonts w:asciiTheme="minorHAnsi" w:hAnsiTheme="minorHAnsi" w:cstheme="minorHAnsi"/>
          <w:color w:val="000000" w:themeColor="text1"/>
          <w:shd w:val="clear" w:color="auto" w:fill="FFFFFF"/>
          <w:vertAlign w:val="superscript"/>
          <w:lang w:val="en-GB"/>
        </w:rPr>
        <w:t>5,6</w:t>
      </w:r>
    </w:p>
    <w:p w14:paraId="2F277249" w14:textId="095EA0F1" w:rsidR="00F93603" w:rsidRPr="00476F80" w:rsidRDefault="00F93603" w:rsidP="00651223">
      <w:pPr>
        <w:rPr>
          <w:rFonts w:asciiTheme="minorHAnsi" w:hAnsiTheme="minorHAnsi" w:cstheme="minorHAnsi"/>
          <w:color w:val="000000" w:themeColor="text1"/>
          <w:shd w:val="clear" w:color="auto" w:fill="FFFFFF"/>
          <w:lang w:val="en-GB"/>
        </w:rPr>
      </w:pPr>
      <w:r w:rsidRPr="00476F80">
        <w:rPr>
          <w:rFonts w:asciiTheme="minorHAnsi" w:hAnsiTheme="minorHAnsi" w:cstheme="minorHAnsi"/>
          <w:color w:val="000000" w:themeColor="text1"/>
          <w:shd w:val="clear" w:color="auto" w:fill="FFFFFF"/>
          <w:lang w:val="en-GB"/>
        </w:rPr>
        <w:t>Prof Sheldon Kaplan, MD</w:t>
      </w:r>
      <w:r w:rsidRPr="00476F80">
        <w:rPr>
          <w:rFonts w:asciiTheme="minorHAnsi" w:hAnsiTheme="minorHAnsi" w:cstheme="minorHAnsi"/>
          <w:color w:val="000000" w:themeColor="text1"/>
          <w:shd w:val="clear" w:color="auto" w:fill="FFFFFF"/>
          <w:vertAlign w:val="superscript"/>
          <w:lang w:val="en-GB"/>
        </w:rPr>
        <w:t>7</w:t>
      </w:r>
    </w:p>
    <w:p w14:paraId="04037C38" w14:textId="70B12CE8" w:rsidR="002D1690" w:rsidRPr="00476F80" w:rsidRDefault="00B84F69" w:rsidP="00651223">
      <w:pPr>
        <w:rPr>
          <w:rFonts w:asciiTheme="minorHAnsi" w:hAnsiTheme="minorHAnsi" w:cstheme="minorHAnsi"/>
          <w:color w:val="000000" w:themeColor="text1"/>
          <w:shd w:val="clear" w:color="auto" w:fill="FFFFFF"/>
          <w:vertAlign w:val="superscript"/>
          <w:lang w:val="en-GB"/>
        </w:rPr>
      </w:pPr>
      <w:r w:rsidRPr="00476F80">
        <w:rPr>
          <w:rFonts w:asciiTheme="minorHAnsi" w:hAnsiTheme="minorHAnsi" w:cstheme="minorHAnsi"/>
          <w:color w:val="000000" w:themeColor="text1"/>
          <w:shd w:val="clear" w:color="auto" w:fill="FFFFFF"/>
          <w:lang w:val="en-GB"/>
        </w:rPr>
        <w:t xml:space="preserve">Professor </w:t>
      </w:r>
      <w:proofErr w:type="spellStart"/>
      <w:r w:rsidRPr="00476F80">
        <w:rPr>
          <w:rFonts w:asciiTheme="minorHAnsi" w:hAnsiTheme="minorHAnsi" w:cstheme="minorHAnsi"/>
          <w:color w:val="000000" w:themeColor="text1"/>
          <w:shd w:val="clear" w:color="auto" w:fill="FFFFFF"/>
          <w:lang w:val="en-GB"/>
        </w:rPr>
        <w:t>Irja</w:t>
      </w:r>
      <w:proofErr w:type="spellEnd"/>
      <w:r w:rsidRPr="00476F80">
        <w:rPr>
          <w:rFonts w:asciiTheme="minorHAnsi" w:hAnsiTheme="minorHAnsi" w:cstheme="minorHAnsi"/>
          <w:color w:val="000000" w:themeColor="text1"/>
          <w:shd w:val="clear" w:color="auto" w:fill="FFFFFF"/>
          <w:lang w:val="en-GB"/>
        </w:rPr>
        <w:t xml:space="preserve"> </w:t>
      </w:r>
      <w:proofErr w:type="spellStart"/>
      <w:r w:rsidRPr="00476F80">
        <w:rPr>
          <w:rFonts w:asciiTheme="minorHAnsi" w:hAnsiTheme="minorHAnsi" w:cstheme="minorHAnsi"/>
          <w:color w:val="000000" w:themeColor="text1"/>
          <w:shd w:val="clear" w:color="auto" w:fill="FFFFFF"/>
          <w:lang w:val="en-GB"/>
        </w:rPr>
        <w:t>Lutsar</w:t>
      </w:r>
      <w:proofErr w:type="spellEnd"/>
      <w:r w:rsidRPr="00476F80">
        <w:rPr>
          <w:rFonts w:asciiTheme="minorHAnsi" w:hAnsiTheme="minorHAnsi" w:cstheme="minorHAnsi"/>
          <w:color w:val="000000" w:themeColor="text1"/>
          <w:shd w:val="clear" w:color="auto" w:fill="FFFFFF"/>
          <w:lang w:val="en-GB"/>
        </w:rPr>
        <w:t>, PhD</w:t>
      </w:r>
      <w:r w:rsidR="002928D8" w:rsidRPr="00476F80">
        <w:rPr>
          <w:rFonts w:asciiTheme="minorHAnsi" w:hAnsiTheme="minorHAnsi" w:cstheme="minorHAnsi"/>
          <w:color w:val="000000" w:themeColor="text1"/>
          <w:shd w:val="clear" w:color="auto" w:fill="FFFFFF"/>
          <w:vertAlign w:val="superscript"/>
          <w:lang w:val="en-GB"/>
        </w:rPr>
        <w:t>8</w:t>
      </w:r>
    </w:p>
    <w:p w14:paraId="0EC5BDAF" w14:textId="577C34EB" w:rsidR="00A62427" w:rsidRPr="00476F80" w:rsidRDefault="00A62427" w:rsidP="00651223">
      <w:pPr>
        <w:rPr>
          <w:rFonts w:asciiTheme="minorHAnsi" w:hAnsiTheme="minorHAnsi" w:cstheme="minorHAnsi"/>
          <w:color w:val="000000" w:themeColor="text1"/>
          <w:shd w:val="clear" w:color="auto" w:fill="FFFFFF"/>
          <w:vertAlign w:val="superscript"/>
          <w:lang w:val="en-GB"/>
        </w:rPr>
      </w:pPr>
      <w:r w:rsidRPr="00476F80">
        <w:rPr>
          <w:rFonts w:asciiTheme="minorHAnsi" w:hAnsiTheme="minorHAnsi" w:cstheme="minorHAnsi"/>
          <w:color w:val="000000" w:themeColor="text1"/>
          <w:shd w:val="clear" w:color="auto" w:fill="FFFFFF"/>
          <w:lang w:val="en-GB"/>
        </w:rPr>
        <w:t xml:space="preserve">Professor Carlo </w:t>
      </w:r>
      <w:proofErr w:type="spellStart"/>
      <w:r w:rsidRPr="00476F80">
        <w:rPr>
          <w:rFonts w:asciiTheme="minorHAnsi" w:hAnsiTheme="minorHAnsi" w:cstheme="minorHAnsi"/>
          <w:color w:val="000000" w:themeColor="text1"/>
          <w:shd w:val="clear" w:color="auto" w:fill="FFFFFF"/>
          <w:lang w:val="en-GB"/>
        </w:rPr>
        <w:t>Giaquinto</w:t>
      </w:r>
      <w:proofErr w:type="spellEnd"/>
      <w:r w:rsidR="002928D8" w:rsidRPr="00476F80">
        <w:rPr>
          <w:rFonts w:asciiTheme="minorHAnsi" w:hAnsiTheme="minorHAnsi" w:cstheme="minorHAnsi"/>
          <w:color w:val="000000" w:themeColor="text1"/>
          <w:shd w:val="clear" w:color="auto" w:fill="FFFFFF"/>
          <w:lang w:val="en-GB"/>
        </w:rPr>
        <w:t>, MD</w:t>
      </w:r>
      <w:r w:rsidR="002928D8" w:rsidRPr="00476F80">
        <w:rPr>
          <w:rFonts w:asciiTheme="minorHAnsi" w:hAnsiTheme="minorHAnsi" w:cstheme="minorHAnsi"/>
          <w:color w:val="000000" w:themeColor="text1"/>
          <w:shd w:val="clear" w:color="auto" w:fill="FFFFFF"/>
          <w:vertAlign w:val="superscript"/>
          <w:lang w:val="en-GB"/>
        </w:rPr>
        <w:t>9</w:t>
      </w:r>
    </w:p>
    <w:p w14:paraId="00026391" w14:textId="68F0AABA" w:rsidR="00A62427" w:rsidRPr="00476F80" w:rsidRDefault="00A62427" w:rsidP="00651223">
      <w:pPr>
        <w:rPr>
          <w:rFonts w:asciiTheme="minorHAnsi" w:hAnsiTheme="minorHAnsi" w:cstheme="minorHAnsi"/>
          <w:color w:val="000000" w:themeColor="text1"/>
          <w:shd w:val="clear" w:color="auto" w:fill="FFFFFF"/>
          <w:vertAlign w:val="superscript"/>
          <w:lang w:val="en-GB"/>
        </w:rPr>
      </w:pPr>
      <w:r w:rsidRPr="00476F80">
        <w:rPr>
          <w:rFonts w:asciiTheme="minorHAnsi" w:hAnsiTheme="minorHAnsi" w:cstheme="minorHAnsi"/>
          <w:color w:val="000000" w:themeColor="text1"/>
          <w:shd w:val="clear" w:color="auto" w:fill="FFFFFF"/>
          <w:lang w:val="en-GB"/>
        </w:rPr>
        <w:t>Prof Dan</w:t>
      </w:r>
      <w:r w:rsidR="00BA2532" w:rsidRPr="00476F80">
        <w:rPr>
          <w:rFonts w:asciiTheme="minorHAnsi" w:hAnsiTheme="minorHAnsi" w:cstheme="minorHAnsi"/>
          <w:color w:val="000000" w:themeColor="text1"/>
          <w:shd w:val="clear" w:color="auto" w:fill="FFFFFF"/>
          <w:lang w:val="en-GB"/>
        </w:rPr>
        <w:t>iel K</w:t>
      </w:r>
      <w:r w:rsidRPr="00476F80">
        <w:rPr>
          <w:rFonts w:asciiTheme="minorHAnsi" w:hAnsiTheme="minorHAnsi" w:cstheme="minorHAnsi"/>
          <w:color w:val="000000" w:themeColor="text1"/>
          <w:shd w:val="clear" w:color="auto" w:fill="FFFFFF"/>
          <w:lang w:val="en-GB"/>
        </w:rPr>
        <w:t xml:space="preserve"> Benjamin</w:t>
      </w:r>
      <w:r w:rsidR="00BA2532" w:rsidRPr="00476F80">
        <w:rPr>
          <w:rFonts w:asciiTheme="minorHAnsi" w:hAnsiTheme="minorHAnsi" w:cstheme="minorHAnsi"/>
          <w:color w:val="000000" w:themeColor="text1"/>
          <w:shd w:val="clear" w:color="auto" w:fill="FFFFFF"/>
          <w:lang w:val="en-GB"/>
        </w:rPr>
        <w:t>, PhD</w:t>
      </w:r>
      <w:r w:rsidR="00BA2532" w:rsidRPr="00476F80">
        <w:rPr>
          <w:rFonts w:asciiTheme="minorHAnsi" w:hAnsiTheme="minorHAnsi" w:cstheme="minorHAnsi"/>
          <w:color w:val="000000" w:themeColor="text1"/>
          <w:shd w:val="clear" w:color="auto" w:fill="FFFFFF"/>
          <w:vertAlign w:val="superscript"/>
          <w:lang w:val="en-GB"/>
        </w:rPr>
        <w:t>10</w:t>
      </w:r>
    </w:p>
    <w:p w14:paraId="4E6B9946" w14:textId="008A2477" w:rsidR="002D1690" w:rsidRPr="00476F80" w:rsidRDefault="002D1690" w:rsidP="00651223">
      <w:pPr>
        <w:rPr>
          <w:rFonts w:asciiTheme="minorHAnsi" w:hAnsiTheme="minorHAnsi" w:cstheme="minorHAnsi"/>
          <w:color w:val="000000" w:themeColor="text1"/>
          <w:shd w:val="clear" w:color="auto" w:fill="FFFFFF"/>
          <w:vertAlign w:val="superscript"/>
          <w:lang w:val="en-GB"/>
        </w:rPr>
      </w:pPr>
      <w:r w:rsidRPr="00476F80">
        <w:rPr>
          <w:rFonts w:asciiTheme="minorHAnsi" w:hAnsiTheme="minorHAnsi" w:cstheme="minorHAnsi"/>
          <w:color w:val="000000" w:themeColor="text1"/>
          <w:shd w:val="clear" w:color="auto" w:fill="FFFFFF"/>
          <w:lang w:val="en-GB"/>
        </w:rPr>
        <w:t>Prof Mike Sharland</w:t>
      </w:r>
      <w:r w:rsidR="0077477A" w:rsidRPr="00476F80">
        <w:rPr>
          <w:rFonts w:asciiTheme="minorHAnsi" w:hAnsiTheme="minorHAnsi" w:cstheme="minorHAnsi"/>
          <w:color w:val="000000" w:themeColor="text1"/>
          <w:shd w:val="clear" w:color="auto" w:fill="FFFFFF"/>
          <w:lang w:val="en-GB"/>
        </w:rPr>
        <w:t xml:space="preserve"> </w:t>
      </w:r>
      <w:r w:rsidR="00833A6C">
        <w:rPr>
          <w:rFonts w:asciiTheme="minorHAnsi" w:hAnsiTheme="minorHAnsi" w:cstheme="minorHAnsi"/>
          <w:color w:val="000000" w:themeColor="text1"/>
          <w:shd w:val="clear" w:color="auto" w:fill="FFFFFF"/>
          <w:lang w:val="en-GB"/>
        </w:rPr>
        <w:t>M</w:t>
      </w:r>
      <w:r w:rsidR="0077477A" w:rsidRPr="00476F80">
        <w:rPr>
          <w:rFonts w:asciiTheme="minorHAnsi" w:hAnsiTheme="minorHAnsi" w:cstheme="minorHAnsi"/>
          <w:color w:val="000000" w:themeColor="text1"/>
          <w:shd w:val="clear" w:color="auto" w:fill="FFFFFF"/>
          <w:lang w:val="en-GB"/>
        </w:rPr>
        <w:t>D</w:t>
      </w:r>
      <w:r w:rsidR="00BA2532" w:rsidRPr="00476F80">
        <w:rPr>
          <w:rFonts w:asciiTheme="minorHAnsi" w:hAnsiTheme="minorHAnsi" w:cstheme="minorHAnsi"/>
          <w:color w:val="000000" w:themeColor="text1"/>
          <w:shd w:val="clear" w:color="auto" w:fill="FFFFFF"/>
          <w:vertAlign w:val="superscript"/>
          <w:lang w:val="en-GB"/>
        </w:rPr>
        <w:t>11</w:t>
      </w:r>
    </w:p>
    <w:p w14:paraId="31DA6EDA" w14:textId="23DB6455" w:rsidR="00A62427" w:rsidRPr="00476F80" w:rsidRDefault="00A62427" w:rsidP="00A62427">
      <w:pPr>
        <w:rPr>
          <w:rFonts w:asciiTheme="minorHAnsi" w:hAnsiTheme="minorHAnsi" w:cstheme="minorHAnsi"/>
          <w:color w:val="000000" w:themeColor="text1"/>
          <w:shd w:val="clear" w:color="auto" w:fill="FFFFFF"/>
          <w:lang w:val="en-GB"/>
        </w:rPr>
      </w:pPr>
    </w:p>
    <w:p w14:paraId="32A4E121" w14:textId="29D8863A" w:rsidR="00A62427" w:rsidRPr="0014209D" w:rsidRDefault="00A62427" w:rsidP="00A62427">
      <w:pPr>
        <w:rPr>
          <w:rFonts w:asciiTheme="minorHAnsi" w:hAnsiTheme="minorHAnsi" w:cstheme="minorHAnsi"/>
          <w:b/>
          <w:color w:val="000000" w:themeColor="text1"/>
          <w:sz w:val="20"/>
          <w:szCs w:val="20"/>
          <w:u w:val="single"/>
          <w:shd w:val="clear" w:color="auto" w:fill="FFFFFF"/>
          <w:lang w:val="en-GB"/>
        </w:rPr>
      </w:pPr>
      <w:r w:rsidRPr="0014209D">
        <w:rPr>
          <w:rFonts w:asciiTheme="minorHAnsi" w:hAnsiTheme="minorHAnsi" w:cstheme="minorHAnsi"/>
          <w:b/>
          <w:color w:val="000000" w:themeColor="text1"/>
          <w:sz w:val="20"/>
          <w:szCs w:val="20"/>
          <w:u w:val="single"/>
          <w:shd w:val="clear" w:color="auto" w:fill="FFFFFF"/>
          <w:lang w:val="en-GB"/>
        </w:rPr>
        <w:t>Corresponding Author:</w:t>
      </w:r>
    </w:p>
    <w:p w14:paraId="72A225BA" w14:textId="6C73C985" w:rsidR="00A62427" w:rsidRPr="0014209D" w:rsidRDefault="00F93603" w:rsidP="00A62427">
      <w:pPr>
        <w:rPr>
          <w:rFonts w:asciiTheme="minorHAnsi" w:hAnsiTheme="minorHAnsi" w:cstheme="minorHAnsi"/>
          <w:color w:val="000000" w:themeColor="text1"/>
          <w:sz w:val="20"/>
          <w:szCs w:val="20"/>
          <w:shd w:val="clear" w:color="auto" w:fill="FFFFFF"/>
          <w:lang w:val="en-GB"/>
        </w:rPr>
      </w:pPr>
      <w:r w:rsidRPr="0014209D">
        <w:rPr>
          <w:rFonts w:asciiTheme="minorHAnsi" w:hAnsiTheme="minorHAnsi" w:cstheme="minorHAnsi"/>
          <w:color w:val="000000" w:themeColor="text1"/>
          <w:sz w:val="20"/>
          <w:szCs w:val="20"/>
          <w:shd w:val="clear" w:color="auto" w:fill="FFFFFF"/>
          <w:vertAlign w:val="superscript"/>
          <w:lang w:val="en-GB"/>
        </w:rPr>
        <w:t>1</w:t>
      </w:r>
      <w:r w:rsidR="00A62427" w:rsidRPr="0014209D">
        <w:rPr>
          <w:rFonts w:asciiTheme="minorHAnsi" w:hAnsiTheme="minorHAnsi" w:cstheme="minorHAnsi"/>
          <w:color w:val="000000" w:themeColor="text1"/>
          <w:sz w:val="20"/>
          <w:szCs w:val="20"/>
          <w:shd w:val="clear" w:color="auto" w:fill="FFFFFF"/>
          <w:lang w:val="en-GB"/>
        </w:rPr>
        <w:t>Dr Phoebe CM Williams</w:t>
      </w:r>
    </w:p>
    <w:p w14:paraId="18DD7FE4" w14:textId="393C420D" w:rsidR="009D158A" w:rsidRPr="0014209D" w:rsidRDefault="004F4F50" w:rsidP="00A62427">
      <w:pPr>
        <w:rPr>
          <w:rFonts w:asciiTheme="minorHAnsi" w:hAnsiTheme="minorHAnsi" w:cstheme="minorHAnsi"/>
          <w:color w:val="000000" w:themeColor="text1"/>
          <w:sz w:val="20"/>
          <w:szCs w:val="20"/>
          <w:shd w:val="clear" w:color="auto" w:fill="FFFFFF"/>
          <w:lang w:val="en-GB"/>
        </w:rPr>
      </w:pPr>
      <w:r w:rsidRPr="0014209D">
        <w:rPr>
          <w:rFonts w:asciiTheme="minorHAnsi" w:hAnsiTheme="minorHAnsi" w:cstheme="minorHAnsi"/>
          <w:color w:val="000000" w:themeColor="text1"/>
          <w:sz w:val="20"/>
          <w:szCs w:val="20"/>
          <w:shd w:val="clear" w:color="auto" w:fill="FFFFFF"/>
          <w:lang w:val="en-GB"/>
        </w:rPr>
        <w:t>*</w:t>
      </w:r>
      <w:r w:rsidR="009D158A" w:rsidRPr="0014209D">
        <w:rPr>
          <w:rFonts w:asciiTheme="minorHAnsi" w:hAnsiTheme="minorHAnsi" w:cstheme="minorHAnsi"/>
          <w:color w:val="000000" w:themeColor="text1"/>
          <w:sz w:val="20"/>
          <w:szCs w:val="20"/>
          <w:shd w:val="clear" w:color="auto" w:fill="FFFFFF"/>
          <w:lang w:val="en-GB"/>
        </w:rPr>
        <w:t>The University of Sydney</w:t>
      </w:r>
    </w:p>
    <w:p w14:paraId="1BB873FC" w14:textId="362C5145" w:rsidR="009D158A" w:rsidRPr="0014209D" w:rsidRDefault="009D158A" w:rsidP="00A62427">
      <w:pPr>
        <w:rPr>
          <w:rFonts w:asciiTheme="minorHAnsi" w:hAnsiTheme="minorHAnsi" w:cstheme="minorHAnsi"/>
          <w:color w:val="000000" w:themeColor="text1"/>
          <w:sz w:val="20"/>
          <w:szCs w:val="20"/>
          <w:shd w:val="clear" w:color="auto" w:fill="FFFFFF"/>
          <w:lang w:val="en-GB"/>
        </w:rPr>
      </w:pPr>
      <w:r w:rsidRPr="0014209D">
        <w:rPr>
          <w:rFonts w:asciiTheme="minorHAnsi" w:hAnsiTheme="minorHAnsi" w:cstheme="minorHAnsi"/>
          <w:color w:val="000000" w:themeColor="text1"/>
          <w:sz w:val="20"/>
          <w:szCs w:val="20"/>
          <w:shd w:val="clear" w:color="auto" w:fill="FFFFFF"/>
          <w:lang w:val="en-GB"/>
        </w:rPr>
        <w:t>Camperdown NSW AUSTRALIA</w:t>
      </w:r>
    </w:p>
    <w:p w14:paraId="17733637" w14:textId="39F3924E" w:rsidR="004F4F50" w:rsidRPr="0014209D" w:rsidRDefault="00022C6C" w:rsidP="00A62427">
      <w:pPr>
        <w:rPr>
          <w:rFonts w:asciiTheme="minorHAnsi" w:hAnsiTheme="minorHAnsi" w:cstheme="minorHAnsi"/>
          <w:color w:val="000000" w:themeColor="text1"/>
          <w:sz w:val="20"/>
          <w:szCs w:val="20"/>
          <w:shd w:val="clear" w:color="auto" w:fill="FFFFFF"/>
          <w:lang w:val="en-GB"/>
        </w:rPr>
      </w:pPr>
      <w:hyperlink r:id="rId8" w:history="1">
        <w:r w:rsidR="009D158A" w:rsidRPr="0014209D">
          <w:rPr>
            <w:rStyle w:val="Hyperlink"/>
            <w:rFonts w:asciiTheme="minorHAnsi" w:hAnsiTheme="minorHAnsi" w:cstheme="minorHAnsi"/>
            <w:color w:val="000000" w:themeColor="text1"/>
            <w:sz w:val="20"/>
            <w:szCs w:val="20"/>
            <w:shd w:val="clear" w:color="auto" w:fill="FFFFFF"/>
            <w:lang w:val="en-GB"/>
          </w:rPr>
          <w:t>Phoebe.williams@sydney.edu.au</w:t>
        </w:r>
      </w:hyperlink>
    </w:p>
    <w:p w14:paraId="4CC457D0" w14:textId="252145B3" w:rsidR="00A62427" w:rsidRPr="0014209D" w:rsidRDefault="00F93603" w:rsidP="00A62427">
      <w:pPr>
        <w:rPr>
          <w:rFonts w:asciiTheme="minorHAnsi" w:hAnsiTheme="minorHAnsi" w:cstheme="minorHAnsi"/>
          <w:color w:val="000000" w:themeColor="text1"/>
          <w:sz w:val="20"/>
          <w:szCs w:val="20"/>
          <w:shd w:val="clear" w:color="auto" w:fill="FFFFFF"/>
          <w:lang w:val="en-GB"/>
        </w:rPr>
      </w:pPr>
      <w:r w:rsidRPr="0014209D">
        <w:rPr>
          <w:rFonts w:asciiTheme="minorHAnsi" w:hAnsiTheme="minorHAnsi" w:cstheme="minorHAnsi"/>
          <w:color w:val="000000" w:themeColor="text1"/>
          <w:sz w:val="20"/>
          <w:szCs w:val="20"/>
          <w:shd w:val="clear" w:color="auto" w:fill="FFFFFF"/>
          <w:vertAlign w:val="superscript"/>
          <w:lang w:val="en-GB"/>
        </w:rPr>
        <w:t>2</w:t>
      </w:r>
      <w:r w:rsidR="009D158A" w:rsidRPr="0014209D">
        <w:rPr>
          <w:rFonts w:asciiTheme="minorHAnsi" w:hAnsiTheme="minorHAnsi" w:cstheme="minorHAnsi"/>
          <w:color w:val="000000" w:themeColor="text1"/>
          <w:sz w:val="20"/>
          <w:szCs w:val="20"/>
          <w:shd w:val="clear" w:color="auto" w:fill="FFFFFF"/>
          <w:lang w:val="en-GB"/>
        </w:rPr>
        <w:t>Sydney Children’s Hospital</w:t>
      </w:r>
    </w:p>
    <w:p w14:paraId="67C409CB" w14:textId="46370483" w:rsidR="009D158A" w:rsidRPr="0014209D" w:rsidRDefault="009D158A" w:rsidP="00A62427">
      <w:pPr>
        <w:rPr>
          <w:rFonts w:asciiTheme="minorHAnsi" w:hAnsiTheme="minorHAnsi" w:cstheme="minorHAnsi"/>
          <w:color w:val="000000" w:themeColor="text1"/>
          <w:sz w:val="20"/>
          <w:szCs w:val="20"/>
          <w:shd w:val="clear" w:color="auto" w:fill="FFFFFF"/>
          <w:lang w:val="en-GB"/>
        </w:rPr>
      </w:pPr>
      <w:r w:rsidRPr="0014209D">
        <w:rPr>
          <w:rFonts w:asciiTheme="minorHAnsi" w:hAnsiTheme="minorHAnsi" w:cstheme="minorHAnsi"/>
          <w:color w:val="000000" w:themeColor="text1"/>
          <w:sz w:val="20"/>
          <w:szCs w:val="20"/>
          <w:shd w:val="clear" w:color="auto" w:fill="FFFFFF"/>
          <w:lang w:val="en-GB"/>
        </w:rPr>
        <w:t xml:space="preserve">High St RANDWICK NSW 2031 </w:t>
      </w:r>
    </w:p>
    <w:p w14:paraId="47B4F7AC" w14:textId="1B616DFD" w:rsidR="009D158A" w:rsidRPr="0014209D" w:rsidRDefault="009D158A" w:rsidP="00A62427">
      <w:pPr>
        <w:rPr>
          <w:rFonts w:asciiTheme="minorHAnsi" w:hAnsiTheme="minorHAnsi" w:cstheme="minorHAnsi"/>
          <w:color w:val="000000" w:themeColor="text1"/>
          <w:sz w:val="20"/>
          <w:szCs w:val="20"/>
          <w:shd w:val="clear" w:color="auto" w:fill="FFFFFF"/>
          <w:lang w:val="en-GB"/>
        </w:rPr>
      </w:pPr>
      <w:r w:rsidRPr="0014209D">
        <w:rPr>
          <w:rFonts w:asciiTheme="minorHAnsi" w:hAnsiTheme="minorHAnsi" w:cstheme="minorHAnsi"/>
          <w:color w:val="000000" w:themeColor="text1"/>
          <w:sz w:val="20"/>
          <w:szCs w:val="20"/>
          <w:shd w:val="clear" w:color="auto" w:fill="FFFFFF"/>
          <w:lang w:val="en-GB"/>
        </w:rPr>
        <w:t>AUSTRALIA</w:t>
      </w:r>
    </w:p>
    <w:p w14:paraId="03C5454D" w14:textId="50408843" w:rsidR="009D158A" w:rsidRPr="0014209D" w:rsidRDefault="00022C6C" w:rsidP="00A62427">
      <w:pPr>
        <w:rPr>
          <w:rFonts w:asciiTheme="minorHAnsi" w:hAnsiTheme="minorHAnsi" w:cstheme="minorHAnsi"/>
          <w:color w:val="000000" w:themeColor="text1"/>
          <w:sz w:val="20"/>
          <w:szCs w:val="20"/>
          <w:shd w:val="clear" w:color="auto" w:fill="FFFFFF"/>
          <w:lang w:val="en-GB"/>
        </w:rPr>
      </w:pPr>
      <w:hyperlink r:id="rId9" w:history="1">
        <w:r w:rsidR="009D158A" w:rsidRPr="0014209D">
          <w:rPr>
            <w:rStyle w:val="Hyperlink"/>
            <w:rFonts w:asciiTheme="minorHAnsi" w:hAnsiTheme="minorHAnsi" w:cstheme="minorHAnsi"/>
            <w:color w:val="000000" w:themeColor="text1"/>
            <w:sz w:val="20"/>
            <w:szCs w:val="20"/>
            <w:shd w:val="clear" w:color="auto" w:fill="FFFFFF"/>
            <w:lang w:val="en-GB"/>
          </w:rPr>
          <w:t>Phoebe.williams1@health.nsw.gov.au</w:t>
        </w:r>
      </w:hyperlink>
      <w:r w:rsidR="009D158A" w:rsidRPr="0014209D">
        <w:rPr>
          <w:rFonts w:asciiTheme="minorHAnsi" w:hAnsiTheme="minorHAnsi" w:cstheme="minorHAnsi"/>
          <w:color w:val="000000" w:themeColor="text1"/>
          <w:sz w:val="20"/>
          <w:szCs w:val="20"/>
          <w:shd w:val="clear" w:color="auto" w:fill="FFFFFF"/>
          <w:lang w:val="en-GB"/>
        </w:rPr>
        <w:t xml:space="preserve"> </w:t>
      </w:r>
    </w:p>
    <w:p w14:paraId="77C68DDF" w14:textId="5A634CA4" w:rsidR="00A62427" w:rsidRPr="0014209D" w:rsidRDefault="004F4F50" w:rsidP="00AA1C51">
      <w:pPr>
        <w:rPr>
          <w:rFonts w:asciiTheme="minorHAnsi" w:hAnsiTheme="minorHAnsi" w:cstheme="minorHAnsi"/>
          <w:color w:val="000000" w:themeColor="text1"/>
          <w:sz w:val="20"/>
          <w:szCs w:val="20"/>
          <w:shd w:val="clear" w:color="auto" w:fill="FFFFFF"/>
          <w:lang w:val="en-GB"/>
        </w:rPr>
      </w:pPr>
      <w:r w:rsidRPr="0014209D">
        <w:rPr>
          <w:rFonts w:asciiTheme="minorHAnsi" w:hAnsiTheme="minorHAnsi" w:cstheme="minorHAnsi"/>
          <w:color w:val="000000" w:themeColor="text1"/>
          <w:sz w:val="20"/>
          <w:szCs w:val="20"/>
          <w:shd w:val="clear" w:color="auto" w:fill="FFFFFF"/>
          <w:lang w:val="en-GB"/>
        </w:rPr>
        <w:t>+61 (2) 9382 1111</w:t>
      </w:r>
    </w:p>
    <w:p w14:paraId="21EEF46A" w14:textId="77777777" w:rsidR="004F4F50" w:rsidRPr="0014209D" w:rsidRDefault="004F4F50" w:rsidP="00F7634D">
      <w:pPr>
        <w:jc w:val="center"/>
        <w:rPr>
          <w:rFonts w:asciiTheme="minorHAnsi" w:hAnsiTheme="minorHAnsi" w:cstheme="minorHAnsi"/>
          <w:color w:val="000000" w:themeColor="text1"/>
          <w:sz w:val="20"/>
          <w:szCs w:val="20"/>
          <w:shd w:val="clear" w:color="auto" w:fill="FFFFFF"/>
          <w:lang w:val="en-GB"/>
        </w:rPr>
      </w:pPr>
    </w:p>
    <w:p w14:paraId="7ED6F4AF" w14:textId="0BB47BE8" w:rsidR="004F4F50" w:rsidRPr="0014209D" w:rsidRDefault="00F93603" w:rsidP="00F7634D">
      <w:pPr>
        <w:pStyle w:val="Heading2"/>
        <w:shd w:val="clear" w:color="auto" w:fill="FFFFFF"/>
        <w:spacing w:before="0"/>
        <w:rPr>
          <w:rFonts w:asciiTheme="minorHAnsi" w:hAnsiTheme="minorHAnsi" w:cstheme="minorHAnsi"/>
          <w:b w:val="0"/>
          <w:color w:val="000000" w:themeColor="text1"/>
          <w:sz w:val="20"/>
          <w:szCs w:val="20"/>
          <w:shd w:val="clear" w:color="auto" w:fill="FFFFFF"/>
          <w:lang w:val="en-GB"/>
        </w:rPr>
      </w:pPr>
      <w:r w:rsidRPr="0014209D">
        <w:rPr>
          <w:rFonts w:asciiTheme="minorHAnsi" w:hAnsiTheme="minorHAnsi" w:cstheme="minorHAnsi"/>
          <w:b w:val="0"/>
          <w:color w:val="000000" w:themeColor="text1"/>
          <w:sz w:val="20"/>
          <w:szCs w:val="20"/>
          <w:shd w:val="clear" w:color="auto" w:fill="FFFFFF"/>
          <w:vertAlign w:val="superscript"/>
          <w:lang w:val="en-GB"/>
        </w:rPr>
        <w:t>3</w:t>
      </w:r>
      <w:r w:rsidR="006A16AD" w:rsidRPr="0014209D">
        <w:rPr>
          <w:rFonts w:asciiTheme="minorHAnsi" w:hAnsiTheme="minorHAnsi" w:cstheme="minorHAnsi"/>
          <w:b w:val="0"/>
          <w:color w:val="000000" w:themeColor="text1"/>
          <w:sz w:val="20"/>
          <w:szCs w:val="20"/>
          <w:shd w:val="clear" w:color="auto" w:fill="FFFFFF"/>
          <w:lang w:val="en-GB"/>
        </w:rPr>
        <w:t xml:space="preserve">Division of Infectious Diseases, </w:t>
      </w:r>
      <w:r w:rsidR="004F4F50" w:rsidRPr="0014209D">
        <w:rPr>
          <w:rFonts w:asciiTheme="minorHAnsi" w:hAnsiTheme="minorHAnsi" w:cstheme="minorHAnsi"/>
          <w:b w:val="0"/>
          <w:color w:val="000000" w:themeColor="text1"/>
          <w:sz w:val="20"/>
          <w:szCs w:val="20"/>
          <w:shd w:val="clear" w:color="auto" w:fill="FFFFFF"/>
          <w:lang w:val="en-GB"/>
        </w:rPr>
        <w:t xml:space="preserve">University of California, San Diego 9500 Gilman Drive </w:t>
      </w:r>
      <w:r w:rsidR="006A16AD" w:rsidRPr="0014209D">
        <w:rPr>
          <w:rFonts w:asciiTheme="minorHAnsi" w:hAnsiTheme="minorHAnsi" w:cstheme="minorHAnsi"/>
          <w:b w:val="0"/>
          <w:color w:val="000000" w:themeColor="text1"/>
          <w:sz w:val="20"/>
          <w:szCs w:val="20"/>
          <w:shd w:val="clear" w:color="auto" w:fill="FFFFFF"/>
          <w:lang w:val="en-GB"/>
        </w:rPr>
        <w:t>#0984 La Jolla CA 92093</w:t>
      </w:r>
    </w:p>
    <w:p w14:paraId="0C0822CC" w14:textId="77777777" w:rsidR="006A16AD" w:rsidRPr="0014209D" w:rsidRDefault="006A16AD" w:rsidP="006A16AD">
      <w:pPr>
        <w:rPr>
          <w:rFonts w:asciiTheme="minorHAnsi" w:hAnsiTheme="minorHAnsi" w:cstheme="minorHAnsi"/>
          <w:color w:val="000000" w:themeColor="text1"/>
          <w:sz w:val="20"/>
          <w:szCs w:val="20"/>
          <w:lang w:val="en-GB"/>
        </w:rPr>
      </w:pPr>
    </w:p>
    <w:p w14:paraId="4DB9FF8C" w14:textId="32D9A4A1" w:rsidR="006A16AD" w:rsidRPr="0014209D" w:rsidRDefault="00F93603" w:rsidP="00F7634D">
      <w:pPr>
        <w:pStyle w:val="Heading2"/>
        <w:shd w:val="clear" w:color="auto" w:fill="FFFFFF"/>
        <w:spacing w:before="0"/>
        <w:rPr>
          <w:rFonts w:asciiTheme="minorHAnsi" w:hAnsiTheme="minorHAnsi" w:cstheme="minorHAnsi"/>
          <w:b w:val="0"/>
          <w:bCs w:val="0"/>
          <w:color w:val="000000" w:themeColor="text1"/>
          <w:sz w:val="20"/>
          <w:szCs w:val="20"/>
        </w:rPr>
      </w:pPr>
      <w:r w:rsidRPr="0014209D">
        <w:rPr>
          <w:rFonts w:asciiTheme="minorHAnsi" w:hAnsiTheme="minorHAnsi" w:cstheme="minorHAnsi"/>
          <w:color w:val="000000" w:themeColor="text1"/>
          <w:sz w:val="20"/>
          <w:szCs w:val="20"/>
          <w:shd w:val="clear" w:color="auto" w:fill="FFFFFF"/>
          <w:vertAlign w:val="superscript"/>
          <w:lang w:val="en-GB"/>
        </w:rPr>
        <w:t>4</w:t>
      </w:r>
      <w:r w:rsidR="00F7634D" w:rsidRPr="0014209D">
        <w:rPr>
          <w:rFonts w:asciiTheme="minorHAnsi" w:hAnsiTheme="minorHAnsi" w:cstheme="minorHAnsi"/>
          <w:b w:val="0"/>
          <w:bCs w:val="0"/>
          <w:color w:val="000000" w:themeColor="text1"/>
          <w:sz w:val="20"/>
          <w:szCs w:val="20"/>
        </w:rPr>
        <w:t xml:space="preserve">Faculty of Medicine, Aristotle University School of Health Sciences, </w:t>
      </w:r>
      <w:proofErr w:type="spellStart"/>
      <w:r w:rsidR="00F7634D" w:rsidRPr="0014209D">
        <w:rPr>
          <w:rFonts w:asciiTheme="minorHAnsi" w:hAnsiTheme="minorHAnsi" w:cstheme="minorHAnsi"/>
          <w:b w:val="0"/>
          <w:bCs w:val="0"/>
          <w:color w:val="000000" w:themeColor="text1"/>
          <w:sz w:val="20"/>
          <w:szCs w:val="20"/>
        </w:rPr>
        <w:t>Hippokration</w:t>
      </w:r>
      <w:proofErr w:type="spellEnd"/>
      <w:r w:rsidR="00F7634D" w:rsidRPr="0014209D">
        <w:rPr>
          <w:rFonts w:asciiTheme="minorHAnsi" w:hAnsiTheme="minorHAnsi" w:cstheme="minorHAnsi"/>
          <w:b w:val="0"/>
          <w:bCs w:val="0"/>
          <w:color w:val="000000" w:themeColor="text1"/>
          <w:sz w:val="20"/>
          <w:szCs w:val="20"/>
        </w:rPr>
        <w:t xml:space="preserve"> General Hospital, Thessaloniki, Greece </w:t>
      </w:r>
    </w:p>
    <w:p w14:paraId="40137A40" w14:textId="4645B873" w:rsidR="000E25CE" w:rsidRPr="0014209D" w:rsidRDefault="000E25CE" w:rsidP="000E25CE">
      <w:pPr>
        <w:rPr>
          <w:rFonts w:asciiTheme="minorHAnsi" w:hAnsiTheme="minorHAnsi" w:cstheme="minorHAnsi"/>
          <w:color w:val="000000" w:themeColor="text1"/>
          <w:sz w:val="20"/>
          <w:szCs w:val="20"/>
        </w:rPr>
      </w:pPr>
    </w:p>
    <w:p w14:paraId="635E5BC0" w14:textId="5F3BE9FC" w:rsidR="00AA1C51" w:rsidRPr="0014209D" w:rsidRDefault="00F93603" w:rsidP="00F93603">
      <w:pPr>
        <w:rPr>
          <w:rFonts w:asciiTheme="minorHAnsi" w:hAnsiTheme="minorHAnsi" w:cstheme="minorHAnsi"/>
          <w:b/>
          <w:color w:val="000000" w:themeColor="text1"/>
          <w:sz w:val="20"/>
          <w:szCs w:val="20"/>
          <w:shd w:val="clear" w:color="auto" w:fill="FFFFFF"/>
          <w:lang w:val="en-GB"/>
        </w:rPr>
      </w:pPr>
      <w:r w:rsidRPr="0014209D">
        <w:rPr>
          <w:rFonts w:asciiTheme="minorHAnsi" w:hAnsiTheme="minorHAnsi" w:cstheme="minorHAnsi"/>
          <w:b/>
          <w:color w:val="000000" w:themeColor="text1"/>
          <w:sz w:val="20"/>
          <w:szCs w:val="20"/>
          <w:shd w:val="clear" w:color="auto" w:fill="FFFFFF"/>
          <w:vertAlign w:val="superscript"/>
          <w:lang w:val="en-GB"/>
        </w:rPr>
        <w:t>5</w:t>
      </w:r>
      <w:r w:rsidR="000E25CE" w:rsidRPr="0014209D">
        <w:rPr>
          <w:rFonts w:asciiTheme="minorHAnsi" w:hAnsiTheme="minorHAnsi" w:cstheme="minorHAnsi"/>
          <w:color w:val="000000" w:themeColor="text1"/>
          <w:sz w:val="20"/>
          <w:szCs w:val="20"/>
          <w:lang w:val="en-US"/>
        </w:rPr>
        <w:t xml:space="preserve">Department of Women’s and Children’s Health, Karolinska </w:t>
      </w:r>
      <w:proofErr w:type="spellStart"/>
      <w:r w:rsidR="000E25CE" w:rsidRPr="0014209D">
        <w:rPr>
          <w:rFonts w:asciiTheme="minorHAnsi" w:hAnsiTheme="minorHAnsi" w:cstheme="minorHAnsi"/>
          <w:color w:val="000000" w:themeColor="text1"/>
          <w:sz w:val="20"/>
          <w:szCs w:val="20"/>
          <w:lang w:val="en-US"/>
        </w:rPr>
        <w:t>Institutet</w:t>
      </w:r>
      <w:proofErr w:type="spellEnd"/>
      <w:r w:rsidR="000E25CE" w:rsidRPr="0014209D">
        <w:rPr>
          <w:rFonts w:asciiTheme="minorHAnsi" w:hAnsiTheme="minorHAnsi" w:cstheme="minorHAnsi"/>
          <w:color w:val="000000" w:themeColor="text1"/>
          <w:sz w:val="20"/>
          <w:szCs w:val="20"/>
          <w:lang w:val="en-US"/>
        </w:rPr>
        <w:t xml:space="preserve">, </w:t>
      </w:r>
      <w:proofErr w:type="spellStart"/>
      <w:r w:rsidR="000E25CE" w:rsidRPr="0014209D">
        <w:rPr>
          <w:rFonts w:asciiTheme="minorHAnsi" w:hAnsiTheme="minorHAnsi" w:cstheme="minorHAnsi"/>
          <w:color w:val="000000" w:themeColor="text1"/>
          <w:sz w:val="20"/>
          <w:szCs w:val="20"/>
          <w:lang w:val="en-US"/>
        </w:rPr>
        <w:t>Tomtebodavagen</w:t>
      </w:r>
      <w:proofErr w:type="spellEnd"/>
      <w:r w:rsidR="000E25CE" w:rsidRPr="0014209D">
        <w:rPr>
          <w:rFonts w:asciiTheme="minorHAnsi" w:hAnsiTheme="minorHAnsi" w:cstheme="minorHAnsi"/>
          <w:color w:val="000000" w:themeColor="text1"/>
          <w:sz w:val="20"/>
          <w:szCs w:val="20"/>
          <w:lang w:val="en-US"/>
        </w:rPr>
        <w:t xml:space="preserve"> 18 fl8, S-17177, Stockholm, </w:t>
      </w:r>
      <w:r w:rsidR="00065125" w:rsidRPr="0014209D">
        <w:rPr>
          <w:rFonts w:asciiTheme="minorHAnsi" w:hAnsiTheme="minorHAnsi" w:cstheme="minorHAnsi"/>
          <w:color w:val="000000" w:themeColor="text1"/>
          <w:sz w:val="20"/>
          <w:szCs w:val="20"/>
          <w:lang w:val="en-US"/>
        </w:rPr>
        <w:t>SWEDEN</w:t>
      </w:r>
      <w:r w:rsidR="00AA1C51" w:rsidRPr="0014209D">
        <w:rPr>
          <w:rFonts w:asciiTheme="minorHAnsi" w:hAnsiTheme="minorHAnsi" w:cstheme="minorHAnsi"/>
          <w:color w:val="000000" w:themeColor="text1"/>
          <w:sz w:val="20"/>
          <w:szCs w:val="20"/>
          <w:lang w:val="en-US"/>
        </w:rPr>
        <w:t xml:space="preserve">; </w:t>
      </w:r>
    </w:p>
    <w:p w14:paraId="79F23EF2" w14:textId="625768AD" w:rsidR="000E25CE" w:rsidRPr="0014209D" w:rsidRDefault="00F93603" w:rsidP="00AA1C51">
      <w:pPr>
        <w:pStyle w:val="Normal1"/>
        <w:spacing w:line="240" w:lineRule="auto"/>
        <w:jc w:val="both"/>
        <w:rPr>
          <w:rFonts w:asciiTheme="minorHAnsi" w:eastAsia="Times New Roman" w:hAnsiTheme="minorHAnsi" w:cstheme="minorHAnsi"/>
          <w:color w:val="000000" w:themeColor="text1"/>
          <w:sz w:val="20"/>
          <w:szCs w:val="20"/>
          <w:lang w:val="en-US"/>
        </w:rPr>
      </w:pPr>
      <w:r w:rsidRPr="0014209D">
        <w:rPr>
          <w:rFonts w:asciiTheme="minorHAnsi" w:eastAsia="Times New Roman" w:hAnsiTheme="minorHAnsi" w:cstheme="minorHAnsi"/>
          <w:color w:val="000000" w:themeColor="text1"/>
          <w:sz w:val="20"/>
          <w:szCs w:val="20"/>
          <w:vertAlign w:val="superscript"/>
          <w:lang w:val="en-US"/>
        </w:rPr>
        <w:t>6</w:t>
      </w:r>
      <w:r w:rsidR="000E25CE" w:rsidRPr="0014209D">
        <w:rPr>
          <w:rFonts w:asciiTheme="minorHAnsi" w:eastAsia="Times New Roman" w:hAnsiTheme="minorHAnsi" w:cstheme="minorHAnsi"/>
          <w:color w:val="000000" w:themeColor="text1"/>
          <w:sz w:val="20"/>
          <w:szCs w:val="20"/>
          <w:lang w:val="en-US"/>
        </w:rPr>
        <w:t xml:space="preserve">Department of Global Public Health, Karolinska </w:t>
      </w:r>
      <w:proofErr w:type="spellStart"/>
      <w:r w:rsidR="000E25CE" w:rsidRPr="0014209D">
        <w:rPr>
          <w:rFonts w:asciiTheme="minorHAnsi" w:eastAsia="Times New Roman" w:hAnsiTheme="minorHAnsi" w:cstheme="minorHAnsi"/>
          <w:color w:val="000000" w:themeColor="text1"/>
          <w:sz w:val="20"/>
          <w:szCs w:val="20"/>
          <w:lang w:val="en-US"/>
        </w:rPr>
        <w:t>Institutet</w:t>
      </w:r>
      <w:proofErr w:type="spellEnd"/>
      <w:r w:rsidR="000E25CE" w:rsidRPr="0014209D">
        <w:rPr>
          <w:rFonts w:asciiTheme="minorHAnsi" w:eastAsia="Times New Roman" w:hAnsiTheme="minorHAnsi" w:cstheme="minorHAnsi"/>
          <w:color w:val="000000" w:themeColor="text1"/>
          <w:sz w:val="20"/>
          <w:szCs w:val="20"/>
          <w:lang w:val="en-US"/>
        </w:rPr>
        <w:t xml:space="preserve">, </w:t>
      </w:r>
      <w:proofErr w:type="spellStart"/>
      <w:r w:rsidR="000E25CE" w:rsidRPr="0014209D">
        <w:rPr>
          <w:rFonts w:asciiTheme="minorHAnsi" w:eastAsia="Times New Roman" w:hAnsiTheme="minorHAnsi" w:cstheme="minorHAnsi"/>
          <w:color w:val="000000" w:themeColor="text1"/>
          <w:sz w:val="20"/>
          <w:szCs w:val="20"/>
          <w:lang w:val="en-US"/>
        </w:rPr>
        <w:t>Tomtebodavagen</w:t>
      </w:r>
      <w:proofErr w:type="spellEnd"/>
      <w:r w:rsidR="000E25CE" w:rsidRPr="0014209D">
        <w:rPr>
          <w:rFonts w:asciiTheme="minorHAnsi" w:eastAsia="Times New Roman" w:hAnsiTheme="minorHAnsi" w:cstheme="minorHAnsi"/>
          <w:color w:val="000000" w:themeColor="text1"/>
          <w:sz w:val="20"/>
          <w:szCs w:val="20"/>
          <w:lang w:val="en-US"/>
        </w:rPr>
        <w:t xml:space="preserve"> 18 fl3, S-17177, Stockholm, S</w:t>
      </w:r>
      <w:r w:rsidR="00065125" w:rsidRPr="0014209D">
        <w:rPr>
          <w:rFonts w:asciiTheme="minorHAnsi" w:eastAsia="Times New Roman" w:hAnsiTheme="minorHAnsi" w:cstheme="minorHAnsi"/>
          <w:color w:val="000000" w:themeColor="text1"/>
          <w:sz w:val="20"/>
          <w:szCs w:val="20"/>
          <w:lang w:val="en-US"/>
        </w:rPr>
        <w:t>WEDEN</w:t>
      </w:r>
    </w:p>
    <w:p w14:paraId="7BC1ED63" w14:textId="00915391" w:rsidR="000E25CE" w:rsidRPr="0014209D" w:rsidRDefault="000E25CE" w:rsidP="000E25CE">
      <w:pPr>
        <w:rPr>
          <w:rFonts w:asciiTheme="minorHAnsi" w:hAnsiTheme="minorHAnsi" w:cstheme="minorHAnsi"/>
          <w:color w:val="000000" w:themeColor="text1"/>
          <w:sz w:val="20"/>
          <w:szCs w:val="20"/>
        </w:rPr>
      </w:pPr>
    </w:p>
    <w:p w14:paraId="30431ABE" w14:textId="22D883BF" w:rsidR="002D1690" w:rsidRPr="0014209D" w:rsidRDefault="00F93603" w:rsidP="002D1690">
      <w:pPr>
        <w:shd w:val="clear" w:color="auto" w:fill="FFFFFF"/>
        <w:rPr>
          <w:rFonts w:asciiTheme="minorHAnsi" w:hAnsiTheme="minorHAnsi" w:cstheme="minorHAnsi"/>
          <w:color w:val="000000" w:themeColor="text1"/>
          <w:sz w:val="20"/>
          <w:szCs w:val="20"/>
        </w:rPr>
      </w:pPr>
      <w:r w:rsidRPr="0014209D">
        <w:rPr>
          <w:rFonts w:asciiTheme="minorHAnsi" w:hAnsiTheme="minorHAnsi" w:cstheme="minorHAnsi"/>
          <w:color w:val="000000" w:themeColor="text1"/>
          <w:sz w:val="20"/>
          <w:szCs w:val="20"/>
          <w:vertAlign w:val="superscript"/>
        </w:rPr>
        <w:t>7</w:t>
      </w:r>
      <w:r w:rsidR="002D1690" w:rsidRPr="002D1690">
        <w:rPr>
          <w:rFonts w:asciiTheme="minorHAnsi" w:hAnsiTheme="minorHAnsi" w:cstheme="minorHAnsi"/>
          <w:color w:val="000000" w:themeColor="text1"/>
          <w:sz w:val="20"/>
          <w:szCs w:val="20"/>
        </w:rPr>
        <w:t xml:space="preserve">Department of </w:t>
      </w:r>
      <w:proofErr w:type="spellStart"/>
      <w:r w:rsidR="002D1690" w:rsidRPr="002D1690">
        <w:rPr>
          <w:rFonts w:asciiTheme="minorHAnsi" w:hAnsiTheme="minorHAnsi" w:cstheme="minorHAnsi"/>
          <w:color w:val="000000" w:themeColor="text1"/>
          <w:sz w:val="20"/>
          <w:szCs w:val="20"/>
        </w:rPr>
        <w:t>Pediatrics</w:t>
      </w:r>
      <w:proofErr w:type="spellEnd"/>
      <w:r w:rsidR="00065125" w:rsidRPr="0014209D">
        <w:rPr>
          <w:rFonts w:asciiTheme="minorHAnsi" w:hAnsiTheme="minorHAnsi" w:cstheme="minorHAnsi"/>
          <w:color w:val="000000" w:themeColor="text1"/>
          <w:sz w:val="20"/>
          <w:szCs w:val="20"/>
        </w:rPr>
        <w:t xml:space="preserve">, </w:t>
      </w:r>
      <w:r w:rsidR="002D1690" w:rsidRPr="002D1690">
        <w:rPr>
          <w:rFonts w:asciiTheme="minorHAnsi" w:hAnsiTheme="minorHAnsi" w:cstheme="minorHAnsi"/>
          <w:color w:val="000000" w:themeColor="text1"/>
          <w:sz w:val="20"/>
          <w:szCs w:val="20"/>
        </w:rPr>
        <w:t>Baylor College of Medicine</w:t>
      </w:r>
      <w:r w:rsidR="00065125" w:rsidRPr="0014209D">
        <w:rPr>
          <w:rFonts w:asciiTheme="minorHAnsi" w:hAnsiTheme="minorHAnsi" w:cstheme="minorHAnsi"/>
          <w:color w:val="000000" w:themeColor="text1"/>
          <w:sz w:val="20"/>
          <w:szCs w:val="20"/>
        </w:rPr>
        <w:t xml:space="preserve">, </w:t>
      </w:r>
      <w:r w:rsidR="002D1690" w:rsidRPr="002D1690">
        <w:rPr>
          <w:rFonts w:asciiTheme="minorHAnsi" w:hAnsiTheme="minorHAnsi" w:cstheme="minorHAnsi"/>
          <w:color w:val="000000" w:themeColor="text1"/>
          <w:sz w:val="20"/>
          <w:szCs w:val="20"/>
        </w:rPr>
        <w:t>Texas Children's Hospital</w:t>
      </w:r>
      <w:r w:rsidR="00065125" w:rsidRPr="0014209D">
        <w:rPr>
          <w:rFonts w:asciiTheme="minorHAnsi" w:hAnsiTheme="minorHAnsi" w:cstheme="minorHAnsi"/>
          <w:color w:val="000000" w:themeColor="text1"/>
          <w:sz w:val="20"/>
          <w:szCs w:val="20"/>
        </w:rPr>
        <w:t xml:space="preserve">, </w:t>
      </w:r>
      <w:r w:rsidR="002D1690" w:rsidRPr="002D1690">
        <w:rPr>
          <w:rFonts w:asciiTheme="minorHAnsi" w:hAnsiTheme="minorHAnsi" w:cstheme="minorHAnsi"/>
          <w:color w:val="000000" w:themeColor="text1"/>
          <w:sz w:val="20"/>
          <w:szCs w:val="20"/>
        </w:rPr>
        <w:t>Houston, Texas</w:t>
      </w:r>
      <w:r w:rsidR="00065125" w:rsidRPr="0014209D">
        <w:rPr>
          <w:rFonts w:asciiTheme="minorHAnsi" w:hAnsiTheme="minorHAnsi" w:cstheme="minorHAnsi"/>
          <w:color w:val="000000" w:themeColor="text1"/>
          <w:sz w:val="20"/>
          <w:szCs w:val="20"/>
        </w:rPr>
        <w:t>, USA.</w:t>
      </w:r>
    </w:p>
    <w:p w14:paraId="2FFF1570" w14:textId="67E634C3" w:rsidR="00667F1F" w:rsidRPr="0014209D" w:rsidRDefault="00667F1F" w:rsidP="002D1690">
      <w:pPr>
        <w:shd w:val="clear" w:color="auto" w:fill="FFFFFF"/>
        <w:rPr>
          <w:rFonts w:asciiTheme="minorHAnsi" w:hAnsiTheme="minorHAnsi" w:cstheme="minorHAnsi"/>
          <w:color w:val="000000" w:themeColor="text1"/>
          <w:sz w:val="20"/>
          <w:szCs w:val="20"/>
        </w:rPr>
      </w:pPr>
    </w:p>
    <w:p w14:paraId="5D2D625E" w14:textId="295E0FE7" w:rsidR="00667F1F" w:rsidRPr="002D1690" w:rsidRDefault="00065125" w:rsidP="002D1690">
      <w:pPr>
        <w:shd w:val="clear" w:color="auto" w:fill="FFFFFF"/>
        <w:rPr>
          <w:rFonts w:asciiTheme="minorHAnsi" w:hAnsiTheme="minorHAnsi" w:cstheme="minorHAnsi"/>
          <w:color w:val="000000" w:themeColor="text1"/>
          <w:sz w:val="20"/>
          <w:szCs w:val="20"/>
        </w:rPr>
      </w:pPr>
      <w:r w:rsidRPr="0014209D">
        <w:rPr>
          <w:rFonts w:asciiTheme="minorHAnsi" w:hAnsiTheme="minorHAnsi" w:cstheme="minorHAnsi"/>
          <w:color w:val="000000" w:themeColor="text1"/>
          <w:sz w:val="20"/>
          <w:szCs w:val="20"/>
          <w:vertAlign w:val="superscript"/>
        </w:rPr>
        <w:t>8</w:t>
      </w:r>
      <w:r w:rsidRPr="0014209D">
        <w:rPr>
          <w:rFonts w:asciiTheme="minorHAnsi" w:hAnsiTheme="minorHAnsi" w:cstheme="minorHAnsi"/>
          <w:color w:val="000000" w:themeColor="text1"/>
          <w:sz w:val="20"/>
          <w:szCs w:val="20"/>
        </w:rPr>
        <w:t xml:space="preserve">Department </w:t>
      </w:r>
      <w:r w:rsidR="00667F1F" w:rsidRPr="0014209D">
        <w:rPr>
          <w:rFonts w:asciiTheme="minorHAnsi" w:hAnsiTheme="minorHAnsi" w:cstheme="minorHAnsi"/>
          <w:color w:val="000000" w:themeColor="text1"/>
          <w:sz w:val="20"/>
          <w:szCs w:val="20"/>
        </w:rPr>
        <w:t xml:space="preserve">of Microbiology, University of Tartu, </w:t>
      </w:r>
      <w:r w:rsidRPr="0014209D">
        <w:rPr>
          <w:rFonts w:asciiTheme="minorHAnsi" w:hAnsiTheme="minorHAnsi" w:cstheme="minorHAnsi"/>
          <w:color w:val="000000" w:themeColor="text1"/>
          <w:sz w:val="20"/>
          <w:szCs w:val="20"/>
        </w:rPr>
        <w:t>ESTONIA</w:t>
      </w:r>
    </w:p>
    <w:p w14:paraId="7ADEA0BA" w14:textId="77777777" w:rsidR="002D1690" w:rsidRPr="0014209D" w:rsidRDefault="002D1690" w:rsidP="000E25CE">
      <w:pPr>
        <w:rPr>
          <w:rFonts w:asciiTheme="minorHAnsi" w:hAnsiTheme="minorHAnsi" w:cstheme="minorHAnsi"/>
          <w:color w:val="000000" w:themeColor="text1"/>
          <w:sz w:val="20"/>
          <w:szCs w:val="20"/>
        </w:rPr>
      </w:pPr>
    </w:p>
    <w:p w14:paraId="04E6A429" w14:textId="00B5B557" w:rsidR="00F7634D" w:rsidRPr="0014209D" w:rsidRDefault="002928D8" w:rsidP="00F7634D">
      <w:pPr>
        <w:rPr>
          <w:rFonts w:asciiTheme="minorHAnsi" w:hAnsiTheme="minorHAnsi" w:cstheme="minorHAnsi"/>
          <w:color w:val="000000" w:themeColor="text1"/>
          <w:sz w:val="20"/>
          <w:szCs w:val="20"/>
        </w:rPr>
      </w:pPr>
      <w:r w:rsidRPr="0014209D">
        <w:rPr>
          <w:rFonts w:asciiTheme="minorHAnsi" w:hAnsiTheme="minorHAnsi" w:cstheme="minorHAnsi"/>
          <w:color w:val="000000" w:themeColor="text1"/>
          <w:sz w:val="20"/>
          <w:szCs w:val="20"/>
          <w:vertAlign w:val="superscript"/>
        </w:rPr>
        <w:t>9</w:t>
      </w:r>
      <w:r w:rsidRPr="0014209D">
        <w:rPr>
          <w:rFonts w:asciiTheme="minorHAnsi" w:hAnsiTheme="minorHAnsi" w:cstheme="minorHAnsi"/>
          <w:color w:val="000000" w:themeColor="text1"/>
          <w:sz w:val="20"/>
          <w:szCs w:val="20"/>
        </w:rPr>
        <w:t>Department of Women and Children’s Health, University of Padova, Padova, ITALY</w:t>
      </w:r>
    </w:p>
    <w:p w14:paraId="55FA8653" w14:textId="06FFEF14" w:rsidR="00BA2532" w:rsidRPr="0014209D" w:rsidRDefault="00BA2532" w:rsidP="00F7634D">
      <w:pPr>
        <w:rPr>
          <w:rFonts w:asciiTheme="minorHAnsi" w:hAnsiTheme="minorHAnsi" w:cstheme="minorHAnsi"/>
          <w:color w:val="000000" w:themeColor="text1"/>
          <w:sz w:val="20"/>
          <w:szCs w:val="20"/>
        </w:rPr>
      </w:pPr>
    </w:p>
    <w:p w14:paraId="238397CD" w14:textId="4DDD914D" w:rsidR="00BA2532" w:rsidRPr="0014209D" w:rsidRDefault="00BA2532" w:rsidP="00F7634D">
      <w:pPr>
        <w:rPr>
          <w:rFonts w:asciiTheme="minorHAnsi" w:hAnsiTheme="minorHAnsi" w:cstheme="minorHAnsi"/>
          <w:color w:val="000000" w:themeColor="text1"/>
          <w:sz w:val="20"/>
          <w:szCs w:val="20"/>
        </w:rPr>
      </w:pPr>
      <w:r w:rsidRPr="0014209D">
        <w:rPr>
          <w:rFonts w:asciiTheme="minorHAnsi" w:hAnsiTheme="minorHAnsi" w:cstheme="minorHAnsi"/>
          <w:color w:val="000000" w:themeColor="text1"/>
          <w:sz w:val="20"/>
          <w:szCs w:val="20"/>
          <w:vertAlign w:val="superscript"/>
        </w:rPr>
        <w:t>10</w:t>
      </w:r>
      <w:r w:rsidRPr="0014209D">
        <w:rPr>
          <w:rFonts w:asciiTheme="minorHAnsi" w:hAnsiTheme="minorHAnsi" w:cstheme="minorHAnsi"/>
          <w:color w:val="000000" w:themeColor="text1"/>
          <w:sz w:val="20"/>
          <w:szCs w:val="20"/>
        </w:rPr>
        <w:t>D</w:t>
      </w:r>
      <w:r w:rsidR="004D43BF" w:rsidRPr="0014209D">
        <w:rPr>
          <w:rFonts w:asciiTheme="minorHAnsi" w:hAnsiTheme="minorHAnsi" w:cstheme="minorHAnsi"/>
          <w:color w:val="000000" w:themeColor="text1"/>
          <w:sz w:val="20"/>
          <w:szCs w:val="20"/>
        </w:rPr>
        <w:t xml:space="preserve">epartment of </w:t>
      </w:r>
      <w:proofErr w:type="spellStart"/>
      <w:r w:rsidR="004D43BF" w:rsidRPr="0014209D">
        <w:rPr>
          <w:rFonts w:asciiTheme="minorHAnsi" w:hAnsiTheme="minorHAnsi" w:cstheme="minorHAnsi"/>
          <w:color w:val="000000" w:themeColor="text1"/>
          <w:sz w:val="20"/>
          <w:szCs w:val="20"/>
        </w:rPr>
        <w:t>Pediatrics</w:t>
      </w:r>
      <w:proofErr w:type="spellEnd"/>
      <w:r w:rsidR="004D43BF" w:rsidRPr="0014209D">
        <w:rPr>
          <w:rFonts w:asciiTheme="minorHAnsi" w:hAnsiTheme="minorHAnsi" w:cstheme="minorHAnsi"/>
          <w:color w:val="000000" w:themeColor="text1"/>
          <w:sz w:val="20"/>
          <w:szCs w:val="20"/>
        </w:rPr>
        <w:t xml:space="preserve">, Division of </w:t>
      </w:r>
      <w:proofErr w:type="spellStart"/>
      <w:r w:rsidR="004D43BF" w:rsidRPr="0014209D">
        <w:rPr>
          <w:rFonts w:asciiTheme="minorHAnsi" w:hAnsiTheme="minorHAnsi" w:cstheme="minorHAnsi"/>
          <w:color w:val="000000" w:themeColor="text1"/>
          <w:sz w:val="20"/>
          <w:szCs w:val="20"/>
        </w:rPr>
        <w:t>Pediatric</w:t>
      </w:r>
      <w:proofErr w:type="spellEnd"/>
      <w:r w:rsidR="004D43BF" w:rsidRPr="0014209D">
        <w:rPr>
          <w:rFonts w:asciiTheme="minorHAnsi" w:hAnsiTheme="minorHAnsi" w:cstheme="minorHAnsi"/>
          <w:color w:val="000000" w:themeColor="text1"/>
          <w:sz w:val="20"/>
          <w:szCs w:val="20"/>
        </w:rPr>
        <w:t xml:space="preserve"> Research, Duke Clinical Research Institute</w:t>
      </w:r>
      <w:r w:rsidRPr="0014209D">
        <w:rPr>
          <w:rFonts w:asciiTheme="minorHAnsi" w:hAnsiTheme="minorHAnsi" w:cstheme="minorHAnsi"/>
          <w:color w:val="000000" w:themeColor="text1"/>
          <w:sz w:val="20"/>
          <w:szCs w:val="20"/>
        </w:rPr>
        <w:t>, Duke University, 2400 Pratt St Durham NC 27710</w:t>
      </w:r>
      <w:r w:rsidR="004D43BF" w:rsidRPr="0014209D">
        <w:rPr>
          <w:rFonts w:asciiTheme="minorHAnsi" w:hAnsiTheme="minorHAnsi" w:cstheme="minorHAnsi"/>
          <w:color w:val="000000" w:themeColor="text1"/>
          <w:sz w:val="20"/>
          <w:szCs w:val="20"/>
        </w:rPr>
        <w:t xml:space="preserve"> </w:t>
      </w:r>
      <w:r w:rsidR="00476F80" w:rsidRPr="0014209D">
        <w:rPr>
          <w:rFonts w:asciiTheme="minorHAnsi" w:hAnsiTheme="minorHAnsi" w:cstheme="minorHAnsi"/>
          <w:color w:val="000000" w:themeColor="text1"/>
          <w:sz w:val="20"/>
          <w:szCs w:val="20"/>
        </w:rPr>
        <w:t>USA</w:t>
      </w:r>
      <w:r w:rsidR="004D43BF" w:rsidRPr="0014209D">
        <w:rPr>
          <w:rFonts w:asciiTheme="minorHAnsi" w:hAnsiTheme="minorHAnsi" w:cstheme="minorHAnsi"/>
          <w:color w:val="000000" w:themeColor="text1"/>
          <w:sz w:val="20"/>
          <w:szCs w:val="20"/>
        </w:rPr>
        <w:t xml:space="preserve"> </w:t>
      </w:r>
    </w:p>
    <w:p w14:paraId="180BDF3E" w14:textId="1A800B31" w:rsidR="00562DAF" w:rsidRPr="0014209D" w:rsidRDefault="00562DAF" w:rsidP="00F7634D">
      <w:pPr>
        <w:rPr>
          <w:rFonts w:asciiTheme="minorHAnsi" w:hAnsiTheme="minorHAnsi" w:cstheme="minorHAnsi"/>
          <w:color w:val="000000" w:themeColor="text1"/>
          <w:sz w:val="20"/>
          <w:szCs w:val="20"/>
        </w:rPr>
      </w:pPr>
    </w:p>
    <w:p w14:paraId="3D3A1D16" w14:textId="31B9BD37" w:rsidR="00562DAF" w:rsidRPr="0014209D" w:rsidRDefault="00562DAF" w:rsidP="00F7634D">
      <w:pPr>
        <w:rPr>
          <w:rFonts w:asciiTheme="minorHAnsi" w:hAnsiTheme="minorHAnsi" w:cstheme="minorHAnsi"/>
          <w:color w:val="000000" w:themeColor="text1"/>
          <w:sz w:val="20"/>
          <w:szCs w:val="20"/>
        </w:rPr>
      </w:pPr>
      <w:r w:rsidRPr="0014209D">
        <w:rPr>
          <w:rFonts w:asciiTheme="minorHAnsi" w:hAnsiTheme="minorHAnsi" w:cstheme="minorHAnsi"/>
          <w:color w:val="000000" w:themeColor="text1"/>
          <w:sz w:val="20"/>
          <w:szCs w:val="20"/>
          <w:vertAlign w:val="superscript"/>
        </w:rPr>
        <w:t>11</w:t>
      </w:r>
      <w:r w:rsidR="004D43BF" w:rsidRPr="0014209D">
        <w:rPr>
          <w:rFonts w:asciiTheme="minorHAnsi" w:hAnsiTheme="minorHAnsi" w:cstheme="minorHAnsi"/>
          <w:color w:val="000000" w:themeColor="text1"/>
          <w:sz w:val="20"/>
          <w:szCs w:val="20"/>
        </w:rPr>
        <w:t xml:space="preserve">Paediatric Infectious Diseases Research Group, </w:t>
      </w:r>
      <w:r w:rsidR="00AB6C7E">
        <w:rPr>
          <w:rFonts w:asciiTheme="minorHAnsi" w:hAnsiTheme="minorHAnsi" w:cstheme="minorHAnsi"/>
          <w:color w:val="000000" w:themeColor="text1"/>
          <w:sz w:val="20"/>
          <w:szCs w:val="20"/>
        </w:rPr>
        <w:t>Institute of Infection and Immunity</w:t>
      </w:r>
      <w:r w:rsidR="004D43BF" w:rsidRPr="0014209D">
        <w:rPr>
          <w:rFonts w:asciiTheme="minorHAnsi" w:hAnsiTheme="minorHAnsi" w:cstheme="minorHAnsi"/>
          <w:color w:val="000000" w:themeColor="text1"/>
          <w:sz w:val="20"/>
          <w:szCs w:val="20"/>
        </w:rPr>
        <w:t>, St George’s University London, London, U</w:t>
      </w:r>
      <w:r w:rsidR="00AB6C7E">
        <w:rPr>
          <w:rFonts w:asciiTheme="minorHAnsi" w:hAnsiTheme="minorHAnsi" w:cstheme="minorHAnsi"/>
          <w:color w:val="000000" w:themeColor="text1"/>
          <w:sz w:val="20"/>
          <w:szCs w:val="20"/>
        </w:rPr>
        <w:t>K</w:t>
      </w:r>
    </w:p>
    <w:p w14:paraId="0127D031" w14:textId="79D49AC7" w:rsidR="00F7634D" w:rsidRPr="00476F80" w:rsidRDefault="00F7634D" w:rsidP="00F7634D">
      <w:pPr>
        <w:jc w:val="center"/>
        <w:rPr>
          <w:rFonts w:ascii="Calibri" w:hAnsi="Calibri" w:cs="Calibri"/>
          <w:color w:val="000000" w:themeColor="text1"/>
          <w:sz w:val="28"/>
          <w:szCs w:val="28"/>
          <w:shd w:val="clear" w:color="auto" w:fill="FFFFFF"/>
          <w:lang w:val="en-GB"/>
        </w:rPr>
      </w:pPr>
    </w:p>
    <w:p w14:paraId="3BD4591D" w14:textId="0D4FEC1D" w:rsidR="00F9551A" w:rsidRPr="00AB6C7E" w:rsidRDefault="00F9551A" w:rsidP="00AB6C7E">
      <w:pPr>
        <w:rPr>
          <w:rFonts w:ascii="Calibri" w:hAnsi="Calibri" w:cs="Calibri"/>
          <w:color w:val="000000"/>
          <w:sz w:val="36"/>
          <w:szCs w:val="36"/>
          <w:shd w:val="clear" w:color="auto" w:fill="FFFFFF"/>
          <w:lang w:val="en-GB"/>
        </w:rPr>
      </w:pPr>
    </w:p>
    <w:p w14:paraId="53C193EA" w14:textId="623F8B7C" w:rsidR="00F8637E" w:rsidRPr="00EF5361" w:rsidRDefault="00086685" w:rsidP="005E4C28">
      <w:pPr>
        <w:shd w:val="clear" w:color="auto" w:fill="FFFFFF"/>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br w:type="column"/>
      </w:r>
      <w:r w:rsidR="00D71C32">
        <w:rPr>
          <w:rFonts w:asciiTheme="minorHAnsi" w:hAnsiTheme="minorHAnsi" w:cstheme="minorHAnsi"/>
          <w:color w:val="000000" w:themeColor="text1"/>
          <w:sz w:val="22"/>
          <w:szCs w:val="22"/>
          <w:lang w:val="en-GB"/>
        </w:rPr>
        <w:lastRenderedPageBreak/>
        <w:t xml:space="preserve">Antimicrobial </w:t>
      </w:r>
      <w:r w:rsidR="00D71C32" w:rsidRPr="00D71C32">
        <w:rPr>
          <w:rFonts w:asciiTheme="minorHAnsi" w:hAnsiTheme="minorHAnsi" w:cstheme="minorHAnsi"/>
          <w:color w:val="000000" w:themeColor="text1"/>
          <w:sz w:val="22"/>
          <w:szCs w:val="22"/>
          <w:lang w:val="en-GB"/>
        </w:rPr>
        <w:t xml:space="preserve">resistance (AMR) represents a substantial threat to the Sustainable Development Goals (SDGs) </w:t>
      </w:r>
      <w:r w:rsidR="009D3A7E">
        <w:rPr>
          <w:rFonts w:asciiTheme="minorHAnsi" w:hAnsiTheme="minorHAnsi" w:cstheme="minorHAnsi"/>
          <w:color w:val="000000" w:themeColor="text1"/>
          <w:sz w:val="22"/>
          <w:szCs w:val="22"/>
          <w:lang w:val="en-GB"/>
        </w:rPr>
        <w:t xml:space="preserve">with </w:t>
      </w:r>
      <w:r w:rsidR="00D71C32" w:rsidRPr="00D71C32">
        <w:rPr>
          <w:rFonts w:asciiTheme="minorHAnsi" w:hAnsiTheme="minorHAnsi" w:cstheme="minorHAnsi"/>
          <w:color w:val="000000" w:themeColor="text1"/>
          <w:sz w:val="22"/>
          <w:szCs w:val="22"/>
          <w:lang w:val="en-GB"/>
        </w:rPr>
        <w:t>a significant impact on the health of children worldwide.</w:t>
      </w:r>
      <w:r w:rsidR="00D71C32" w:rsidRPr="00D71C32">
        <w:rPr>
          <w:rFonts w:asciiTheme="minorHAnsi" w:hAnsiTheme="minorHAnsi" w:cstheme="minorHAnsi"/>
          <w:color w:val="000000" w:themeColor="text1"/>
          <w:sz w:val="22"/>
          <w:szCs w:val="22"/>
          <w:lang w:val="en-GB"/>
        </w:rPr>
        <w:fldChar w:fldCharType="begin" w:fldLock="1"/>
      </w:r>
      <w:r w:rsidR="00D71C32" w:rsidRPr="00D71C32">
        <w:rPr>
          <w:rFonts w:asciiTheme="minorHAnsi" w:hAnsiTheme="minorHAnsi" w:cstheme="minorHAnsi"/>
          <w:color w:val="000000" w:themeColor="text1"/>
          <w:sz w:val="22"/>
          <w:szCs w:val="22"/>
          <w:lang w:val="en-GB"/>
        </w:rPr>
        <w:instrText>ADDIN CSL_CITATION {"citationItems":[{"id":"ITEM-1","itemData":{"DOI":"10.1080/16549716.2019.1670015","ISSN":"1654-9716","author":[{"dropping-particle":"","family":"Alfvén","given":"Tobias","non-dropping-particle":"","parse-names":false,"suffix":""},{"dropping-particle":"","family":"Dahlstrand","given":"Johan","non-dropping-particle":"","parse-names":false,"suffix":""},{"dropping-particle":"","family":"Humphreys","given":"David","non-dropping-particle":"","parse-names":false,"suffix":""},{"dropping-particle":"","family":"Helldén","given":"Daniel","non-dropping-particle":"","parse-names":false,"suffix":""},{"dropping-particle":"","family":"Hammarstrand","given":"Sofia","non-dropping-particle":"","parse-names":false,"suffix":""},{"dropping-particle":"","family":"Hollander","given":"Anna-Clara","non-dropping-particle":"","parse-names":false,"suffix":""},{"dropping-particle":"","family":"Målqvist","given":"Mats","non-dropping-particle":"","parse-names":false,"suffix":""},{"dropping-particle":"","family":"Nejat","given":"Sahar","non-dropping-particle":"","parse-names":false,"suffix":""},{"dropping-particle":"","family":"Jørgensen","given":"Peter Søgaard","non-dropping-particle":"","parse-names":false,"suffix":""},{"dropping-particle":"","family":"Friberg","given":"Peter","non-dropping-particle":"","parse-names":false,"suffix":""},{"dropping-particle":"","family":"Tomson","given":"Göran","non-dropping-particle":"","parse-names":false,"suffix":""}],"container-title":"Global health action","id":"ITEM-1","issue":"1","issued":{"date-parts":[["2019"]]},"page":"1670015","title":"Placing children and adolescents at the centre of the Sustainable Development Goals will deliver for current and future generations","type":"article-journal","volume":"12"},"uris":["http://www.mendeley.com/documents/?uuid=989295bc-2818-4284-98f7-c8576b80a686"]},{"id":"ITEM-2","itemData":{"DOI":"10.1016/S2214-109X(16)30221-2","ISSN":"2214-109X","author":[{"dropping-particle":"","family":"Laxminarayan","given":"Ramanan","non-dropping-particle":"","parse-names":false,"suffix":""},{"dropping-particle":"","family":"Bhutta","given":"Zulfiqar A","non-dropping-particle":"","parse-names":false,"suffix":""}],"container-title":"The Lancet Global Health","id":"ITEM-2","issue":"10","issued":{"date-parts":[["2017","5","10"]]},"note":"doi: 10.1016/S2214-109X(16)30221-2","page":"e676-e677","publisher":"Elsevier","title":"Antimicrobial resistance&amp;#x2014;a threat to neonate survival","type":"article-journal","volume":"4"},"uris":["http://www.mendeley.com/documents/?uuid=d37a7d93-cf9b-487f-865d-33a8ea70635c"]}],"mendeley":{"formattedCitation":"&lt;sup&gt;1,2&lt;/sup&gt;","plainTextFormattedCitation":"1,2"},"properties":{"noteIndex":0},"schema":"https://github.com/citation-style-language/schema/raw/master/csl-citation.json"}</w:instrText>
      </w:r>
      <w:r w:rsidR="00D71C32" w:rsidRPr="00D71C32">
        <w:rPr>
          <w:rFonts w:asciiTheme="minorHAnsi" w:hAnsiTheme="minorHAnsi" w:cstheme="minorHAnsi"/>
          <w:color w:val="000000" w:themeColor="text1"/>
          <w:sz w:val="22"/>
          <w:szCs w:val="22"/>
          <w:lang w:val="en-GB"/>
        </w:rPr>
        <w:fldChar w:fldCharType="separate"/>
      </w:r>
      <w:r w:rsidR="00D71C32" w:rsidRPr="00D71C32">
        <w:rPr>
          <w:rFonts w:asciiTheme="minorHAnsi" w:hAnsiTheme="minorHAnsi" w:cstheme="minorHAnsi"/>
          <w:noProof/>
          <w:color w:val="000000" w:themeColor="text1"/>
          <w:sz w:val="22"/>
          <w:szCs w:val="22"/>
          <w:vertAlign w:val="superscript"/>
          <w:lang w:val="en-GB"/>
        </w:rPr>
        <w:t>1,2</w:t>
      </w:r>
      <w:r w:rsidR="00D71C32" w:rsidRPr="00D71C32">
        <w:rPr>
          <w:rFonts w:asciiTheme="minorHAnsi" w:hAnsiTheme="minorHAnsi" w:cstheme="minorHAnsi"/>
          <w:color w:val="000000" w:themeColor="text1"/>
          <w:sz w:val="22"/>
          <w:szCs w:val="22"/>
          <w:lang w:val="en-GB"/>
        </w:rPr>
        <w:fldChar w:fldCharType="end"/>
      </w:r>
      <w:r w:rsidR="00D71C32" w:rsidRPr="00D71C32">
        <w:rPr>
          <w:rFonts w:asciiTheme="minorHAnsi" w:hAnsiTheme="minorHAnsi" w:cstheme="minorHAnsi"/>
          <w:color w:val="000000" w:themeColor="text1"/>
          <w:sz w:val="22"/>
          <w:szCs w:val="22"/>
          <w:lang w:val="en-GB"/>
        </w:rPr>
        <w:t xml:space="preserve"> However, very few trials for new antibiotics have been conducted in children to inform the optimal treatment of multidrug-resistant (MDR) infections. </w:t>
      </w:r>
      <w:r w:rsidR="003F2DAB" w:rsidRPr="00EF5361">
        <w:rPr>
          <w:rFonts w:asciiTheme="minorHAnsi" w:hAnsiTheme="minorHAnsi" w:cstheme="minorHAnsi"/>
          <w:color w:val="000000" w:themeColor="text1"/>
          <w:sz w:val="22"/>
          <w:szCs w:val="22"/>
          <w:lang w:val="en-GB"/>
        </w:rPr>
        <w:t xml:space="preserve">The current </w:t>
      </w:r>
      <w:r w:rsidR="00FB6A16">
        <w:rPr>
          <w:rFonts w:asciiTheme="minorHAnsi" w:hAnsiTheme="minorHAnsi" w:cstheme="minorHAnsi"/>
          <w:color w:val="000000" w:themeColor="text1"/>
          <w:sz w:val="22"/>
          <w:szCs w:val="22"/>
          <w:lang w:val="en-GB"/>
        </w:rPr>
        <w:t xml:space="preserve">drug </w:t>
      </w:r>
      <w:r w:rsidR="003F2DAB" w:rsidRPr="00EF5361">
        <w:rPr>
          <w:rFonts w:asciiTheme="minorHAnsi" w:hAnsiTheme="minorHAnsi" w:cstheme="minorHAnsi"/>
          <w:color w:val="000000" w:themeColor="text1"/>
          <w:sz w:val="22"/>
          <w:szCs w:val="22"/>
          <w:lang w:val="en-GB"/>
        </w:rPr>
        <w:t xml:space="preserve">regulatory framework </w:t>
      </w:r>
      <w:r w:rsidR="00E94767" w:rsidRPr="00EF5361">
        <w:rPr>
          <w:rFonts w:asciiTheme="minorHAnsi" w:hAnsiTheme="minorHAnsi" w:cstheme="minorHAnsi"/>
          <w:color w:val="000000" w:themeColor="text1"/>
          <w:sz w:val="22"/>
          <w:szCs w:val="22"/>
          <w:lang w:val="en-GB"/>
        </w:rPr>
        <w:t xml:space="preserve">has evolved from a system </w:t>
      </w:r>
      <w:r w:rsidR="00967B29" w:rsidRPr="00EF5361">
        <w:rPr>
          <w:rFonts w:asciiTheme="minorHAnsi" w:hAnsiTheme="minorHAnsi" w:cstheme="minorHAnsi"/>
          <w:color w:val="000000" w:themeColor="text1"/>
          <w:sz w:val="22"/>
          <w:szCs w:val="22"/>
          <w:lang w:val="en-GB"/>
        </w:rPr>
        <w:t>that</w:t>
      </w:r>
      <w:r w:rsidR="00A2366B" w:rsidRPr="00EF5361">
        <w:rPr>
          <w:rFonts w:asciiTheme="minorHAnsi" w:hAnsiTheme="minorHAnsi" w:cstheme="minorHAnsi"/>
          <w:color w:val="000000" w:themeColor="text1"/>
          <w:sz w:val="22"/>
          <w:szCs w:val="22"/>
          <w:lang w:val="en-GB"/>
        </w:rPr>
        <w:t xml:space="preserve"> (rightly)</w:t>
      </w:r>
      <w:r w:rsidR="00967B29" w:rsidRPr="00EF5361">
        <w:rPr>
          <w:rFonts w:asciiTheme="minorHAnsi" w:hAnsiTheme="minorHAnsi" w:cstheme="minorHAnsi"/>
          <w:color w:val="000000" w:themeColor="text1"/>
          <w:sz w:val="22"/>
          <w:szCs w:val="22"/>
          <w:lang w:val="en-GB"/>
        </w:rPr>
        <w:t xml:space="preserve"> </w:t>
      </w:r>
      <w:r w:rsidR="00E94767" w:rsidRPr="00EF5361">
        <w:rPr>
          <w:rFonts w:asciiTheme="minorHAnsi" w:hAnsiTheme="minorHAnsi" w:cstheme="minorHAnsi"/>
          <w:color w:val="000000" w:themeColor="text1"/>
          <w:sz w:val="22"/>
          <w:szCs w:val="22"/>
          <w:lang w:val="en-GB"/>
        </w:rPr>
        <w:t>aim</w:t>
      </w:r>
      <w:r w:rsidR="00752D58" w:rsidRPr="00EF5361">
        <w:rPr>
          <w:rFonts w:asciiTheme="minorHAnsi" w:hAnsiTheme="minorHAnsi" w:cstheme="minorHAnsi"/>
          <w:color w:val="000000" w:themeColor="text1"/>
          <w:sz w:val="22"/>
          <w:szCs w:val="22"/>
          <w:lang w:val="en-GB"/>
        </w:rPr>
        <w:t>ed</w:t>
      </w:r>
      <w:r w:rsidR="00E94767" w:rsidRPr="00EF5361">
        <w:rPr>
          <w:rFonts w:asciiTheme="minorHAnsi" w:hAnsiTheme="minorHAnsi" w:cstheme="minorHAnsi"/>
          <w:color w:val="000000" w:themeColor="text1"/>
          <w:sz w:val="22"/>
          <w:szCs w:val="22"/>
          <w:lang w:val="en-GB"/>
        </w:rPr>
        <w:t xml:space="preserve"> to protect children</w:t>
      </w:r>
      <w:r w:rsidR="00060798">
        <w:rPr>
          <w:rFonts w:asciiTheme="minorHAnsi" w:hAnsiTheme="minorHAnsi" w:cstheme="minorHAnsi"/>
          <w:color w:val="000000" w:themeColor="text1"/>
          <w:sz w:val="22"/>
          <w:szCs w:val="22"/>
          <w:lang w:val="en-GB"/>
        </w:rPr>
        <w:t>,</w:t>
      </w:r>
      <w:r w:rsidR="009C5FC3" w:rsidRPr="00EF5361">
        <w:rPr>
          <w:rFonts w:asciiTheme="minorHAnsi" w:hAnsiTheme="minorHAnsi" w:cstheme="minorHAnsi"/>
          <w:color w:val="000000" w:themeColor="text1"/>
          <w:sz w:val="22"/>
          <w:szCs w:val="22"/>
          <w:lang w:val="en-GB"/>
        </w:rPr>
        <w:t xml:space="preserve"> </w:t>
      </w:r>
      <w:r w:rsidR="00FB6A16">
        <w:rPr>
          <w:rFonts w:asciiTheme="minorHAnsi" w:hAnsiTheme="minorHAnsi" w:cstheme="minorHAnsi"/>
          <w:color w:val="000000" w:themeColor="text1"/>
          <w:sz w:val="22"/>
          <w:szCs w:val="22"/>
          <w:lang w:val="en-GB"/>
        </w:rPr>
        <w:t>yet</w:t>
      </w:r>
      <w:r w:rsidR="00E94767" w:rsidRPr="00EF5361">
        <w:rPr>
          <w:rFonts w:asciiTheme="minorHAnsi" w:hAnsiTheme="minorHAnsi" w:cstheme="minorHAnsi"/>
          <w:color w:val="000000" w:themeColor="text1"/>
          <w:sz w:val="22"/>
          <w:szCs w:val="22"/>
          <w:lang w:val="en-GB"/>
        </w:rPr>
        <w:t xml:space="preserve"> </w:t>
      </w:r>
      <w:r w:rsidR="00060798">
        <w:rPr>
          <w:rFonts w:asciiTheme="minorHAnsi" w:hAnsiTheme="minorHAnsi" w:cstheme="minorHAnsi"/>
          <w:color w:val="000000" w:themeColor="text1"/>
          <w:sz w:val="22"/>
          <w:szCs w:val="22"/>
          <w:lang w:val="en-GB"/>
        </w:rPr>
        <w:t>remains</w:t>
      </w:r>
      <w:r w:rsidR="003F2DAB" w:rsidRPr="00EF5361">
        <w:rPr>
          <w:rFonts w:asciiTheme="minorHAnsi" w:hAnsiTheme="minorHAnsi" w:cstheme="minorHAnsi"/>
          <w:color w:val="000000" w:themeColor="text1"/>
          <w:sz w:val="22"/>
          <w:szCs w:val="22"/>
          <w:lang w:val="en-GB"/>
        </w:rPr>
        <w:t xml:space="preserve"> </w:t>
      </w:r>
      <w:r w:rsidR="00967B29" w:rsidRPr="00EF5361">
        <w:rPr>
          <w:rFonts w:asciiTheme="minorHAnsi" w:hAnsiTheme="minorHAnsi" w:cstheme="minorHAnsi"/>
          <w:color w:val="000000" w:themeColor="text1"/>
          <w:sz w:val="22"/>
          <w:szCs w:val="22"/>
          <w:lang w:val="en-GB"/>
        </w:rPr>
        <w:t>governed by</w:t>
      </w:r>
      <w:r w:rsidR="00E94767" w:rsidRPr="00EF5361">
        <w:rPr>
          <w:rFonts w:asciiTheme="minorHAnsi" w:hAnsiTheme="minorHAnsi" w:cstheme="minorHAnsi"/>
          <w:color w:val="000000" w:themeColor="text1"/>
          <w:sz w:val="22"/>
          <w:szCs w:val="22"/>
          <w:lang w:val="en-GB"/>
        </w:rPr>
        <w:t xml:space="preserve"> </w:t>
      </w:r>
      <w:r w:rsidR="009D3A7E">
        <w:rPr>
          <w:rFonts w:asciiTheme="minorHAnsi" w:hAnsiTheme="minorHAnsi" w:cstheme="minorHAnsi"/>
          <w:color w:val="000000" w:themeColor="text1"/>
          <w:sz w:val="22"/>
          <w:szCs w:val="22"/>
          <w:lang w:val="en-GB"/>
        </w:rPr>
        <w:t xml:space="preserve">interpretation of </w:t>
      </w:r>
      <w:r w:rsidR="00E94767" w:rsidRPr="00EF5361">
        <w:rPr>
          <w:rFonts w:asciiTheme="minorHAnsi" w:hAnsiTheme="minorHAnsi" w:cstheme="minorHAnsi"/>
          <w:color w:val="000000" w:themeColor="text1"/>
          <w:sz w:val="22"/>
          <w:szCs w:val="22"/>
          <w:lang w:val="en-GB"/>
        </w:rPr>
        <w:t xml:space="preserve">laws established </w:t>
      </w:r>
      <w:r w:rsidR="00E94767" w:rsidRPr="00EF5361">
        <w:rPr>
          <w:rFonts w:asciiTheme="minorHAnsi" w:hAnsiTheme="minorHAnsi" w:cstheme="minorHAnsi"/>
          <w:color w:val="000000" w:themeColor="text1"/>
          <w:sz w:val="22"/>
          <w:szCs w:val="22"/>
          <w:shd w:val="clear" w:color="auto" w:fill="FFFFFF"/>
          <w:lang w:val="en-GB"/>
        </w:rPr>
        <w:t>in response to</w:t>
      </w:r>
      <w:r w:rsidR="00490B12" w:rsidRPr="00EF5361">
        <w:rPr>
          <w:rFonts w:asciiTheme="minorHAnsi" w:hAnsiTheme="minorHAnsi" w:cstheme="minorHAnsi"/>
          <w:color w:val="000000" w:themeColor="text1"/>
          <w:sz w:val="22"/>
          <w:szCs w:val="22"/>
          <w:shd w:val="clear" w:color="auto" w:fill="FFFFFF"/>
          <w:lang w:val="en-GB"/>
        </w:rPr>
        <w:t xml:space="preserve"> historical</w:t>
      </w:r>
      <w:r w:rsidR="00E94767" w:rsidRPr="00EF5361">
        <w:rPr>
          <w:rFonts w:asciiTheme="minorHAnsi" w:hAnsiTheme="minorHAnsi" w:cstheme="minorHAnsi"/>
          <w:color w:val="000000" w:themeColor="text1"/>
          <w:sz w:val="22"/>
          <w:szCs w:val="22"/>
          <w:shd w:val="clear" w:color="auto" w:fill="FFFFFF"/>
          <w:lang w:val="en-GB"/>
        </w:rPr>
        <w:t xml:space="preserve"> incidents involving agents that caused harm.</w:t>
      </w:r>
      <w:r w:rsidR="00E94767" w:rsidRPr="00EF5361">
        <w:rPr>
          <w:rFonts w:asciiTheme="minorHAnsi" w:hAnsiTheme="minorHAnsi" w:cstheme="minorHAnsi"/>
          <w:color w:val="000000" w:themeColor="text1"/>
          <w:sz w:val="22"/>
          <w:szCs w:val="22"/>
          <w:shd w:val="clear" w:color="auto" w:fill="FFFFFF"/>
          <w:lang w:val="en-GB"/>
        </w:rPr>
        <w:fldChar w:fldCharType="begin" w:fldLock="1"/>
      </w:r>
      <w:r w:rsidR="00060798">
        <w:rPr>
          <w:rFonts w:asciiTheme="minorHAnsi" w:hAnsiTheme="minorHAnsi" w:cstheme="minorHAnsi"/>
          <w:color w:val="000000" w:themeColor="text1"/>
          <w:sz w:val="22"/>
          <w:szCs w:val="22"/>
          <w:shd w:val="clear" w:color="auto" w:fill="FFFFFF"/>
          <w:lang w:val="en-GB"/>
        </w:rPr>
        <w:instrText>ADDIN CSL_CITATION {"citationItems":[{"id":"ITEM-1","itemData":{"author":[{"dropping-particle":"","family":"National Institute of Medicine (US)","given":"","non-dropping-particle":"","parse-names":false,"suffix":""}],"id":"ITEM-1","issued":{"date-parts":[["2008"]]},"publisher-place":"Washington (DC): Regulatory Framework","title":"Forum on Drug Discovery, Development, and Translation. Addressing the Barriers to Pediatric Drug Development: Workshop Summary.","type":"report"},"uris":["http://www.mendeley.com/documents/?uuid=d619fae3-ad70-456d-9da8-287e0567b273"]}],"mendeley":{"formattedCitation":"&lt;sup&gt;3&lt;/sup&gt;","plainTextFormattedCitation":"3","previouslyFormattedCitation":"&lt;sup&gt;3&lt;/sup&gt;"},"properties":{"noteIndex":0},"schema":"https://github.com/citation-style-language/schema/raw/master/csl-citation.json"}</w:instrText>
      </w:r>
      <w:r w:rsidR="00E94767" w:rsidRPr="00EF5361">
        <w:rPr>
          <w:rFonts w:asciiTheme="minorHAnsi" w:hAnsiTheme="minorHAnsi" w:cstheme="minorHAnsi"/>
          <w:color w:val="000000" w:themeColor="text1"/>
          <w:sz w:val="22"/>
          <w:szCs w:val="22"/>
          <w:shd w:val="clear" w:color="auto" w:fill="FFFFFF"/>
          <w:lang w:val="en-GB"/>
        </w:rPr>
        <w:fldChar w:fldCharType="separate"/>
      </w:r>
      <w:r w:rsidR="00060798" w:rsidRPr="00060798">
        <w:rPr>
          <w:rFonts w:asciiTheme="minorHAnsi" w:hAnsiTheme="minorHAnsi" w:cstheme="minorHAnsi"/>
          <w:noProof/>
          <w:color w:val="000000" w:themeColor="text1"/>
          <w:sz w:val="22"/>
          <w:szCs w:val="22"/>
          <w:shd w:val="clear" w:color="auto" w:fill="FFFFFF"/>
          <w:vertAlign w:val="superscript"/>
          <w:lang w:val="en-GB"/>
        </w:rPr>
        <w:t>3</w:t>
      </w:r>
      <w:r w:rsidR="00E94767" w:rsidRPr="00EF5361">
        <w:rPr>
          <w:rFonts w:asciiTheme="minorHAnsi" w:hAnsiTheme="minorHAnsi" w:cstheme="minorHAnsi"/>
          <w:color w:val="000000" w:themeColor="text1"/>
          <w:sz w:val="22"/>
          <w:szCs w:val="22"/>
          <w:shd w:val="clear" w:color="auto" w:fill="FFFFFF"/>
          <w:lang w:val="en-GB"/>
        </w:rPr>
        <w:fldChar w:fldCharType="end"/>
      </w:r>
      <w:r w:rsidR="00490B12" w:rsidRPr="00EF5361">
        <w:rPr>
          <w:rFonts w:asciiTheme="minorHAnsi" w:hAnsiTheme="minorHAnsi" w:cstheme="minorHAnsi"/>
          <w:color w:val="000000" w:themeColor="text1"/>
          <w:sz w:val="22"/>
          <w:szCs w:val="22"/>
          <w:shd w:val="clear" w:color="auto" w:fill="FFFFFF"/>
          <w:lang w:val="en-GB"/>
        </w:rPr>
        <w:t xml:space="preserve"> </w:t>
      </w:r>
      <w:r w:rsidR="000937F5" w:rsidRPr="00EF5361">
        <w:rPr>
          <w:rFonts w:asciiTheme="minorHAnsi" w:hAnsiTheme="minorHAnsi" w:cstheme="minorHAnsi"/>
          <w:color w:val="000000" w:themeColor="text1"/>
          <w:sz w:val="22"/>
          <w:szCs w:val="22"/>
          <w:shd w:val="clear" w:color="auto" w:fill="FFFFFF"/>
          <w:lang w:val="en-GB"/>
        </w:rPr>
        <w:t>T</w:t>
      </w:r>
      <w:r w:rsidR="00A2366B" w:rsidRPr="00EF5361">
        <w:rPr>
          <w:rFonts w:asciiTheme="minorHAnsi" w:hAnsiTheme="minorHAnsi" w:cstheme="minorHAnsi"/>
          <w:color w:val="000000" w:themeColor="text1"/>
          <w:sz w:val="22"/>
          <w:szCs w:val="22"/>
          <w:shd w:val="clear" w:color="auto" w:fill="FFFFFF"/>
          <w:lang w:val="en-GB"/>
        </w:rPr>
        <w:t>his approach</w:t>
      </w:r>
      <w:r w:rsidR="00AE0219" w:rsidRPr="00EF5361">
        <w:rPr>
          <w:rFonts w:asciiTheme="minorHAnsi" w:hAnsiTheme="minorHAnsi" w:cstheme="minorHAnsi"/>
          <w:color w:val="000000" w:themeColor="text1"/>
          <w:sz w:val="22"/>
          <w:szCs w:val="22"/>
          <w:shd w:val="clear" w:color="auto" w:fill="FFFFFF"/>
          <w:lang w:val="en-GB"/>
        </w:rPr>
        <w:t>, particularly for</w:t>
      </w:r>
      <w:r w:rsidR="00AB1695">
        <w:rPr>
          <w:rFonts w:asciiTheme="minorHAnsi" w:hAnsiTheme="minorHAnsi" w:cstheme="minorHAnsi"/>
          <w:color w:val="000000" w:themeColor="text1"/>
          <w:sz w:val="22"/>
          <w:szCs w:val="22"/>
          <w:shd w:val="clear" w:color="auto" w:fill="FFFFFF"/>
          <w:lang w:val="en-GB"/>
        </w:rPr>
        <w:t xml:space="preserve"> medicines</w:t>
      </w:r>
      <w:r w:rsidR="00AE0219" w:rsidRPr="00EF5361">
        <w:rPr>
          <w:rFonts w:asciiTheme="minorHAnsi" w:hAnsiTheme="minorHAnsi" w:cstheme="minorHAnsi"/>
          <w:color w:val="000000" w:themeColor="text1"/>
          <w:sz w:val="22"/>
          <w:szCs w:val="22"/>
          <w:shd w:val="clear" w:color="auto" w:fill="FFFFFF"/>
          <w:lang w:val="en-GB"/>
        </w:rPr>
        <w:t xml:space="preserve"> from </w:t>
      </w:r>
      <w:r w:rsidR="008069C4" w:rsidRPr="00EF5361">
        <w:rPr>
          <w:rFonts w:asciiTheme="minorHAnsi" w:hAnsiTheme="minorHAnsi" w:cstheme="minorHAnsi"/>
          <w:color w:val="000000" w:themeColor="text1"/>
          <w:sz w:val="22"/>
          <w:szCs w:val="22"/>
          <w:shd w:val="clear" w:color="auto" w:fill="FFFFFF"/>
          <w:lang w:val="en-GB"/>
        </w:rPr>
        <w:t xml:space="preserve">well-established </w:t>
      </w:r>
      <w:r w:rsidR="00AE0219" w:rsidRPr="00EF5361">
        <w:rPr>
          <w:rFonts w:asciiTheme="minorHAnsi" w:hAnsiTheme="minorHAnsi" w:cstheme="minorHAnsi"/>
          <w:color w:val="000000" w:themeColor="text1"/>
          <w:sz w:val="22"/>
          <w:szCs w:val="22"/>
          <w:shd w:val="clear" w:color="auto" w:fill="FFFFFF"/>
          <w:lang w:val="en-GB"/>
        </w:rPr>
        <w:t>classes</w:t>
      </w:r>
      <w:r w:rsidR="00784D89" w:rsidRPr="00EF5361">
        <w:rPr>
          <w:rFonts w:asciiTheme="minorHAnsi" w:hAnsiTheme="minorHAnsi" w:cstheme="minorHAnsi"/>
          <w:color w:val="000000" w:themeColor="text1"/>
          <w:sz w:val="22"/>
          <w:szCs w:val="22"/>
          <w:shd w:val="clear" w:color="auto" w:fill="FFFFFF"/>
          <w:lang w:val="en-GB"/>
        </w:rPr>
        <w:t xml:space="preserve"> with </w:t>
      </w:r>
      <w:r w:rsidR="009C5FC3" w:rsidRPr="00EF5361">
        <w:rPr>
          <w:rFonts w:asciiTheme="minorHAnsi" w:hAnsiTheme="minorHAnsi" w:cstheme="minorHAnsi"/>
          <w:color w:val="000000" w:themeColor="text1"/>
          <w:sz w:val="22"/>
          <w:szCs w:val="22"/>
          <w:shd w:val="clear" w:color="auto" w:fill="FFFFFF"/>
          <w:lang w:val="en-GB"/>
        </w:rPr>
        <w:t xml:space="preserve">a </w:t>
      </w:r>
      <w:r w:rsidR="00784D89" w:rsidRPr="00EF5361">
        <w:rPr>
          <w:rFonts w:asciiTheme="minorHAnsi" w:hAnsiTheme="minorHAnsi" w:cstheme="minorHAnsi"/>
          <w:color w:val="000000" w:themeColor="text1"/>
          <w:sz w:val="22"/>
          <w:szCs w:val="22"/>
          <w:shd w:val="clear" w:color="auto" w:fill="FFFFFF"/>
          <w:lang w:val="en-GB"/>
        </w:rPr>
        <w:t xml:space="preserve">long experience of </w:t>
      </w:r>
      <w:r w:rsidR="00AE0219" w:rsidRPr="00EF5361">
        <w:rPr>
          <w:rFonts w:asciiTheme="minorHAnsi" w:hAnsiTheme="minorHAnsi" w:cstheme="minorHAnsi"/>
          <w:color w:val="000000" w:themeColor="text1"/>
          <w:sz w:val="22"/>
          <w:szCs w:val="22"/>
          <w:shd w:val="clear" w:color="auto" w:fill="FFFFFF"/>
          <w:lang w:val="en-GB"/>
        </w:rPr>
        <w:t xml:space="preserve">safe </w:t>
      </w:r>
      <w:r w:rsidR="00784D89" w:rsidRPr="00EF5361">
        <w:rPr>
          <w:rFonts w:asciiTheme="minorHAnsi" w:hAnsiTheme="minorHAnsi" w:cstheme="minorHAnsi"/>
          <w:color w:val="000000" w:themeColor="text1"/>
          <w:sz w:val="22"/>
          <w:szCs w:val="22"/>
          <w:shd w:val="clear" w:color="auto" w:fill="FFFFFF"/>
          <w:lang w:val="en-GB"/>
        </w:rPr>
        <w:t xml:space="preserve">use in </w:t>
      </w:r>
      <w:r w:rsidR="00AE0219" w:rsidRPr="00EF5361">
        <w:rPr>
          <w:rFonts w:asciiTheme="minorHAnsi" w:hAnsiTheme="minorHAnsi" w:cstheme="minorHAnsi"/>
          <w:color w:val="000000" w:themeColor="text1"/>
          <w:sz w:val="22"/>
          <w:szCs w:val="22"/>
          <w:shd w:val="clear" w:color="auto" w:fill="FFFFFF"/>
          <w:lang w:val="en-GB"/>
        </w:rPr>
        <w:t>children</w:t>
      </w:r>
      <w:r w:rsidR="00784D89" w:rsidRPr="00EF5361">
        <w:rPr>
          <w:rFonts w:asciiTheme="minorHAnsi" w:hAnsiTheme="minorHAnsi" w:cstheme="minorHAnsi"/>
          <w:color w:val="000000" w:themeColor="text1"/>
          <w:sz w:val="22"/>
          <w:szCs w:val="22"/>
          <w:shd w:val="clear" w:color="auto" w:fill="FFFFFF"/>
          <w:lang w:val="en-GB"/>
        </w:rPr>
        <w:t xml:space="preserve"> (</w:t>
      </w:r>
      <w:r w:rsidR="00247E1C" w:rsidRPr="00EF5361">
        <w:rPr>
          <w:rFonts w:asciiTheme="minorHAnsi" w:hAnsiTheme="minorHAnsi" w:cstheme="minorHAnsi"/>
          <w:color w:val="000000" w:themeColor="text1"/>
          <w:sz w:val="22"/>
          <w:szCs w:val="22"/>
          <w:shd w:val="clear" w:color="auto" w:fill="FFFFFF"/>
          <w:lang w:val="en-GB"/>
        </w:rPr>
        <w:t xml:space="preserve">such as </w:t>
      </w:r>
      <w:r w:rsidR="0060356D" w:rsidRPr="00EF5361">
        <w:rPr>
          <w:rFonts w:asciiTheme="minorHAnsi" w:hAnsiTheme="minorHAnsi" w:cstheme="minorHAnsi"/>
          <w:color w:val="000000" w:themeColor="text1"/>
          <w:sz w:val="22"/>
          <w:szCs w:val="22"/>
          <w:shd w:val="clear" w:color="auto" w:fill="FFFFFF"/>
          <w:lang w:val="en-GB"/>
        </w:rPr>
        <w:t>β</w:t>
      </w:r>
      <w:r w:rsidR="00C01158" w:rsidRPr="00EF5361">
        <w:rPr>
          <w:rFonts w:asciiTheme="minorHAnsi" w:hAnsiTheme="minorHAnsi" w:cstheme="minorHAnsi"/>
          <w:color w:val="000000" w:themeColor="text1"/>
          <w:sz w:val="22"/>
          <w:szCs w:val="22"/>
          <w:shd w:val="clear" w:color="auto" w:fill="FFFFFF"/>
          <w:lang w:val="en-GB"/>
        </w:rPr>
        <w:t xml:space="preserve">-lactam </w:t>
      </w:r>
      <w:r w:rsidR="00784D89" w:rsidRPr="00EF5361">
        <w:rPr>
          <w:rFonts w:asciiTheme="minorHAnsi" w:hAnsiTheme="minorHAnsi" w:cstheme="minorHAnsi"/>
          <w:color w:val="000000" w:themeColor="text1"/>
          <w:sz w:val="22"/>
          <w:szCs w:val="22"/>
          <w:shd w:val="clear" w:color="auto" w:fill="FFFFFF"/>
          <w:lang w:val="en-GB"/>
        </w:rPr>
        <w:t>penicillins)</w:t>
      </w:r>
      <w:r w:rsidR="00AE0219" w:rsidRPr="00EF5361">
        <w:rPr>
          <w:rFonts w:asciiTheme="minorHAnsi" w:hAnsiTheme="minorHAnsi" w:cstheme="minorHAnsi"/>
          <w:color w:val="000000" w:themeColor="text1"/>
          <w:sz w:val="22"/>
          <w:szCs w:val="22"/>
          <w:shd w:val="clear" w:color="auto" w:fill="FFFFFF"/>
          <w:lang w:val="en-GB"/>
        </w:rPr>
        <w:t>,</w:t>
      </w:r>
      <w:r w:rsidR="00A2366B" w:rsidRPr="00EF5361">
        <w:rPr>
          <w:rFonts w:asciiTheme="minorHAnsi" w:hAnsiTheme="minorHAnsi" w:cstheme="minorHAnsi"/>
          <w:color w:val="000000" w:themeColor="text1"/>
          <w:sz w:val="22"/>
          <w:szCs w:val="22"/>
          <w:shd w:val="clear" w:color="auto" w:fill="FFFFFF"/>
          <w:lang w:val="en-GB"/>
        </w:rPr>
        <w:t xml:space="preserve"> </w:t>
      </w:r>
      <w:r w:rsidR="00784D89" w:rsidRPr="00EF5361">
        <w:rPr>
          <w:rFonts w:asciiTheme="minorHAnsi" w:hAnsiTheme="minorHAnsi" w:cstheme="minorHAnsi"/>
          <w:color w:val="000000" w:themeColor="text1"/>
          <w:sz w:val="22"/>
          <w:szCs w:val="22"/>
          <w:shd w:val="clear" w:color="auto" w:fill="FFFFFF"/>
          <w:lang w:val="en-GB"/>
        </w:rPr>
        <w:t xml:space="preserve">now </w:t>
      </w:r>
      <w:r w:rsidR="00A43588" w:rsidRPr="00EF5361">
        <w:rPr>
          <w:rFonts w:asciiTheme="minorHAnsi" w:hAnsiTheme="minorHAnsi" w:cstheme="minorHAnsi"/>
          <w:color w:val="000000" w:themeColor="text1"/>
          <w:sz w:val="22"/>
          <w:szCs w:val="22"/>
          <w:shd w:val="clear" w:color="auto" w:fill="FFFFFF"/>
          <w:lang w:val="en-GB"/>
        </w:rPr>
        <w:t xml:space="preserve">unnecessarily </w:t>
      </w:r>
      <w:r w:rsidR="00A2366B" w:rsidRPr="00EF5361">
        <w:rPr>
          <w:rFonts w:asciiTheme="minorHAnsi" w:hAnsiTheme="minorHAnsi" w:cstheme="minorHAnsi"/>
          <w:color w:val="000000" w:themeColor="text1"/>
          <w:sz w:val="22"/>
          <w:szCs w:val="22"/>
          <w:shd w:val="clear" w:color="auto" w:fill="FFFFFF"/>
          <w:lang w:val="en-GB"/>
        </w:rPr>
        <w:t>complicate</w:t>
      </w:r>
      <w:r w:rsidR="00784D89" w:rsidRPr="00EF5361">
        <w:rPr>
          <w:rFonts w:asciiTheme="minorHAnsi" w:hAnsiTheme="minorHAnsi" w:cstheme="minorHAnsi"/>
          <w:color w:val="000000" w:themeColor="text1"/>
          <w:sz w:val="22"/>
          <w:szCs w:val="22"/>
          <w:shd w:val="clear" w:color="auto" w:fill="FFFFFF"/>
          <w:lang w:val="en-GB"/>
        </w:rPr>
        <w:t xml:space="preserve">s </w:t>
      </w:r>
      <w:r w:rsidR="00A2366B" w:rsidRPr="00EF5361">
        <w:rPr>
          <w:rFonts w:asciiTheme="minorHAnsi" w:hAnsiTheme="minorHAnsi" w:cstheme="minorHAnsi"/>
          <w:color w:val="000000" w:themeColor="text1"/>
          <w:sz w:val="22"/>
          <w:szCs w:val="22"/>
          <w:lang w:val="en-GB"/>
        </w:rPr>
        <w:t xml:space="preserve">the process of paediatric </w:t>
      </w:r>
      <w:r w:rsidR="002624FA" w:rsidRPr="00EF5361">
        <w:rPr>
          <w:rFonts w:asciiTheme="minorHAnsi" w:hAnsiTheme="minorHAnsi" w:cstheme="minorHAnsi"/>
          <w:color w:val="000000" w:themeColor="text1"/>
          <w:sz w:val="22"/>
          <w:szCs w:val="22"/>
          <w:lang w:val="en-GB"/>
        </w:rPr>
        <w:t xml:space="preserve">antibiotic </w:t>
      </w:r>
      <w:r w:rsidR="00A2366B" w:rsidRPr="00EF5361">
        <w:rPr>
          <w:rFonts w:asciiTheme="minorHAnsi" w:hAnsiTheme="minorHAnsi" w:cstheme="minorHAnsi"/>
          <w:color w:val="000000" w:themeColor="text1"/>
          <w:sz w:val="22"/>
          <w:szCs w:val="22"/>
          <w:lang w:val="en-GB"/>
        </w:rPr>
        <w:t xml:space="preserve">development and </w:t>
      </w:r>
      <w:r w:rsidR="002647C1" w:rsidRPr="00EF5361">
        <w:rPr>
          <w:rFonts w:asciiTheme="minorHAnsi" w:hAnsiTheme="minorHAnsi" w:cstheme="minorHAnsi"/>
          <w:color w:val="000000" w:themeColor="text1"/>
          <w:sz w:val="22"/>
          <w:szCs w:val="22"/>
          <w:lang w:val="en-GB"/>
        </w:rPr>
        <w:t xml:space="preserve">is one of the many barriers to children with </w:t>
      </w:r>
      <w:r w:rsidR="000937F5" w:rsidRPr="00EF5361">
        <w:rPr>
          <w:rFonts w:asciiTheme="minorHAnsi" w:hAnsiTheme="minorHAnsi" w:cstheme="minorHAnsi"/>
          <w:color w:val="000000" w:themeColor="text1"/>
          <w:sz w:val="22"/>
          <w:szCs w:val="22"/>
          <w:lang w:val="en-GB"/>
        </w:rPr>
        <w:t xml:space="preserve">MDR </w:t>
      </w:r>
      <w:r w:rsidR="002647C1" w:rsidRPr="00EF5361">
        <w:rPr>
          <w:rFonts w:asciiTheme="minorHAnsi" w:hAnsiTheme="minorHAnsi" w:cstheme="minorHAnsi"/>
          <w:color w:val="000000" w:themeColor="text1"/>
          <w:sz w:val="22"/>
          <w:szCs w:val="22"/>
          <w:lang w:val="en-GB"/>
        </w:rPr>
        <w:t>infections being appropriately treated</w:t>
      </w:r>
      <w:r w:rsidR="008638FB" w:rsidRPr="00EF5361">
        <w:rPr>
          <w:rFonts w:asciiTheme="minorHAnsi" w:hAnsiTheme="minorHAnsi" w:cstheme="minorHAnsi"/>
          <w:color w:val="000000" w:themeColor="text1"/>
          <w:sz w:val="22"/>
          <w:szCs w:val="22"/>
          <w:lang w:val="en-GB"/>
        </w:rPr>
        <w:t xml:space="preserve"> with licen</w:t>
      </w:r>
      <w:r w:rsidR="002624FA" w:rsidRPr="00EF5361">
        <w:rPr>
          <w:rFonts w:asciiTheme="minorHAnsi" w:hAnsiTheme="minorHAnsi" w:cstheme="minorHAnsi"/>
          <w:color w:val="000000" w:themeColor="text1"/>
          <w:sz w:val="22"/>
          <w:szCs w:val="22"/>
          <w:lang w:val="en-GB"/>
        </w:rPr>
        <w:t>s</w:t>
      </w:r>
      <w:r w:rsidR="008638FB" w:rsidRPr="00EF5361">
        <w:rPr>
          <w:rFonts w:asciiTheme="minorHAnsi" w:hAnsiTheme="minorHAnsi" w:cstheme="minorHAnsi"/>
          <w:color w:val="000000" w:themeColor="text1"/>
          <w:sz w:val="22"/>
          <w:szCs w:val="22"/>
          <w:lang w:val="en-GB"/>
        </w:rPr>
        <w:t>ed drugs</w:t>
      </w:r>
      <w:r w:rsidR="00A2366B" w:rsidRPr="00EF5361">
        <w:rPr>
          <w:rFonts w:asciiTheme="minorHAnsi" w:hAnsiTheme="minorHAnsi" w:cstheme="minorHAnsi"/>
          <w:color w:val="000000" w:themeColor="text1"/>
          <w:sz w:val="22"/>
          <w:szCs w:val="22"/>
          <w:lang w:val="en-GB"/>
        </w:rPr>
        <w:t xml:space="preserve">.  </w:t>
      </w:r>
    </w:p>
    <w:p w14:paraId="24DB95A3" w14:textId="012F38D2" w:rsidR="00C560FF" w:rsidRPr="00EF5361" w:rsidRDefault="00C560FF" w:rsidP="004D3AA1">
      <w:pPr>
        <w:jc w:val="both"/>
        <w:rPr>
          <w:rFonts w:asciiTheme="minorHAnsi" w:hAnsiTheme="minorHAnsi" w:cstheme="minorHAnsi"/>
          <w:b/>
          <w:bCs/>
          <w:color w:val="000000" w:themeColor="text1"/>
          <w:lang w:val="en-GB"/>
        </w:rPr>
      </w:pPr>
    </w:p>
    <w:p w14:paraId="152A08B7" w14:textId="20EEE21D" w:rsidR="009C5FC3" w:rsidRPr="00EF5361" w:rsidRDefault="00A2366B" w:rsidP="004D3AA1">
      <w:pPr>
        <w:jc w:val="both"/>
        <w:rPr>
          <w:rFonts w:asciiTheme="minorHAnsi" w:hAnsiTheme="minorHAnsi" w:cstheme="minorHAnsi"/>
          <w:color w:val="000000" w:themeColor="text1"/>
          <w:sz w:val="22"/>
          <w:szCs w:val="22"/>
          <w:lang w:val="en-GB"/>
        </w:rPr>
      </w:pPr>
      <w:r w:rsidRPr="00EF5361">
        <w:rPr>
          <w:rFonts w:asciiTheme="minorHAnsi" w:hAnsiTheme="minorHAnsi" w:cstheme="minorHAnsi"/>
          <w:color w:val="000000" w:themeColor="text1"/>
          <w:sz w:val="22"/>
          <w:szCs w:val="22"/>
          <w:lang w:val="en-GB"/>
        </w:rPr>
        <w:t>Currently</w:t>
      </w:r>
      <w:r w:rsidR="0060356D" w:rsidRPr="00EF5361">
        <w:rPr>
          <w:rFonts w:asciiTheme="minorHAnsi" w:hAnsiTheme="minorHAnsi" w:cstheme="minorHAnsi"/>
          <w:color w:val="000000" w:themeColor="text1"/>
          <w:sz w:val="22"/>
          <w:szCs w:val="22"/>
          <w:lang w:val="en-GB"/>
        </w:rPr>
        <w:t>,</w:t>
      </w:r>
      <w:r w:rsidRPr="00EF5361">
        <w:rPr>
          <w:rFonts w:asciiTheme="minorHAnsi" w:hAnsiTheme="minorHAnsi" w:cstheme="minorHAnsi"/>
          <w:color w:val="000000" w:themeColor="text1"/>
          <w:sz w:val="22"/>
          <w:szCs w:val="22"/>
          <w:lang w:val="en-GB"/>
        </w:rPr>
        <w:t xml:space="preserve"> two </w:t>
      </w:r>
      <w:r w:rsidR="00F52650" w:rsidRPr="00EF5361">
        <w:rPr>
          <w:rFonts w:asciiTheme="minorHAnsi" w:hAnsiTheme="minorHAnsi" w:cstheme="minorHAnsi"/>
          <w:color w:val="000000" w:themeColor="text1"/>
          <w:sz w:val="22"/>
          <w:szCs w:val="22"/>
          <w:lang w:val="en-GB"/>
        </w:rPr>
        <w:t>regulatory authorities</w:t>
      </w:r>
      <w:r w:rsidRPr="00EF5361">
        <w:rPr>
          <w:rFonts w:asciiTheme="minorHAnsi" w:hAnsiTheme="minorHAnsi" w:cstheme="minorHAnsi"/>
          <w:color w:val="000000" w:themeColor="text1"/>
          <w:sz w:val="22"/>
          <w:szCs w:val="22"/>
          <w:lang w:val="en-GB"/>
        </w:rPr>
        <w:t xml:space="preserve"> oversee the development of </w:t>
      </w:r>
      <w:r w:rsidR="00784D89" w:rsidRPr="00EF5361">
        <w:rPr>
          <w:rFonts w:asciiTheme="minorHAnsi" w:hAnsiTheme="minorHAnsi" w:cstheme="minorHAnsi"/>
          <w:color w:val="000000" w:themeColor="text1"/>
          <w:sz w:val="22"/>
          <w:szCs w:val="22"/>
          <w:lang w:val="en-GB"/>
        </w:rPr>
        <w:t>most</w:t>
      </w:r>
      <w:r w:rsidR="00B169DF" w:rsidRPr="00EF5361">
        <w:rPr>
          <w:rFonts w:asciiTheme="minorHAnsi" w:hAnsiTheme="minorHAnsi" w:cstheme="minorHAnsi"/>
          <w:color w:val="000000" w:themeColor="text1"/>
          <w:sz w:val="22"/>
          <w:szCs w:val="22"/>
          <w:lang w:val="en-GB"/>
        </w:rPr>
        <w:t xml:space="preserve"> new antibiotics</w:t>
      </w:r>
      <w:r w:rsidRPr="00EF5361">
        <w:rPr>
          <w:rFonts w:asciiTheme="minorHAnsi" w:hAnsiTheme="minorHAnsi" w:cstheme="minorHAnsi"/>
          <w:color w:val="000000" w:themeColor="text1"/>
          <w:sz w:val="22"/>
          <w:szCs w:val="22"/>
          <w:lang w:val="en-GB"/>
        </w:rPr>
        <w:t xml:space="preserve"> for children. In the European Union, </w:t>
      </w:r>
      <w:r w:rsidR="009C5FC3" w:rsidRPr="00EF5361">
        <w:rPr>
          <w:rFonts w:asciiTheme="minorHAnsi" w:hAnsiTheme="minorHAnsi" w:cstheme="minorHAnsi"/>
          <w:color w:val="000000" w:themeColor="text1"/>
          <w:sz w:val="22"/>
          <w:szCs w:val="22"/>
          <w:lang w:val="en-GB"/>
        </w:rPr>
        <w:t xml:space="preserve">a </w:t>
      </w:r>
      <w:r w:rsidRPr="00EF5361">
        <w:rPr>
          <w:rFonts w:asciiTheme="minorHAnsi" w:hAnsiTheme="minorHAnsi" w:cstheme="minorHAnsi"/>
          <w:color w:val="000000" w:themeColor="text1"/>
          <w:sz w:val="22"/>
          <w:szCs w:val="22"/>
          <w:lang w:val="en-GB"/>
        </w:rPr>
        <w:t>paediatric investigat</w:t>
      </w:r>
      <w:r w:rsidR="007F6201" w:rsidRPr="00EF5361">
        <w:rPr>
          <w:rFonts w:asciiTheme="minorHAnsi" w:hAnsiTheme="minorHAnsi" w:cstheme="minorHAnsi"/>
          <w:color w:val="000000" w:themeColor="text1"/>
          <w:sz w:val="22"/>
          <w:szCs w:val="22"/>
          <w:lang w:val="en-GB"/>
        </w:rPr>
        <w:t>i</w:t>
      </w:r>
      <w:r w:rsidRPr="00EF5361">
        <w:rPr>
          <w:rFonts w:asciiTheme="minorHAnsi" w:hAnsiTheme="minorHAnsi" w:cstheme="minorHAnsi"/>
          <w:color w:val="000000" w:themeColor="text1"/>
          <w:sz w:val="22"/>
          <w:szCs w:val="22"/>
          <w:lang w:val="en-GB"/>
        </w:rPr>
        <w:t>o</w:t>
      </w:r>
      <w:r w:rsidR="007F6201" w:rsidRPr="00EF5361">
        <w:rPr>
          <w:rFonts w:asciiTheme="minorHAnsi" w:hAnsiTheme="minorHAnsi" w:cstheme="minorHAnsi"/>
          <w:color w:val="000000" w:themeColor="text1"/>
          <w:sz w:val="22"/>
          <w:szCs w:val="22"/>
          <w:lang w:val="en-GB"/>
        </w:rPr>
        <w:t>n</w:t>
      </w:r>
      <w:r w:rsidRPr="00EF5361">
        <w:rPr>
          <w:rFonts w:asciiTheme="minorHAnsi" w:hAnsiTheme="minorHAnsi" w:cstheme="minorHAnsi"/>
          <w:color w:val="000000" w:themeColor="text1"/>
          <w:sz w:val="22"/>
          <w:szCs w:val="22"/>
          <w:lang w:val="en-GB"/>
        </w:rPr>
        <w:t xml:space="preserve"> plan (PIP) </w:t>
      </w:r>
      <w:r w:rsidR="009D3A7E">
        <w:rPr>
          <w:rFonts w:asciiTheme="minorHAnsi" w:hAnsiTheme="minorHAnsi" w:cstheme="minorHAnsi"/>
          <w:color w:val="000000" w:themeColor="text1"/>
          <w:sz w:val="22"/>
          <w:szCs w:val="22"/>
          <w:lang w:val="en-GB"/>
        </w:rPr>
        <w:t xml:space="preserve">is </w:t>
      </w:r>
      <w:r w:rsidRPr="00EF5361">
        <w:rPr>
          <w:rFonts w:asciiTheme="minorHAnsi" w:hAnsiTheme="minorHAnsi" w:cstheme="minorHAnsi"/>
          <w:color w:val="000000" w:themeColor="text1"/>
          <w:sz w:val="22"/>
          <w:szCs w:val="22"/>
          <w:lang w:val="en-GB"/>
        </w:rPr>
        <w:t xml:space="preserve">submitted to the European Medicines </w:t>
      </w:r>
      <w:r w:rsidR="00817E6A">
        <w:rPr>
          <w:rFonts w:asciiTheme="minorHAnsi" w:hAnsiTheme="minorHAnsi" w:cstheme="minorHAnsi"/>
          <w:color w:val="000000" w:themeColor="text1"/>
          <w:sz w:val="22"/>
          <w:szCs w:val="22"/>
          <w:lang w:val="en-GB"/>
        </w:rPr>
        <w:t>Agency</w:t>
      </w:r>
      <w:r w:rsidR="00817E6A" w:rsidRPr="00EF5361">
        <w:rPr>
          <w:rFonts w:asciiTheme="minorHAnsi" w:hAnsiTheme="minorHAnsi" w:cstheme="minorHAnsi"/>
          <w:color w:val="000000" w:themeColor="text1"/>
          <w:sz w:val="22"/>
          <w:szCs w:val="22"/>
          <w:lang w:val="en-GB"/>
        </w:rPr>
        <w:t xml:space="preserve"> </w:t>
      </w:r>
      <w:r w:rsidRPr="00EF5361">
        <w:rPr>
          <w:rFonts w:asciiTheme="minorHAnsi" w:hAnsiTheme="minorHAnsi" w:cstheme="minorHAnsi"/>
          <w:color w:val="000000" w:themeColor="text1"/>
          <w:sz w:val="22"/>
          <w:szCs w:val="22"/>
          <w:lang w:val="en-GB"/>
        </w:rPr>
        <w:t>(EMA)</w:t>
      </w:r>
      <w:r w:rsidR="009D3A7E">
        <w:rPr>
          <w:rFonts w:asciiTheme="minorHAnsi" w:hAnsiTheme="minorHAnsi" w:cstheme="minorHAnsi"/>
          <w:color w:val="000000" w:themeColor="text1"/>
          <w:sz w:val="22"/>
          <w:szCs w:val="22"/>
          <w:lang w:val="en-GB"/>
        </w:rPr>
        <w:t>. In</w:t>
      </w:r>
      <w:r w:rsidRPr="00EF5361">
        <w:rPr>
          <w:rFonts w:asciiTheme="minorHAnsi" w:hAnsiTheme="minorHAnsi" w:cstheme="minorHAnsi"/>
          <w:color w:val="000000" w:themeColor="text1"/>
          <w:sz w:val="22"/>
          <w:szCs w:val="22"/>
          <w:lang w:val="en-GB"/>
        </w:rPr>
        <w:t xml:space="preserve"> the US, a paediatric study plan (PSP) is required under the Food and Drug Administration Safety and Innovation Act (FDASIA).</w:t>
      </w:r>
      <w:r w:rsidRPr="00EF5361">
        <w:rPr>
          <w:rFonts w:asciiTheme="minorHAnsi" w:hAnsiTheme="minorHAnsi" w:cstheme="minorHAnsi"/>
          <w:color w:val="000000" w:themeColor="text1"/>
          <w:sz w:val="22"/>
          <w:szCs w:val="22"/>
          <w:lang w:val="en-GB"/>
        </w:rPr>
        <w:fldChar w:fldCharType="begin" w:fldLock="1"/>
      </w:r>
      <w:r w:rsidR="00060798">
        <w:rPr>
          <w:rFonts w:asciiTheme="minorHAnsi" w:hAnsiTheme="minorHAnsi" w:cstheme="minorHAnsi"/>
          <w:color w:val="000000" w:themeColor="text1"/>
          <w:sz w:val="22"/>
          <w:szCs w:val="22"/>
          <w:lang w:val="en-GB"/>
        </w:rPr>
        <w:instrText>ADDIN CSL_CITATION {"citationItems":[{"id":"ITEM-1","itemData":{"DOI":"10.1177/2168479017696265","ISSN":"2168-4790","abstract":"Pediatric legislation in the US and the EU is driving pediatric product development on an international scale. To facilitate harmonization and global development of pediatric medicines, it is important to understand the legislative requirements that must be met along with incentives that exist in the US and the EU to include pediatric patients in therapeutic clinical trials. Although there are many similarities, differences exist. This review is an effort to enhance understanding of the pediatric legislation in both regions. It is intended as an overview to supplement the region-specific legislation and guidance documents that are available on the websites of the US Food and Drug Administration (FDA) and the European Medicines Agency (EMA). Despite differences, the goal of the legislation in both the EU and the US is to incentivize and require timely, ethical, and sound scientific development of pharmaceutical products for the pediatric population and to provide information for their safe and effective use.","author":[{"dropping-particle":"","family":"Penkov","given":"Dobromir","non-dropping-particle":"","parse-names":false,"suffix":""},{"dropping-particle":"","family":"Tomasi","given":"Paolo","non-dropping-particle":"","parse-names":false,"suffix":""},{"dropping-particle":"","family":"Eichler","given":"Irmgard","non-dropping-particle":"","parse-names":false,"suffix":""},{"dropping-particle":"","family":"Murphy","given":"Dianne","non-dropping-particle":"","parse-names":false,"suffix":""},{"dropping-particle":"","family":"Yao","given":"Lynne P","non-dropping-particle":"","parse-names":false,"suffix":""},{"dropping-particle":"","family":"Temeck","given":"Jean","non-dropping-particle":"","parse-names":false,"suffix":""}],"container-title":"Therapeutic innovation &amp; regulatory science","id":"ITEM-1","issue":"3","issued":{"date-parts":[["2017","5","1"]]},"language":"eng","page":"360-371","title":"Pediatric Medicine Development: An Overview and Comparison of Regulatory Processes in the European Union and United States","type":"article-journal","volume":"51"},"uris":["http://www.mendeley.com/documents/?uuid=de8fc76e-d913-4de2-b016-ee247ce4c132"]}],"mendeley":{"formattedCitation":"&lt;sup&gt;4&lt;/sup&gt;","plainTextFormattedCitation":"4","previouslyFormattedCitation":"&lt;sup&gt;4&lt;/sup&gt;"},"properties":{"noteIndex":0},"schema":"https://github.com/citation-style-language/schema/raw/master/csl-citation.json"}</w:instrText>
      </w:r>
      <w:r w:rsidRPr="00EF5361">
        <w:rPr>
          <w:rFonts w:asciiTheme="minorHAnsi" w:hAnsiTheme="minorHAnsi" w:cstheme="minorHAnsi"/>
          <w:color w:val="000000" w:themeColor="text1"/>
          <w:sz w:val="22"/>
          <w:szCs w:val="22"/>
          <w:lang w:val="en-GB"/>
        </w:rPr>
        <w:fldChar w:fldCharType="separate"/>
      </w:r>
      <w:r w:rsidR="00060798" w:rsidRPr="00060798">
        <w:rPr>
          <w:rFonts w:asciiTheme="minorHAnsi" w:hAnsiTheme="minorHAnsi" w:cstheme="minorHAnsi"/>
          <w:noProof/>
          <w:color w:val="000000" w:themeColor="text1"/>
          <w:sz w:val="22"/>
          <w:szCs w:val="22"/>
          <w:vertAlign w:val="superscript"/>
          <w:lang w:val="en-GB"/>
        </w:rPr>
        <w:t>4</w:t>
      </w:r>
      <w:r w:rsidRPr="00EF5361">
        <w:rPr>
          <w:rFonts w:asciiTheme="minorHAnsi" w:hAnsiTheme="minorHAnsi" w:cstheme="minorHAnsi"/>
          <w:color w:val="000000" w:themeColor="text1"/>
          <w:sz w:val="22"/>
          <w:szCs w:val="22"/>
          <w:lang w:val="en-GB"/>
        </w:rPr>
        <w:fldChar w:fldCharType="end"/>
      </w:r>
      <w:r w:rsidRPr="00EF5361">
        <w:rPr>
          <w:rFonts w:asciiTheme="minorHAnsi" w:hAnsiTheme="minorHAnsi" w:cstheme="minorHAnsi"/>
          <w:color w:val="000000" w:themeColor="text1"/>
          <w:sz w:val="22"/>
          <w:szCs w:val="22"/>
          <w:lang w:val="en-GB"/>
        </w:rPr>
        <w:t xml:space="preserve"> </w:t>
      </w:r>
      <w:r w:rsidR="002005F8" w:rsidRPr="00EF5361">
        <w:rPr>
          <w:rFonts w:asciiTheme="minorHAnsi" w:hAnsiTheme="minorHAnsi" w:cstheme="minorHAnsi"/>
          <w:color w:val="000000" w:themeColor="text1"/>
          <w:sz w:val="22"/>
          <w:szCs w:val="22"/>
          <w:lang w:val="en-GB"/>
        </w:rPr>
        <w:t>W</w:t>
      </w:r>
      <w:r w:rsidR="00AF3C87" w:rsidRPr="00EF5361">
        <w:rPr>
          <w:rFonts w:asciiTheme="minorHAnsi" w:hAnsiTheme="minorHAnsi" w:cstheme="minorHAnsi"/>
          <w:color w:val="000000" w:themeColor="text1"/>
          <w:sz w:val="22"/>
          <w:szCs w:val="22"/>
          <w:lang w:val="en-GB"/>
        </w:rPr>
        <w:t xml:space="preserve">hile </w:t>
      </w:r>
      <w:r w:rsidR="00C1676A" w:rsidRPr="00EF5361">
        <w:rPr>
          <w:rFonts w:asciiTheme="minorHAnsi" w:hAnsiTheme="minorHAnsi" w:cstheme="minorHAnsi"/>
          <w:color w:val="000000" w:themeColor="text1"/>
          <w:sz w:val="22"/>
          <w:szCs w:val="22"/>
          <w:lang w:val="en-GB"/>
        </w:rPr>
        <w:t xml:space="preserve">co-ordination </w:t>
      </w:r>
      <w:r w:rsidR="009D3A7E">
        <w:rPr>
          <w:rFonts w:asciiTheme="minorHAnsi" w:hAnsiTheme="minorHAnsi" w:cstheme="minorHAnsi"/>
          <w:color w:val="000000" w:themeColor="text1"/>
          <w:sz w:val="22"/>
          <w:szCs w:val="22"/>
          <w:lang w:val="en-GB"/>
        </w:rPr>
        <w:t>between</w:t>
      </w:r>
      <w:r w:rsidR="00C1676A" w:rsidRPr="00EF5361">
        <w:rPr>
          <w:rFonts w:asciiTheme="minorHAnsi" w:hAnsiTheme="minorHAnsi" w:cstheme="minorHAnsi"/>
          <w:color w:val="000000" w:themeColor="text1"/>
          <w:sz w:val="22"/>
          <w:szCs w:val="22"/>
          <w:lang w:val="en-GB"/>
        </w:rPr>
        <w:t xml:space="preserve"> these</w:t>
      </w:r>
      <w:r w:rsidR="009C1C4D" w:rsidRPr="00EF5361">
        <w:rPr>
          <w:rFonts w:asciiTheme="minorHAnsi" w:hAnsiTheme="minorHAnsi" w:cstheme="minorHAnsi"/>
          <w:color w:val="000000" w:themeColor="text1"/>
          <w:sz w:val="22"/>
          <w:szCs w:val="22"/>
          <w:lang w:val="en-GB"/>
        </w:rPr>
        <w:t xml:space="preserve"> </w:t>
      </w:r>
      <w:r w:rsidR="00C1676A" w:rsidRPr="00EF5361">
        <w:rPr>
          <w:rFonts w:asciiTheme="minorHAnsi" w:hAnsiTheme="minorHAnsi" w:cstheme="minorHAnsi"/>
          <w:color w:val="000000" w:themeColor="text1"/>
          <w:sz w:val="22"/>
          <w:szCs w:val="22"/>
          <w:lang w:val="en-GB"/>
        </w:rPr>
        <w:t>bodie</w:t>
      </w:r>
      <w:r w:rsidR="00AB1695">
        <w:rPr>
          <w:rFonts w:asciiTheme="minorHAnsi" w:hAnsiTheme="minorHAnsi" w:cstheme="minorHAnsi"/>
          <w:color w:val="000000" w:themeColor="text1"/>
          <w:sz w:val="22"/>
          <w:szCs w:val="22"/>
          <w:lang w:val="en-GB"/>
        </w:rPr>
        <w:t xml:space="preserve">s regularly </w:t>
      </w:r>
      <w:r w:rsidR="00C1676A" w:rsidRPr="00EF5361">
        <w:rPr>
          <w:rFonts w:asciiTheme="minorHAnsi" w:hAnsiTheme="minorHAnsi" w:cstheme="minorHAnsi"/>
          <w:color w:val="000000" w:themeColor="text1"/>
          <w:sz w:val="22"/>
          <w:szCs w:val="22"/>
          <w:lang w:val="en-GB"/>
        </w:rPr>
        <w:t>occur</w:t>
      </w:r>
      <w:r w:rsidR="00AB1695">
        <w:rPr>
          <w:rFonts w:asciiTheme="minorHAnsi" w:hAnsiTheme="minorHAnsi" w:cstheme="minorHAnsi"/>
          <w:color w:val="000000" w:themeColor="text1"/>
          <w:sz w:val="22"/>
          <w:szCs w:val="22"/>
          <w:lang w:val="en-GB"/>
        </w:rPr>
        <w:t>s</w:t>
      </w:r>
      <w:r w:rsidR="00C1676A" w:rsidRPr="00EF5361">
        <w:rPr>
          <w:rFonts w:asciiTheme="minorHAnsi" w:hAnsiTheme="minorHAnsi" w:cstheme="minorHAnsi"/>
          <w:color w:val="000000" w:themeColor="text1"/>
          <w:sz w:val="22"/>
          <w:szCs w:val="22"/>
          <w:lang w:val="en-GB"/>
        </w:rPr>
        <w:t xml:space="preserve">, progress </w:t>
      </w:r>
      <w:r w:rsidR="009C1C4D" w:rsidRPr="00EF5361">
        <w:rPr>
          <w:rFonts w:asciiTheme="minorHAnsi" w:hAnsiTheme="minorHAnsi" w:cstheme="minorHAnsi"/>
          <w:color w:val="000000" w:themeColor="text1"/>
          <w:sz w:val="22"/>
          <w:szCs w:val="22"/>
          <w:lang w:val="en-GB"/>
        </w:rPr>
        <w:t xml:space="preserve">in </w:t>
      </w:r>
      <w:r w:rsidR="00670D6D">
        <w:rPr>
          <w:rFonts w:asciiTheme="minorHAnsi" w:hAnsiTheme="minorHAnsi" w:cstheme="minorHAnsi"/>
          <w:color w:val="000000" w:themeColor="text1"/>
          <w:sz w:val="22"/>
          <w:szCs w:val="22"/>
          <w:lang w:val="en-GB"/>
        </w:rPr>
        <w:t xml:space="preserve">the </w:t>
      </w:r>
      <w:r w:rsidR="009C1C4D" w:rsidRPr="00EF5361">
        <w:rPr>
          <w:rFonts w:asciiTheme="minorHAnsi" w:hAnsiTheme="minorHAnsi" w:cstheme="minorHAnsi"/>
          <w:color w:val="000000" w:themeColor="text1"/>
          <w:sz w:val="22"/>
          <w:szCs w:val="22"/>
          <w:lang w:val="en-GB"/>
        </w:rPr>
        <w:t>harmonisation of study design appears to have</w:t>
      </w:r>
      <w:r w:rsidR="00C1676A" w:rsidRPr="00EF5361">
        <w:rPr>
          <w:rFonts w:asciiTheme="minorHAnsi" w:hAnsiTheme="minorHAnsi" w:cstheme="minorHAnsi"/>
          <w:color w:val="000000" w:themeColor="text1"/>
          <w:sz w:val="22"/>
          <w:szCs w:val="22"/>
          <w:lang w:val="en-GB"/>
        </w:rPr>
        <w:t xml:space="preserve"> stalle</w:t>
      </w:r>
      <w:r w:rsidR="00C046E4" w:rsidRPr="00EF5361">
        <w:rPr>
          <w:rFonts w:asciiTheme="minorHAnsi" w:hAnsiTheme="minorHAnsi" w:cstheme="minorHAnsi"/>
          <w:color w:val="000000" w:themeColor="text1"/>
          <w:sz w:val="22"/>
          <w:szCs w:val="22"/>
          <w:lang w:val="en-GB"/>
        </w:rPr>
        <w:t>d</w:t>
      </w:r>
      <w:r w:rsidR="00111083" w:rsidRPr="00EF5361">
        <w:rPr>
          <w:rFonts w:asciiTheme="minorHAnsi" w:hAnsiTheme="minorHAnsi" w:cstheme="minorHAnsi"/>
          <w:color w:val="000000" w:themeColor="text1"/>
          <w:sz w:val="22"/>
          <w:szCs w:val="22"/>
          <w:lang w:val="en-GB"/>
        </w:rPr>
        <w:t xml:space="preserve">. </w:t>
      </w:r>
    </w:p>
    <w:p w14:paraId="0BC58DFD" w14:textId="77777777" w:rsidR="009C5FC3" w:rsidRPr="00EF5361" w:rsidRDefault="009C5FC3" w:rsidP="004D3AA1">
      <w:pPr>
        <w:jc w:val="both"/>
        <w:rPr>
          <w:rFonts w:asciiTheme="minorHAnsi" w:hAnsiTheme="minorHAnsi" w:cstheme="minorHAnsi"/>
          <w:color w:val="000000" w:themeColor="text1"/>
          <w:sz w:val="22"/>
          <w:szCs w:val="22"/>
          <w:lang w:val="en-GB"/>
        </w:rPr>
      </w:pPr>
    </w:p>
    <w:p w14:paraId="00831161" w14:textId="095CB642" w:rsidR="0060356D" w:rsidRPr="00EF5361" w:rsidRDefault="009C1C4D" w:rsidP="004D3AA1">
      <w:pPr>
        <w:jc w:val="both"/>
        <w:rPr>
          <w:rFonts w:asciiTheme="minorHAnsi" w:hAnsiTheme="minorHAnsi" w:cstheme="minorHAnsi"/>
          <w:color w:val="000000" w:themeColor="text1"/>
          <w:sz w:val="22"/>
          <w:szCs w:val="22"/>
          <w:lang w:val="en-GB"/>
        </w:rPr>
      </w:pPr>
      <w:r w:rsidRPr="00EF5361">
        <w:rPr>
          <w:rFonts w:asciiTheme="minorHAnsi" w:hAnsiTheme="minorHAnsi" w:cstheme="minorHAnsi"/>
          <w:color w:val="000000" w:themeColor="text1"/>
          <w:sz w:val="22"/>
          <w:szCs w:val="22"/>
          <w:lang w:val="en-GB"/>
        </w:rPr>
        <w:t xml:space="preserve">Both regulators accept that efficacy can be extrapolated from adult studies, with pharmacokinetic </w:t>
      </w:r>
      <w:r w:rsidR="0060356D" w:rsidRPr="00EF5361">
        <w:rPr>
          <w:rFonts w:asciiTheme="minorHAnsi" w:hAnsiTheme="minorHAnsi" w:cstheme="minorHAnsi"/>
          <w:color w:val="000000" w:themeColor="text1"/>
          <w:sz w:val="22"/>
          <w:szCs w:val="22"/>
          <w:lang w:val="en-GB"/>
        </w:rPr>
        <w:t xml:space="preserve">(PK) </w:t>
      </w:r>
      <w:r w:rsidRPr="00EF5361">
        <w:rPr>
          <w:rFonts w:asciiTheme="minorHAnsi" w:hAnsiTheme="minorHAnsi" w:cstheme="minorHAnsi"/>
          <w:color w:val="000000" w:themeColor="text1"/>
          <w:sz w:val="22"/>
          <w:szCs w:val="22"/>
          <w:lang w:val="en-GB"/>
        </w:rPr>
        <w:t>studies designed to achieve similar drug exposure in children</w:t>
      </w:r>
      <w:r w:rsidR="00B169DF" w:rsidRPr="00EF5361">
        <w:rPr>
          <w:rFonts w:asciiTheme="minorHAnsi" w:hAnsiTheme="minorHAnsi" w:cstheme="minorHAnsi"/>
          <w:color w:val="000000" w:themeColor="text1"/>
          <w:sz w:val="22"/>
          <w:szCs w:val="22"/>
          <w:lang w:val="en-GB"/>
        </w:rPr>
        <w:t xml:space="preserve"> as in adults</w:t>
      </w:r>
      <w:r w:rsidRPr="00EF5361">
        <w:rPr>
          <w:rFonts w:asciiTheme="minorHAnsi" w:hAnsiTheme="minorHAnsi" w:cstheme="minorHAnsi"/>
          <w:color w:val="000000" w:themeColor="text1"/>
          <w:sz w:val="22"/>
          <w:szCs w:val="22"/>
          <w:lang w:val="en-GB"/>
        </w:rPr>
        <w:t xml:space="preserve">. </w:t>
      </w:r>
      <w:r w:rsidR="009F1BB9" w:rsidRPr="00EF5361">
        <w:rPr>
          <w:rFonts w:asciiTheme="minorHAnsi" w:hAnsiTheme="minorHAnsi" w:cstheme="minorHAnsi"/>
          <w:color w:val="000000" w:themeColor="text1"/>
          <w:sz w:val="22"/>
          <w:szCs w:val="22"/>
          <w:lang w:val="en-GB"/>
        </w:rPr>
        <w:t xml:space="preserve">Both regulators accept </w:t>
      </w:r>
      <w:r w:rsidR="00AB1695">
        <w:rPr>
          <w:rFonts w:asciiTheme="minorHAnsi" w:hAnsiTheme="minorHAnsi" w:cstheme="minorHAnsi"/>
          <w:color w:val="000000" w:themeColor="text1"/>
          <w:sz w:val="22"/>
          <w:szCs w:val="22"/>
          <w:lang w:val="en-GB"/>
        </w:rPr>
        <w:t xml:space="preserve">simultaneous cohort recruitment to </w:t>
      </w:r>
      <w:r w:rsidR="009F1BB9" w:rsidRPr="00EF5361">
        <w:rPr>
          <w:rFonts w:asciiTheme="minorHAnsi" w:hAnsiTheme="minorHAnsi" w:cstheme="minorHAnsi"/>
          <w:color w:val="000000" w:themeColor="text1"/>
          <w:sz w:val="22"/>
          <w:szCs w:val="22"/>
          <w:lang w:val="en-GB"/>
        </w:rPr>
        <w:t>single</w:t>
      </w:r>
      <w:r w:rsidR="00670D6D">
        <w:rPr>
          <w:rFonts w:asciiTheme="minorHAnsi" w:hAnsiTheme="minorHAnsi" w:cstheme="minorHAnsi"/>
          <w:color w:val="000000" w:themeColor="text1"/>
          <w:sz w:val="22"/>
          <w:szCs w:val="22"/>
          <w:lang w:val="en-GB"/>
        </w:rPr>
        <w:t>-</w:t>
      </w:r>
      <w:r w:rsidR="009F1BB9" w:rsidRPr="00EF5361">
        <w:rPr>
          <w:rFonts w:asciiTheme="minorHAnsi" w:hAnsiTheme="minorHAnsi" w:cstheme="minorHAnsi"/>
          <w:color w:val="000000" w:themeColor="text1"/>
          <w:sz w:val="22"/>
          <w:szCs w:val="22"/>
          <w:lang w:val="en-GB"/>
        </w:rPr>
        <w:t>dose PK studies across all ages</w:t>
      </w:r>
      <w:r w:rsidR="00AB1695">
        <w:rPr>
          <w:rFonts w:asciiTheme="minorHAnsi" w:hAnsiTheme="minorHAnsi" w:cstheme="minorHAnsi"/>
          <w:color w:val="000000" w:themeColor="text1"/>
          <w:sz w:val="22"/>
          <w:szCs w:val="22"/>
          <w:lang w:val="en-GB"/>
        </w:rPr>
        <w:t>. W</w:t>
      </w:r>
      <w:r w:rsidR="009C5FC3" w:rsidRPr="00EF5361">
        <w:rPr>
          <w:rFonts w:asciiTheme="minorHAnsi" w:hAnsiTheme="minorHAnsi" w:cstheme="minorHAnsi"/>
          <w:color w:val="000000" w:themeColor="text1"/>
          <w:sz w:val="22"/>
          <w:szCs w:val="22"/>
          <w:lang w:val="en-GB"/>
        </w:rPr>
        <w:t>ith</w:t>
      </w:r>
      <w:r w:rsidR="00F361E8" w:rsidRPr="00EF5361">
        <w:rPr>
          <w:rFonts w:asciiTheme="minorHAnsi" w:hAnsiTheme="minorHAnsi" w:cstheme="minorHAnsi"/>
          <w:color w:val="000000" w:themeColor="text1"/>
          <w:sz w:val="22"/>
          <w:szCs w:val="22"/>
          <w:lang w:val="en-GB"/>
        </w:rPr>
        <w:t xml:space="preserve"> </w:t>
      </w:r>
      <w:r w:rsidR="00362DA4" w:rsidRPr="00EF5361">
        <w:rPr>
          <w:rFonts w:asciiTheme="minorHAnsi" w:hAnsiTheme="minorHAnsi" w:cstheme="minorHAnsi"/>
          <w:color w:val="000000" w:themeColor="text1"/>
          <w:sz w:val="22"/>
          <w:szCs w:val="22"/>
          <w:lang w:val="en-GB"/>
        </w:rPr>
        <w:t>optimised sampling designs based on extrapolation from adul</w:t>
      </w:r>
      <w:r w:rsidR="009C5FC3" w:rsidRPr="00EF5361">
        <w:rPr>
          <w:rFonts w:asciiTheme="minorHAnsi" w:hAnsiTheme="minorHAnsi" w:cstheme="minorHAnsi"/>
          <w:color w:val="000000" w:themeColor="text1"/>
          <w:sz w:val="22"/>
          <w:szCs w:val="22"/>
          <w:lang w:val="en-GB"/>
        </w:rPr>
        <w:t>ts</w:t>
      </w:r>
      <w:r w:rsidR="00F361E8" w:rsidRPr="00EF5361">
        <w:rPr>
          <w:rFonts w:asciiTheme="minorHAnsi" w:hAnsiTheme="minorHAnsi" w:cstheme="minorHAnsi"/>
          <w:color w:val="000000" w:themeColor="text1"/>
          <w:sz w:val="22"/>
          <w:szCs w:val="22"/>
          <w:lang w:val="en-GB"/>
        </w:rPr>
        <w:t xml:space="preserve">, </w:t>
      </w:r>
      <w:r w:rsidR="00B169DF" w:rsidRPr="00EF5361">
        <w:rPr>
          <w:rFonts w:asciiTheme="minorHAnsi" w:hAnsiTheme="minorHAnsi" w:cstheme="minorHAnsi"/>
          <w:color w:val="000000" w:themeColor="text1"/>
          <w:sz w:val="22"/>
          <w:szCs w:val="22"/>
          <w:lang w:val="en-GB"/>
        </w:rPr>
        <w:t xml:space="preserve">this </w:t>
      </w:r>
      <w:r w:rsidR="00C01158" w:rsidRPr="00EF5361">
        <w:rPr>
          <w:rFonts w:asciiTheme="minorHAnsi" w:hAnsiTheme="minorHAnsi" w:cstheme="minorHAnsi"/>
          <w:color w:val="000000" w:themeColor="text1"/>
          <w:sz w:val="22"/>
          <w:szCs w:val="22"/>
          <w:lang w:val="en-GB"/>
        </w:rPr>
        <w:t>data</w:t>
      </w:r>
      <w:r w:rsidR="00F361E8" w:rsidRPr="00EF5361">
        <w:rPr>
          <w:rFonts w:asciiTheme="minorHAnsi" w:hAnsiTheme="minorHAnsi" w:cstheme="minorHAnsi"/>
          <w:color w:val="000000" w:themeColor="text1"/>
          <w:sz w:val="22"/>
          <w:szCs w:val="22"/>
          <w:lang w:val="en-GB"/>
        </w:rPr>
        <w:t xml:space="preserve"> can usually be achieved with </w:t>
      </w:r>
      <w:r w:rsidR="00670D6D">
        <w:rPr>
          <w:rFonts w:asciiTheme="minorHAnsi" w:hAnsiTheme="minorHAnsi" w:cstheme="minorHAnsi"/>
          <w:color w:val="000000" w:themeColor="text1"/>
          <w:sz w:val="22"/>
          <w:szCs w:val="22"/>
          <w:lang w:val="en-GB"/>
        </w:rPr>
        <w:t xml:space="preserve">the </w:t>
      </w:r>
      <w:r w:rsidR="00F361E8" w:rsidRPr="00EF5361">
        <w:rPr>
          <w:rFonts w:asciiTheme="minorHAnsi" w:hAnsiTheme="minorHAnsi" w:cstheme="minorHAnsi"/>
          <w:color w:val="000000" w:themeColor="text1"/>
          <w:sz w:val="22"/>
          <w:szCs w:val="22"/>
          <w:lang w:val="en-GB"/>
        </w:rPr>
        <w:t>recruitment of 40</w:t>
      </w:r>
      <w:r w:rsidR="00F9551A" w:rsidRPr="00EF5361">
        <w:rPr>
          <w:rFonts w:asciiTheme="minorHAnsi" w:hAnsiTheme="minorHAnsi" w:cstheme="minorHAnsi"/>
          <w:color w:val="000000" w:themeColor="text1"/>
          <w:sz w:val="22"/>
          <w:szCs w:val="22"/>
          <w:lang w:val="en-GB"/>
        </w:rPr>
        <w:t>-50</w:t>
      </w:r>
      <w:r w:rsidR="00F361E8" w:rsidRPr="00EF5361">
        <w:rPr>
          <w:rFonts w:asciiTheme="minorHAnsi" w:hAnsiTheme="minorHAnsi" w:cstheme="minorHAnsi"/>
          <w:color w:val="000000" w:themeColor="text1"/>
          <w:sz w:val="22"/>
          <w:szCs w:val="22"/>
          <w:lang w:val="en-GB"/>
        </w:rPr>
        <w:t xml:space="preserve"> children </w:t>
      </w:r>
      <w:r w:rsidR="00670D6D">
        <w:rPr>
          <w:rFonts w:asciiTheme="minorHAnsi" w:hAnsiTheme="minorHAnsi" w:cstheme="minorHAnsi"/>
          <w:color w:val="000000" w:themeColor="text1"/>
          <w:sz w:val="22"/>
          <w:szCs w:val="22"/>
          <w:lang w:val="en-GB"/>
        </w:rPr>
        <w:t>(</w:t>
      </w:r>
      <w:r w:rsidR="009C5FC3" w:rsidRPr="00EF5361">
        <w:rPr>
          <w:rFonts w:asciiTheme="minorHAnsi" w:hAnsiTheme="minorHAnsi" w:cstheme="minorHAnsi"/>
          <w:color w:val="000000" w:themeColor="text1"/>
          <w:sz w:val="22"/>
          <w:szCs w:val="22"/>
          <w:lang w:val="en-GB"/>
        </w:rPr>
        <w:t>aged</w:t>
      </w:r>
      <w:r w:rsidR="00F361E8" w:rsidRPr="00EF5361">
        <w:rPr>
          <w:rFonts w:asciiTheme="minorHAnsi" w:hAnsiTheme="minorHAnsi" w:cstheme="minorHAnsi"/>
          <w:color w:val="000000" w:themeColor="text1"/>
          <w:sz w:val="22"/>
          <w:szCs w:val="22"/>
          <w:lang w:val="en-GB"/>
        </w:rPr>
        <w:t xml:space="preserve"> 0-18 years</w:t>
      </w:r>
      <w:r w:rsidR="00670D6D">
        <w:rPr>
          <w:rFonts w:asciiTheme="minorHAnsi" w:hAnsiTheme="minorHAnsi" w:cstheme="minorHAnsi"/>
          <w:color w:val="000000" w:themeColor="text1"/>
          <w:sz w:val="22"/>
          <w:szCs w:val="22"/>
          <w:lang w:val="en-GB"/>
        </w:rPr>
        <w:t>)</w:t>
      </w:r>
      <w:r w:rsidR="00F361E8" w:rsidRPr="00EF5361">
        <w:rPr>
          <w:rFonts w:asciiTheme="minorHAnsi" w:hAnsiTheme="minorHAnsi" w:cstheme="minorHAnsi"/>
          <w:color w:val="000000" w:themeColor="text1"/>
          <w:sz w:val="22"/>
          <w:szCs w:val="22"/>
          <w:lang w:val="en-GB"/>
        </w:rPr>
        <w:t xml:space="preserve">.  </w:t>
      </w:r>
    </w:p>
    <w:p w14:paraId="5A6A0C22" w14:textId="56331A84" w:rsidR="0060356D" w:rsidRDefault="0060356D" w:rsidP="004D3AA1">
      <w:pPr>
        <w:jc w:val="both"/>
        <w:rPr>
          <w:rFonts w:asciiTheme="minorHAnsi" w:hAnsiTheme="minorHAnsi" w:cstheme="minorHAnsi"/>
          <w:color w:val="000000" w:themeColor="text1"/>
          <w:sz w:val="22"/>
          <w:szCs w:val="22"/>
          <w:lang w:val="en-GB"/>
        </w:rPr>
      </w:pPr>
    </w:p>
    <w:p w14:paraId="3B8197F3" w14:textId="53903AB5" w:rsidR="00696D09" w:rsidRDefault="00670D6D" w:rsidP="004D3AA1">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However, t</w:t>
      </w:r>
      <w:r w:rsidR="00696D09">
        <w:rPr>
          <w:rFonts w:asciiTheme="minorHAnsi" w:hAnsiTheme="minorHAnsi" w:cstheme="minorHAnsi"/>
          <w:color w:val="000000" w:themeColor="text1"/>
          <w:sz w:val="22"/>
          <w:szCs w:val="22"/>
          <w:lang w:val="en-GB"/>
        </w:rPr>
        <w:t>he</w:t>
      </w:r>
      <w:r w:rsidR="00696D09" w:rsidRPr="00EF5361">
        <w:rPr>
          <w:rFonts w:asciiTheme="minorHAnsi" w:hAnsiTheme="minorHAnsi" w:cstheme="minorHAnsi"/>
          <w:color w:val="000000" w:themeColor="text1"/>
          <w:sz w:val="22"/>
          <w:szCs w:val="22"/>
          <w:lang w:val="en-GB"/>
        </w:rPr>
        <w:t xml:space="preserve"> </w:t>
      </w:r>
      <w:r w:rsidR="00AB1695">
        <w:rPr>
          <w:rFonts w:asciiTheme="minorHAnsi" w:hAnsiTheme="minorHAnsi" w:cstheme="minorHAnsi"/>
          <w:color w:val="000000" w:themeColor="text1"/>
          <w:sz w:val="22"/>
          <w:szCs w:val="22"/>
          <w:lang w:val="en-GB"/>
        </w:rPr>
        <w:t xml:space="preserve">recent draft FDA guidance of anti-infective development in the pediatric population </w:t>
      </w:r>
      <w:r w:rsidR="00276DB4">
        <w:rPr>
          <w:rFonts w:asciiTheme="minorHAnsi" w:hAnsiTheme="minorHAnsi" w:cstheme="minorHAnsi"/>
          <w:color w:val="000000" w:themeColor="text1"/>
          <w:sz w:val="22"/>
          <w:szCs w:val="22"/>
          <w:lang w:val="en-GB"/>
        </w:rPr>
        <w:t>continues to require the</w:t>
      </w:r>
      <w:r w:rsidR="00696D09" w:rsidRPr="00EF5361">
        <w:rPr>
          <w:rFonts w:asciiTheme="minorHAnsi" w:hAnsiTheme="minorHAnsi" w:cstheme="minorHAnsi"/>
          <w:color w:val="000000" w:themeColor="text1"/>
          <w:sz w:val="22"/>
          <w:szCs w:val="22"/>
          <w:lang w:val="en-GB"/>
        </w:rPr>
        <w:t xml:space="preserve"> </w:t>
      </w:r>
      <w:r w:rsidR="00696D09" w:rsidRPr="00EF5361">
        <w:rPr>
          <w:rFonts w:asciiTheme="minorHAnsi" w:hAnsiTheme="minorHAnsi" w:cstheme="minorHAnsi"/>
          <w:i/>
          <w:color w:val="000000" w:themeColor="text1"/>
          <w:sz w:val="22"/>
          <w:szCs w:val="22"/>
          <w:lang w:val="en-GB"/>
        </w:rPr>
        <w:t>de-novo</w:t>
      </w:r>
      <w:r w:rsidR="00696D09" w:rsidRPr="00EF5361">
        <w:rPr>
          <w:rFonts w:asciiTheme="minorHAnsi" w:hAnsiTheme="minorHAnsi" w:cstheme="minorHAnsi"/>
          <w:color w:val="000000" w:themeColor="text1"/>
          <w:sz w:val="22"/>
          <w:szCs w:val="22"/>
          <w:lang w:val="en-GB"/>
        </w:rPr>
        <w:t xml:space="preserve"> generation of primary </w:t>
      </w:r>
      <w:r w:rsidR="00276DB4">
        <w:rPr>
          <w:rFonts w:asciiTheme="minorHAnsi" w:hAnsiTheme="minorHAnsi" w:cstheme="minorHAnsi"/>
          <w:color w:val="000000" w:themeColor="text1"/>
          <w:sz w:val="22"/>
          <w:szCs w:val="22"/>
          <w:lang w:val="en-GB"/>
        </w:rPr>
        <w:t>safety data</w:t>
      </w:r>
      <w:r w:rsidR="00696D09" w:rsidRPr="00EF5361">
        <w:rPr>
          <w:rFonts w:asciiTheme="minorHAnsi" w:hAnsiTheme="minorHAnsi" w:cstheme="minorHAnsi"/>
          <w:color w:val="000000" w:themeColor="text1"/>
          <w:sz w:val="22"/>
          <w:szCs w:val="22"/>
          <w:lang w:val="en-GB"/>
        </w:rPr>
        <w:t xml:space="preserve"> in children obtained </w:t>
      </w:r>
      <w:r w:rsidR="00AB1695">
        <w:rPr>
          <w:rFonts w:asciiTheme="minorHAnsi" w:hAnsiTheme="minorHAnsi" w:cstheme="minorHAnsi"/>
          <w:color w:val="000000" w:themeColor="text1"/>
          <w:sz w:val="22"/>
          <w:szCs w:val="22"/>
          <w:lang w:val="en-GB"/>
        </w:rPr>
        <w:t xml:space="preserve">in </w:t>
      </w:r>
      <w:r w:rsidR="00696D09" w:rsidRPr="00EF5361">
        <w:rPr>
          <w:rFonts w:asciiTheme="minorHAnsi" w:hAnsiTheme="minorHAnsi" w:cstheme="minorHAnsi"/>
          <w:color w:val="000000" w:themeColor="text1"/>
          <w:sz w:val="22"/>
          <w:szCs w:val="22"/>
          <w:lang w:val="en-GB"/>
        </w:rPr>
        <w:t xml:space="preserve">randomised trials </w:t>
      </w:r>
      <w:r w:rsidR="00D11DC8">
        <w:rPr>
          <w:rFonts w:asciiTheme="minorHAnsi" w:hAnsiTheme="minorHAnsi" w:cstheme="minorHAnsi"/>
          <w:color w:val="000000" w:themeColor="text1"/>
          <w:sz w:val="22"/>
          <w:szCs w:val="22"/>
          <w:lang w:val="en-GB"/>
        </w:rPr>
        <w:t>including</w:t>
      </w:r>
      <w:r w:rsidR="00696D09" w:rsidRPr="00EF5361">
        <w:rPr>
          <w:rFonts w:asciiTheme="minorHAnsi" w:hAnsiTheme="minorHAnsi" w:cstheme="minorHAnsi"/>
          <w:color w:val="000000" w:themeColor="text1"/>
          <w:sz w:val="22"/>
          <w:szCs w:val="22"/>
          <w:lang w:val="en-GB"/>
        </w:rPr>
        <w:t xml:space="preserve"> a standard-of-care (SOC) arm.</w:t>
      </w:r>
      <w:r w:rsidR="00696D09" w:rsidRPr="00EF5361">
        <w:rPr>
          <w:rFonts w:asciiTheme="minorHAnsi" w:hAnsiTheme="minorHAnsi" w:cstheme="minorHAnsi"/>
          <w:color w:val="000000" w:themeColor="text1"/>
          <w:sz w:val="22"/>
          <w:szCs w:val="22"/>
          <w:lang w:val="en-GB"/>
        </w:rPr>
        <w:fldChar w:fldCharType="begin" w:fldLock="1"/>
      </w:r>
      <w:r w:rsidR="00060798">
        <w:rPr>
          <w:rFonts w:asciiTheme="minorHAnsi" w:hAnsiTheme="minorHAnsi" w:cstheme="minorHAnsi"/>
          <w:color w:val="000000" w:themeColor="text1"/>
          <w:sz w:val="22"/>
          <w:szCs w:val="22"/>
          <w:lang w:val="en-GB"/>
        </w:rPr>
        <w:instrText>ADDIN CSL_CITATION {"citationItems":[{"id":"ITEM-1","itemData":{"author":[{"dropping-particle":"","family":"United States Food and Drug Administration.","given":"","non-dropping-particle":"","parse-names":false,"suffix":""}],"id":"ITEM-1","issued":{"date-parts":[["2020"]]},"publisher-place":"Washington (DC)","title":"Development of Anti-Infective Drug Products for the Pediatric Population Guidance for Industry","type":"report"},"uris":["http://www.mendeley.com/documents/?uuid=ace05d61-1e18-4e73-baee-5687741e6210"]}],"mendeley":{"formattedCitation":"&lt;sup&gt;5&lt;/sup&gt;","plainTextFormattedCitation":"5","previouslyFormattedCitation":"&lt;sup&gt;5&lt;/sup&gt;"},"properties":{"noteIndex":0},"schema":"https://github.com/citation-style-language/schema/raw/master/csl-citation.json"}</w:instrText>
      </w:r>
      <w:r w:rsidR="00696D09" w:rsidRPr="00EF5361">
        <w:rPr>
          <w:rFonts w:asciiTheme="minorHAnsi" w:hAnsiTheme="minorHAnsi" w:cstheme="minorHAnsi"/>
          <w:color w:val="000000" w:themeColor="text1"/>
          <w:sz w:val="22"/>
          <w:szCs w:val="22"/>
          <w:lang w:val="en-GB"/>
        </w:rPr>
        <w:fldChar w:fldCharType="separate"/>
      </w:r>
      <w:r w:rsidR="00060798" w:rsidRPr="00060798">
        <w:rPr>
          <w:rFonts w:asciiTheme="minorHAnsi" w:hAnsiTheme="minorHAnsi" w:cstheme="minorHAnsi"/>
          <w:noProof/>
          <w:color w:val="000000" w:themeColor="text1"/>
          <w:sz w:val="22"/>
          <w:szCs w:val="22"/>
          <w:vertAlign w:val="superscript"/>
          <w:lang w:val="en-GB"/>
        </w:rPr>
        <w:t>5</w:t>
      </w:r>
      <w:r w:rsidR="00696D09" w:rsidRPr="00EF5361">
        <w:rPr>
          <w:rFonts w:asciiTheme="minorHAnsi" w:hAnsiTheme="minorHAnsi" w:cstheme="minorHAnsi"/>
          <w:color w:val="000000" w:themeColor="text1"/>
          <w:sz w:val="22"/>
          <w:szCs w:val="22"/>
          <w:lang w:val="en-GB"/>
        </w:rPr>
        <w:fldChar w:fldCharType="end"/>
      </w:r>
      <w:r w:rsidR="00696D09" w:rsidRPr="00EF5361">
        <w:rPr>
          <w:rFonts w:asciiTheme="minorHAnsi" w:hAnsiTheme="minorHAnsi" w:cstheme="minorHAnsi"/>
          <w:color w:val="000000" w:themeColor="text1"/>
          <w:sz w:val="22"/>
          <w:szCs w:val="22"/>
          <w:lang w:val="en-GB"/>
        </w:rPr>
        <w:t xml:space="preserve"> The FDA also only accepts</w:t>
      </w:r>
      <w:r w:rsidR="00276DB4">
        <w:rPr>
          <w:rFonts w:asciiTheme="minorHAnsi" w:hAnsiTheme="minorHAnsi" w:cstheme="minorHAnsi"/>
          <w:color w:val="000000" w:themeColor="text1"/>
          <w:sz w:val="22"/>
          <w:szCs w:val="22"/>
          <w:lang w:val="en-GB"/>
        </w:rPr>
        <w:t xml:space="preserve"> the</w:t>
      </w:r>
      <w:r w:rsidR="00696D09" w:rsidRPr="00EF5361">
        <w:rPr>
          <w:rFonts w:asciiTheme="minorHAnsi" w:hAnsiTheme="minorHAnsi" w:cstheme="minorHAnsi"/>
          <w:color w:val="000000" w:themeColor="text1"/>
          <w:sz w:val="22"/>
          <w:szCs w:val="22"/>
          <w:lang w:val="en-GB"/>
        </w:rPr>
        <w:t xml:space="preserve"> recruitment of children with the clinical indication for which the agent is licensed in adults</w:t>
      </w:r>
      <w:r w:rsidR="00426673">
        <w:rPr>
          <w:rFonts w:asciiTheme="minorHAnsi" w:hAnsiTheme="minorHAnsi" w:cstheme="minorHAnsi"/>
          <w:color w:val="000000" w:themeColor="text1"/>
          <w:sz w:val="22"/>
          <w:szCs w:val="22"/>
          <w:lang w:val="en-GB"/>
        </w:rPr>
        <w:t>, often restricted</w:t>
      </w:r>
      <w:r w:rsidR="00696D09" w:rsidRPr="00EF5361">
        <w:rPr>
          <w:rFonts w:asciiTheme="minorHAnsi" w:hAnsiTheme="minorHAnsi" w:cstheme="minorHAnsi"/>
          <w:color w:val="000000" w:themeColor="text1"/>
          <w:sz w:val="22"/>
          <w:szCs w:val="22"/>
          <w:lang w:val="en-GB"/>
        </w:rPr>
        <w:t xml:space="preserve"> </w:t>
      </w:r>
      <w:r w:rsidR="00426673">
        <w:rPr>
          <w:rFonts w:asciiTheme="minorHAnsi" w:hAnsiTheme="minorHAnsi" w:cstheme="minorHAnsi"/>
          <w:color w:val="000000" w:themeColor="text1"/>
          <w:sz w:val="22"/>
          <w:szCs w:val="22"/>
          <w:lang w:val="en-GB"/>
        </w:rPr>
        <w:t>to</w:t>
      </w:r>
      <w:r w:rsidR="009D3A7E">
        <w:rPr>
          <w:rFonts w:asciiTheme="minorHAnsi" w:hAnsiTheme="minorHAnsi" w:cstheme="minorHAnsi"/>
          <w:color w:val="000000" w:themeColor="text1"/>
          <w:sz w:val="22"/>
          <w:szCs w:val="22"/>
          <w:lang w:val="en-GB"/>
        </w:rPr>
        <w:t xml:space="preserve"> </w:t>
      </w:r>
      <w:r w:rsidR="00696D09" w:rsidRPr="00EF5361">
        <w:rPr>
          <w:rFonts w:asciiTheme="minorHAnsi" w:hAnsiTheme="minorHAnsi" w:cstheme="minorHAnsi"/>
          <w:color w:val="000000" w:themeColor="text1"/>
          <w:sz w:val="22"/>
          <w:szCs w:val="22"/>
          <w:lang w:val="en-GB"/>
        </w:rPr>
        <w:t>complicated urinary tract infections</w:t>
      </w:r>
      <w:r w:rsidR="00426673">
        <w:rPr>
          <w:rFonts w:asciiTheme="minorHAnsi" w:hAnsiTheme="minorHAnsi" w:cstheme="minorHAnsi"/>
          <w:color w:val="000000" w:themeColor="text1"/>
          <w:sz w:val="22"/>
          <w:szCs w:val="22"/>
          <w:lang w:val="en-GB"/>
        </w:rPr>
        <w:t xml:space="preserve"> – </w:t>
      </w:r>
      <w:r w:rsidR="00696D09" w:rsidRPr="00EF5361">
        <w:rPr>
          <w:rFonts w:asciiTheme="minorHAnsi" w:hAnsiTheme="minorHAnsi" w:cstheme="minorHAnsi"/>
          <w:color w:val="000000" w:themeColor="text1"/>
          <w:sz w:val="22"/>
          <w:szCs w:val="22"/>
          <w:lang w:val="en-GB"/>
        </w:rPr>
        <w:t>despite the very short hospital stay this diagnosis requires in children</w:t>
      </w:r>
      <w:r w:rsidR="009D3A7E">
        <w:rPr>
          <w:rFonts w:asciiTheme="minorHAnsi" w:hAnsiTheme="minorHAnsi" w:cstheme="minorHAnsi"/>
          <w:color w:val="000000" w:themeColor="text1"/>
          <w:sz w:val="22"/>
          <w:szCs w:val="22"/>
          <w:lang w:val="en-GB"/>
        </w:rPr>
        <w:t xml:space="preserve"> </w:t>
      </w:r>
      <w:r w:rsidR="00696D09" w:rsidRPr="00EF5361">
        <w:rPr>
          <w:rFonts w:asciiTheme="minorHAnsi" w:hAnsiTheme="minorHAnsi" w:cstheme="minorHAnsi"/>
          <w:color w:val="000000" w:themeColor="text1"/>
          <w:sz w:val="22"/>
          <w:szCs w:val="22"/>
          <w:lang w:val="en-GB"/>
        </w:rPr>
        <w:t xml:space="preserve">and the limited clinical need </w:t>
      </w:r>
      <w:r w:rsidR="00276DB4">
        <w:rPr>
          <w:rFonts w:asciiTheme="minorHAnsi" w:hAnsiTheme="minorHAnsi" w:cstheme="minorHAnsi"/>
          <w:color w:val="000000" w:themeColor="text1"/>
          <w:sz w:val="22"/>
          <w:szCs w:val="22"/>
          <w:lang w:val="en-GB"/>
        </w:rPr>
        <w:t>for</w:t>
      </w:r>
      <w:r w:rsidR="00696D09" w:rsidRPr="00EF5361">
        <w:rPr>
          <w:rFonts w:asciiTheme="minorHAnsi" w:hAnsiTheme="minorHAnsi" w:cstheme="minorHAnsi"/>
          <w:color w:val="000000" w:themeColor="text1"/>
          <w:sz w:val="22"/>
          <w:szCs w:val="22"/>
          <w:lang w:val="en-GB"/>
        </w:rPr>
        <w:t xml:space="preserve"> new agents </w:t>
      </w:r>
      <w:r w:rsidR="00276DB4">
        <w:rPr>
          <w:rFonts w:asciiTheme="minorHAnsi" w:hAnsiTheme="minorHAnsi" w:cstheme="minorHAnsi"/>
          <w:color w:val="000000" w:themeColor="text1"/>
          <w:sz w:val="22"/>
          <w:szCs w:val="22"/>
          <w:lang w:val="en-GB"/>
        </w:rPr>
        <w:t>for</w:t>
      </w:r>
      <w:r w:rsidR="00696D09" w:rsidRPr="00EF5361">
        <w:rPr>
          <w:rFonts w:asciiTheme="minorHAnsi" w:hAnsiTheme="minorHAnsi" w:cstheme="minorHAnsi"/>
          <w:color w:val="000000" w:themeColor="text1"/>
          <w:sz w:val="22"/>
          <w:szCs w:val="22"/>
          <w:lang w:val="en-GB"/>
        </w:rPr>
        <w:t xml:space="preserve"> this indication </w:t>
      </w:r>
      <w:r w:rsidR="00426673">
        <w:rPr>
          <w:rFonts w:asciiTheme="minorHAnsi" w:hAnsiTheme="minorHAnsi" w:cstheme="minorHAnsi"/>
          <w:color w:val="000000" w:themeColor="text1"/>
          <w:sz w:val="22"/>
          <w:szCs w:val="22"/>
          <w:lang w:val="en-GB"/>
        </w:rPr>
        <w:t xml:space="preserve">– resulting in challenges in </w:t>
      </w:r>
      <w:r w:rsidR="00696D09" w:rsidRPr="00EF5361">
        <w:rPr>
          <w:rFonts w:asciiTheme="minorHAnsi" w:hAnsiTheme="minorHAnsi" w:cstheme="minorHAnsi"/>
          <w:color w:val="000000" w:themeColor="text1"/>
          <w:sz w:val="22"/>
          <w:szCs w:val="22"/>
          <w:lang w:val="en-GB"/>
        </w:rPr>
        <w:t xml:space="preserve">clinical justification </w:t>
      </w:r>
      <w:r w:rsidR="00426673">
        <w:rPr>
          <w:rFonts w:asciiTheme="minorHAnsi" w:hAnsiTheme="minorHAnsi" w:cstheme="minorHAnsi"/>
          <w:color w:val="000000" w:themeColor="text1"/>
          <w:sz w:val="22"/>
          <w:szCs w:val="22"/>
          <w:lang w:val="en-GB"/>
        </w:rPr>
        <w:t>and trial recruitment,</w:t>
      </w:r>
      <w:r w:rsidR="00D11DC8">
        <w:rPr>
          <w:rFonts w:asciiTheme="minorHAnsi" w:hAnsiTheme="minorHAnsi" w:cstheme="minorHAnsi"/>
          <w:color w:val="000000" w:themeColor="text1"/>
          <w:sz w:val="22"/>
          <w:szCs w:val="22"/>
          <w:lang w:val="en-GB"/>
        </w:rPr>
        <w:t xml:space="preserve"> </w:t>
      </w:r>
      <w:r w:rsidR="00696D09" w:rsidRPr="00EF5361">
        <w:rPr>
          <w:rFonts w:asciiTheme="minorHAnsi" w:hAnsiTheme="minorHAnsi" w:cstheme="minorHAnsi"/>
          <w:color w:val="000000" w:themeColor="text1"/>
          <w:sz w:val="22"/>
          <w:szCs w:val="22"/>
          <w:lang w:val="en-GB"/>
        </w:rPr>
        <w:t>especially in the</w:t>
      </w:r>
      <w:r w:rsidR="00E95224">
        <w:rPr>
          <w:rFonts w:asciiTheme="minorHAnsi" w:hAnsiTheme="minorHAnsi" w:cstheme="minorHAnsi"/>
          <w:color w:val="000000" w:themeColor="text1"/>
          <w:sz w:val="22"/>
          <w:szCs w:val="22"/>
          <w:lang w:val="en-GB"/>
        </w:rPr>
        <w:t xml:space="preserve"> </w:t>
      </w:r>
      <w:r w:rsidR="00696D09" w:rsidRPr="00EF5361">
        <w:rPr>
          <w:rFonts w:asciiTheme="minorHAnsi" w:hAnsiTheme="minorHAnsi" w:cstheme="minorHAnsi"/>
          <w:color w:val="000000" w:themeColor="text1"/>
          <w:sz w:val="22"/>
          <w:szCs w:val="22"/>
          <w:lang w:val="en-GB"/>
        </w:rPr>
        <w:t>C</w:t>
      </w:r>
      <w:r w:rsidR="00696D09">
        <w:rPr>
          <w:rFonts w:asciiTheme="minorHAnsi" w:hAnsiTheme="minorHAnsi" w:cstheme="minorHAnsi"/>
          <w:color w:val="000000" w:themeColor="text1"/>
          <w:sz w:val="22"/>
          <w:szCs w:val="22"/>
          <w:lang w:val="en-GB"/>
        </w:rPr>
        <w:t>OVID</w:t>
      </w:r>
      <w:r w:rsidR="00696D09" w:rsidRPr="00EF5361">
        <w:rPr>
          <w:rFonts w:asciiTheme="minorHAnsi" w:hAnsiTheme="minorHAnsi" w:cstheme="minorHAnsi"/>
          <w:color w:val="000000" w:themeColor="text1"/>
          <w:sz w:val="22"/>
          <w:szCs w:val="22"/>
          <w:lang w:val="en-GB"/>
        </w:rPr>
        <w:t>-19</w:t>
      </w:r>
      <w:r w:rsidR="009D3A7E">
        <w:rPr>
          <w:rFonts w:asciiTheme="minorHAnsi" w:hAnsiTheme="minorHAnsi" w:cstheme="minorHAnsi"/>
          <w:color w:val="000000" w:themeColor="text1"/>
          <w:sz w:val="22"/>
          <w:szCs w:val="22"/>
          <w:lang w:val="en-GB"/>
        </w:rPr>
        <w:t xml:space="preserve"> era</w:t>
      </w:r>
      <w:r w:rsidR="00696D09" w:rsidRPr="00EF5361">
        <w:rPr>
          <w:rFonts w:asciiTheme="minorHAnsi" w:hAnsiTheme="minorHAnsi" w:cstheme="minorHAnsi"/>
          <w:color w:val="000000" w:themeColor="text1"/>
          <w:sz w:val="22"/>
          <w:szCs w:val="22"/>
          <w:lang w:val="en-GB"/>
        </w:rPr>
        <w:t>.</w:t>
      </w:r>
      <w:r w:rsidR="00696D09" w:rsidRPr="00EF5361">
        <w:rPr>
          <w:rFonts w:asciiTheme="minorHAnsi" w:hAnsiTheme="minorHAnsi" w:cstheme="minorHAnsi"/>
          <w:color w:val="000000" w:themeColor="text1"/>
          <w:sz w:val="22"/>
          <w:szCs w:val="22"/>
          <w:lang w:val="en-GB"/>
        </w:rPr>
        <w:fldChar w:fldCharType="begin" w:fldLock="1"/>
      </w:r>
      <w:r w:rsidR="00060798">
        <w:rPr>
          <w:rFonts w:asciiTheme="minorHAnsi" w:hAnsiTheme="minorHAnsi" w:cstheme="minorHAnsi"/>
          <w:color w:val="000000" w:themeColor="text1"/>
          <w:sz w:val="22"/>
          <w:szCs w:val="22"/>
          <w:lang w:val="en-GB"/>
        </w:rPr>
        <w:instrText>ADDIN CSL_CITATION {"citationItems":[{"id":"ITEM-1","itemData":{"DOI":"10.1097/INF.0000000000002070","ISSN":"1532-0987 (Electronic)","PMID":"29634622","abstract":"BACKGROUND: Outpatient parenteral antimicrobial therapy offers the option of  treating children requiring intravenous antibiotics for acute urinary tract infection (UTI)/pyelonephritis at home. We aimed to determine the outcomes of treating patients with UTI/pyelonephritis using outpatient parenteral antimicrobial therapy directly from the emergency department (ED) without admission to hospital. METHODS: This was a retrospective study (August 2012-July 2016) of children with UTI/pyelonephritis treated with parenteral antibiotics via a peripheral cannula directly from ED to home under a hospital-in-the home (HITH) program. Data collection included demographics, clinical features, length of stay, complications, and readmissions to hospital. RESULTS: There were 62 patient episodes of UTI/pyelonephritis transferred directly from ED to HITH. Fifty-eight (94%) had systemic features including fever, vomiting and/or tachycardia. Eighteen (29%) patients had an underlying condition. Nine (15%) received intravenous fluids and 8 (13%) antiemetics in ED. The outpatient parenteral antimicrobial therapy course was successfully completed in 56 (90%) patients. Of 6 (10%) patients who were readmitted, 2 were discharged within 24 hours, and none were severely unwell. Two (3%) had a blocked cannula, with no antibiotic complications. HITH patients were treated for a combined total of 142 days at home resulting in a cost saving of Australian dollar 108,914 (US dollar 82,775). However, only 8% of children deemed to require a course of intravenous antibiotics were transferred directly home from ED. Compared with patients concurrently admitted to hospital, fewer on HITH were less than 1 year of age (13% vs. 33%; odds ratio: 0.3; P &lt; 0.01). CONCLUSIONS: Selected patients presenting to ED with UTI/pyelonephritis may be treated directly via HITH, including some with underlying conditions and/or systemic features.","author":[{"dropping-particle":"","family":"Scanlan","given":"Barry T","non-dropping-particle":"","parse-names":false,"suffix":""},{"dropping-particle":"","family":"Ibrahim","given":"Laila F","non-dropping-particle":"","parse-names":false,"suffix":""},{"dropping-particle":"","family":"Hopper","given":"Sandy M","non-dropping-particle":"","parse-names":false,"suffix":""},{"dropping-particle":"","family":"Babl","given":"Franz E","non-dropping-particle":"","parse-names":false,"suffix":""},{"dropping-particle":"","family":"Davidson","given":"Andrew","non-dropping-particle":"","parse-names":false,"suffix":""},{"dropping-particle":"","family":"Bryant","given":"Penelope A","non-dropping-particle":"","parse-names":false,"suffix":""}],"container-title":"The Pediatric infectious disease journal","id":"ITEM-1","issue":"2","issued":{"date-parts":[["2019","2"]]},"language":"eng","page":"e20-e25","publisher-place":"United States","title":"Selected Children With Complicated Acute Urinary Tract Infection May Be Treated With  Outpatient Parenteral Antibiotic Therapy at Home Directly From the Emergency Department.","type":"article-journal","volume":"38"},"uris":["http://www.mendeley.com/documents/?uuid=83b6320f-c5d3-4707-979d-b7dd2fe7ad73"]}],"mendeley":{"formattedCitation":"&lt;sup&gt;6&lt;/sup&gt;","plainTextFormattedCitation":"6","previouslyFormattedCitation":"&lt;sup&gt;6&lt;/sup&gt;"},"properties":{"noteIndex":0},"schema":"https://github.com/citation-style-language/schema/raw/master/csl-citation.json"}</w:instrText>
      </w:r>
      <w:r w:rsidR="00696D09" w:rsidRPr="00EF5361">
        <w:rPr>
          <w:rFonts w:asciiTheme="minorHAnsi" w:hAnsiTheme="minorHAnsi" w:cstheme="minorHAnsi"/>
          <w:color w:val="000000" w:themeColor="text1"/>
          <w:sz w:val="22"/>
          <w:szCs w:val="22"/>
          <w:lang w:val="en-GB"/>
        </w:rPr>
        <w:fldChar w:fldCharType="separate"/>
      </w:r>
      <w:r w:rsidR="00060798" w:rsidRPr="00060798">
        <w:rPr>
          <w:rFonts w:asciiTheme="minorHAnsi" w:hAnsiTheme="minorHAnsi" w:cstheme="minorHAnsi"/>
          <w:noProof/>
          <w:color w:val="000000" w:themeColor="text1"/>
          <w:sz w:val="22"/>
          <w:szCs w:val="22"/>
          <w:vertAlign w:val="superscript"/>
          <w:lang w:val="en-GB"/>
        </w:rPr>
        <w:t>6</w:t>
      </w:r>
      <w:r w:rsidR="00696D09" w:rsidRPr="00EF5361">
        <w:rPr>
          <w:rFonts w:asciiTheme="minorHAnsi" w:hAnsiTheme="minorHAnsi" w:cstheme="minorHAnsi"/>
          <w:color w:val="000000" w:themeColor="text1"/>
          <w:sz w:val="22"/>
          <w:szCs w:val="22"/>
          <w:lang w:val="en-GB"/>
        </w:rPr>
        <w:fldChar w:fldCharType="end"/>
      </w:r>
      <w:r w:rsidR="00AB1695">
        <w:rPr>
          <w:rFonts w:asciiTheme="minorHAnsi" w:hAnsiTheme="minorHAnsi" w:cstheme="minorHAnsi"/>
          <w:color w:val="000000" w:themeColor="text1"/>
          <w:sz w:val="22"/>
          <w:szCs w:val="22"/>
          <w:lang w:val="en-GB"/>
        </w:rPr>
        <w:t xml:space="preserve"> </w:t>
      </w:r>
      <w:r w:rsidR="00696D09">
        <w:rPr>
          <w:rFonts w:asciiTheme="minorHAnsi" w:hAnsiTheme="minorHAnsi" w:cstheme="minorHAnsi"/>
          <w:color w:val="000000" w:themeColor="text1"/>
          <w:sz w:val="22"/>
          <w:szCs w:val="22"/>
          <w:lang w:val="en-GB"/>
        </w:rPr>
        <w:t>By contrast, the</w:t>
      </w:r>
      <w:r w:rsidR="00C1676A" w:rsidRPr="00EF5361">
        <w:rPr>
          <w:rFonts w:asciiTheme="minorHAnsi" w:hAnsiTheme="minorHAnsi" w:cstheme="minorHAnsi"/>
          <w:color w:val="000000" w:themeColor="text1"/>
          <w:sz w:val="22"/>
          <w:szCs w:val="22"/>
          <w:lang w:val="en-GB"/>
        </w:rPr>
        <w:t xml:space="preserve"> EMA has broadly accepted that both efficacy </w:t>
      </w:r>
      <w:r w:rsidR="00C1676A" w:rsidRPr="00EF5361">
        <w:rPr>
          <w:rFonts w:asciiTheme="minorHAnsi" w:hAnsiTheme="minorHAnsi" w:cstheme="minorHAnsi"/>
          <w:i/>
          <w:color w:val="000000" w:themeColor="text1"/>
          <w:sz w:val="22"/>
          <w:szCs w:val="22"/>
          <w:lang w:val="en-GB"/>
        </w:rPr>
        <w:t>and safety</w:t>
      </w:r>
      <w:r w:rsidR="00C1676A" w:rsidRPr="00EF5361">
        <w:rPr>
          <w:rFonts w:asciiTheme="minorHAnsi" w:hAnsiTheme="minorHAnsi" w:cstheme="minorHAnsi"/>
          <w:color w:val="000000" w:themeColor="text1"/>
          <w:sz w:val="22"/>
          <w:szCs w:val="22"/>
          <w:lang w:val="en-GB"/>
        </w:rPr>
        <w:t xml:space="preserve"> can be bridged from adult studies for well</w:t>
      </w:r>
      <w:r w:rsidR="009509E5" w:rsidRPr="00EF5361">
        <w:rPr>
          <w:rFonts w:asciiTheme="minorHAnsi" w:hAnsiTheme="minorHAnsi" w:cstheme="minorHAnsi"/>
          <w:color w:val="000000" w:themeColor="text1"/>
          <w:sz w:val="22"/>
          <w:szCs w:val="22"/>
          <w:lang w:val="en-GB"/>
        </w:rPr>
        <w:t>-</w:t>
      </w:r>
      <w:r w:rsidR="00C1676A" w:rsidRPr="00EF5361">
        <w:rPr>
          <w:rFonts w:asciiTheme="minorHAnsi" w:hAnsiTheme="minorHAnsi" w:cstheme="minorHAnsi"/>
          <w:color w:val="000000" w:themeColor="text1"/>
          <w:sz w:val="22"/>
          <w:szCs w:val="22"/>
          <w:lang w:val="en-GB"/>
        </w:rPr>
        <w:t>established classes of</w:t>
      </w:r>
      <w:r w:rsidR="00B169DF" w:rsidRPr="00EF5361">
        <w:rPr>
          <w:rFonts w:asciiTheme="minorHAnsi" w:hAnsiTheme="minorHAnsi" w:cstheme="minorHAnsi"/>
          <w:color w:val="000000" w:themeColor="text1"/>
          <w:sz w:val="22"/>
          <w:szCs w:val="22"/>
          <w:lang w:val="en-GB"/>
        </w:rPr>
        <w:t xml:space="preserve"> antibiotics</w:t>
      </w:r>
      <w:r w:rsidR="00AB1695">
        <w:rPr>
          <w:rFonts w:asciiTheme="minorHAnsi" w:hAnsiTheme="minorHAnsi" w:cstheme="minorHAnsi"/>
          <w:color w:val="000000" w:themeColor="text1"/>
          <w:sz w:val="22"/>
          <w:szCs w:val="22"/>
          <w:lang w:val="en-GB"/>
        </w:rPr>
        <w:t xml:space="preserve"> and </w:t>
      </w:r>
      <w:r w:rsidR="00EF5361">
        <w:rPr>
          <w:rFonts w:asciiTheme="minorHAnsi" w:hAnsiTheme="minorHAnsi" w:cstheme="minorHAnsi"/>
          <w:color w:val="000000" w:themeColor="text1"/>
          <w:sz w:val="22"/>
          <w:szCs w:val="22"/>
          <w:lang w:val="en-GB"/>
        </w:rPr>
        <w:t xml:space="preserve">children </w:t>
      </w:r>
      <w:r w:rsidR="00AB1695">
        <w:rPr>
          <w:rFonts w:asciiTheme="minorHAnsi" w:hAnsiTheme="minorHAnsi" w:cstheme="minorHAnsi"/>
          <w:color w:val="000000" w:themeColor="text1"/>
          <w:sz w:val="22"/>
          <w:szCs w:val="22"/>
          <w:lang w:val="en-GB"/>
        </w:rPr>
        <w:t xml:space="preserve">can be recruited </w:t>
      </w:r>
      <w:r w:rsidR="00EF5361">
        <w:rPr>
          <w:rFonts w:asciiTheme="minorHAnsi" w:hAnsiTheme="minorHAnsi" w:cstheme="minorHAnsi"/>
          <w:color w:val="000000" w:themeColor="text1"/>
          <w:sz w:val="22"/>
          <w:szCs w:val="22"/>
          <w:lang w:val="en-GB"/>
        </w:rPr>
        <w:t>into PK studies with</w:t>
      </w:r>
      <w:r w:rsidR="00AB1695">
        <w:rPr>
          <w:rFonts w:asciiTheme="minorHAnsi" w:hAnsiTheme="minorHAnsi" w:cstheme="minorHAnsi"/>
          <w:color w:val="000000" w:themeColor="text1"/>
          <w:sz w:val="22"/>
          <w:szCs w:val="22"/>
          <w:lang w:val="en-GB"/>
        </w:rPr>
        <w:t xml:space="preserve"> any r</w:t>
      </w:r>
      <w:r w:rsidR="00EF5361">
        <w:rPr>
          <w:rFonts w:asciiTheme="minorHAnsi" w:hAnsiTheme="minorHAnsi" w:cstheme="minorHAnsi"/>
          <w:color w:val="000000" w:themeColor="text1"/>
          <w:sz w:val="22"/>
          <w:szCs w:val="22"/>
          <w:lang w:val="en-GB"/>
        </w:rPr>
        <w:t>elevant clinical infection</w:t>
      </w:r>
      <w:r w:rsidR="00C1676A" w:rsidRPr="00EF5361">
        <w:rPr>
          <w:rFonts w:asciiTheme="minorHAnsi" w:hAnsiTheme="minorHAnsi" w:cstheme="minorHAnsi"/>
          <w:color w:val="000000" w:themeColor="text1"/>
          <w:sz w:val="22"/>
          <w:szCs w:val="22"/>
          <w:lang w:val="en-GB"/>
        </w:rPr>
        <w:t>.</w:t>
      </w:r>
      <w:r w:rsidR="00B034E3" w:rsidRPr="00EF5361">
        <w:rPr>
          <w:rFonts w:asciiTheme="minorHAnsi" w:hAnsiTheme="minorHAnsi" w:cstheme="minorHAnsi"/>
          <w:color w:val="000000" w:themeColor="text1"/>
          <w:sz w:val="22"/>
          <w:szCs w:val="22"/>
          <w:lang w:val="en-GB"/>
        </w:rPr>
        <w:t xml:space="preserve"> </w:t>
      </w:r>
    </w:p>
    <w:p w14:paraId="1DB65C0E" w14:textId="34F9B471" w:rsidR="00833E61" w:rsidRPr="00EF5361" w:rsidRDefault="0060356D" w:rsidP="004D3AA1">
      <w:pPr>
        <w:jc w:val="both"/>
        <w:rPr>
          <w:rFonts w:asciiTheme="minorHAnsi" w:hAnsiTheme="minorHAnsi" w:cstheme="minorHAnsi"/>
          <w:color w:val="000000" w:themeColor="text1"/>
          <w:sz w:val="22"/>
          <w:szCs w:val="22"/>
          <w:lang w:val="en-GB"/>
        </w:rPr>
      </w:pPr>
      <w:r w:rsidRPr="00EF5361">
        <w:rPr>
          <w:rFonts w:asciiTheme="minorHAnsi" w:hAnsiTheme="minorHAnsi" w:cstheme="minorHAnsi"/>
          <w:color w:val="000000" w:themeColor="text1"/>
          <w:sz w:val="22"/>
          <w:szCs w:val="22"/>
          <w:lang w:val="en-GB"/>
        </w:rPr>
        <w:t xml:space="preserve"> </w:t>
      </w:r>
      <w:r w:rsidR="00C1676A" w:rsidRPr="00EF5361">
        <w:rPr>
          <w:rFonts w:asciiTheme="minorHAnsi" w:hAnsiTheme="minorHAnsi" w:cstheme="minorHAnsi"/>
          <w:color w:val="000000" w:themeColor="text1"/>
          <w:sz w:val="22"/>
          <w:szCs w:val="22"/>
          <w:lang w:val="en-GB"/>
        </w:rPr>
        <w:t xml:space="preserve"> </w:t>
      </w:r>
    </w:p>
    <w:p w14:paraId="0574A0F4" w14:textId="33DD1CA5" w:rsidR="000A08A2" w:rsidRDefault="000937F5" w:rsidP="004D3AA1">
      <w:pPr>
        <w:jc w:val="both"/>
        <w:rPr>
          <w:rFonts w:asciiTheme="minorHAnsi" w:hAnsiTheme="minorHAnsi" w:cstheme="minorHAnsi"/>
          <w:color w:val="000000" w:themeColor="text1"/>
          <w:sz w:val="22"/>
          <w:szCs w:val="22"/>
          <w:lang w:val="en-GB"/>
        </w:rPr>
      </w:pPr>
      <w:r w:rsidRPr="00EF5361">
        <w:rPr>
          <w:rFonts w:asciiTheme="minorHAnsi" w:hAnsiTheme="minorHAnsi" w:cstheme="minorHAnsi"/>
          <w:color w:val="000000" w:themeColor="text1"/>
          <w:sz w:val="22"/>
          <w:szCs w:val="22"/>
          <w:lang w:val="en-GB"/>
        </w:rPr>
        <w:t>T</w:t>
      </w:r>
      <w:r w:rsidR="00833E61" w:rsidRPr="00EF5361">
        <w:rPr>
          <w:rFonts w:asciiTheme="minorHAnsi" w:hAnsiTheme="minorHAnsi" w:cstheme="minorHAnsi"/>
          <w:color w:val="000000" w:themeColor="text1"/>
          <w:sz w:val="22"/>
          <w:szCs w:val="22"/>
          <w:lang w:val="en-GB"/>
        </w:rPr>
        <w:t xml:space="preserve">here </w:t>
      </w:r>
      <w:r w:rsidR="009F1BB9" w:rsidRPr="00EF5361">
        <w:rPr>
          <w:rFonts w:asciiTheme="minorHAnsi" w:hAnsiTheme="minorHAnsi" w:cstheme="minorHAnsi"/>
          <w:color w:val="000000" w:themeColor="text1"/>
          <w:sz w:val="22"/>
          <w:szCs w:val="22"/>
          <w:lang w:val="en-GB"/>
        </w:rPr>
        <w:t xml:space="preserve">has been a considerable change in the requirements </w:t>
      </w:r>
      <w:r w:rsidR="009D3A7E">
        <w:rPr>
          <w:rFonts w:asciiTheme="minorHAnsi" w:hAnsiTheme="minorHAnsi" w:cstheme="minorHAnsi"/>
          <w:color w:val="000000" w:themeColor="text1"/>
          <w:sz w:val="22"/>
          <w:szCs w:val="22"/>
          <w:lang w:val="en-GB"/>
        </w:rPr>
        <w:t>by</w:t>
      </w:r>
      <w:r w:rsidR="009F1BB9" w:rsidRPr="00EF5361">
        <w:rPr>
          <w:rFonts w:asciiTheme="minorHAnsi" w:hAnsiTheme="minorHAnsi" w:cstheme="minorHAnsi"/>
          <w:color w:val="000000" w:themeColor="text1"/>
          <w:sz w:val="22"/>
          <w:szCs w:val="22"/>
          <w:lang w:val="en-GB"/>
        </w:rPr>
        <w:t xml:space="preserve"> regulators </w:t>
      </w:r>
      <w:r w:rsidR="009D3A7E">
        <w:rPr>
          <w:rFonts w:asciiTheme="minorHAnsi" w:hAnsiTheme="minorHAnsi" w:cstheme="minorHAnsi"/>
          <w:color w:val="000000" w:themeColor="text1"/>
          <w:sz w:val="22"/>
          <w:szCs w:val="22"/>
          <w:lang w:val="en-GB"/>
        </w:rPr>
        <w:t>for</w:t>
      </w:r>
      <w:r w:rsidR="009F1BB9" w:rsidRPr="00EF5361">
        <w:rPr>
          <w:rFonts w:asciiTheme="minorHAnsi" w:hAnsiTheme="minorHAnsi" w:cstheme="minorHAnsi"/>
          <w:color w:val="000000" w:themeColor="text1"/>
          <w:sz w:val="22"/>
          <w:szCs w:val="22"/>
          <w:lang w:val="en-GB"/>
        </w:rPr>
        <w:t xml:space="preserve"> p</w:t>
      </w:r>
      <w:r w:rsidR="0065337E" w:rsidRPr="00EF5361">
        <w:rPr>
          <w:rFonts w:asciiTheme="minorHAnsi" w:hAnsiTheme="minorHAnsi" w:cstheme="minorHAnsi"/>
          <w:color w:val="000000" w:themeColor="text1"/>
          <w:sz w:val="22"/>
          <w:szCs w:val="22"/>
          <w:lang w:val="en-GB"/>
        </w:rPr>
        <w:t>a</w:t>
      </w:r>
      <w:r w:rsidR="009F1BB9" w:rsidRPr="00EF5361">
        <w:rPr>
          <w:rFonts w:asciiTheme="minorHAnsi" w:hAnsiTheme="minorHAnsi" w:cstheme="minorHAnsi"/>
          <w:color w:val="000000" w:themeColor="text1"/>
          <w:sz w:val="22"/>
          <w:szCs w:val="22"/>
          <w:lang w:val="en-GB"/>
        </w:rPr>
        <w:t>ediatric antibiotic studies</w:t>
      </w:r>
      <w:r w:rsidR="0065337E" w:rsidRPr="00EF5361">
        <w:rPr>
          <w:rFonts w:asciiTheme="minorHAnsi" w:hAnsiTheme="minorHAnsi" w:cstheme="minorHAnsi"/>
          <w:color w:val="000000" w:themeColor="text1"/>
          <w:sz w:val="22"/>
          <w:szCs w:val="22"/>
          <w:lang w:val="en-GB"/>
        </w:rPr>
        <w:t>,</w:t>
      </w:r>
      <w:r w:rsidR="009F1BB9" w:rsidRPr="00EF5361">
        <w:rPr>
          <w:rFonts w:asciiTheme="minorHAnsi" w:hAnsiTheme="minorHAnsi" w:cstheme="minorHAnsi"/>
          <w:color w:val="000000" w:themeColor="text1"/>
          <w:sz w:val="22"/>
          <w:szCs w:val="22"/>
          <w:lang w:val="en-GB"/>
        </w:rPr>
        <w:t xml:space="preserve"> </w:t>
      </w:r>
      <w:r w:rsidR="00653CA2">
        <w:rPr>
          <w:rFonts w:asciiTheme="minorHAnsi" w:hAnsiTheme="minorHAnsi" w:cstheme="minorHAnsi"/>
          <w:color w:val="000000" w:themeColor="text1"/>
          <w:sz w:val="22"/>
          <w:szCs w:val="22"/>
          <w:lang w:val="en-GB"/>
        </w:rPr>
        <w:t>responding</w:t>
      </w:r>
      <w:r w:rsidR="009F1BB9" w:rsidRPr="00EF5361">
        <w:rPr>
          <w:rFonts w:asciiTheme="minorHAnsi" w:hAnsiTheme="minorHAnsi" w:cstheme="minorHAnsi"/>
          <w:color w:val="000000" w:themeColor="text1"/>
          <w:sz w:val="22"/>
          <w:szCs w:val="22"/>
          <w:lang w:val="en-GB"/>
        </w:rPr>
        <w:t xml:space="preserve"> </w:t>
      </w:r>
      <w:r w:rsidR="00405A9D" w:rsidRPr="00EF5361">
        <w:rPr>
          <w:rFonts w:asciiTheme="minorHAnsi" w:hAnsiTheme="minorHAnsi" w:cstheme="minorHAnsi"/>
          <w:color w:val="000000" w:themeColor="text1"/>
          <w:sz w:val="22"/>
          <w:szCs w:val="22"/>
          <w:lang w:val="en-GB"/>
        </w:rPr>
        <w:t xml:space="preserve">appropriately and rapidly </w:t>
      </w:r>
      <w:r w:rsidR="009F1BB9" w:rsidRPr="00EF5361">
        <w:rPr>
          <w:rFonts w:asciiTheme="minorHAnsi" w:hAnsiTheme="minorHAnsi" w:cstheme="minorHAnsi"/>
          <w:color w:val="000000" w:themeColor="text1"/>
          <w:sz w:val="22"/>
          <w:szCs w:val="22"/>
          <w:lang w:val="en-GB"/>
        </w:rPr>
        <w:t xml:space="preserve">to the continued </w:t>
      </w:r>
      <w:r w:rsidR="00D11DC8">
        <w:rPr>
          <w:rFonts w:asciiTheme="minorHAnsi" w:hAnsiTheme="minorHAnsi" w:cstheme="minorHAnsi"/>
          <w:color w:val="000000" w:themeColor="text1"/>
          <w:sz w:val="22"/>
          <w:szCs w:val="22"/>
          <w:lang w:val="en-GB"/>
        </w:rPr>
        <w:t>challenges</w:t>
      </w:r>
      <w:r w:rsidR="009F1BB9" w:rsidRPr="00EF5361">
        <w:rPr>
          <w:rFonts w:asciiTheme="minorHAnsi" w:hAnsiTheme="minorHAnsi" w:cstheme="minorHAnsi"/>
          <w:color w:val="000000" w:themeColor="text1"/>
          <w:sz w:val="22"/>
          <w:szCs w:val="22"/>
          <w:lang w:val="en-GB"/>
        </w:rPr>
        <w:t xml:space="preserve"> in</w:t>
      </w:r>
      <w:r w:rsidR="00D11DC8">
        <w:rPr>
          <w:rFonts w:asciiTheme="minorHAnsi" w:hAnsiTheme="minorHAnsi" w:cstheme="minorHAnsi"/>
          <w:color w:val="000000" w:themeColor="text1"/>
          <w:sz w:val="22"/>
          <w:szCs w:val="22"/>
          <w:lang w:val="en-GB"/>
        </w:rPr>
        <w:t>volved in</w:t>
      </w:r>
      <w:r w:rsidR="009F1BB9" w:rsidRPr="00EF5361">
        <w:rPr>
          <w:rFonts w:asciiTheme="minorHAnsi" w:hAnsiTheme="minorHAnsi" w:cstheme="minorHAnsi"/>
          <w:color w:val="000000" w:themeColor="text1"/>
          <w:sz w:val="22"/>
          <w:szCs w:val="22"/>
          <w:lang w:val="en-GB"/>
        </w:rPr>
        <w:t xml:space="preserve"> drug development. Previously, the FDA require</w:t>
      </w:r>
      <w:r w:rsidR="00833E61" w:rsidRPr="00EF5361">
        <w:rPr>
          <w:rFonts w:asciiTheme="minorHAnsi" w:hAnsiTheme="minorHAnsi" w:cstheme="minorHAnsi"/>
          <w:color w:val="000000" w:themeColor="text1"/>
          <w:sz w:val="22"/>
          <w:szCs w:val="22"/>
          <w:lang w:val="en-GB"/>
        </w:rPr>
        <w:t>d</w:t>
      </w:r>
      <w:r w:rsidR="009F1BB9" w:rsidRPr="00EF5361">
        <w:rPr>
          <w:rFonts w:asciiTheme="minorHAnsi" w:hAnsiTheme="minorHAnsi" w:cstheme="minorHAnsi"/>
          <w:color w:val="000000" w:themeColor="text1"/>
          <w:sz w:val="22"/>
          <w:szCs w:val="22"/>
          <w:lang w:val="en-GB"/>
        </w:rPr>
        <w:t xml:space="preserve"> sample sizes of 1</w:t>
      </w:r>
      <w:r w:rsidR="0065337E" w:rsidRPr="00EF5361">
        <w:rPr>
          <w:rFonts w:asciiTheme="minorHAnsi" w:hAnsiTheme="minorHAnsi" w:cstheme="minorHAnsi"/>
          <w:color w:val="000000" w:themeColor="text1"/>
          <w:sz w:val="22"/>
          <w:szCs w:val="22"/>
          <w:lang w:val="en-GB"/>
        </w:rPr>
        <w:t>00</w:t>
      </w:r>
      <w:r w:rsidR="009F1BB9" w:rsidRPr="00EF5361">
        <w:rPr>
          <w:rFonts w:asciiTheme="minorHAnsi" w:hAnsiTheme="minorHAnsi" w:cstheme="minorHAnsi"/>
          <w:color w:val="000000" w:themeColor="text1"/>
          <w:sz w:val="22"/>
          <w:szCs w:val="22"/>
          <w:lang w:val="en-GB"/>
        </w:rPr>
        <w:t xml:space="preserve">-200 children randomised 1:1 between the active drug and a </w:t>
      </w:r>
      <w:r w:rsidR="00833E61" w:rsidRPr="00EF5361">
        <w:rPr>
          <w:rFonts w:asciiTheme="minorHAnsi" w:hAnsiTheme="minorHAnsi" w:cstheme="minorHAnsi"/>
          <w:color w:val="000000" w:themeColor="text1"/>
          <w:sz w:val="22"/>
          <w:szCs w:val="22"/>
          <w:lang w:val="en-GB"/>
        </w:rPr>
        <w:t xml:space="preserve">SOC </w:t>
      </w:r>
      <w:r w:rsidR="009F1BB9" w:rsidRPr="00EF5361">
        <w:rPr>
          <w:rFonts w:asciiTheme="minorHAnsi" w:hAnsiTheme="minorHAnsi" w:cstheme="minorHAnsi"/>
          <w:color w:val="000000" w:themeColor="text1"/>
          <w:sz w:val="22"/>
          <w:szCs w:val="22"/>
          <w:lang w:val="en-GB"/>
        </w:rPr>
        <w:t xml:space="preserve">comparator arm. </w:t>
      </w:r>
      <w:r w:rsidR="00653CA2">
        <w:rPr>
          <w:rFonts w:asciiTheme="minorHAnsi" w:hAnsiTheme="minorHAnsi" w:cstheme="minorHAnsi"/>
          <w:color w:val="000000" w:themeColor="text1"/>
          <w:sz w:val="22"/>
          <w:szCs w:val="22"/>
          <w:lang w:val="en-GB"/>
        </w:rPr>
        <w:t>However, t</w:t>
      </w:r>
      <w:r w:rsidR="0065337E" w:rsidRPr="00EF5361">
        <w:rPr>
          <w:rFonts w:asciiTheme="minorHAnsi" w:hAnsiTheme="minorHAnsi" w:cstheme="minorHAnsi"/>
          <w:color w:val="000000" w:themeColor="text1"/>
          <w:sz w:val="22"/>
          <w:szCs w:val="22"/>
          <w:lang w:val="en-GB"/>
        </w:rPr>
        <w:t xml:space="preserve">hese </w:t>
      </w:r>
      <w:r w:rsidR="009F1BB9" w:rsidRPr="00EF5361">
        <w:rPr>
          <w:rFonts w:asciiTheme="minorHAnsi" w:hAnsiTheme="minorHAnsi" w:cstheme="minorHAnsi"/>
          <w:color w:val="000000" w:themeColor="text1"/>
          <w:sz w:val="22"/>
          <w:szCs w:val="22"/>
          <w:lang w:val="en-GB"/>
        </w:rPr>
        <w:t>numbers have steadily reduced</w:t>
      </w:r>
      <w:r w:rsidR="009D3A7E">
        <w:rPr>
          <w:rFonts w:asciiTheme="minorHAnsi" w:hAnsiTheme="minorHAnsi" w:cstheme="minorHAnsi"/>
          <w:color w:val="000000" w:themeColor="text1"/>
          <w:sz w:val="22"/>
          <w:szCs w:val="22"/>
          <w:lang w:val="en-GB"/>
        </w:rPr>
        <w:t>,</w:t>
      </w:r>
      <w:r w:rsidR="00F776BF" w:rsidRPr="00EF5361">
        <w:rPr>
          <w:rFonts w:asciiTheme="minorHAnsi" w:hAnsiTheme="minorHAnsi" w:cstheme="minorHAnsi"/>
          <w:color w:val="000000" w:themeColor="text1"/>
          <w:sz w:val="22"/>
          <w:szCs w:val="22"/>
          <w:lang w:val="en-GB"/>
        </w:rPr>
        <w:t xml:space="preserve"> </w:t>
      </w:r>
      <w:r w:rsidR="00B169DF" w:rsidRPr="00EF5361">
        <w:rPr>
          <w:rFonts w:asciiTheme="minorHAnsi" w:hAnsiTheme="minorHAnsi" w:cstheme="minorHAnsi"/>
          <w:color w:val="000000" w:themeColor="text1"/>
          <w:sz w:val="22"/>
          <w:szCs w:val="22"/>
          <w:lang w:val="en-GB"/>
        </w:rPr>
        <w:t xml:space="preserve">and recently </w:t>
      </w:r>
      <w:r w:rsidR="00C1676A" w:rsidRPr="00EF5361">
        <w:rPr>
          <w:rFonts w:asciiTheme="minorHAnsi" w:hAnsiTheme="minorHAnsi" w:cstheme="minorHAnsi"/>
          <w:color w:val="000000" w:themeColor="text1"/>
          <w:sz w:val="22"/>
          <w:szCs w:val="22"/>
          <w:lang w:val="en-GB"/>
        </w:rPr>
        <w:t xml:space="preserve">approved study designs now have 4:1 randomisation of active drug </w:t>
      </w:r>
      <w:r w:rsidR="004D3AA1" w:rsidRPr="00EF5361">
        <w:rPr>
          <w:rFonts w:asciiTheme="minorHAnsi" w:hAnsiTheme="minorHAnsi" w:cstheme="minorHAnsi"/>
          <w:color w:val="000000" w:themeColor="text1"/>
          <w:sz w:val="22"/>
          <w:szCs w:val="22"/>
          <w:lang w:val="en-GB"/>
        </w:rPr>
        <w:t>to</w:t>
      </w:r>
      <w:r w:rsidR="00C1676A" w:rsidRPr="00EF5361">
        <w:rPr>
          <w:rFonts w:asciiTheme="minorHAnsi" w:hAnsiTheme="minorHAnsi" w:cstheme="minorHAnsi"/>
          <w:color w:val="000000" w:themeColor="text1"/>
          <w:sz w:val="22"/>
          <w:szCs w:val="22"/>
          <w:lang w:val="en-GB"/>
        </w:rPr>
        <w:t xml:space="preserve"> </w:t>
      </w:r>
      <w:r w:rsidR="00833E61" w:rsidRPr="00EF5361">
        <w:rPr>
          <w:rFonts w:asciiTheme="minorHAnsi" w:hAnsiTheme="minorHAnsi" w:cstheme="minorHAnsi"/>
          <w:color w:val="000000" w:themeColor="text1"/>
          <w:sz w:val="22"/>
          <w:szCs w:val="22"/>
          <w:lang w:val="en-GB"/>
        </w:rPr>
        <w:t>SOC</w:t>
      </w:r>
      <w:r w:rsidR="00C1676A" w:rsidRPr="00EF5361">
        <w:rPr>
          <w:rFonts w:asciiTheme="minorHAnsi" w:hAnsiTheme="minorHAnsi" w:cstheme="minorHAnsi"/>
          <w:color w:val="000000" w:themeColor="text1"/>
          <w:sz w:val="22"/>
          <w:szCs w:val="22"/>
          <w:lang w:val="en-GB"/>
        </w:rPr>
        <w:t xml:space="preserve"> arm</w:t>
      </w:r>
      <w:r w:rsidR="00AC57AD" w:rsidRPr="00EF5361">
        <w:rPr>
          <w:rFonts w:asciiTheme="minorHAnsi" w:hAnsiTheme="minorHAnsi" w:cstheme="minorHAnsi"/>
          <w:color w:val="000000" w:themeColor="text1"/>
          <w:sz w:val="22"/>
          <w:szCs w:val="22"/>
          <w:lang w:val="en-GB"/>
        </w:rPr>
        <w:t>s</w:t>
      </w:r>
      <w:r w:rsidR="0065337E" w:rsidRPr="00EF5361">
        <w:rPr>
          <w:rFonts w:asciiTheme="minorHAnsi" w:hAnsiTheme="minorHAnsi" w:cstheme="minorHAnsi"/>
          <w:color w:val="000000" w:themeColor="text1"/>
          <w:sz w:val="22"/>
          <w:szCs w:val="22"/>
          <w:lang w:val="en-GB"/>
        </w:rPr>
        <w:t xml:space="preserve">, </w:t>
      </w:r>
      <w:r w:rsidR="00C1676A" w:rsidRPr="00EF5361">
        <w:rPr>
          <w:rFonts w:asciiTheme="minorHAnsi" w:hAnsiTheme="minorHAnsi" w:cstheme="minorHAnsi"/>
          <w:color w:val="000000" w:themeColor="text1"/>
          <w:sz w:val="22"/>
          <w:szCs w:val="22"/>
          <w:lang w:val="en-GB"/>
        </w:rPr>
        <w:t xml:space="preserve">with a total recruitment target of </w:t>
      </w:r>
      <w:r w:rsidR="009F1BB9" w:rsidRPr="00EF5361">
        <w:rPr>
          <w:rFonts w:asciiTheme="minorHAnsi" w:hAnsiTheme="minorHAnsi" w:cstheme="minorHAnsi"/>
          <w:color w:val="000000" w:themeColor="text1"/>
          <w:sz w:val="22"/>
          <w:szCs w:val="22"/>
          <w:lang w:val="en-GB"/>
        </w:rPr>
        <w:t>50-60</w:t>
      </w:r>
      <w:r w:rsidR="00C1676A" w:rsidRPr="00EF5361">
        <w:rPr>
          <w:rFonts w:asciiTheme="minorHAnsi" w:hAnsiTheme="minorHAnsi" w:cstheme="minorHAnsi"/>
          <w:color w:val="000000" w:themeColor="text1"/>
          <w:sz w:val="22"/>
          <w:szCs w:val="22"/>
          <w:lang w:val="en-GB"/>
        </w:rPr>
        <w:t xml:space="preserve"> children</w:t>
      </w:r>
      <w:r w:rsidR="00F776BF" w:rsidRPr="00EF5361">
        <w:rPr>
          <w:rFonts w:asciiTheme="minorHAnsi" w:hAnsiTheme="minorHAnsi" w:cstheme="minorHAnsi"/>
          <w:color w:val="000000" w:themeColor="text1"/>
          <w:sz w:val="22"/>
          <w:szCs w:val="22"/>
          <w:lang w:val="en-GB"/>
        </w:rPr>
        <w:t xml:space="preserve"> in the multi</w:t>
      </w:r>
      <w:r w:rsidR="00653CA2">
        <w:rPr>
          <w:rFonts w:asciiTheme="minorHAnsi" w:hAnsiTheme="minorHAnsi" w:cstheme="minorHAnsi"/>
          <w:color w:val="000000" w:themeColor="text1"/>
          <w:sz w:val="22"/>
          <w:szCs w:val="22"/>
          <w:lang w:val="en-GB"/>
        </w:rPr>
        <w:t>-</w:t>
      </w:r>
      <w:r w:rsidR="00F776BF" w:rsidRPr="00EF5361">
        <w:rPr>
          <w:rFonts w:asciiTheme="minorHAnsi" w:hAnsiTheme="minorHAnsi" w:cstheme="minorHAnsi"/>
          <w:color w:val="000000" w:themeColor="text1"/>
          <w:sz w:val="22"/>
          <w:szCs w:val="22"/>
          <w:lang w:val="en-GB"/>
        </w:rPr>
        <w:t>dose component of the program</w:t>
      </w:r>
      <w:r w:rsidR="00653CA2">
        <w:rPr>
          <w:rFonts w:asciiTheme="minorHAnsi" w:hAnsiTheme="minorHAnsi" w:cstheme="minorHAnsi"/>
          <w:color w:val="000000" w:themeColor="text1"/>
          <w:sz w:val="22"/>
          <w:szCs w:val="22"/>
          <w:lang w:val="en-GB"/>
        </w:rPr>
        <w:t>me</w:t>
      </w:r>
      <w:r w:rsidR="00B169DF" w:rsidRPr="00EF5361">
        <w:rPr>
          <w:rFonts w:asciiTheme="minorHAnsi" w:hAnsiTheme="minorHAnsi" w:cstheme="minorHAnsi"/>
          <w:color w:val="000000" w:themeColor="text1"/>
          <w:sz w:val="22"/>
          <w:szCs w:val="22"/>
          <w:lang w:val="en-GB"/>
        </w:rPr>
        <w:t xml:space="preserve">. </w:t>
      </w:r>
      <w:r w:rsidR="009D3A7E">
        <w:rPr>
          <w:rFonts w:asciiTheme="minorHAnsi" w:hAnsiTheme="minorHAnsi" w:cstheme="minorHAnsi"/>
          <w:color w:val="000000" w:themeColor="text1"/>
          <w:sz w:val="22"/>
          <w:szCs w:val="22"/>
          <w:lang w:val="en-GB"/>
        </w:rPr>
        <w:t>D</w:t>
      </w:r>
      <w:r w:rsidR="00243B5A">
        <w:rPr>
          <w:rFonts w:asciiTheme="minorHAnsi" w:hAnsiTheme="minorHAnsi" w:cstheme="minorHAnsi"/>
          <w:color w:val="000000" w:themeColor="text1"/>
          <w:sz w:val="22"/>
          <w:szCs w:val="22"/>
          <w:lang w:val="en-GB"/>
        </w:rPr>
        <w:t>ifferent</w:t>
      </w:r>
      <w:r w:rsidR="00F776BF" w:rsidRPr="00EF5361">
        <w:rPr>
          <w:rFonts w:asciiTheme="minorHAnsi" w:hAnsiTheme="minorHAnsi" w:cstheme="minorHAnsi"/>
          <w:color w:val="000000" w:themeColor="text1"/>
          <w:sz w:val="22"/>
          <w:szCs w:val="22"/>
          <w:lang w:val="en-GB"/>
        </w:rPr>
        <w:t xml:space="preserve"> SOCs </w:t>
      </w:r>
      <w:r w:rsidR="00B169DF" w:rsidRPr="00EF5361">
        <w:rPr>
          <w:rFonts w:asciiTheme="minorHAnsi" w:hAnsiTheme="minorHAnsi" w:cstheme="minorHAnsi"/>
          <w:color w:val="000000" w:themeColor="text1"/>
          <w:sz w:val="22"/>
          <w:szCs w:val="22"/>
          <w:lang w:val="en-GB"/>
        </w:rPr>
        <w:t xml:space="preserve">are </w:t>
      </w:r>
      <w:r w:rsidR="00F776BF" w:rsidRPr="00EF5361">
        <w:rPr>
          <w:rFonts w:asciiTheme="minorHAnsi" w:hAnsiTheme="minorHAnsi" w:cstheme="minorHAnsi"/>
          <w:color w:val="000000" w:themeColor="text1"/>
          <w:sz w:val="22"/>
          <w:szCs w:val="22"/>
          <w:lang w:val="en-GB"/>
        </w:rPr>
        <w:t>accepted between centres</w:t>
      </w:r>
      <w:r w:rsidR="00B169DF" w:rsidRPr="00EF5361">
        <w:rPr>
          <w:rFonts w:asciiTheme="minorHAnsi" w:hAnsiTheme="minorHAnsi" w:cstheme="minorHAnsi"/>
          <w:color w:val="000000" w:themeColor="text1"/>
          <w:sz w:val="22"/>
          <w:szCs w:val="22"/>
          <w:lang w:val="en-GB"/>
        </w:rPr>
        <w:t xml:space="preserve">, </w:t>
      </w:r>
      <w:r w:rsidR="00653CA2">
        <w:rPr>
          <w:rFonts w:asciiTheme="minorHAnsi" w:hAnsiTheme="minorHAnsi" w:cstheme="minorHAnsi"/>
          <w:color w:val="000000" w:themeColor="text1"/>
          <w:sz w:val="22"/>
          <w:szCs w:val="22"/>
          <w:lang w:val="en-GB"/>
        </w:rPr>
        <w:t xml:space="preserve">resulting </w:t>
      </w:r>
      <w:r w:rsidR="00AB1695">
        <w:rPr>
          <w:rFonts w:asciiTheme="minorHAnsi" w:hAnsiTheme="minorHAnsi" w:cstheme="minorHAnsi"/>
          <w:color w:val="000000" w:themeColor="text1"/>
          <w:sz w:val="22"/>
          <w:szCs w:val="22"/>
          <w:lang w:val="en-GB"/>
        </w:rPr>
        <w:t xml:space="preserve">in </w:t>
      </w:r>
      <w:r w:rsidR="00F776BF" w:rsidRPr="00EF5361">
        <w:rPr>
          <w:rFonts w:asciiTheme="minorHAnsi" w:hAnsiTheme="minorHAnsi" w:cstheme="minorHAnsi"/>
          <w:color w:val="000000" w:themeColor="text1"/>
          <w:sz w:val="22"/>
          <w:szCs w:val="22"/>
          <w:lang w:val="en-GB"/>
        </w:rPr>
        <w:t>potential safety signal</w:t>
      </w:r>
      <w:r w:rsidR="001F36F8">
        <w:rPr>
          <w:rFonts w:asciiTheme="minorHAnsi" w:hAnsiTheme="minorHAnsi" w:cstheme="minorHAnsi"/>
          <w:color w:val="000000" w:themeColor="text1"/>
          <w:sz w:val="22"/>
          <w:szCs w:val="22"/>
          <w:lang w:val="en-GB"/>
        </w:rPr>
        <w:t>s</w:t>
      </w:r>
      <w:r w:rsidR="00F776BF" w:rsidRPr="00EF5361">
        <w:rPr>
          <w:rFonts w:asciiTheme="minorHAnsi" w:hAnsiTheme="minorHAnsi" w:cstheme="minorHAnsi"/>
          <w:color w:val="000000" w:themeColor="text1"/>
          <w:sz w:val="22"/>
          <w:szCs w:val="22"/>
          <w:lang w:val="en-GB"/>
        </w:rPr>
        <w:t xml:space="preserve"> in the active arm </w:t>
      </w:r>
      <w:r w:rsidR="00653CA2">
        <w:rPr>
          <w:rFonts w:asciiTheme="minorHAnsi" w:hAnsiTheme="minorHAnsi" w:cstheme="minorHAnsi"/>
          <w:color w:val="000000" w:themeColor="text1"/>
          <w:sz w:val="22"/>
          <w:szCs w:val="22"/>
          <w:lang w:val="en-GB"/>
        </w:rPr>
        <w:t>being</w:t>
      </w:r>
      <w:r w:rsidR="00F776BF" w:rsidRPr="00EF5361">
        <w:rPr>
          <w:rFonts w:asciiTheme="minorHAnsi" w:hAnsiTheme="minorHAnsi" w:cstheme="minorHAnsi"/>
          <w:color w:val="000000" w:themeColor="text1"/>
          <w:sz w:val="22"/>
          <w:szCs w:val="22"/>
          <w:lang w:val="en-GB"/>
        </w:rPr>
        <w:t xml:space="preserve"> compared to </w:t>
      </w:r>
      <w:r w:rsidR="00B169DF" w:rsidRPr="00EF5361">
        <w:rPr>
          <w:rFonts w:asciiTheme="minorHAnsi" w:hAnsiTheme="minorHAnsi" w:cstheme="minorHAnsi"/>
          <w:color w:val="000000" w:themeColor="text1"/>
          <w:sz w:val="22"/>
          <w:szCs w:val="22"/>
          <w:lang w:val="en-GB"/>
        </w:rPr>
        <w:t xml:space="preserve">only </w:t>
      </w:r>
      <w:r w:rsidR="00B034E3" w:rsidRPr="00EF5361">
        <w:rPr>
          <w:rFonts w:asciiTheme="minorHAnsi" w:hAnsiTheme="minorHAnsi" w:cstheme="minorHAnsi"/>
          <w:color w:val="000000" w:themeColor="text1"/>
          <w:sz w:val="22"/>
          <w:szCs w:val="22"/>
          <w:lang w:val="en-GB"/>
        </w:rPr>
        <w:t>10-15 childre</w:t>
      </w:r>
      <w:r w:rsidR="00AB1695">
        <w:rPr>
          <w:rFonts w:asciiTheme="minorHAnsi" w:hAnsiTheme="minorHAnsi" w:cstheme="minorHAnsi"/>
          <w:color w:val="000000" w:themeColor="text1"/>
          <w:sz w:val="22"/>
          <w:szCs w:val="22"/>
          <w:lang w:val="en-GB"/>
        </w:rPr>
        <w:t xml:space="preserve">n </w:t>
      </w:r>
      <w:r w:rsidR="00B034E3" w:rsidRPr="00EF5361">
        <w:rPr>
          <w:rFonts w:asciiTheme="minorHAnsi" w:hAnsiTheme="minorHAnsi" w:cstheme="minorHAnsi"/>
          <w:color w:val="000000" w:themeColor="text1"/>
          <w:sz w:val="22"/>
          <w:szCs w:val="22"/>
          <w:lang w:val="en-GB"/>
        </w:rPr>
        <w:t xml:space="preserve">receiving </w:t>
      </w:r>
      <w:r w:rsidR="009D3A7E">
        <w:rPr>
          <w:rFonts w:asciiTheme="minorHAnsi" w:hAnsiTheme="minorHAnsi" w:cstheme="minorHAnsi"/>
          <w:color w:val="000000" w:themeColor="text1"/>
          <w:sz w:val="22"/>
          <w:szCs w:val="22"/>
          <w:lang w:val="en-GB"/>
        </w:rPr>
        <w:t xml:space="preserve">multiple </w:t>
      </w:r>
      <w:r w:rsidR="00F776BF" w:rsidRPr="00EF5361">
        <w:rPr>
          <w:rFonts w:asciiTheme="minorHAnsi" w:hAnsiTheme="minorHAnsi" w:cstheme="minorHAnsi"/>
          <w:color w:val="000000" w:themeColor="text1"/>
          <w:sz w:val="22"/>
          <w:szCs w:val="22"/>
          <w:lang w:val="en-GB"/>
        </w:rPr>
        <w:t xml:space="preserve">SOC regimens. </w:t>
      </w:r>
      <w:r w:rsidR="00405A9D" w:rsidRPr="00EF5361">
        <w:rPr>
          <w:rFonts w:asciiTheme="minorHAnsi" w:hAnsiTheme="minorHAnsi" w:cstheme="minorHAnsi"/>
          <w:color w:val="000000" w:themeColor="text1"/>
          <w:sz w:val="22"/>
          <w:szCs w:val="22"/>
          <w:lang w:val="en-GB"/>
        </w:rPr>
        <w:t>This</w:t>
      </w:r>
      <w:r w:rsidR="00653CA2">
        <w:rPr>
          <w:rFonts w:asciiTheme="minorHAnsi" w:hAnsiTheme="minorHAnsi" w:cstheme="minorHAnsi"/>
          <w:color w:val="000000" w:themeColor="text1"/>
          <w:sz w:val="22"/>
          <w:szCs w:val="22"/>
          <w:lang w:val="en-GB"/>
        </w:rPr>
        <w:t xml:space="preserve"> result</w:t>
      </w:r>
      <w:r w:rsidR="00540766">
        <w:rPr>
          <w:rFonts w:asciiTheme="minorHAnsi" w:hAnsiTheme="minorHAnsi" w:cstheme="minorHAnsi"/>
          <w:color w:val="000000" w:themeColor="text1"/>
          <w:sz w:val="22"/>
          <w:szCs w:val="22"/>
          <w:lang w:val="en-GB"/>
        </w:rPr>
        <w:t>s</w:t>
      </w:r>
      <w:r w:rsidR="00405A9D" w:rsidRPr="00EF5361">
        <w:rPr>
          <w:rFonts w:asciiTheme="minorHAnsi" w:hAnsiTheme="minorHAnsi" w:cstheme="minorHAnsi"/>
          <w:color w:val="000000" w:themeColor="text1"/>
          <w:sz w:val="22"/>
          <w:szCs w:val="22"/>
          <w:lang w:val="en-GB"/>
        </w:rPr>
        <w:t xml:space="preserve"> </w:t>
      </w:r>
      <w:r w:rsidR="00653CA2">
        <w:rPr>
          <w:rFonts w:asciiTheme="minorHAnsi" w:hAnsiTheme="minorHAnsi" w:cstheme="minorHAnsi"/>
          <w:color w:val="000000" w:themeColor="text1"/>
          <w:sz w:val="22"/>
          <w:szCs w:val="22"/>
          <w:lang w:val="en-GB"/>
        </w:rPr>
        <w:t>in</w:t>
      </w:r>
      <w:r w:rsidR="00405A9D" w:rsidRPr="00EF5361">
        <w:rPr>
          <w:rFonts w:asciiTheme="minorHAnsi" w:hAnsiTheme="minorHAnsi" w:cstheme="minorHAnsi"/>
          <w:color w:val="000000" w:themeColor="text1"/>
          <w:sz w:val="22"/>
          <w:szCs w:val="22"/>
          <w:lang w:val="en-GB"/>
        </w:rPr>
        <w:t xml:space="preserve"> the anomalous position where the </w:t>
      </w:r>
      <w:r w:rsidR="00C1676A" w:rsidRPr="00EF5361">
        <w:rPr>
          <w:rFonts w:asciiTheme="minorHAnsi" w:hAnsiTheme="minorHAnsi" w:cstheme="minorHAnsi"/>
          <w:color w:val="000000" w:themeColor="text1"/>
          <w:sz w:val="22"/>
          <w:szCs w:val="22"/>
          <w:lang w:val="en-GB"/>
        </w:rPr>
        <w:t xml:space="preserve">numbers of children recruited </w:t>
      </w:r>
      <w:r w:rsidR="00DC4577" w:rsidRPr="00EF5361">
        <w:rPr>
          <w:rFonts w:asciiTheme="minorHAnsi" w:hAnsiTheme="minorHAnsi" w:cstheme="minorHAnsi"/>
          <w:color w:val="000000" w:themeColor="text1"/>
          <w:sz w:val="22"/>
          <w:szCs w:val="22"/>
          <w:lang w:val="en-GB"/>
        </w:rPr>
        <w:t>result</w:t>
      </w:r>
      <w:r w:rsidR="00653CA2">
        <w:rPr>
          <w:rFonts w:asciiTheme="minorHAnsi" w:hAnsiTheme="minorHAnsi" w:cstheme="minorHAnsi"/>
          <w:color w:val="000000" w:themeColor="text1"/>
          <w:sz w:val="22"/>
          <w:szCs w:val="22"/>
          <w:lang w:val="en-GB"/>
        </w:rPr>
        <w:t>s</w:t>
      </w:r>
      <w:r w:rsidR="00DC4577" w:rsidRPr="00EF5361">
        <w:rPr>
          <w:rFonts w:asciiTheme="minorHAnsi" w:hAnsiTheme="minorHAnsi" w:cstheme="minorHAnsi"/>
          <w:color w:val="000000" w:themeColor="text1"/>
          <w:sz w:val="22"/>
          <w:szCs w:val="22"/>
          <w:lang w:val="en-GB"/>
        </w:rPr>
        <w:t xml:space="preserve"> in sample sizes </w:t>
      </w:r>
      <w:r w:rsidR="000A08A2">
        <w:rPr>
          <w:rFonts w:asciiTheme="minorHAnsi" w:hAnsiTheme="minorHAnsi" w:cstheme="minorHAnsi"/>
          <w:color w:val="000000" w:themeColor="text1"/>
          <w:sz w:val="22"/>
          <w:szCs w:val="22"/>
          <w:lang w:val="en-GB"/>
        </w:rPr>
        <w:t>far</w:t>
      </w:r>
      <w:r w:rsidR="00DC4577" w:rsidRPr="00EF5361">
        <w:rPr>
          <w:rFonts w:asciiTheme="minorHAnsi" w:hAnsiTheme="minorHAnsi" w:cstheme="minorHAnsi"/>
          <w:color w:val="000000" w:themeColor="text1"/>
          <w:sz w:val="22"/>
          <w:szCs w:val="22"/>
          <w:lang w:val="en-GB"/>
        </w:rPr>
        <w:t xml:space="preserve"> too </w:t>
      </w:r>
      <w:r w:rsidR="001F36F8">
        <w:rPr>
          <w:rFonts w:asciiTheme="minorHAnsi" w:hAnsiTheme="minorHAnsi" w:cstheme="minorHAnsi"/>
          <w:color w:val="000000" w:themeColor="text1"/>
          <w:sz w:val="22"/>
          <w:szCs w:val="22"/>
          <w:lang w:val="en-GB"/>
        </w:rPr>
        <w:t>small</w:t>
      </w:r>
      <w:r w:rsidR="00DC4577" w:rsidRPr="00EF5361">
        <w:rPr>
          <w:rFonts w:asciiTheme="minorHAnsi" w:hAnsiTheme="minorHAnsi" w:cstheme="minorHAnsi"/>
          <w:color w:val="000000" w:themeColor="text1"/>
          <w:sz w:val="22"/>
          <w:szCs w:val="22"/>
          <w:lang w:val="en-GB"/>
        </w:rPr>
        <w:t xml:space="preserve"> </w:t>
      </w:r>
      <w:r w:rsidR="00C1676A" w:rsidRPr="00EF5361">
        <w:rPr>
          <w:rFonts w:asciiTheme="minorHAnsi" w:hAnsiTheme="minorHAnsi" w:cstheme="minorHAnsi"/>
          <w:color w:val="000000" w:themeColor="text1"/>
          <w:sz w:val="22"/>
          <w:szCs w:val="22"/>
          <w:lang w:val="en-GB"/>
        </w:rPr>
        <w:t xml:space="preserve">to detect </w:t>
      </w:r>
      <w:r w:rsidR="004D3AA1" w:rsidRPr="00EF5361">
        <w:rPr>
          <w:rFonts w:asciiTheme="minorHAnsi" w:hAnsiTheme="minorHAnsi" w:cstheme="minorHAnsi"/>
          <w:color w:val="000000" w:themeColor="text1"/>
          <w:sz w:val="22"/>
          <w:szCs w:val="22"/>
          <w:lang w:val="en-GB"/>
        </w:rPr>
        <w:t xml:space="preserve">novel </w:t>
      </w:r>
      <w:r w:rsidR="00B034E3" w:rsidRPr="00EF5361">
        <w:rPr>
          <w:rFonts w:asciiTheme="minorHAnsi" w:hAnsiTheme="minorHAnsi" w:cstheme="minorHAnsi"/>
          <w:color w:val="000000" w:themeColor="text1"/>
          <w:sz w:val="22"/>
          <w:szCs w:val="22"/>
          <w:lang w:val="en-GB"/>
        </w:rPr>
        <w:t xml:space="preserve">safety </w:t>
      </w:r>
      <w:r w:rsidR="00C1676A" w:rsidRPr="00EF5361">
        <w:rPr>
          <w:rFonts w:asciiTheme="minorHAnsi" w:hAnsiTheme="minorHAnsi" w:cstheme="minorHAnsi"/>
          <w:color w:val="000000" w:themeColor="text1"/>
          <w:sz w:val="22"/>
          <w:szCs w:val="22"/>
          <w:lang w:val="en-GB"/>
        </w:rPr>
        <w:t>signal</w:t>
      </w:r>
      <w:r w:rsidR="00B169DF" w:rsidRPr="00EF5361">
        <w:rPr>
          <w:rFonts w:asciiTheme="minorHAnsi" w:hAnsiTheme="minorHAnsi" w:cstheme="minorHAnsi"/>
          <w:color w:val="000000" w:themeColor="text1"/>
          <w:sz w:val="22"/>
          <w:szCs w:val="22"/>
          <w:lang w:val="en-GB"/>
        </w:rPr>
        <w:t>s</w:t>
      </w:r>
      <w:r w:rsidR="00DC4577" w:rsidRPr="00EF5361">
        <w:rPr>
          <w:rFonts w:asciiTheme="minorHAnsi" w:hAnsiTheme="minorHAnsi" w:cstheme="minorHAnsi"/>
          <w:color w:val="000000" w:themeColor="text1"/>
          <w:sz w:val="22"/>
          <w:szCs w:val="22"/>
          <w:lang w:val="en-GB"/>
        </w:rPr>
        <w:t xml:space="preserve"> with </w:t>
      </w:r>
      <w:r w:rsidR="00752D58" w:rsidRPr="00EF5361">
        <w:rPr>
          <w:rFonts w:asciiTheme="minorHAnsi" w:hAnsiTheme="minorHAnsi" w:cstheme="minorHAnsi"/>
          <w:color w:val="000000" w:themeColor="text1"/>
          <w:sz w:val="22"/>
          <w:szCs w:val="22"/>
          <w:lang w:val="en-GB"/>
        </w:rPr>
        <w:t xml:space="preserve">any valid level of </w:t>
      </w:r>
      <w:r w:rsidR="00DC4577" w:rsidRPr="00EF5361">
        <w:rPr>
          <w:rFonts w:asciiTheme="minorHAnsi" w:hAnsiTheme="minorHAnsi" w:cstheme="minorHAnsi"/>
          <w:color w:val="000000" w:themeColor="text1"/>
          <w:sz w:val="22"/>
          <w:szCs w:val="22"/>
          <w:lang w:val="en-GB"/>
        </w:rPr>
        <w:t>precision</w:t>
      </w:r>
      <w:r w:rsidR="00405A9D" w:rsidRPr="00EF5361">
        <w:rPr>
          <w:rFonts w:asciiTheme="minorHAnsi" w:hAnsiTheme="minorHAnsi" w:cstheme="minorHAnsi"/>
          <w:color w:val="000000" w:themeColor="text1"/>
          <w:sz w:val="22"/>
          <w:szCs w:val="22"/>
          <w:lang w:val="en-GB"/>
        </w:rPr>
        <w:t>.</w:t>
      </w:r>
      <w:r w:rsidR="0065337E" w:rsidRPr="00EF5361">
        <w:rPr>
          <w:rFonts w:asciiTheme="minorHAnsi" w:hAnsiTheme="minorHAnsi" w:cstheme="minorHAnsi"/>
          <w:color w:val="000000" w:themeColor="text1"/>
          <w:sz w:val="22"/>
          <w:szCs w:val="22"/>
          <w:lang w:val="en-GB"/>
        </w:rPr>
        <w:t xml:space="preserve"> </w:t>
      </w:r>
    </w:p>
    <w:p w14:paraId="0FD1B84A" w14:textId="77777777" w:rsidR="000A08A2" w:rsidRDefault="000A08A2" w:rsidP="004D3AA1">
      <w:pPr>
        <w:jc w:val="both"/>
        <w:rPr>
          <w:rFonts w:asciiTheme="minorHAnsi" w:hAnsiTheme="minorHAnsi" w:cstheme="minorHAnsi"/>
          <w:color w:val="000000" w:themeColor="text1"/>
          <w:sz w:val="22"/>
          <w:szCs w:val="22"/>
          <w:lang w:val="en-GB"/>
        </w:rPr>
      </w:pPr>
    </w:p>
    <w:p w14:paraId="72BA75FB" w14:textId="4580489D" w:rsidR="003E27B9" w:rsidRDefault="009D3A7E" w:rsidP="007B61A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w:t>
      </w:r>
      <w:r w:rsidR="001D6DB4" w:rsidRPr="00EF5361">
        <w:rPr>
          <w:rFonts w:asciiTheme="minorHAnsi" w:hAnsiTheme="minorHAnsi" w:cstheme="minorHAnsi"/>
          <w:color w:val="000000" w:themeColor="text1"/>
          <w:sz w:val="22"/>
          <w:szCs w:val="22"/>
          <w:lang w:val="en-GB"/>
        </w:rPr>
        <w:t>ntibiotic</w:t>
      </w:r>
      <w:r w:rsidR="00653CA2">
        <w:rPr>
          <w:rFonts w:asciiTheme="minorHAnsi" w:hAnsiTheme="minorHAnsi" w:cstheme="minorHAnsi"/>
          <w:color w:val="000000" w:themeColor="text1"/>
          <w:sz w:val="22"/>
          <w:szCs w:val="22"/>
          <w:lang w:val="en-GB"/>
        </w:rPr>
        <w:t>-</w:t>
      </w:r>
      <w:r w:rsidR="001D6DB4" w:rsidRPr="00EF5361">
        <w:rPr>
          <w:rFonts w:asciiTheme="minorHAnsi" w:hAnsiTheme="minorHAnsi" w:cstheme="minorHAnsi"/>
          <w:color w:val="000000" w:themeColor="text1"/>
          <w:sz w:val="22"/>
          <w:szCs w:val="22"/>
          <w:lang w:val="en-GB"/>
        </w:rPr>
        <w:t>related toxicit</w:t>
      </w:r>
      <w:r w:rsidR="000A08A2">
        <w:rPr>
          <w:rFonts w:asciiTheme="minorHAnsi" w:hAnsiTheme="minorHAnsi" w:cstheme="minorHAnsi"/>
          <w:color w:val="000000" w:themeColor="text1"/>
          <w:sz w:val="22"/>
          <w:szCs w:val="22"/>
          <w:lang w:val="en-GB"/>
        </w:rPr>
        <w:t>ies</w:t>
      </w:r>
      <w:r w:rsidR="001D6DB4" w:rsidRPr="00EF5361">
        <w:rPr>
          <w:rFonts w:asciiTheme="minorHAnsi" w:hAnsiTheme="minorHAnsi" w:cstheme="minorHAnsi"/>
          <w:color w:val="000000" w:themeColor="text1"/>
          <w:sz w:val="22"/>
          <w:szCs w:val="22"/>
          <w:lang w:val="en-GB"/>
        </w:rPr>
        <w:t xml:space="preserve"> in children </w:t>
      </w:r>
      <w:r w:rsidR="00653CA2">
        <w:rPr>
          <w:rFonts w:asciiTheme="minorHAnsi" w:hAnsiTheme="minorHAnsi" w:cstheme="minorHAnsi"/>
          <w:color w:val="000000" w:themeColor="text1"/>
          <w:sz w:val="22"/>
          <w:szCs w:val="22"/>
          <w:lang w:val="en-GB"/>
        </w:rPr>
        <w:t>are</w:t>
      </w:r>
      <w:r w:rsidR="001D6DB4" w:rsidRPr="00EF5361">
        <w:rPr>
          <w:rFonts w:asciiTheme="minorHAnsi" w:hAnsiTheme="minorHAnsi" w:cstheme="minorHAnsi"/>
          <w:color w:val="000000" w:themeColor="text1"/>
          <w:sz w:val="22"/>
          <w:szCs w:val="22"/>
          <w:lang w:val="en-GB"/>
        </w:rPr>
        <w:t xml:space="preserve"> </w:t>
      </w:r>
      <w:r w:rsidR="000A08A2">
        <w:rPr>
          <w:rFonts w:asciiTheme="minorHAnsi" w:hAnsiTheme="minorHAnsi" w:cstheme="minorHAnsi"/>
          <w:color w:val="000000" w:themeColor="text1"/>
          <w:sz w:val="22"/>
          <w:szCs w:val="22"/>
          <w:lang w:val="en-GB"/>
        </w:rPr>
        <w:t>highly</w:t>
      </w:r>
      <w:r w:rsidR="001D6DB4" w:rsidRPr="00EF5361">
        <w:rPr>
          <w:rFonts w:asciiTheme="minorHAnsi" w:hAnsiTheme="minorHAnsi" w:cstheme="minorHAnsi"/>
          <w:color w:val="000000" w:themeColor="text1"/>
          <w:sz w:val="22"/>
          <w:szCs w:val="22"/>
          <w:lang w:val="en-GB"/>
        </w:rPr>
        <w:t xml:space="preserve"> predictable from adult studies</w:t>
      </w:r>
      <w:r w:rsidR="00653CA2">
        <w:rPr>
          <w:rFonts w:asciiTheme="minorHAnsi" w:hAnsiTheme="minorHAnsi" w:cstheme="minorHAnsi"/>
          <w:color w:val="000000" w:themeColor="text1"/>
          <w:sz w:val="22"/>
          <w:szCs w:val="22"/>
          <w:lang w:val="en-GB"/>
        </w:rPr>
        <w:t>, and t</w:t>
      </w:r>
      <w:r w:rsidR="001D6DB4" w:rsidRPr="00EF5361">
        <w:rPr>
          <w:rFonts w:asciiTheme="minorHAnsi" w:hAnsiTheme="minorHAnsi" w:cstheme="minorHAnsi"/>
          <w:color w:val="000000" w:themeColor="text1"/>
          <w:sz w:val="22"/>
          <w:szCs w:val="22"/>
          <w:lang w:val="en-GB"/>
        </w:rPr>
        <w:t xml:space="preserve">he </w:t>
      </w:r>
      <w:r w:rsidR="00C560FF" w:rsidRPr="00EF5361">
        <w:rPr>
          <w:rFonts w:asciiTheme="minorHAnsi" w:hAnsiTheme="minorHAnsi" w:cstheme="minorHAnsi"/>
          <w:color w:val="000000" w:themeColor="text1"/>
          <w:sz w:val="22"/>
          <w:szCs w:val="22"/>
          <w:lang w:val="en-GB"/>
        </w:rPr>
        <w:t xml:space="preserve">sample size required to identify </w:t>
      </w:r>
      <w:r w:rsidR="000A08A2">
        <w:rPr>
          <w:rFonts w:asciiTheme="minorHAnsi" w:hAnsiTheme="minorHAnsi" w:cstheme="minorHAnsi"/>
          <w:color w:val="000000" w:themeColor="text1"/>
          <w:sz w:val="22"/>
          <w:szCs w:val="22"/>
          <w:lang w:val="en-GB"/>
        </w:rPr>
        <w:t>(</w:t>
      </w:r>
      <w:r w:rsidR="008069C4" w:rsidRPr="00EF5361">
        <w:rPr>
          <w:rFonts w:asciiTheme="minorHAnsi" w:hAnsiTheme="minorHAnsi" w:cstheme="minorHAnsi"/>
          <w:color w:val="000000" w:themeColor="text1"/>
          <w:sz w:val="22"/>
          <w:szCs w:val="22"/>
          <w:lang w:val="en-GB"/>
        </w:rPr>
        <w:t>with any reasonable statistical power</w:t>
      </w:r>
      <w:r w:rsidR="000A08A2">
        <w:rPr>
          <w:rFonts w:asciiTheme="minorHAnsi" w:hAnsiTheme="minorHAnsi" w:cstheme="minorHAnsi"/>
          <w:color w:val="000000" w:themeColor="text1"/>
          <w:sz w:val="22"/>
          <w:szCs w:val="22"/>
          <w:lang w:val="en-GB"/>
        </w:rPr>
        <w:t>)</w:t>
      </w:r>
      <w:r w:rsidR="008069C4" w:rsidRPr="00EF5361">
        <w:rPr>
          <w:rFonts w:asciiTheme="minorHAnsi" w:hAnsiTheme="minorHAnsi" w:cstheme="minorHAnsi"/>
          <w:color w:val="000000" w:themeColor="text1"/>
          <w:sz w:val="22"/>
          <w:szCs w:val="22"/>
          <w:lang w:val="en-GB"/>
        </w:rPr>
        <w:t xml:space="preserve"> </w:t>
      </w:r>
      <w:r w:rsidR="00C560FF" w:rsidRPr="00EF5361">
        <w:rPr>
          <w:rFonts w:asciiTheme="minorHAnsi" w:hAnsiTheme="minorHAnsi" w:cstheme="minorHAnsi"/>
          <w:color w:val="000000" w:themeColor="text1"/>
          <w:sz w:val="22"/>
          <w:szCs w:val="22"/>
          <w:lang w:val="en-GB"/>
        </w:rPr>
        <w:t xml:space="preserve">a novel safety signal </w:t>
      </w:r>
      <w:r w:rsidR="008069C4" w:rsidRPr="00EF5361">
        <w:rPr>
          <w:rFonts w:asciiTheme="minorHAnsi" w:hAnsiTheme="minorHAnsi" w:cstheme="minorHAnsi"/>
          <w:color w:val="000000" w:themeColor="text1"/>
          <w:sz w:val="22"/>
          <w:szCs w:val="22"/>
          <w:lang w:val="en-GB"/>
        </w:rPr>
        <w:t>in p</w:t>
      </w:r>
      <w:r w:rsidR="000A08A2">
        <w:rPr>
          <w:rFonts w:asciiTheme="minorHAnsi" w:hAnsiTheme="minorHAnsi" w:cstheme="minorHAnsi"/>
          <w:color w:val="000000" w:themeColor="text1"/>
          <w:sz w:val="22"/>
          <w:szCs w:val="22"/>
          <w:lang w:val="en-GB"/>
        </w:rPr>
        <w:t>a</w:t>
      </w:r>
      <w:r w:rsidR="008069C4" w:rsidRPr="00EF5361">
        <w:rPr>
          <w:rFonts w:asciiTheme="minorHAnsi" w:hAnsiTheme="minorHAnsi" w:cstheme="minorHAnsi"/>
          <w:color w:val="000000" w:themeColor="text1"/>
          <w:sz w:val="22"/>
          <w:szCs w:val="22"/>
          <w:lang w:val="en-GB"/>
        </w:rPr>
        <w:t>ediatric trials</w:t>
      </w:r>
      <w:r w:rsidR="001D6DB4" w:rsidRPr="00EF5361">
        <w:rPr>
          <w:rFonts w:asciiTheme="minorHAnsi" w:hAnsiTheme="minorHAnsi" w:cstheme="minorHAnsi"/>
          <w:color w:val="000000" w:themeColor="text1"/>
          <w:sz w:val="22"/>
          <w:szCs w:val="22"/>
          <w:lang w:val="en-GB"/>
        </w:rPr>
        <w:t xml:space="preserve"> </w:t>
      </w:r>
      <w:r w:rsidR="008069C4" w:rsidRPr="00EF5361">
        <w:rPr>
          <w:rFonts w:asciiTheme="minorHAnsi" w:hAnsiTheme="minorHAnsi" w:cstheme="minorHAnsi"/>
          <w:color w:val="000000" w:themeColor="text1"/>
          <w:sz w:val="22"/>
          <w:szCs w:val="22"/>
          <w:lang w:val="en-GB"/>
        </w:rPr>
        <w:t xml:space="preserve">has </w:t>
      </w:r>
      <w:r>
        <w:rPr>
          <w:rFonts w:asciiTheme="minorHAnsi" w:hAnsiTheme="minorHAnsi" w:cstheme="minorHAnsi"/>
          <w:color w:val="000000" w:themeColor="text1"/>
          <w:sz w:val="22"/>
          <w:szCs w:val="22"/>
          <w:lang w:val="en-GB"/>
        </w:rPr>
        <w:t xml:space="preserve">recently </w:t>
      </w:r>
      <w:r w:rsidR="008069C4" w:rsidRPr="00EF5361">
        <w:rPr>
          <w:rFonts w:asciiTheme="minorHAnsi" w:hAnsiTheme="minorHAnsi" w:cstheme="minorHAnsi"/>
          <w:color w:val="000000" w:themeColor="text1"/>
          <w:sz w:val="22"/>
          <w:szCs w:val="22"/>
          <w:lang w:val="en-GB"/>
        </w:rPr>
        <w:t xml:space="preserve">been </w:t>
      </w:r>
      <w:r w:rsidR="00540766">
        <w:rPr>
          <w:rFonts w:asciiTheme="minorHAnsi" w:hAnsiTheme="minorHAnsi" w:cstheme="minorHAnsi"/>
          <w:color w:val="000000" w:themeColor="text1"/>
          <w:sz w:val="22"/>
          <w:szCs w:val="22"/>
          <w:lang w:val="en-GB"/>
        </w:rPr>
        <w:t xml:space="preserve">determined as </w:t>
      </w:r>
      <w:r w:rsidR="008069C4" w:rsidRPr="00EF5361">
        <w:rPr>
          <w:rFonts w:asciiTheme="minorHAnsi" w:hAnsiTheme="minorHAnsi" w:cstheme="minorHAnsi"/>
          <w:color w:val="000000" w:themeColor="text1"/>
          <w:sz w:val="22"/>
          <w:szCs w:val="22"/>
          <w:lang w:val="en-GB"/>
        </w:rPr>
        <w:t xml:space="preserve">considerably higher </w:t>
      </w:r>
      <w:r w:rsidR="00DC4577" w:rsidRPr="00EF5361">
        <w:rPr>
          <w:rFonts w:asciiTheme="minorHAnsi" w:hAnsiTheme="minorHAnsi" w:cstheme="minorHAnsi"/>
          <w:color w:val="000000" w:themeColor="text1"/>
          <w:sz w:val="22"/>
          <w:szCs w:val="22"/>
          <w:lang w:val="en-GB"/>
        </w:rPr>
        <w:t xml:space="preserve">than </w:t>
      </w:r>
      <w:r w:rsidR="00D11DC8">
        <w:rPr>
          <w:rFonts w:asciiTheme="minorHAnsi" w:hAnsiTheme="minorHAnsi" w:cstheme="minorHAnsi"/>
          <w:color w:val="000000" w:themeColor="text1"/>
          <w:sz w:val="22"/>
          <w:szCs w:val="22"/>
          <w:lang w:val="en-GB"/>
        </w:rPr>
        <w:t>m</w:t>
      </w:r>
      <w:r>
        <w:rPr>
          <w:rFonts w:asciiTheme="minorHAnsi" w:hAnsiTheme="minorHAnsi" w:cstheme="minorHAnsi"/>
          <w:color w:val="000000" w:themeColor="text1"/>
          <w:sz w:val="22"/>
          <w:szCs w:val="22"/>
          <w:lang w:val="en-GB"/>
        </w:rPr>
        <w:t>ost</w:t>
      </w:r>
      <w:r w:rsidR="00B034E3" w:rsidRPr="00EF5361">
        <w:rPr>
          <w:rFonts w:asciiTheme="minorHAnsi" w:hAnsiTheme="minorHAnsi" w:cstheme="minorHAnsi"/>
          <w:color w:val="000000" w:themeColor="text1"/>
          <w:sz w:val="22"/>
          <w:szCs w:val="22"/>
          <w:lang w:val="en-GB"/>
        </w:rPr>
        <w:t xml:space="preserve"> </w:t>
      </w:r>
      <w:r w:rsidR="008069C4" w:rsidRPr="00EF5361">
        <w:rPr>
          <w:rFonts w:asciiTheme="minorHAnsi" w:hAnsiTheme="minorHAnsi" w:cstheme="minorHAnsi"/>
          <w:color w:val="000000" w:themeColor="text1"/>
          <w:sz w:val="22"/>
          <w:szCs w:val="22"/>
          <w:lang w:val="en-GB"/>
        </w:rPr>
        <w:t>approved PSPs.</w:t>
      </w:r>
      <w:r w:rsidR="008069C4" w:rsidRPr="00EF5361">
        <w:rPr>
          <w:rFonts w:asciiTheme="minorHAnsi" w:hAnsiTheme="minorHAnsi" w:cstheme="minorHAnsi"/>
          <w:color w:val="000000" w:themeColor="text1"/>
          <w:sz w:val="22"/>
          <w:szCs w:val="22"/>
          <w:lang w:val="en-GB"/>
        </w:rPr>
        <w:fldChar w:fldCharType="begin" w:fldLock="1"/>
      </w:r>
      <w:r w:rsidR="00060798">
        <w:rPr>
          <w:rFonts w:asciiTheme="minorHAnsi" w:hAnsiTheme="minorHAnsi" w:cstheme="minorHAnsi"/>
          <w:color w:val="000000" w:themeColor="text1"/>
          <w:sz w:val="22"/>
          <w:szCs w:val="22"/>
          <w:lang w:val="en-GB"/>
        </w:rPr>
        <w:instrText>ADDIN CSL_CITATION {"citationItems":[{"id":"ITEM-1","itemData":{"DOI":"10.1136/bmjopen-2019-032592","ISSN":"2044-6055 (Electronic)","PMID":"31892658","abstract":"Antimicrobial development for children remains challenging due to multiple barriers  to conducting randomised clinical trials (CTs). There is currently considerable heterogeneity in the design and conduct of paediatric antibiotic studies, hampering comparison and meta-analytic approaches. The board of the European networks for paediatric research at the European Medicines Agency (EMA), in collaboration with the Paediatric European Network for Treatments of AIDS-Infectious Diseases network (www.penta-id.org), recently developed a Working Group on paediatric antibiotic CT design, involving academic, regulatory and industry representatives. The evidence base for any specific criteria for the design and conduct of efficacy and safety antibiotic trials for children is very limited and will evolve over time as further studies are conducted. The suggestions being put forward here are based on the adult EMA guidance, adapted for neonates and children. In particular, this document provides suggested guidance on the general principles of harmonisation between regulatory and strategic trials, including (1) standardised key inclusion/exclusion criteria and widely applicable outcome measures for specific clinical infectious syndromes (CIS) to be used in CTs on efficacy of antibiotic in children; (2) key components of safety that should be reported in paediatric antibiotic CTs; (3) standardised sample sizes for safety studies. Summarising views from a range of key stakeholders, specific criteria for the design and conduct of efficacy and safety antibiotic trials in specific CIS for children have been suggested. The recommended criteria are intended to be applicable to both regulatory and clinical investigator-led strategic trials and could be the basis for harmonisation in the design and conduct of CTs on antibiotics in children. The next step is further discussion internationally with investigators, paediatric CTs networks and regulators.","author":[{"dropping-particle":"","family":"Folgori","given":"Laura","non-dropping-particle":"","parse-names":false,"suffix":""},{"dropping-particle":"","family":"Lutsar","given":"Irja","non-dropping-particle":"","parse-names":false,"suffix":""},{"dropping-particle":"","family":"Standing","given":"Joseph F","non-dropping-particle":"","parse-names":false,"suffix":""},{"dropping-particle":"","family":"Walker","given":"A Sarah","non-dropping-particle":"","parse-names":false,"suffix":""},{"dropping-particle":"","family":"Roilides","given":"Emmanuel","non-dropping-particle":"","parse-names":false,"suffix":""},{"dropping-particle":"","family":"Zaoutis","given":"Theoklis E","non-dropping-particle":"","parse-names":false,"suffix":""},{"dropping-particle":"","family":"Jafri","given":"Hasan","non-dropping-particle":"","parse-names":false,"suffix":""},{"dropping-particle":"","family":"Giaquinto","given":"Carlo","non-dropping-particle":"","parse-names":false,"suffix":""},{"dropping-particle":"","family":"Turner","given":"Mark A","non-dropping-particle":"","parse-names":false,"suffix":""},{"dropping-particle":"","family":"Sharland","given":"Mike","non-dropping-particle":"","parse-names":false,"suffix":""}],"container-title":"BMJ open","id":"ITEM-1","issue":"12","issued":{"date-parts":[["2019","12"]]},"language":"eng","page":"e032592","title":"Standardising neonatal and paediatric antibiotic clinical trial design and conduct:  the PENTA-ID network view.","type":"article-journal","volume":"9"},"uris":["http://www.mendeley.com/documents/?uuid=68d5b955-49a6-439a-8327-f0ab04918f79"]}],"mendeley":{"formattedCitation":"&lt;sup&gt;7&lt;/sup&gt;","plainTextFormattedCitation":"7","previouslyFormattedCitation":"&lt;sup&gt;7&lt;/sup&gt;"},"properties":{"noteIndex":0},"schema":"https://github.com/citation-style-language/schema/raw/master/csl-citation.json"}</w:instrText>
      </w:r>
      <w:r w:rsidR="008069C4" w:rsidRPr="00EF5361">
        <w:rPr>
          <w:rFonts w:asciiTheme="minorHAnsi" w:hAnsiTheme="minorHAnsi" w:cstheme="minorHAnsi"/>
          <w:color w:val="000000" w:themeColor="text1"/>
          <w:sz w:val="22"/>
          <w:szCs w:val="22"/>
          <w:lang w:val="en-GB"/>
        </w:rPr>
        <w:fldChar w:fldCharType="separate"/>
      </w:r>
      <w:r w:rsidR="00060798" w:rsidRPr="00060798">
        <w:rPr>
          <w:rFonts w:asciiTheme="minorHAnsi" w:hAnsiTheme="minorHAnsi" w:cstheme="minorHAnsi"/>
          <w:noProof/>
          <w:color w:val="000000" w:themeColor="text1"/>
          <w:sz w:val="22"/>
          <w:szCs w:val="22"/>
          <w:vertAlign w:val="superscript"/>
          <w:lang w:val="en-GB"/>
        </w:rPr>
        <w:t>7</w:t>
      </w:r>
      <w:r w:rsidR="008069C4" w:rsidRPr="00EF5361">
        <w:rPr>
          <w:rFonts w:asciiTheme="minorHAnsi" w:hAnsiTheme="minorHAnsi" w:cstheme="minorHAnsi"/>
          <w:color w:val="000000" w:themeColor="text1"/>
          <w:sz w:val="22"/>
          <w:szCs w:val="22"/>
          <w:lang w:val="en-GB"/>
        </w:rPr>
        <w:fldChar w:fldCharType="end"/>
      </w:r>
      <w:r w:rsidR="008069C4" w:rsidRPr="00EF5361">
        <w:rPr>
          <w:rFonts w:asciiTheme="minorHAnsi" w:hAnsiTheme="minorHAnsi" w:cstheme="minorHAnsi"/>
          <w:color w:val="000000" w:themeColor="text1"/>
          <w:sz w:val="22"/>
          <w:szCs w:val="22"/>
          <w:lang w:val="en-GB"/>
        </w:rPr>
        <w:t xml:space="preserve"> </w:t>
      </w:r>
      <w:r w:rsidR="00821061">
        <w:rPr>
          <w:rFonts w:asciiTheme="minorHAnsi" w:hAnsiTheme="minorHAnsi" w:cstheme="minorHAnsi"/>
          <w:color w:val="000000" w:themeColor="text1"/>
          <w:sz w:val="22"/>
          <w:szCs w:val="22"/>
          <w:lang w:val="en-GB"/>
        </w:rPr>
        <w:t>Due to the divergent</w:t>
      </w:r>
      <w:r w:rsidR="008069C4" w:rsidRPr="00EF5361">
        <w:rPr>
          <w:rFonts w:asciiTheme="minorHAnsi" w:hAnsiTheme="minorHAnsi" w:cstheme="minorHAnsi"/>
          <w:color w:val="000000" w:themeColor="text1"/>
          <w:sz w:val="22"/>
          <w:szCs w:val="22"/>
          <w:lang w:val="en-GB"/>
        </w:rPr>
        <w:t xml:space="preserve"> </w:t>
      </w:r>
      <w:r w:rsidR="004D3AA1" w:rsidRPr="00EF5361">
        <w:rPr>
          <w:rFonts w:asciiTheme="minorHAnsi" w:hAnsiTheme="minorHAnsi" w:cstheme="minorHAnsi"/>
          <w:color w:val="000000" w:themeColor="text1"/>
          <w:sz w:val="22"/>
          <w:szCs w:val="22"/>
          <w:lang w:val="en-GB"/>
        </w:rPr>
        <w:t xml:space="preserve">regulatory </w:t>
      </w:r>
      <w:r w:rsidR="00A313D3" w:rsidRPr="00EF5361">
        <w:rPr>
          <w:rFonts w:asciiTheme="minorHAnsi" w:hAnsiTheme="minorHAnsi" w:cstheme="minorHAnsi"/>
          <w:color w:val="000000" w:themeColor="text1"/>
          <w:sz w:val="22"/>
          <w:szCs w:val="22"/>
          <w:lang w:val="en-GB"/>
        </w:rPr>
        <w:t>approaches</w:t>
      </w:r>
      <w:r w:rsidR="00F776BF" w:rsidRPr="00EF5361">
        <w:rPr>
          <w:rFonts w:asciiTheme="minorHAnsi" w:hAnsiTheme="minorHAnsi" w:cstheme="minorHAnsi"/>
          <w:color w:val="000000" w:themeColor="text1"/>
          <w:sz w:val="22"/>
          <w:szCs w:val="22"/>
          <w:lang w:val="en-GB"/>
        </w:rPr>
        <w:t xml:space="preserve"> between the EMA and FDA</w:t>
      </w:r>
      <w:r w:rsidR="004D3AA1" w:rsidRPr="00EF5361">
        <w:rPr>
          <w:rFonts w:asciiTheme="minorHAnsi" w:hAnsiTheme="minorHAnsi" w:cstheme="minorHAnsi"/>
          <w:color w:val="000000" w:themeColor="text1"/>
          <w:sz w:val="22"/>
          <w:szCs w:val="22"/>
          <w:lang w:val="en-GB"/>
        </w:rPr>
        <w:t xml:space="preserve">, </w:t>
      </w:r>
      <w:r w:rsidR="00540766">
        <w:rPr>
          <w:rFonts w:asciiTheme="minorHAnsi" w:hAnsiTheme="minorHAnsi" w:cstheme="minorHAnsi"/>
          <w:color w:val="000000" w:themeColor="text1"/>
          <w:sz w:val="22"/>
          <w:szCs w:val="22"/>
          <w:lang w:val="en-GB"/>
        </w:rPr>
        <w:t xml:space="preserve">some </w:t>
      </w:r>
      <w:r w:rsidR="0064250B" w:rsidRPr="00EF5361">
        <w:rPr>
          <w:rFonts w:asciiTheme="minorHAnsi" w:hAnsiTheme="minorHAnsi" w:cstheme="minorHAnsi"/>
          <w:color w:val="000000" w:themeColor="text1"/>
          <w:sz w:val="22"/>
          <w:szCs w:val="22"/>
          <w:lang w:val="en-GB"/>
        </w:rPr>
        <w:t>pharma</w:t>
      </w:r>
      <w:r w:rsidR="0065337E" w:rsidRPr="00EF5361">
        <w:rPr>
          <w:rFonts w:asciiTheme="minorHAnsi" w:hAnsiTheme="minorHAnsi" w:cstheme="minorHAnsi"/>
          <w:color w:val="000000" w:themeColor="text1"/>
          <w:sz w:val="22"/>
          <w:szCs w:val="22"/>
          <w:lang w:val="en-GB"/>
        </w:rPr>
        <w:t xml:space="preserve">ceutical </w:t>
      </w:r>
      <w:r w:rsidR="00F776BF" w:rsidRPr="00EF5361">
        <w:rPr>
          <w:rFonts w:asciiTheme="minorHAnsi" w:hAnsiTheme="minorHAnsi" w:cstheme="minorHAnsi"/>
          <w:color w:val="000000" w:themeColor="text1"/>
          <w:sz w:val="22"/>
          <w:szCs w:val="22"/>
          <w:lang w:val="en-GB"/>
        </w:rPr>
        <w:t>companies</w:t>
      </w:r>
      <w:r w:rsidR="0064250B" w:rsidRPr="00EF5361">
        <w:rPr>
          <w:rFonts w:asciiTheme="minorHAnsi" w:hAnsiTheme="minorHAnsi" w:cstheme="minorHAnsi"/>
          <w:color w:val="000000" w:themeColor="text1"/>
          <w:sz w:val="22"/>
          <w:szCs w:val="22"/>
          <w:lang w:val="en-GB"/>
        </w:rPr>
        <w:t xml:space="preserve"> </w:t>
      </w:r>
      <w:r w:rsidR="004D3AA1" w:rsidRPr="00EF5361">
        <w:rPr>
          <w:rFonts w:asciiTheme="minorHAnsi" w:hAnsiTheme="minorHAnsi" w:cstheme="minorHAnsi"/>
          <w:color w:val="000000" w:themeColor="text1"/>
          <w:sz w:val="22"/>
          <w:szCs w:val="22"/>
          <w:lang w:val="en-GB"/>
        </w:rPr>
        <w:t>are</w:t>
      </w:r>
      <w:r w:rsidR="000A08A2">
        <w:rPr>
          <w:rFonts w:asciiTheme="minorHAnsi" w:hAnsiTheme="minorHAnsi" w:cstheme="minorHAnsi"/>
          <w:color w:val="000000" w:themeColor="text1"/>
          <w:sz w:val="22"/>
          <w:szCs w:val="22"/>
          <w:lang w:val="en-GB"/>
        </w:rPr>
        <w:t xml:space="preserve"> </w:t>
      </w:r>
      <w:r w:rsidR="00F0773A" w:rsidRPr="00EF5361">
        <w:rPr>
          <w:rFonts w:asciiTheme="minorHAnsi" w:hAnsiTheme="minorHAnsi" w:cstheme="minorHAnsi"/>
          <w:color w:val="000000" w:themeColor="text1"/>
          <w:sz w:val="22"/>
          <w:szCs w:val="22"/>
          <w:lang w:val="en-GB"/>
        </w:rPr>
        <w:t>establish</w:t>
      </w:r>
      <w:r w:rsidR="00540766">
        <w:rPr>
          <w:rFonts w:asciiTheme="minorHAnsi" w:hAnsiTheme="minorHAnsi" w:cstheme="minorHAnsi"/>
          <w:color w:val="000000" w:themeColor="text1"/>
          <w:sz w:val="22"/>
          <w:szCs w:val="22"/>
          <w:lang w:val="en-GB"/>
        </w:rPr>
        <w:t>ing</w:t>
      </w:r>
      <w:r w:rsidR="004D3AA1" w:rsidRPr="00EF5361">
        <w:rPr>
          <w:rFonts w:asciiTheme="minorHAnsi" w:hAnsiTheme="minorHAnsi" w:cstheme="minorHAnsi"/>
          <w:color w:val="000000" w:themeColor="text1"/>
          <w:sz w:val="22"/>
          <w:szCs w:val="22"/>
          <w:lang w:val="en-GB"/>
        </w:rPr>
        <w:t xml:space="preserve"> two </w:t>
      </w:r>
      <w:r w:rsidR="0064250B" w:rsidRPr="00EF5361">
        <w:rPr>
          <w:rFonts w:asciiTheme="minorHAnsi" w:hAnsiTheme="minorHAnsi" w:cstheme="minorHAnsi"/>
          <w:color w:val="000000" w:themeColor="text1"/>
          <w:sz w:val="22"/>
          <w:szCs w:val="22"/>
          <w:lang w:val="en-GB"/>
        </w:rPr>
        <w:t xml:space="preserve">separate </w:t>
      </w:r>
      <w:r w:rsidR="004D3AA1" w:rsidRPr="00EF5361">
        <w:rPr>
          <w:rFonts w:asciiTheme="minorHAnsi" w:hAnsiTheme="minorHAnsi" w:cstheme="minorHAnsi"/>
          <w:color w:val="000000" w:themeColor="text1"/>
          <w:sz w:val="22"/>
          <w:szCs w:val="22"/>
          <w:lang w:val="en-GB"/>
        </w:rPr>
        <w:t>global registration trials for new antibiotics for children</w:t>
      </w:r>
      <w:r w:rsidR="007B61A7">
        <w:rPr>
          <w:rFonts w:asciiTheme="minorHAnsi" w:hAnsiTheme="minorHAnsi" w:cstheme="minorHAnsi"/>
          <w:color w:val="000000" w:themeColor="text1"/>
          <w:sz w:val="22"/>
          <w:szCs w:val="22"/>
          <w:lang w:val="en-GB"/>
        </w:rPr>
        <w:t xml:space="preserve"> (</w:t>
      </w:r>
      <w:r w:rsidR="004D3AA1" w:rsidRPr="00EF5361">
        <w:rPr>
          <w:rFonts w:asciiTheme="minorHAnsi" w:hAnsiTheme="minorHAnsi" w:cstheme="minorHAnsi"/>
          <w:color w:val="000000" w:themeColor="text1"/>
          <w:sz w:val="22"/>
          <w:szCs w:val="22"/>
          <w:lang w:val="en-GB"/>
        </w:rPr>
        <w:t>one for each regulatory authority</w:t>
      </w:r>
      <w:r w:rsidR="007B61A7">
        <w:rPr>
          <w:rFonts w:asciiTheme="minorHAnsi" w:hAnsiTheme="minorHAnsi" w:cstheme="minorHAnsi"/>
          <w:color w:val="000000" w:themeColor="text1"/>
          <w:sz w:val="22"/>
          <w:szCs w:val="22"/>
          <w:lang w:val="en-GB"/>
        </w:rPr>
        <w:t>)</w:t>
      </w:r>
      <w:r w:rsidR="004D3AA1" w:rsidRPr="00EF5361">
        <w:rPr>
          <w:rFonts w:asciiTheme="minorHAnsi" w:hAnsiTheme="minorHAnsi" w:cstheme="minorHAnsi"/>
          <w:color w:val="000000" w:themeColor="text1"/>
          <w:sz w:val="22"/>
          <w:szCs w:val="22"/>
          <w:lang w:val="en-GB"/>
        </w:rPr>
        <w:t xml:space="preserve">, at </w:t>
      </w:r>
      <w:r w:rsidR="000A08A2">
        <w:rPr>
          <w:rFonts w:asciiTheme="minorHAnsi" w:hAnsiTheme="minorHAnsi" w:cstheme="minorHAnsi"/>
          <w:color w:val="000000" w:themeColor="text1"/>
          <w:sz w:val="22"/>
          <w:szCs w:val="22"/>
          <w:lang w:val="en-GB"/>
        </w:rPr>
        <w:t>significant</w:t>
      </w:r>
      <w:r w:rsidR="004D3AA1" w:rsidRPr="00EF5361">
        <w:rPr>
          <w:rFonts w:asciiTheme="minorHAnsi" w:hAnsiTheme="minorHAnsi" w:cstheme="minorHAnsi"/>
          <w:color w:val="000000" w:themeColor="text1"/>
          <w:sz w:val="22"/>
          <w:szCs w:val="22"/>
          <w:lang w:val="en-GB"/>
        </w:rPr>
        <w:t xml:space="preserve"> expense and complexity, </w:t>
      </w:r>
      <w:r w:rsidR="00405A9D" w:rsidRPr="00EF5361">
        <w:rPr>
          <w:rFonts w:asciiTheme="minorHAnsi" w:hAnsiTheme="minorHAnsi" w:cstheme="minorHAnsi"/>
          <w:color w:val="000000" w:themeColor="text1"/>
          <w:sz w:val="22"/>
          <w:szCs w:val="22"/>
          <w:lang w:val="en-GB"/>
        </w:rPr>
        <w:t xml:space="preserve">potentially </w:t>
      </w:r>
      <w:r w:rsidR="004D3AA1" w:rsidRPr="00EF5361">
        <w:rPr>
          <w:rFonts w:asciiTheme="minorHAnsi" w:hAnsiTheme="minorHAnsi" w:cstheme="minorHAnsi"/>
          <w:color w:val="000000" w:themeColor="text1"/>
          <w:sz w:val="22"/>
          <w:szCs w:val="22"/>
          <w:lang w:val="en-GB"/>
        </w:rPr>
        <w:t xml:space="preserve">delaying </w:t>
      </w:r>
      <w:r w:rsidR="00833E61" w:rsidRPr="00EF5361">
        <w:rPr>
          <w:rFonts w:asciiTheme="minorHAnsi" w:hAnsiTheme="minorHAnsi" w:cstheme="minorHAnsi"/>
          <w:color w:val="000000" w:themeColor="text1"/>
          <w:sz w:val="22"/>
          <w:szCs w:val="22"/>
          <w:lang w:val="en-GB"/>
        </w:rPr>
        <w:t xml:space="preserve">registration </w:t>
      </w:r>
      <w:r w:rsidR="004D3AA1" w:rsidRPr="00EF5361">
        <w:rPr>
          <w:rFonts w:asciiTheme="minorHAnsi" w:hAnsiTheme="minorHAnsi" w:cstheme="minorHAnsi"/>
          <w:color w:val="000000" w:themeColor="text1"/>
          <w:sz w:val="22"/>
          <w:szCs w:val="22"/>
          <w:lang w:val="en-GB"/>
        </w:rPr>
        <w:t xml:space="preserve">and </w:t>
      </w:r>
      <w:r w:rsidR="007A2512" w:rsidRPr="00EF5361">
        <w:rPr>
          <w:rFonts w:asciiTheme="minorHAnsi" w:hAnsiTheme="minorHAnsi" w:cstheme="minorHAnsi"/>
          <w:color w:val="000000" w:themeColor="text1"/>
          <w:sz w:val="22"/>
          <w:szCs w:val="22"/>
          <w:lang w:val="en-GB"/>
        </w:rPr>
        <w:t xml:space="preserve">impacting on </w:t>
      </w:r>
      <w:r w:rsidR="00F776BF" w:rsidRPr="00EF5361">
        <w:rPr>
          <w:rFonts w:asciiTheme="minorHAnsi" w:hAnsiTheme="minorHAnsi" w:cstheme="minorHAnsi"/>
          <w:color w:val="000000" w:themeColor="text1"/>
          <w:sz w:val="22"/>
          <w:szCs w:val="22"/>
          <w:lang w:val="en-GB"/>
        </w:rPr>
        <w:t>the delivery of</w:t>
      </w:r>
      <w:r w:rsidR="007A2512" w:rsidRPr="00EF5361">
        <w:rPr>
          <w:rFonts w:asciiTheme="minorHAnsi" w:hAnsiTheme="minorHAnsi" w:cstheme="minorHAnsi"/>
          <w:color w:val="000000" w:themeColor="text1"/>
          <w:sz w:val="22"/>
          <w:szCs w:val="22"/>
          <w:lang w:val="en-GB"/>
        </w:rPr>
        <w:t xml:space="preserve"> p</w:t>
      </w:r>
      <w:r w:rsidR="000A08A2">
        <w:rPr>
          <w:rFonts w:asciiTheme="minorHAnsi" w:hAnsiTheme="minorHAnsi" w:cstheme="minorHAnsi"/>
          <w:color w:val="000000" w:themeColor="text1"/>
          <w:sz w:val="22"/>
          <w:szCs w:val="22"/>
          <w:lang w:val="en-GB"/>
        </w:rPr>
        <w:t>a</w:t>
      </w:r>
      <w:r w:rsidR="007A2512" w:rsidRPr="00EF5361">
        <w:rPr>
          <w:rFonts w:asciiTheme="minorHAnsi" w:hAnsiTheme="minorHAnsi" w:cstheme="minorHAnsi"/>
          <w:color w:val="000000" w:themeColor="text1"/>
          <w:sz w:val="22"/>
          <w:szCs w:val="22"/>
          <w:lang w:val="en-GB"/>
        </w:rPr>
        <w:t xml:space="preserve">ediatric </w:t>
      </w:r>
      <w:r w:rsidR="00C05299">
        <w:rPr>
          <w:rFonts w:asciiTheme="minorHAnsi" w:hAnsiTheme="minorHAnsi" w:cstheme="minorHAnsi"/>
          <w:color w:val="000000" w:themeColor="text1"/>
          <w:sz w:val="22"/>
          <w:szCs w:val="22"/>
          <w:lang w:val="en-GB"/>
        </w:rPr>
        <w:t xml:space="preserve">drug </w:t>
      </w:r>
      <w:r w:rsidR="004D3AA1" w:rsidRPr="00EF5361">
        <w:rPr>
          <w:rFonts w:asciiTheme="minorHAnsi" w:hAnsiTheme="minorHAnsi" w:cstheme="minorHAnsi"/>
          <w:color w:val="000000" w:themeColor="text1"/>
          <w:sz w:val="22"/>
          <w:szCs w:val="22"/>
          <w:lang w:val="en-GB"/>
        </w:rPr>
        <w:t>development pr</w:t>
      </w:r>
      <w:r w:rsidR="007A2512" w:rsidRPr="00EF5361">
        <w:rPr>
          <w:rFonts w:asciiTheme="minorHAnsi" w:hAnsiTheme="minorHAnsi" w:cstheme="minorHAnsi"/>
          <w:color w:val="000000" w:themeColor="text1"/>
          <w:sz w:val="22"/>
          <w:szCs w:val="22"/>
          <w:lang w:val="en-GB"/>
        </w:rPr>
        <w:t>ograms</w:t>
      </w:r>
      <w:r w:rsidR="004D3AA1" w:rsidRPr="00EF5361">
        <w:rPr>
          <w:rFonts w:asciiTheme="minorHAnsi" w:hAnsiTheme="minorHAnsi" w:cstheme="minorHAnsi"/>
          <w:color w:val="000000" w:themeColor="text1"/>
          <w:sz w:val="22"/>
          <w:szCs w:val="22"/>
          <w:lang w:val="en-GB"/>
        </w:rPr>
        <w:t>.</w:t>
      </w:r>
      <w:r w:rsidR="004D3AA1" w:rsidRPr="00EF5361">
        <w:rPr>
          <w:rFonts w:asciiTheme="minorHAnsi" w:hAnsiTheme="minorHAnsi" w:cstheme="minorHAnsi"/>
          <w:color w:val="000000" w:themeColor="text1"/>
          <w:sz w:val="22"/>
          <w:szCs w:val="22"/>
          <w:lang w:val="en-GB"/>
        </w:rPr>
        <w:fldChar w:fldCharType="begin" w:fldLock="1"/>
      </w:r>
      <w:r w:rsidR="00060798">
        <w:rPr>
          <w:rFonts w:asciiTheme="minorHAnsi" w:hAnsiTheme="minorHAnsi" w:cstheme="minorHAnsi"/>
          <w:color w:val="000000" w:themeColor="text1"/>
          <w:sz w:val="22"/>
          <w:szCs w:val="22"/>
          <w:lang w:val="en-GB"/>
        </w:rPr>
        <w:instrText>ADDIN CSL_CITATION {"citationItems":[{"id":"ITEM-1","itemData":{"DOI":"10.1016/j.curtheres.2019.02.001","ISSN":"0011-393X (Print)","PMID":"31388369","abstract":"Background: The EU Paediatric Regulation was introduced in 2007. In the United States, specific paediatric legislation has existed for even longer. This overview describes the similarities and differences in the legislation and provides input on how to achieve a global, harmonized pediatric development plan. Objectives: The overview aims to investigate, through discussions and case examples, how to achieve pediatric medicines development fulfilling the expectations of the authorities as well as sponsors. Methods: The pediatric legislation used in the European Union and United States are compared, and case studies for pediatric development plans where a global harmonized plan was eventually achieved are discussed. Results: The case studies demonstrate some difficulties in getting to the goal of globally aligned pediatric plan development; however, recent initiatives from EMA and FDA are to a large degree addressing such challenges. Conclusions: Global pediatric drug development is a evolving field, and with recent initiatives from the European Medicines Agency and US Food and Drug Administration, this goal is definitively attainable. (Curr Ther Res Clin Exp. 2019; 80:XXX-XXX).","author":[{"dropping-particle":"","family":"Thomsen","given":"Mette Due Theilade","non-dropping-particle":"","parse-names":false,"suffix":""}],"container-title":"Current therapeutic research, clinical and experimental","id":"ITEM-1","issued":{"date-parts":[["2019"]]},"language":"eng","page":"135-142","publisher-place":"United States","title":"Global Pediatric Drug Development.","type":"article-journal","volume":"90"},"uris":["http://www.mendeley.com/documents/?uuid=fbdf3a8e-adec-4b88-b0aa-b7dbda72a16c"]}],"mendeley":{"formattedCitation":"&lt;sup&gt;8&lt;/sup&gt;","plainTextFormattedCitation":"8","previouslyFormattedCitation":"&lt;sup&gt;8&lt;/sup&gt;"},"properties":{"noteIndex":0},"schema":"https://github.com/citation-style-language/schema/raw/master/csl-citation.json"}</w:instrText>
      </w:r>
      <w:r w:rsidR="004D3AA1" w:rsidRPr="00EF5361">
        <w:rPr>
          <w:rFonts w:asciiTheme="minorHAnsi" w:hAnsiTheme="minorHAnsi" w:cstheme="minorHAnsi"/>
          <w:color w:val="000000" w:themeColor="text1"/>
          <w:sz w:val="22"/>
          <w:szCs w:val="22"/>
          <w:lang w:val="en-GB"/>
        </w:rPr>
        <w:fldChar w:fldCharType="separate"/>
      </w:r>
      <w:r w:rsidR="00060798" w:rsidRPr="00060798">
        <w:rPr>
          <w:rFonts w:asciiTheme="minorHAnsi" w:hAnsiTheme="minorHAnsi" w:cstheme="minorHAnsi"/>
          <w:noProof/>
          <w:color w:val="000000" w:themeColor="text1"/>
          <w:sz w:val="22"/>
          <w:szCs w:val="22"/>
          <w:vertAlign w:val="superscript"/>
          <w:lang w:val="en-GB"/>
        </w:rPr>
        <w:t>8</w:t>
      </w:r>
      <w:r w:rsidR="004D3AA1" w:rsidRPr="00EF5361">
        <w:rPr>
          <w:rFonts w:asciiTheme="minorHAnsi" w:hAnsiTheme="minorHAnsi" w:cstheme="minorHAnsi"/>
          <w:color w:val="000000" w:themeColor="text1"/>
          <w:sz w:val="22"/>
          <w:szCs w:val="22"/>
          <w:lang w:val="en-GB"/>
        </w:rPr>
        <w:fldChar w:fldCharType="end"/>
      </w:r>
      <w:r w:rsidR="007B61A7">
        <w:rPr>
          <w:rFonts w:asciiTheme="minorHAnsi" w:hAnsiTheme="minorHAnsi" w:cstheme="minorHAnsi"/>
          <w:color w:val="000000" w:themeColor="text1"/>
          <w:sz w:val="22"/>
          <w:szCs w:val="22"/>
          <w:lang w:val="en-GB"/>
        </w:rPr>
        <w:t xml:space="preserve"> </w:t>
      </w:r>
      <w:r w:rsidR="00CE15A2" w:rsidRPr="00EF5361">
        <w:rPr>
          <w:rFonts w:asciiTheme="minorHAnsi" w:hAnsiTheme="minorHAnsi" w:cstheme="minorHAnsi"/>
          <w:color w:val="000000" w:themeColor="text1"/>
          <w:sz w:val="22"/>
          <w:szCs w:val="22"/>
          <w:lang w:val="en-GB"/>
        </w:rPr>
        <w:t>By contrast, t</w:t>
      </w:r>
      <w:r w:rsidR="00C1676A" w:rsidRPr="00EF5361">
        <w:rPr>
          <w:rFonts w:asciiTheme="minorHAnsi" w:hAnsiTheme="minorHAnsi" w:cstheme="minorHAnsi"/>
          <w:color w:val="000000" w:themeColor="text1"/>
          <w:sz w:val="22"/>
          <w:szCs w:val="22"/>
          <w:lang w:val="en-GB"/>
        </w:rPr>
        <w:t xml:space="preserve">here have been significant </w:t>
      </w:r>
      <w:r w:rsidR="00C1676A" w:rsidRPr="00EF5361">
        <w:rPr>
          <w:rFonts w:asciiTheme="minorHAnsi" w:hAnsiTheme="minorHAnsi" w:cstheme="minorHAnsi"/>
          <w:color w:val="000000" w:themeColor="text1"/>
          <w:sz w:val="22"/>
          <w:szCs w:val="22"/>
          <w:lang w:val="en-GB"/>
        </w:rPr>
        <w:lastRenderedPageBreak/>
        <w:t xml:space="preserve">advances in streamlining antibiotic regulatory trials for adults, </w:t>
      </w:r>
      <w:r w:rsidR="00426673">
        <w:rPr>
          <w:rFonts w:asciiTheme="minorHAnsi" w:hAnsiTheme="minorHAnsi" w:cstheme="minorHAnsi"/>
          <w:color w:val="000000" w:themeColor="text1"/>
          <w:sz w:val="22"/>
          <w:szCs w:val="22"/>
          <w:lang w:val="en-GB"/>
        </w:rPr>
        <w:t xml:space="preserve">further </w:t>
      </w:r>
      <w:r w:rsidR="00031692" w:rsidRPr="00EF5361">
        <w:rPr>
          <w:rFonts w:asciiTheme="minorHAnsi" w:hAnsiTheme="minorHAnsi" w:cstheme="minorHAnsi"/>
          <w:color w:val="000000" w:themeColor="text1"/>
          <w:sz w:val="22"/>
          <w:szCs w:val="22"/>
          <w:lang w:val="en-GB"/>
        </w:rPr>
        <w:t>shortening</w:t>
      </w:r>
      <w:r w:rsidR="00C1676A" w:rsidRPr="00EF5361">
        <w:rPr>
          <w:rFonts w:asciiTheme="minorHAnsi" w:hAnsiTheme="minorHAnsi" w:cstheme="minorHAnsi"/>
          <w:color w:val="000000" w:themeColor="text1"/>
          <w:sz w:val="22"/>
          <w:szCs w:val="22"/>
          <w:lang w:val="en-GB"/>
        </w:rPr>
        <w:t xml:space="preserve"> the approval process</w:t>
      </w:r>
      <w:r w:rsidR="00426673">
        <w:rPr>
          <w:rFonts w:asciiTheme="minorHAnsi" w:hAnsiTheme="minorHAnsi" w:cstheme="minorHAnsi"/>
          <w:color w:val="000000" w:themeColor="text1"/>
          <w:sz w:val="22"/>
          <w:szCs w:val="22"/>
          <w:lang w:val="en-GB"/>
        </w:rPr>
        <w:t xml:space="preserve"> for this age group</w:t>
      </w:r>
      <w:r w:rsidR="00865D30" w:rsidRPr="00EF5361">
        <w:rPr>
          <w:rFonts w:asciiTheme="minorHAnsi" w:hAnsiTheme="minorHAnsi" w:cstheme="minorHAnsi"/>
          <w:color w:val="000000" w:themeColor="text1"/>
          <w:sz w:val="22"/>
          <w:szCs w:val="22"/>
          <w:lang w:val="en-GB"/>
        </w:rPr>
        <w:t>.</w:t>
      </w:r>
      <w:r w:rsidR="00031692" w:rsidRPr="00EF5361">
        <w:rPr>
          <w:rFonts w:asciiTheme="minorHAnsi" w:hAnsiTheme="minorHAnsi" w:cstheme="minorHAnsi"/>
          <w:color w:val="000000" w:themeColor="text1"/>
          <w:sz w:val="22"/>
          <w:szCs w:val="22"/>
          <w:lang w:val="en-GB"/>
        </w:rPr>
        <w:fldChar w:fldCharType="begin" w:fldLock="1"/>
      </w:r>
      <w:r w:rsidR="00060798">
        <w:rPr>
          <w:rFonts w:asciiTheme="minorHAnsi" w:hAnsiTheme="minorHAnsi" w:cstheme="minorHAnsi"/>
          <w:color w:val="000000" w:themeColor="text1"/>
          <w:sz w:val="22"/>
          <w:szCs w:val="22"/>
          <w:lang w:val="en-GB"/>
        </w:rPr>
        <w:instrText>ADDIN CSL_CITATION {"citationItems":[{"id":"ITEM-1","itemData":{"DOI":"10.1016/S1473-3099(20)30197-3","ISSN":"1473-3099","abstract":"Antimicrobial resistance is of growing concern. To encourage development of new treatments, some commentators have suggested regulators exercise increased flexibility on the clinical evidence required for approval. We examined all 1065 new drugs and biologics approved by the US Food and Drug Administration between 1984 and 2018 and recorded each drug's use of the Orphan Drug Act, fast-track, priority review, accelerated approval, and breakthrough therapy programmes, as well as dates of investigational new drug application, new drug application, and new drug approval, which were used to calculate clinical development and review times. There were 178 (17%) antimicrobial products, which were more likely than non-antimicrobial products to benefit from priority review (103 [58%] of 178 vs 402 [45%] of 887, p=0·0023), fast-track designation (58 [37%] of 157 vs 151 [19%] of 814], p&lt;0·001), and accelerated approval (23 [18%] of 129 vs 67 [9%] of 711, p=0·0046), and less likely to have Orphan Drug Act designation (25 [14%] of 178 vs 267 [30%] of 887, p&lt;0·0001). Median time from investigational new drug application to approval was shorter for antimicrobial than for non-antimicrobial drugs (5·9 years [IQR 4·6?7·3] vs 7·6 years [IQR 5·7?10·2], p&lt;0·001). Except for Orphan Drug Act status, expedited clinical testing and review programmes have been used at least as frequently for antimicrobial products as for non-antimicrobial drugs. No evidence supported claims that antimicrobial progress through the regulatory approval process in the USA is more time-consuming than non-antimicrobial development.","author":[{"dropping-particle":"","family":"Darrow","given":"Jonathan J","non-dropping-particle":"","parse-names":false,"suffix":""},{"dropping-particle":"","family":"Najafzadeh","given":"Mehdi","non-dropping-particle":"","parse-names":false,"suffix":""},{"dropping-particle":"","family":"Stefanini","given":"Kristina","non-dropping-particle":"","parse-names":false,"suffix":""},{"dropping-particle":"","family":"Kesselheim","given":"Aaron S","non-dropping-particle":"","parse-names":false,"suffix":""}],"container-title":"The Lancet Infectious Diseases","id":"ITEM-1","issue":"7","issued":{"date-parts":[["2020","7","1"]]},"note":"doi: 10.1016/S1473-3099(20)30197-3","page":"e159-e164","publisher":"Elsevier","title":"Regulatory approval characteristics of antimicrobial versus non-antimicrobial products, 1984-2018: an evaluation of Food and Drug Administration flexibilities","type":"article-journal","volume":"20"},"uris":["http://www.mendeley.com/documents/?uuid=392c5310-4538-4dde-b1a0-daf0b2c07841"]}],"mendeley":{"formattedCitation":"&lt;sup&gt;9&lt;/sup&gt;","plainTextFormattedCitation":"9","previouslyFormattedCitation":"&lt;sup&gt;9&lt;/sup&gt;"},"properties":{"noteIndex":0},"schema":"https://github.com/citation-style-language/schema/raw/master/csl-citation.json"}</w:instrText>
      </w:r>
      <w:r w:rsidR="00031692" w:rsidRPr="00EF5361">
        <w:rPr>
          <w:rFonts w:asciiTheme="minorHAnsi" w:hAnsiTheme="minorHAnsi" w:cstheme="minorHAnsi"/>
          <w:color w:val="000000" w:themeColor="text1"/>
          <w:sz w:val="22"/>
          <w:szCs w:val="22"/>
          <w:lang w:val="en-GB"/>
        </w:rPr>
        <w:fldChar w:fldCharType="separate"/>
      </w:r>
      <w:r w:rsidR="00060798" w:rsidRPr="00060798">
        <w:rPr>
          <w:rFonts w:asciiTheme="minorHAnsi" w:hAnsiTheme="minorHAnsi" w:cstheme="minorHAnsi"/>
          <w:noProof/>
          <w:color w:val="000000" w:themeColor="text1"/>
          <w:sz w:val="22"/>
          <w:szCs w:val="22"/>
          <w:vertAlign w:val="superscript"/>
          <w:lang w:val="en-GB"/>
        </w:rPr>
        <w:t>9</w:t>
      </w:r>
      <w:r w:rsidR="00031692" w:rsidRPr="00EF5361">
        <w:rPr>
          <w:rFonts w:asciiTheme="minorHAnsi" w:hAnsiTheme="minorHAnsi" w:cstheme="minorHAnsi"/>
          <w:color w:val="000000" w:themeColor="text1"/>
          <w:sz w:val="22"/>
          <w:szCs w:val="22"/>
          <w:lang w:val="en-GB"/>
        </w:rPr>
        <w:fldChar w:fldCharType="end"/>
      </w:r>
      <w:r w:rsidR="00C1676A" w:rsidRPr="00EF5361">
        <w:rPr>
          <w:rFonts w:asciiTheme="minorHAnsi" w:hAnsiTheme="minorHAnsi" w:cstheme="minorHAnsi"/>
          <w:color w:val="000000" w:themeColor="text1"/>
          <w:sz w:val="22"/>
          <w:szCs w:val="22"/>
          <w:lang w:val="en-GB"/>
        </w:rPr>
        <w:t xml:space="preserve"> </w:t>
      </w:r>
      <w:r w:rsidR="00B034E3" w:rsidRPr="00EF5361">
        <w:rPr>
          <w:rFonts w:asciiTheme="minorHAnsi" w:hAnsiTheme="minorHAnsi" w:cstheme="minorHAnsi"/>
          <w:color w:val="000000" w:themeColor="text1"/>
          <w:sz w:val="22"/>
          <w:szCs w:val="22"/>
          <w:lang w:val="en-GB"/>
        </w:rPr>
        <w:t>T</w:t>
      </w:r>
      <w:r w:rsidR="00DC4577" w:rsidRPr="00EF5361">
        <w:rPr>
          <w:rFonts w:asciiTheme="minorHAnsi" w:hAnsiTheme="minorHAnsi" w:cstheme="minorHAnsi"/>
          <w:color w:val="000000" w:themeColor="text1"/>
          <w:sz w:val="22"/>
          <w:szCs w:val="22"/>
          <w:lang w:val="en-GB"/>
        </w:rPr>
        <w:t>here is</w:t>
      </w:r>
      <w:r w:rsidR="003E27B9">
        <w:rPr>
          <w:rFonts w:asciiTheme="minorHAnsi" w:hAnsiTheme="minorHAnsi" w:cstheme="minorHAnsi"/>
          <w:color w:val="000000" w:themeColor="text1"/>
          <w:sz w:val="22"/>
          <w:szCs w:val="22"/>
          <w:lang w:val="en-GB"/>
        </w:rPr>
        <w:t xml:space="preserve"> </w:t>
      </w:r>
      <w:r w:rsidR="00426673">
        <w:rPr>
          <w:rFonts w:asciiTheme="minorHAnsi" w:hAnsiTheme="minorHAnsi" w:cstheme="minorHAnsi"/>
          <w:color w:val="000000" w:themeColor="text1"/>
          <w:sz w:val="22"/>
          <w:szCs w:val="22"/>
          <w:lang w:val="en-GB"/>
        </w:rPr>
        <w:t>therefore currently</w:t>
      </w:r>
      <w:r w:rsidR="00B034E3" w:rsidRPr="00EF5361">
        <w:rPr>
          <w:rFonts w:asciiTheme="minorHAnsi" w:hAnsiTheme="minorHAnsi" w:cstheme="minorHAnsi"/>
          <w:color w:val="000000" w:themeColor="text1"/>
          <w:sz w:val="22"/>
          <w:szCs w:val="22"/>
          <w:lang w:val="en-GB"/>
        </w:rPr>
        <w:t xml:space="preserve"> </w:t>
      </w:r>
      <w:r w:rsidR="00DC4577" w:rsidRPr="00EF5361">
        <w:rPr>
          <w:rFonts w:asciiTheme="minorHAnsi" w:hAnsiTheme="minorHAnsi" w:cstheme="minorHAnsi"/>
          <w:color w:val="000000" w:themeColor="text1"/>
          <w:sz w:val="22"/>
          <w:szCs w:val="22"/>
          <w:lang w:val="en-GB"/>
        </w:rPr>
        <w:t xml:space="preserve">a delay </w:t>
      </w:r>
      <w:r w:rsidR="00B56368" w:rsidRPr="00EF5361">
        <w:rPr>
          <w:rFonts w:asciiTheme="minorHAnsi" w:hAnsiTheme="minorHAnsi" w:cstheme="minorHAnsi"/>
          <w:color w:val="000000" w:themeColor="text1"/>
          <w:sz w:val="22"/>
          <w:szCs w:val="22"/>
          <w:lang w:val="en-GB"/>
        </w:rPr>
        <w:t xml:space="preserve">of </w:t>
      </w:r>
      <w:r w:rsidR="004D3AA1" w:rsidRPr="00EF5361">
        <w:rPr>
          <w:rFonts w:asciiTheme="minorHAnsi" w:hAnsiTheme="minorHAnsi" w:cstheme="minorHAnsi"/>
          <w:color w:val="000000" w:themeColor="text1"/>
          <w:sz w:val="22"/>
          <w:szCs w:val="22"/>
          <w:lang w:val="en-GB"/>
        </w:rPr>
        <w:t xml:space="preserve">around </w:t>
      </w:r>
      <w:r>
        <w:rPr>
          <w:rFonts w:asciiTheme="minorHAnsi" w:hAnsiTheme="minorHAnsi" w:cstheme="minorHAnsi"/>
          <w:color w:val="000000" w:themeColor="text1"/>
          <w:sz w:val="22"/>
          <w:szCs w:val="22"/>
          <w:lang w:val="en-GB"/>
        </w:rPr>
        <w:t>a</w:t>
      </w:r>
      <w:r w:rsidR="004D3AA1" w:rsidRPr="00EF5361">
        <w:rPr>
          <w:rFonts w:asciiTheme="minorHAnsi" w:hAnsiTheme="minorHAnsi" w:cstheme="minorHAnsi"/>
          <w:color w:val="000000" w:themeColor="text1"/>
          <w:sz w:val="22"/>
          <w:szCs w:val="22"/>
          <w:lang w:val="en-GB"/>
        </w:rPr>
        <w:t xml:space="preserve"> decade</w:t>
      </w:r>
      <w:r w:rsidR="00B56368" w:rsidRPr="00EF5361">
        <w:rPr>
          <w:rFonts w:asciiTheme="minorHAnsi" w:hAnsiTheme="minorHAnsi" w:cstheme="minorHAnsi"/>
          <w:color w:val="000000" w:themeColor="text1"/>
          <w:sz w:val="22"/>
          <w:szCs w:val="22"/>
          <w:lang w:val="en-GB"/>
        </w:rPr>
        <w:t xml:space="preserve"> between </w:t>
      </w:r>
      <w:r w:rsidR="00C77B59" w:rsidRPr="00EF5361">
        <w:rPr>
          <w:rFonts w:asciiTheme="minorHAnsi" w:hAnsiTheme="minorHAnsi" w:cstheme="minorHAnsi"/>
          <w:color w:val="000000" w:themeColor="text1"/>
          <w:sz w:val="22"/>
          <w:szCs w:val="22"/>
          <w:lang w:val="en-GB"/>
        </w:rPr>
        <w:t xml:space="preserve">the time </w:t>
      </w:r>
      <w:r w:rsidR="00B56368" w:rsidRPr="00EF5361">
        <w:rPr>
          <w:rFonts w:asciiTheme="minorHAnsi" w:hAnsiTheme="minorHAnsi" w:cstheme="minorHAnsi"/>
          <w:color w:val="000000" w:themeColor="text1"/>
          <w:sz w:val="22"/>
          <w:szCs w:val="22"/>
          <w:lang w:val="en-GB"/>
        </w:rPr>
        <w:t xml:space="preserve">antibiotics </w:t>
      </w:r>
      <w:r w:rsidR="00C77B59" w:rsidRPr="00EF5361">
        <w:rPr>
          <w:rFonts w:asciiTheme="minorHAnsi" w:hAnsiTheme="minorHAnsi" w:cstheme="minorHAnsi"/>
          <w:color w:val="000000" w:themeColor="text1"/>
          <w:sz w:val="22"/>
          <w:szCs w:val="22"/>
          <w:lang w:val="en-GB"/>
        </w:rPr>
        <w:t xml:space="preserve">are </w:t>
      </w:r>
      <w:r w:rsidR="00B56368" w:rsidRPr="00EF5361">
        <w:rPr>
          <w:rFonts w:asciiTheme="minorHAnsi" w:hAnsiTheme="minorHAnsi" w:cstheme="minorHAnsi"/>
          <w:color w:val="000000" w:themeColor="text1"/>
          <w:sz w:val="22"/>
          <w:szCs w:val="22"/>
          <w:lang w:val="en-GB"/>
        </w:rPr>
        <w:t>licensed for use in adults before they</w:t>
      </w:r>
      <w:r w:rsidR="00EF1CE9" w:rsidRPr="00EF5361">
        <w:rPr>
          <w:rFonts w:asciiTheme="minorHAnsi" w:hAnsiTheme="minorHAnsi" w:cstheme="minorHAnsi"/>
          <w:color w:val="000000" w:themeColor="text1"/>
          <w:sz w:val="22"/>
          <w:szCs w:val="22"/>
          <w:lang w:val="en-GB"/>
        </w:rPr>
        <w:t xml:space="preserve"> </w:t>
      </w:r>
      <w:r w:rsidR="00B034E3" w:rsidRPr="00EF5361">
        <w:rPr>
          <w:rFonts w:asciiTheme="minorHAnsi" w:hAnsiTheme="minorHAnsi" w:cstheme="minorHAnsi"/>
          <w:color w:val="000000" w:themeColor="text1"/>
          <w:sz w:val="22"/>
          <w:szCs w:val="22"/>
          <w:lang w:val="en-GB"/>
        </w:rPr>
        <w:t>are licensed in children</w:t>
      </w:r>
      <w:r w:rsidR="00B56368" w:rsidRPr="00EF5361">
        <w:rPr>
          <w:rFonts w:asciiTheme="minorHAnsi" w:hAnsiTheme="minorHAnsi" w:cstheme="minorHAnsi"/>
          <w:color w:val="000000" w:themeColor="text1"/>
          <w:sz w:val="22"/>
          <w:szCs w:val="22"/>
          <w:lang w:val="en-GB"/>
        </w:rPr>
        <w:t>.</w:t>
      </w:r>
      <w:r w:rsidR="00322B6F" w:rsidRPr="00EF5361">
        <w:rPr>
          <w:rFonts w:asciiTheme="minorHAnsi" w:hAnsiTheme="minorHAnsi" w:cstheme="minorHAnsi"/>
          <w:color w:val="000000" w:themeColor="text1"/>
          <w:sz w:val="22"/>
          <w:szCs w:val="22"/>
          <w:lang w:val="en-GB"/>
        </w:rPr>
        <w:fldChar w:fldCharType="begin" w:fldLock="1"/>
      </w:r>
      <w:r w:rsidR="00060798">
        <w:rPr>
          <w:rFonts w:asciiTheme="minorHAnsi" w:hAnsiTheme="minorHAnsi" w:cstheme="minorHAnsi"/>
          <w:color w:val="000000" w:themeColor="text1"/>
          <w:sz w:val="22"/>
          <w:szCs w:val="22"/>
          <w:lang w:val="en-GB"/>
        </w:rPr>
        <w:instrText>ADDIN CSL_CITATION {"citationItems":[{"id":"ITEM-1","itemData":{"DOI":"10.1136/bmjopen-2019-032592","ISSN":"2044-6055 (Electronic)","PMID":"31892658","abstract":"Antimicrobial development for children remains challenging due to multiple barriers  to conducting randomised clinical trials (CTs). There is currently considerable heterogeneity in the design and conduct of paediatric antibiotic studies, hampering comparison and meta-analytic approaches. The board of the European networks for paediatric research at the European Medicines Agency (EMA), in collaboration with the Paediatric European Network for Treatments of AIDS-Infectious Diseases network (www.penta-id.org), recently developed a Working Group on paediatric antibiotic CT design, involving academic, regulatory and industry representatives. The evidence base for any specific criteria for the design and conduct of efficacy and safety antibiotic trials for children is very limited and will evolve over time as further studies are conducted. The suggestions being put forward here are based on the adult EMA guidance, adapted for neonates and children. In particular, this document provides suggested guidance on the general principles of harmonisation between regulatory and strategic trials, including (1) standardised key inclusion/exclusion criteria and widely applicable outcome measures for specific clinical infectious syndromes (CIS) to be used in CTs on efficacy of antibiotic in children; (2) key components of safety that should be reported in paediatric antibiotic CTs; (3) standardised sample sizes for safety studies. Summarising views from a range of key stakeholders, specific criteria for the design and conduct of efficacy and safety antibiotic trials in specific CIS for children have been suggested. The recommended criteria are intended to be applicable to both regulatory and clinical investigator-led strategic trials and could be the basis for harmonisation in the design and conduct of CTs on antibiotics in children. The next step is further discussion internationally with investigators, paediatric CTs networks and regulators.","author":[{"dropping-particle":"","family":"Folgori","given":"Laura","non-dropping-particle":"","parse-names":false,"suffix":""},{"dropping-particle":"","family":"Lutsar","given":"Irja","non-dropping-particle":"","parse-names":false,"suffix":""},{"dropping-particle":"","family":"Standing","given":"Joseph F","non-dropping-particle":"","parse-names":false,"suffix":""},{"dropping-particle":"","family":"Walker","given":"A Sarah","non-dropping-particle":"","parse-names":false,"suffix":""},{"dropping-particle":"","family":"Roilides","given":"Emmanuel","non-dropping-particle":"","parse-names":false,"suffix":""},{"dropping-particle":"","family":"Zaoutis","given":"Theoklis E","non-dropping-particle":"","parse-names":false,"suffix":""},{"dropping-particle":"","family":"Jafri","given":"Hasan","non-dropping-particle":"","parse-names":false,"suffix":""},{"dropping-particle":"","family":"Giaquinto","given":"Carlo","non-dropping-particle":"","parse-names":false,"suffix":""},{"dropping-particle":"","family":"Turner","given":"Mark A","non-dropping-particle":"","parse-names":false,"suffix":""},{"dropping-particle":"","family":"Sharland","given":"Mike","non-dropping-particle":"","parse-names":false,"suffix":""}],"container-title":"BMJ open","id":"ITEM-1","issue":"12","issued":{"date-parts":[["2019","12"]]},"language":"eng","page":"e032592","title":"Standardising neonatal and paediatric antibiotic clinical trial design and conduct:  the PENTA-ID network view.","type":"article-journal","volume":"9"},"uris":["http://www.mendeley.com/documents/?uuid=68d5b955-49a6-439a-8327-f0ab04918f79"]}],"mendeley":{"formattedCitation":"&lt;sup&gt;7&lt;/sup&gt;","plainTextFormattedCitation":"7","previouslyFormattedCitation":"&lt;sup&gt;7&lt;/sup&gt;"},"properties":{"noteIndex":0},"schema":"https://github.com/citation-style-language/schema/raw/master/csl-citation.json"}</w:instrText>
      </w:r>
      <w:r w:rsidR="00322B6F" w:rsidRPr="00EF5361">
        <w:rPr>
          <w:rFonts w:asciiTheme="minorHAnsi" w:hAnsiTheme="minorHAnsi" w:cstheme="minorHAnsi"/>
          <w:color w:val="000000" w:themeColor="text1"/>
          <w:sz w:val="22"/>
          <w:szCs w:val="22"/>
          <w:lang w:val="en-GB"/>
        </w:rPr>
        <w:fldChar w:fldCharType="separate"/>
      </w:r>
      <w:r w:rsidR="00060798" w:rsidRPr="00060798">
        <w:rPr>
          <w:rFonts w:asciiTheme="minorHAnsi" w:hAnsiTheme="minorHAnsi" w:cstheme="minorHAnsi"/>
          <w:noProof/>
          <w:color w:val="000000" w:themeColor="text1"/>
          <w:sz w:val="22"/>
          <w:szCs w:val="22"/>
          <w:vertAlign w:val="superscript"/>
          <w:lang w:val="en-GB"/>
        </w:rPr>
        <w:t>7</w:t>
      </w:r>
      <w:r w:rsidR="00322B6F" w:rsidRPr="00EF5361">
        <w:rPr>
          <w:rFonts w:asciiTheme="minorHAnsi" w:hAnsiTheme="minorHAnsi" w:cstheme="minorHAnsi"/>
          <w:color w:val="000000" w:themeColor="text1"/>
          <w:sz w:val="22"/>
          <w:szCs w:val="22"/>
          <w:lang w:val="en-GB"/>
        </w:rPr>
        <w:fldChar w:fldCharType="end"/>
      </w:r>
      <w:r w:rsidR="00621174" w:rsidRPr="00EF5361">
        <w:rPr>
          <w:rFonts w:asciiTheme="minorHAnsi" w:hAnsiTheme="minorHAnsi" w:cstheme="minorHAnsi"/>
          <w:color w:val="000000" w:themeColor="text1"/>
          <w:sz w:val="22"/>
          <w:szCs w:val="22"/>
          <w:lang w:val="en-GB"/>
        </w:rPr>
        <w:t xml:space="preserve"> </w:t>
      </w:r>
    </w:p>
    <w:p w14:paraId="03D658DB" w14:textId="77777777" w:rsidR="003E27B9" w:rsidRDefault="003E27B9" w:rsidP="005E4C28">
      <w:pPr>
        <w:shd w:val="clear" w:color="auto" w:fill="FFFFFF"/>
        <w:jc w:val="both"/>
        <w:rPr>
          <w:rFonts w:asciiTheme="minorHAnsi" w:hAnsiTheme="minorHAnsi" w:cstheme="minorHAnsi"/>
          <w:color w:val="000000" w:themeColor="text1"/>
          <w:sz w:val="22"/>
          <w:szCs w:val="22"/>
          <w:lang w:val="en-GB"/>
        </w:rPr>
      </w:pPr>
    </w:p>
    <w:p w14:paraId="408A5FBD" w14:textId="1858960A" w:rsidR="000C684F" w:rsidRDefault="00D71C32" w:rsidP="005E4C28">
      <w:pPr>
        <w:shd w:val="clear" w:color="auto" w:fill="FFFFFF"/>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Currently</w:t>
      </w:r>
      <w:r w:rsidR="00FF7022">
        <w:rPr>
          <w:rFonts w:asciiTheme="minorHAnsi" w:hAnsiTheme="minorHAnsi" w:cstheme="minorHAnsi"/>
          <w:color w:val="000000" w:themeColor="text1"/>
          <w:sz w:val="22"/>
          <w:szCs w:val="22"/>
          <w:lang w:val="en-GB"/>
        </w:rPr>
        <w:t>,</w:t>
      </w:r>
      <w:r w:rsidR="00405A9D" w:rsidRPr="00EF5361">
        <w:rPr>
          <w:rFonts w:asciiTheme="minorHAnsi" w:hAnsiTheme="minorHAnsi" w:cstheme="minorHAnsi"/>
          <w:color w:val="000000" w:themeColor="text1"/>
          <w:sz w:val="22"/>
          <w:szCs w:val="22"/>
          <w:lang w:val="en-GB"/>
        </w:rPr>
        <w:t xml:space="preserve"> </w:t>
      </w:r>
      <w:r w:rsidR="001A58B4" w:rsidRPr="00EF5361">
        <w:rPr>
          <w:rFonts w:asciiTheme="minorHAnsi" w:hAnsiTheme="minorHAnsi" w:cstheme="minorHAnsi"/>
          <w:color w:val="000000" w:themeColor="text1"/>
          <w:sz w:val="22"/>
          <w:szCs w:val="22"/>
          <w:lang w:val="en-GB"/>
        </w:rPr>
        <w:t xml:space="preserve">only </w:t>
      </w:r>
      <w:r w:rsidR="00405A9D" w:rsidRPr="00EF5361">
        <w:rPr>
          <w:rFonts w:asciiTheme="minorHAnsi" w:hAnsiTheme="minorHAnsi" w:cstheme="minorHAnsi"/>
          <w:color w:val="000000" w:themeColor="text1"/>
          <w:sz w:val="22"/>
          <w:szCs w:val="22"/>
          <w:lang w:val="en-GB"/>
        </w:rPr>
        <w:t xml:space="preserve">five </w:t>
      </w:r>
      <w:r w:rsidR="002E4D14">
        <w:rPr>
          <w:rFonts w:asciiTheme="minorHAnsi" w:hAnsiTheme="minorHAnsi" w:cstheme="minorHAnsi"/>
          <w:color w:val="000000" w:themeColor="text1"/>
          <w:sz w:val="22"/>
          <w:szCs w:val="22"/>
          <w:lang w:val="en-GB"/>
        </w:rPr>
        <w:t xml:space="preserve">new </w:t>
      </w:r>
      <w:r w:rsidR="00C142D9" w:rsidRPr="00EF5361">
        <w:rPr>
          <w:rFonts w:asciiTheme="minorHAnsi" w:hAnsiTheme="minorHAnsi" w:cstheme="minorHAnsi"/>
          <w:color w:val="000000" w:themeColor="text1"/>
          <w:sz w:val="22"/>
          <w:szCs w:val="22"/>
          <w:lang w:val="en-GB"/>
        </w:rPr>
        <w:t>antibiotic</w:t>
      </w:r>
      <w:r w:rsidR="009D3FCC">
        <w:rPr>
          <w:rFonts w:asciiTheme="minorHAnsi" w:hAnsiTheme="minorHAnsi" w:cstheme="minorHAnsi"/>
          <w:color w:val="000000" w:themeColor="text1"/>
          <w:sz w:val="22"/>
          <w:szCs w:val="22"/>
          <w:lang w:val="en-GB"/>
        </w:rPr>
        <w:t xml:space="preserve"> trials</w:t>
      </w:r>
      <w:r w:rsidR="00C142D9" w:rsidRPr="00EF5361">
        <w:rPr>
          <w:rFonts w:asciiTheme="minorHAnsi" w:hAnsiTheme="minorHAnsi" w:cstheme="minorHAnsi"/>
          <w:color w:val="000000" w:themeColor="text1"/>
          <w:sz w:val="22"/>
          <w:szCs w:val="22"/>
          <w:lang w:val="en-GB"/>
        </w:rPr>
        <w:t xml:space="preserve"> </w:t>
      </w:r>
      <w:r w:rsidR="002E4D14">
        <w:rPr>
          <w:rFonts w:asciiTheme="minorHAnsi" w:hAnsiTheme="minorHAnsi" w:cstheme="minorHAnsi"/>
          <w:color w:val="000000" w:themeColor="text1"/>
          <w:sz w:val="22"/>
          <w:szCs w:val="22"/>
          <w:lang w:val="en-GB"/>
        </w:rPr>
        <w:t>to address</w:t>
      </w:r>
      <w:r w:rsidR="002E4D14" w:rsidRPr="00EF5361">
        <w:rPr>
          <w:rFonts w:asciiTheme="minorHAnsi" w:hAnsiTheme="minorHAnsi" w:cstheme="minorHAnsi"/>
          <w:color w:val="000000" w:themeColor="text1"/>
          <w:sz w:val="22"/>
          <w:szCs w:val="22"/>
          <w:lang w:val="en-GB"/>
        </w:rPr>
        <w:t xml:space="preserve"> </w:t>
      </w:r>
      <w:r w:rsidR="002E4D14">
        <w:rPr>
          <w:rFonts w:asciiTheme="minorHAnsi" w:hAnsiTheme="minorHAnsi" w:cstheme="minorHAnsi"/>
          <w:color w:val="000000" w:themeColor="text1"/>
          <w:sz w:val="22"/>
          <w:szCs w:val="22"/>
          <w:lang w:val="en-GB"/>
        </w:rPr>
        <w:t xml:space="preserve">MDR </w:t>
      </w:r>
      <w:r w:rsidR="002E4D14" w:rsidRPr="00EF5361">
        <w:rPr>
          <w:rFonts w:asciiTheme="minorHAnsi" w:hAnsiTheme="minorHAnsi" w:cstheme="minorHAnsi"/>
          <w:color w:val="000000" w:themeColor="text1"/>
          <w:sz w:val="22"/>
          <w:szCs w:val="22"/>
          <w:lang w:val="en-GB"/>
        </w:rPr>
        <w:t xml:space="preserve">infections </w:t>
      </w:r>
      <w:r>
        <w:rPr>
          <w:rFonts w:asciiTheme="minorHAnsi" w:hAnsiTheme="minorHAnsi" w:cstheme="minorHAnsi"/>
          <w:color w:val="000000" w:themeColor="text1"/>
          <w:sz w:val="22"/>
          <w:szCs w:val="22"/>
          <w:lang w:val="en-GB"/>
        </w:rPr>
        <w:t xml:space="preserve">are </w:t>
      </w:r>
      <w:r w:rsidR="002E4D14">
        <w:rPr>
          <w:rFonts w:asciiTheme="minorHAnsi" w:hAnsiTheme="minorHAnsi" w:cstheme="minorHAnsi"/>
          <w:color w:val="000000" w:themeColor="text1"/>
          <w:sz w:val="22"/>
          <w:szCs w:val="22"/>
          <w:lang w:val="en-GB"/>
        </w:rPr>
        <w:t>actively recruiting children (</w:t>
      </w:r>
      <w:r w:rsidR="002E4D14" w:rsidRPr="00EF5361">
        <w:rPr>
          <w:rFonts w:asciiTheme="minorHAnsi" w:hAnsiTheme="minorHAnsi" w:cstheme="minorHAnsi"/>
          <w:color w:val="000000" w:themeColor="text1"/>
          <w:sz w:val="22"/>
          <w:szCs w:val="22"/>
          <w:lang w:val="en-GB"/>
        </w:rPr>
        <w:t xml:space="preserve">ceftazidime-avibactam, </w:t>
      </w:r>
      <w:proofErr w:type="spellStart"/>
      <w:r w:rsidR="002E4D14" w:rsidRPr="00EF5361">
        <w:rPr>
          <w:rFonts w:asciiTheme="minorHAnsi" w:hAnsiTheme="minorHAnsi" w:cstheme="minorHAnsi"/>
          <w:color w:val="000000" w:themeColor="text1"/>
          <w:sz w:val="22"/>
          <w:szCs w:val="22"/>
          <w:lang w:val="en-GB"/>
        </w:rPr>
        <w:t>ceftol</w:t>
      </w:r>
      <w:r w:rsidR="008E292A">
        <w:rPr>
          <w:rFonts w:asciiTheme="minorHAnsi" w:hAnsiTheme="minorHAnsi" w:cstheme="minorHAnsi"/>
          <w:color w:val="000000" w:themeColor="text1"/>
          <w:sz w:val="22"/>
          <w:szCs w:val="22"/>
          <w:lang w:val="en-GB"/>
        </w:rPr>
        <w:t>o</w:t>
      </w:r>
      <w:r w:rsidR="002E4D14" w:rsidRPr="00EF5361">
        <w:rPr>
          <w:rFonts w:asciiTheme="minorHAnsi" w:hAnsiTheme="minorHAnsi" w:cstheme="minorHAnsi"/>
          <w:color w:val="000000" w:themeColor="text1"/>
          <w:sz w:val="22"/>
          <w:szCs w:val="22"/>
          <w:lang w:val="en-GB"/>
        </w:rPr>
        <w:t>z</w:t>
      </w:r>
      <w:r w:rsidR="008E292A">
        <w:rPr>
          <w:rFonts w:asciiTheme="minorHAnsi" w:hAnsiTheme="minorHAnsi" w:cstheme="minorHAnsi"/>
          <w:color w:val="000000" w:themeColor="text1"/>
          <w:sz w:val="22"/>
          <w:szCs w:val="22"/>
          <w:lang w:val="en-GB"/>
        </w:rPr>
        <w:t>a</w:t>
      </w:r>
      <w:r w:rsidR="002E4D14" w:rsidRPr="00EF5361">
        <w:rPr>
          <w:rFonts w:asciiTheme="minorHAnsi" w:hAnsiTheme="minorHAnsi" w:cstheme="minorHAnsi"/>
          <w:color w:val="000000" w:themeColor="text1"/>
          <w:sz w:val="22"/>
          <w:szCs w:val="22"/>
          <w:lang w:val="en-GB"/>
        </w:rPr>
        <w:t>ne</w:t>
      </w:r>
      <w:proofErr w:type="spellEnd"/>
      <w:r w:rsidR="002E4D14" w:rsidRPr="00EF5361">
        <w:rPr>
          <w:rFonts w:asciiTheme="minorHAnsi" w:hAnsiTheme="minorHAnsi" w:cstheme="minorHAnsi"/>
          <w:color w:val="000000" w:themeColor="text1"/>
          <w:sz w:val="22"/>
          <w:szCs w:val="22"/>
          <w:lang w:val="en-GB"/>
        </w:rPr>
        <w:t>-tazobactam, imipenem-</w:t>
      </w:r>
      <w:proofErr w:type="spellStart"/>
      <w:r w:rsidR="002E4D14" w:rsidRPr="00EF5361">
        <w:rPr>
          <w:rFonts w:asciiTheme="minorHAnsi" w:hAnsiTheme="minorHAnsi" w:cstheme="minorHAnsi"/>
          <w:color w:val="000000" w:themeColor="text1"/>
          <w:sz w:val="22"/>
          <w:szCs w:val="22"/>
          <w:lang w:val="en-GB"/>
        </w:rPr>
        <w:t>relebactam</w:t>
      </w:r>
      <w:proofErr w:type="spellEnd"/>
      <w:r w:rsidR="002E4D14" w:rsidRPr="00EF5361">
        <w:rPr>
          <w:rFonts w:asciiTheme="minorHAnsi" w:hAnsiTheme="minorHAnsi" w:cstheme="minorHAnsi"/>
          <w:color w:val="000000" w:themeColor="text1"/>
          <w:sz w:val="22"/>
          <w:szCs w:val="22"/>
          <w:lang w:val="en-GB"/>
        </w:rPr>
        <w:t>, meropenem-</w:t>
      </w:r>
      <w:proofErr w:type="spellStart"/>
      <w:r w:rsidR="002E4D14" w:rsidRPr="00EF5361">
        <w:rPr>
          <w:rFonts w:asciiTheme="minorHAnsi" w:hAnsiTheme="minorHAnsi" w:cstheme="minorHAnsi"/>
          <w:color w:val="000000" w:themeColor="text1"/>
          <w:sz w:val="22"/>
          <w:szCs w:val="22"/>
          <w:lang w:val="en-GB"/>
        </w:rPr>
        <w:t>vaborbactam</w:t>
      </w:r>
      <w:proofErr w:type="spellEnd"/>
      <w:r w:rsidR="002E4D14" w:rsidRPr="00EF5361">
        <w:rPr>
          <w:rFonts w:asciiTheme="minorHAnsi" w:hAnsiTheme="minorHAnsi" w:cstheme="minorHAnsi"/>
          <w:color w:val="000000" w:themeColor="text1"/>
          <w:sz w:val="22"/>
          <w:szCs w:val="22"/>
          <w:lang w:val="en-GB"/>
        </w:rPr>
        <w:t xml:space="preserve"> and </w:t>
      </w:r>
      <w:proofErr w:type="spellStart"/>
      <w:r w:rsidR="002E4D14" w:rsidRPr="00EF5361">
        <w:rPr>
          <w:rFonts w:asciiTheme="minorHAnsi" w:hAnsiTheme="minorHAnsi" w:cstheme="minorHAnsi"/>
          <w:color w:val="000000" w:themeColor="text1"/>
          <w:sz w:val="22"/>
          <w:szCs w:val="22"/>
          <w:lang w:val="en-GB"/>
        </w:rPr>
        <w:t>cefiderocol</w:t>
      </w:r>
      <w:proofErr w:type="spellEnd"/>
      <w:r w:rsidR="002E4D14">
        <w:rPr>
          <w:rFonts w:asciiTheme="minorHAnsi" w:hAnsiTheme="minorHAnsi" w:cstheme="minorHAnsi"/>
          <w:color w:val="000000" w:themeColor="text1"/>
          <w:sz w:val="22"/>
          <w:szCs w:val="22"/>
          <w:lang w:val="en-GB"/>
        </w:rPr>
        <w:t>),</w:t>
      </w:r>
      <w:r w:rsidR="00076A88">
        <w:rPr>
          <w:rFonts w:asciiTheme="minorHAnsi" w:hAnsiTheme="minorHAnsi" w:cstheme="minorHAnsi"/>
          <w:color w:val="000000" w:themeColor="text1"/>
          <w:sz w:val="22"/>
          <w:szCs w:val="22"/>
          <w:lang w:val="en-GB"/>
        </w:rPr>
        <w:t xml:space="preserve"> </w:t>
      </w:r>
      <w:r w:rsidR="00F07C2F">
        <w:rPr>
          <w:rFonts w:asciiTheme="minorHAnsi" w:hAnsiTheme="minorHAnsi" w:cstheme="minorHAnsi"/>
          <w:color w:val="000000" w:themeColor="text1"/>
          <w:sz w:val="22"/>
          <w:szCs w:val="22"/>
          <w:lang w:val="en-GB"/>
        </w:rPr>
        <w:t xml:space="preserve">of which only </w:t>
      </w:r>
      <w:r w:rsidR="005943FD">
        <w:rPr>
          <w:rFonts w:asciiTheme="minorHAnsi" w:hAnsiTheme="minorHAnsi" w:cstheme="minorHAnsi"/>
          <w:color w:val="000000" w:themeColor="text1"/>
          <w:sz w:val="22"/>
          <w:szCs w:val="22"/>
          <w:lang w:val="en-GB"/>
        </w:rPr>
        <w:t>two</w:t>
      </w:r>
      <w:r w:rsidR="004F18FB">
        <w:rPr>
          <w:rFonts w:asciiTheme="minorHAnsi" w:hAnsiTheme="minorHAnsi" w:cstheme="minorHAnsi"/>
          <w:color w:val="000000" w:themeColor="text1"/>
          <w:sz w:val="22"/>
          <w:szCs w:val="22"/>
          <w:lang w:val="en-GB"/>
        </w:rPr>
        <w:t xml:space="preserve"> </w:t>
      </w:r>
      <w:r w:rsidR="004F18FB" w:rsidRPr="00EF5361">
        <w:rPr>
          <w:rFonts w:asciiTheme="minorHAnsi" w:hAnsiTheme="minorHAnsi" w:cstheme="minorHAnsi"/>
          <w:color w:val="000000" w:themeColor="text1"/>
          <w:sz w:val="22"/>
          <w:szCs w:val="22"/>
          <w:lang w:val="en-GB"/>
        </w:rPr>
        <w:t>(ceftazidime-avibactam</w:t>
      </w:r>
      <w:r w:rsidR="005943FD">
        <w:rPr>
          <w:rFonts w:asciiTheme="minorHAnsi" w:hAnsiTheme="minorHAnsi" w:cstheme="minorHAnsi"/>
          <w:color w:val="000000" w:themeColor="text1"/>
          <w:sz w:val="22"/>
          <w:szCs w:val="22"/>
          <w:lang w:val="en-GB"/>
        </w:rPr>
        <w:t xml:space="preserve"> and imipenem-</w:t>
      </w:r>
      <w:proofErr w:type="spellStart"/>
      <w:r w:rsidR="005943FD">
        <w:rPr>
          <w:rFonts w:asciiTheme="minorHAnsi" w:hAnsiTheme="minorHAnsi" w:cstheme="minorHAnsi"/>
          <w:color w:val="000000" w:themeColor="text1"/>
          <w:sz w:val="22"/>
          <w:szCs w:val="22"/>
          <w:lang w:val="en-GB"/>
        </w:rPr>
        <w:t>relebactam</w:t>
      </w:r>
      <w:proofErr w:type="spellEnd"/>
      <w:r w:rsidR="004F18FB" w:rsidRPr="00EF5361">
        <w:rPr>
          <w:rFonts w:asciiTheme="minorHAnsi" w:hAnsiTheme="minorHAnsi" w:cstheme="minorHAnsi"/>
          <w:color w:val="000000" w:themeColor="text1"/>
          <w:sz w:val="22"/>
          <w:szCs w:val="22"/>
          <w:lang w:val="en-GB"/>
        </w:rPr>
        <w:t>)</w:t>
      </w:r>
      <w:r w:rsidR="004F18FB">
        <w:rPr>
          <w:rFonts w:asciiTheme="minorHAnsi" w:hAnsiTheme="minorHAnsi" w:cstheme="minorHAnsi"/>
          <w:color w:val="000000" w:themeColor="text1"/>
          <w:sz w:val="22"/>
          <w:szCs w:val="22"/>
          <w:lang w:val="en-GB"/>
        </w:rPr>
        <w:t xml:space="preserve"> </w:t>
      </w:r>
      <w:r w:rsidR="00F07C2F">
        <w:rPr>
          <w:rFonts w:asciiTheme="minorHAnsi" w:hAnsiTheme="minorHAnsi" w:cstheme="minorHAnsi"/>
          <w:color w:val="000000" w:themeColor="text1"/>
          <w:sz w:val="22"/>
          <w:szCs w:val="22"/>
          <w:lang w:val="en-GB"/>
        </w:rPr>
        <w:t>include neonates</w:t>
      </w:r>
      <w:r w:rsidR="00075C6C">
        <w:rPr>
          <w:rFonts w:asciiTheme="minorHAnsi" w:hAnsiTheme="minorHAnsi" w:cstheme="minorHAnsi"/>
          <w:color w:val="000000" w:themeColor="text1"/>
          <w:sz w:val="22"/>
          <w:szCs w:val="22"/>
          <w:lang w:val="en-GB"/>
        </w:rPr>
        <w:t>,</w:t>
      </w:r>
      <w:r w:rsidR="002E4D14">
        <w:rPr>
          <w:rFonts w:asciiTheme="minorHAnsi" w:hAnsiTheme="minorHAnsi" w:cstheme="minorHAnsi"/>
          <w:color w:val="000000" w:themeColor="text1"/>
          <w:sz w:val="22"/>
          <w:szCs w:val="22"/>
          <w:lang w:val="en-GB"/>
        </w:rPr>
        <w:t xml:space="preserve"> despite the significant burden AMR </w:t>
      </w:r>
      <w:r w:rsidR="007B61A7">
        <w:rPr>
          <w:rFonts w:asciiTheme="minorHAnsi" w:hAnsiTheme="minorHAnsi" w:cstheme="minorHAnsi"/>
          <w:color w:val="000000" w:themeColor="text1"/>
          <w:sz w:val="22"/>
          <w:szCs w:val="22"/>
          <w:lang w:val="en-GB"/>
        </w:rPr>
        <w:t>causes</w:t>
      </w:r>
      <w:r w:rsidR="002E4D14">
        <w:rPr>
          <w:rFonts w:asciiTheme="minorHAnsi" w:hAnsiTheme="minorHAnsi" w:cstheme="minorHAnsi"/>
          <w:color w:val="000000" w:themeColor="text1"/>
          <w:sz w:val="22"/>
          <w:szCs w:val="22"/>
          <w:lang w:val="en-GB"/>
        </w:rPr>
        <w:t xml:space="preserve"> </w:t>
      </w:r>
      <w:r w:rsidR="00E81D03">
        <w:rPr>
          <w:rFonts w:asciiTheme="minorHAnsi" w:hAnsiTheme="minorHAnsi" w:cstheme="minorHAnsi"/>
          <w:color w:val="000000" w:themeColor="text1"/>
          <w:sz w:val="22"/>
          <w:szCs w:val="22"/>
          <w:lang w:val="en-GB"/>
        </w:rPr>
        <w:t xml:space="preserve">in </w:t>
      </w:r>
      <w:r w:rsidR="004F18FB">
        <w:rPr>
          <w:rFonts w:asciiTheme="minorHAnsi" w:hAnsiTheme="minorHAnsi" w:cstheme="minorHAnsi"/>
          <w:color w:val="000000" w:themeColor="text1"/>
          <w:sz w:val="22"/>
          <w:szCs w:val="22"/>
          <w:lang w:val="en-GB"/>
        </w:rPr>
        <w:t>this population</w:t>
      </w:r>
      <w:r w:rsidR="002E4D14">
        <w:rPr>
          <w:rFonts w:asciiTheme="minorHAnsi" w:hAnsiTheme="minorHAnsi" w:cstheme="minorHAnsi"/>
          <w:color w:val="000000" w:themeColor="text1"/>
          <w:sz w:val="22"/>
          <w:szCs w:val="22"/>
          <w:lang w:val="en-GB"/>
        </w:rPr>
        <w:t>.</w:t>
      </w:r>
      <w:r w:rsidR="002E4D14">
        <w:rPr>
          <w:rFonts w:asciiTheme="minorHAnsi" w:hAnsiTheme="minorHAnsi" w:cstheme="minorHAnsi"/>
          <w:color w:val="000000" w:themeColor="text1"/>
          <w:sz w:val="22"/>
          <w:szCs w:val="22"/>
          <w:lang w:val="en-GB"/>
        </w:rPr>
        <w:fldChar w:fldCharType="begin" w:fldLock="1"/>
      </w:r>
      <w:r w:rsidR="00060798">
        <w:rPr>
          <w:rFonts w:asciiTheme="minorHAnsi" w:hAnsiTheme="minorHAnsi" w:cstheme="minorHAnsi"/>
          <w:color w:val="000000" w:themeColor="text1"/>
          <w:sz w:val="22"/>
          <w:szCs w:val="22"/>
          <w:lang w:val="en-GB"/>
        </w:rPr>
        <w:instrText>ADDIN CSL_CITATION {"citationItems":[{"id":"ITEM-1","itemData":{"DOI":"10.1016/S2214-109X(16)30221-2","ISSN":"2214-109X","author":[{"dropping-particle":"","family":"Laxminarayan","given":"Ramanan","non-dropping-particle":"","parse-names":false,"suffix":""},{"dropping-particle":"","family":"Bhutta","given":"Zulfiqar A","non-dropping-particle":"","parse-names":false,"suffix":""}],"container-title":"The Lancet Global Health","id":"ITEM-1","issue":"10","issued":{"date-parts":[["2017","5"]]},"page":"e676-e677","publisher":"Elsevier","title":"Antimicrobial resistance&amp;#x2014;a threat to neonate survival","type":"article-journal","volume":"4"},"uris":["http://www.mendeley.com/documents/?uuid=069d8cd9-70af-47a2-8967-cc33b08c06cd"]}],"mendeley":{"formattedCitation":"&lt;sup&gt;10&lt;/sup&gt;","plainTextFormattedCitation":"10","previouslyFormattedCitation":"&lt;sup&gt;10&lt;/sup&gt;"},"properties":{"noteIndex":0},"schema":"https://github.com/citation-style-language/schema/raw/master/csl-citation.json"}</w:instrText>
      </w:r>
      <w:r w:rsidR="002E4D14">
        <w:rPr>
          <w:rFonts w:asciiTheme="minorHAnsi" w:hAnsiTheme="minorHAnsi" w:cstheme="minorHAnsi"/>
          <w:color w:val="000000" w:themeColor="text1"/>
          <w:sz w:val="22"/>
          <w:szCs w:val="22"/>
          <w:lang w:val="en-GB"/>
        </w:rPr>
        <w:fldChar w:fldCharType="separate"/>
      </w:r>
      <w:r w:rsidR="00060798" w:rsidRPr="00060798">
        <w:rPr>
          <w:rFonts w:asciiTheme="minorHAnsi" w:hAnsiTheme="minorHAnsi" w:cstheme="minorHAnsi"/>
          <w:noProof/>
          <w:color w:val="000000" w:themeColor="text1"/>
          <w:sz w:val="22"/>
          <w:szCs w:val="22"/>
          <w:vertAlign w:val="superscript"/>
          <w:lang w:val="en-GB"/>
        </w:rPr>
        <w:t>10</w:t>
      </w:r>
      <w:r w:rsidR="002E4D14">
        <w:rPr>
          <w:rFonts w:asciiTheme="minorHAnsi" w:hAnsiTheme="minorHAnsi" w:cstheme="minorHAnsi"/>
          <w:color w:val="000000" w:themeColor="text1"/>
          <w:sz w:val="22"/>
          <w:szCs w:val="22"/>
          <w:lang w:val="en-GB"/>
        </w:rPr>
        <w:fldChar w:fldCharType="end"/>
      </w:r>
      <w:r w:rsidR="0095698C" w:rsidRPr="00EF5361">
        <w:rPr>
          <w:rFonts w:asciiTheme="minorHAnsi" w:hAnsiTheme="minorHAnsi" w:cstheme="minorHAnsi"/>
          <w:color w:val="000000" w:themeColor="text1"/>
          <w:sz w:val="22"/>
          <w:szCs w:val="22"/>
          <w:lang w:val="en-GB"/>
        </w:rPr>
        <w:t xml:space="preserve"> </w:t>
      </w:r>
      <w:r w:rsidR="00540766">
        <w:rPr>
          <w:rFonts w:asciiTheme="minorHAnsi" w:hAnsiTheme="minorHAnsi" w:cstheme="minorHAnsi"/>
          <w:color w:val="000000" w:themeColor="text1"/>
          <w:sz w:val="22"/>
          <w:szCs w:val="22"/>
          <w:lang w:val="en-GB"/>
        </w:rPr>
        <w:t xml:space="preserve">We suggest </w:t>
      </w:r>
      <w:r w:rsidR="00B034E3" w:rsidRPr="00EF5361">
        <w:rPr>
          <w:rFonts w:asciiTheme="minorHAnsi" w:hAnsiTheme="minorHAnsi" w:cstheme="minorHAnsi"/>
          <w:color w:val="000000" w:themeColor="text1"/>
          <w:sz w:val="22"/>
          <w:szCs w:val="22"/>
          <w:lang w:val="en-GB"/>
        </w:rPr>
        <w:t xml:space="preserve">there is </w:t>
      </w:r>
      <w:r w:rsidR="00FE3BBC">
        <w:rPr>
          <w:rFonts w:asciiTheme="minorHAnsi" w:hAnsiTheme="minorHAnsi" w:cstheme="minorHAnsi"/>
          <w:color w:val="000000" w:themeColor="text1"/>
          <w:sz w:val="22"/>
          <w:szCs w:val="22"/>
          <w:lang w:val="en-GB"/>
        </w:rPr>
        <w:t xml:space="preserve">now </w:t>
      </w:r>
      <w:r w:rsidR="00B034E3" w:rsidRPr="00EF5361">
        <w:rPr>
          <w:rFonts w:asciiTheme="minorHAnsi" w:hAnsiTheme="minorHAnsi" w:cstheme="minorHAnsi"/>
          <w:color w:val="000000" w:themeColor="text1"/>
          <w:sz w:val="22"/>
          <w:szCs w:val="22"/>
          <w:lang w:val="en-GB"/>
        </w:rPr>
        <w:t>a clear need to harmonise regulatory approval</w:t>
      </w:r>
      <w:r w:rsidR="00FE3BBC">
        <w:rPr>
          <w:rFonts w:asciiTheme="minorHAnsi" w:hAnsiTheme="minorHAnsi" w:cstheme="minorHAnsi"/>
          <w:color w:val="000000" w:themeColor="text1"/>
          <w:sz w:val="22"/>
          <w:szCs w:val="22"/>
          <w:lang w:val="en-GB"/>
        </w:rPr>
        <w:t xml:space="preserve"> requirements</w:t>
      </w:r>
      <w:r w:rsidR="00B034E3" w:rsidRPr="00EF5361">
        <w:rPr>
          <w:rFonts w:asciiTheme="minorHAnsi" w:hAnsiTheme="minorHAnsi" w:cstheme="minorHAnsi"/>
          <w:color w:val="000000" w:themeColor="text1"/>
          <w:sz w:val="22"/>
          <w:szCs w:val="22"/>
          <w:lang w:val="en-GB"/>
        </w:rPr>
        <w:t xml:space="preserve"> for new antibiotics </w:t>
      </w:r>
      <w:r w:rsidR="00C05299">
        <w:rPr>
          <w:rFonts w:asciiTheme="minorHAnsi" w:hAnsiTheme="minorHAnsi" w:cstheme="minorHAnsi"/>
          <w:color w:val="000000" w:themeColor="text1"/>
          <w:sz w:val="22"/>
          <w:szCs w:val="22"/>
          <w:lang w:val="en-GB"/>
        </w:rPr>
        <w:t>in</w:t>
      </w:r>
      <w:r w:rsidR="00B034E3" w:rsidRPr="00EF5361">
        <w:rPr>
          <w:rFonts w:asciiTheme="minorHAnsi" w:hAnsiTheme="minorHAnsi" w:cstheme="minorHAnsi"/>
          <w:color w:val="000000" w:themeColor="text1"/>
          <w:sz w:val="22"/>
          <w:szCs w:val="22"/>
          <w:lang w:val="en-GB"/>
        </w:rPr>
        <w:t xml:space="preserve"> children (see box). </w:t>
      </w:r>
      <w:r w:rsidR="0055157A" w:rsidRPr="00EF5361">
        <w:rPr>
          <w:rFonts w:asciiTheme="minorHAnsi" w:hAnsiTheme="minorHAnsi" w:cstheme="minorHAnsi"/>
          <w:color w:val="000000" w:themeColor="text1"/>
          <w:sz w:val="22"/>
          <w:szCs w:val="22"/>
          <w:shd w:val="clear" w:color="auto" w:fill="FFFFFF"/>
          <w:lang w:val="en-GB"/>
        </w:rPr>
        <w:t>Without</w:t>
      </w:r>
      <w:r w:rsidR="00F37BD3" w:rsidRPr="00EF5361">
        <w:rPr>
          <w:rFonts w:asciiTheme="minorHAnsi" w:hAnsiTheme="minorHAnsi" w:cstheme="minorHAnsi"/>
          <w:color w:val="000000" w:themeColor="text1"/>
          <w:sz w:val="22"/>
          <w:szCs w:val="22"/>
          <w:lang w:val="en-GB"/>
        </w:rPr>
        <w:t xml:space="preserve"> global </w:t>
      </w:r>
      <w:r w:rsidR="002E4D14">
        <w:rPr>
          <w:rFonts w:asciiTheme="minorHAnsi" w:hAnsiTheme="minorHAnsi" w:cstheme="minorHAnsi"/>
          <w:color w:val="000000" w:themeColor="text1"/>
          <w:sz w:val="22"/>
          <w:szCs w:val="22"/>
          <w:lang w:val="en-GB"/>
        </w:rPr>
        <w:t xml:space="preserve">collaboration and an enhanced </w:t>
      </w:r>
      <w:r w:rsidR="00E834FA" w:rsidRPr="00EF5361">
        <w:rPr>
          <w:rFonts w:asciiTheme="minorHAnsi" w:hAnsiTheme="minorHAnsi" w:cstheme="minorHAnsi"/>
          <w:color w:val="000000" w:themeColor="text1"/>
          <w:sz w:val="22"/>
          <w:szCs w:val="22"/>
          <w:lang w:val="en-GB"/>
        </w:rPr>
        <w:t xml:space="preserve">focus </w:t>
      </w:r>
      <w:r w:rsidR="002E4D14">
        <w:rPr>
          <w:rFonts w:asciiTheme="minorHAnsi" w:hAnsiTheme="minorHAnsi" w:cstheme="minorHAnsi"/>
          <w:color w:val="000000" w:themeColor="text1"/>
          <w:sz w:val="22"/>
          <w:szCs w:val="22"/>
          <w:lang w:val="en-GB"/>
        </w:rPr>
        <w:t xml:space="preserve">on </w:t>
      </w:r>
      <w:r w:rsidR="00FE3BBC">
        <w:rPr>
          <w:rFonts w:asciiTheme="minorHAnsi" w:hAnsiTheme="minorHAnsi" w:cstheme="minorHAnsi"/>
          <w:color w:val="000000" w:themeColor="text1"/>
          <w:sz w:val="22"/>
          <w:szCs w:val="22"/>
          <w:lang w:val="en-GB"/>
        </w:rPr>
        <w:t>licensing new antibiotics tackling</w:t>
      </w:r>
      <w:r w:rsidR="002E4D14">
        <w:rPr>
          <w:rFonts w:asciiTheme="minorHAnsi" w:hAnsiTheme="minorHAnsi" w:cstheme="minorHAnsi"/>
          <w:color w:val="000000" w:themeColor="text1"/>
          <w:sz w:val="22"/>
          <w:szCs w:val="22"/>
          <w:lang w:val="en-GB"/>
        </w:rPr>
        <w:t xml:space="preserve"> </w:t>
      </w:r>
      <w:r w:rsidR="00384206">
        <w:rPr>
          <w:rFonts w:asciiTheme="minorHAnsi" w:hAnsiTheme="minorHAnsi" w:cstheme="minorHAnsi"/>
          <w:color w:val="000000" w:themeColor="text1"/>
          <w:sz w:val="22"/>
          <w:szCs w:val="22"/>
          <w:lang w:val="en-GB"/>
        </w:rPr>
        <w:t>the global burden of MDR infections in</w:t>
      </w:r>
      <w:r w:rsidR="007B61A7">
        <w:rPr>
          <w:rFonts w:asciiTheme="minorHAnsi" w:hAnsiTheme="minorHAnsi" w:cstheme="minorHAnsi"/>
          <w:color w:val="000000" w:themeColor="text1"/>
          <w:sz w:val="22"/>
          <w:szCs w:val="22"/>
          <w:lang w:val="en-GB"/>
        </w:rPr>
        <w:t xml:space="preserve"> </w:t>
      </w:r>
      <w:r w:rsidR="00384206">
        <w:rPr>
          <w:rFonts w:asciiTheme="minorHAnsi" w:hAnsiTheme="minorHAnsi" w:cstheme="minorHAnsi"/>
          <w:color w:val="000000" w:themeColor="text1"/>
          <w:sz w:val="22"/>
          <w:szCs w:val="22"/>
          <w:lang w:val="en-GB"/>
        </w:rPr>
        <w:t>children</w:t>
      </w:r>
      <w:r w:rsidR="003E27B9" w:rsidRPr="00EF5361">
        <w:rPr>
          <w:rFonts w:asciiTheme="minorHAnsi" w:hAnsiTheme="minorHAnsi" w:cstheme="minorHAnsi"/>
          <w:color w:val="000000" w:themeColor="text1"/>
          <w:sz w:val="22"/>
          <w:szCs w:val="22"/>
          <w:lang w:val="en-GB"/>
        </w:rPr>
        <w:t>,</w:t>
      </w:r>
      <w:r w:rsidR="00760CA5" w:rsidRPr="00EF5361">
        <w:rPr>
          <w:rFonts w:asciiTheme="minorHAnsi" w:hAnsiTheme="minorHAnsi" w:cstheme="minorHAnsi"/>
          <w:color w:val="000000" w:themeColor="text1"/>
          <w:sz w:val="22"/>
          <w:szCs w:val="22"/>
          <w:lang w:val="en-GB"/>
        </w:rPr>
        <w:t xml:space="preserve"> </w:t>
      </w:r>
      <w:r w:rsidR="000C684F" w:rsidRPr="00EF5361">
        <w:rPr>
          <w:rFonts w:asciiTheme="minorHAnsi" w:hAnsiTheme="minorHAnsi" w:cstheme="minorHAnsi"/>
          <w:color w:val="000000" w:themeColor="text1"/>
          <w:sz w:val="22"/>
          <w:szCs w:val="22"/>
          <w:lang w:val="en-GB"/>
        </w:rPr>
        <w:t>the S</w:t>
      </w:r>
      <w:r w:rsidR="000937F5" w:rsidRPr="00EF5361">
        <w:rPr>
          <w:rFonts w:asciiTheme="minorHAnsi" w:hAnsiTheme="minorHAnsi" w:cstheme="minorHAnsi"/>
          <w:color w:val="000000" w:themeColor="text1"/>
          <w:sz w:val="22"/>
          <w:szCs w:val="22"/>
          <w:lang w:val="en-GB"/>
        </w:rPr>
        <w:t>DGs are</w:t>
      </w:r>
      <w:r w:rsidR="004C515C" w:rsidRPr="00EF5361">
        <w:rPr>
          <w:rFonts w:asciiTheme="minorHAnsi" w:hAnsiTheme="minorHAnsi" w:cstheme="minorHAnsi"/>
          <w:color w:val="000000" w:themeColor="text1"/>
          <w:sz w:val="22"/>
          <w:szCs w:val="22"/>
          <w:lang w:val="en-GB"/>
        </w:rPr>
        <w:t xml:space="preserve"> </w:t>
      </w:r>
      <w:r w:rsidR="003E27B9">
        <w:rPr>
          <w:rFonts w:asciiTheme="minorHAnsi" w:hAnsiTheme="minorHAnsi" w:cstheme="minorHAnsi"/>
          <w:color w:val="000000" w:themeColor="text1"/>
          <w:sz w:val="22"/>
          <w:szCs w:val="22"/>
          <w:lang w:val="en-GB"/>
        </w:rPr>
        <w:t>unlikely</w:t>
      </w:r>
      <w:r w:rsidR="00F37BD3" w:rsidRPr="00EF5361">
        <w:rPr>
          <w:rFonts w:asciiTheme="minorHAnsi" w:hAnsiTheme="minorHAnsi" w:cstheme="minorHAnsi"/>
          <w:color w:val="000000" w:themeColor="text1"/>
          <w:sz w:val="22"/>
          <w:szCs w:val="22"/>
          <w:lang w:val="en-GB"/>
        </w:rPr>
        <w:t xml:space="preserve"> to be</w:t>
      </w:r>
      <w:r w:rsidR="000C684F" w:rsidRPr="00EF5361">
        <w:rPr>
          <w:rFonts w:asciiTheme="minorHAnsi" w:hAnsiTheme="minorHAnsi" w:cstheme="minorHAnsi"/>
          <w:color w:val="000000" w:themeColor="text1"/>
          <w:sz w:val="22"/>
          <w:szCs w:val="22"/>
          <w:lang w:val="en-GB"/>
        </w:rPr>
        <w:t xml:space="preserve"> achieved by 2030</w:t>
      </w:r>
      <w:r w:rsidR="00F22560" w:rsidRPr="00EF5361">
        <w:rPr>
          <w:rFonts w:asciiTheme="minorHAnsi" w:hAnsiTheme="minorHAnsi" w:cstheme="minorHAnsi"/>
          <w:color w:val="000000" w:themeColor="text1"/>
          <w:sz w:val="22"/>
          <w:szCs w:val="22"/>
          <w:lang w:val="en-GB"/>
        </w:rPr>
        <w:t>.</w:t>
      </w:r>
    </w:p>
    <w:p w14:paraId="109DDFA3" w14:textId="77777777" w:rsidR="00A3136D" w:rsidRPr="00EF5361" w:rsidRDefault="00A3136D" w:rsidP="005E4C28">
      <w:pPr>
        <w:shd w:val="clear" w:color="auto" w:fill="FFFFFF"/>
        <w:jc w:val="both"/>
        <w:rPr>
          <w:rFonts w:asciiTheme="minorHAnsi" w:hAnsiTheme="minorHAnsi" w:cstheme="minorHAnsi"/>
          <w:color w:val="000000" w:themeColor="text1"/>
          <w:sz w:val="22"/>
          <w:szCs w:val="22"/>
          <w:lang w:val="en-GB"/>
        </w:rPr>
      </w:pPr>
    </w:p>
    <w:p w14:paraId="14514D83" w14:textId="0E176872" w:rsidR="003C277E" w:rsidRDefault="003C277E" w:rsidP="00DC5750">
      <w:pPr>
        <w:jc w:val="both"/>
        <w:rPr>
          <w:rFonts w:asciiTheme="minorHAnsi" w:hAnsiTheme="minorHAnsi" w:cstheme="minorHAnsi"/>
          <w:color w:val="000000" w:themeColor="text1"/>
          <w:sz w:val="22"/>
          <w:szCs w:val="22"/>
          <w:lang w:val="en-GB"/>
        </w:rPr>
      </w:pPr>
    </w:p>
    <w:p w14:paraId="4D43AD28" w14:textId="3856C082" w:rsidR="000937F5" w:rsidRPr="00EF5361" w:rsidRDefault="000937F5" w:rsidP="00DC5750">
      <w:pPr>
        <w:jc w:val="both"/>
        <w:rPr>
          <w:rFonts w:asciiTheme="minorHAnsi" w:hAnsiTheme="minorHAnsi" w:cstheme="minorHAnsi"/>
          <w:color w:val="000000" w:themeColor="text1"/>
          <w:sz w:val="22"/>
          <w:szCs w:val="22"/>
          <w:lang w:val="en-GB"/>
        </w:rPr>
      </w:pPr>
    </w:p>
    <w:p w14:paraId="7324010F" w14:textId="77777777" w:rsidR="000937F5" w:rsidRPr="00EF5361" w:rsidRDefault="000937F5" w:rsidP="00DC5750">
      <w:pPr>
        <w:jc w:val="both"/>
        <w:rPr>
          <w:rFonts w:asciiTheme="minorHAnsi" w:hAnsiTheme="minorHAnsi" w:cstheme="minorHAnsi"/>
          <w:color w:val="000000" w:themeColor="text1"/>
          <w:sz w:val="22"/>
          <w:szCs w:val="22"/>
          <w:shd w:val="clear" w:color="auto" w:fill="FFFFFF"/>
          <w:lang w:val="en-GB"/>
        </w:rPr>
      </w:pPr>
    </w:p>
    <w:p w14:paraId="44AC4E79" w14:textId="0FCFC88D" w:rsidR="00B76A64" w:rsidRPr="00EF5361" w:rsidRDefault="00B76A64" w:rsidP="00DC5750">
      <w:pPr>
        <w:jc w:val="both"/>
        <w:rPr>
          <w:rFonts w:asciiTheme="minorHAnsi" w:hAnsiTheme="minorHAnsi" w:cstheme="minorHAnsi"/>
          <w:color w:val="000000" w:themeColor="text1"/>
          <w:sz w:val="22"/>
          <w:szCs w:val="22"/>
          <w:lang w:val="en-GB"/>
        </w:rPr>
      </w:pPr>
    </w:p>
    <w:p w14:paraId="5ED07056" w14:textId="31808869" w:rsidR="00B76A64" w:rsidRPr="00EF5361" w:rsidRDefault="00426673" w:rsidP="00DC5750">
      <w:pPr>
        <w:jc w:val="both"/>
        <w:rPr>
          <w:rFonts w:asciiTheme="minorHAnsi" w:hAnsiTheme="minorHAnsi" w:cstheme="minorHAnsi"/>
          <w:color w:val="000000" w:themeColor="text1"/>
          <w:sz w:val="22"/>
          <w:szCs w:val="22"/>
          <w:lang w:val="en-GB"/>
        </w:rPr>
      </w:pPr>
      <w:r>
        <w:rPr>
          <w:rFonts w:asciiTheme="minorHAnsi" w:hAnsiTheme="minorHAnsi" w:cstheme="minorHAnsi"/>
          <w:noProof/>
          <w:color w:val="000000" w:themeColor="text1"/>
          <w:sz w:val="22"/>
          <w:szCs w:val="22"/>
          <w:lang w:val="en-US"/>
        </w:rPr>
        <mc:AlternateContent>
          <mc:Choice Requires="wps">
            <w:drawing>
              <wp:anchor distT="0" distB="0" distL="114300" distR="114300" simplePos="0" relativeHeight="251659264" behindDoc="0" locked="0" layoutInCell="1" allowOverlap="1" wp14:anchorId="6C5BF80E" wp14:editId="6F46109A">
                <wp:simplePos x="0" y="0"/>
                <wp:positionH relativeFrom="column">
                  <wp:posOffset>-153035</wp:posOffset>
                </wp:positionH>
                <wp:positionV relativeFrom="paragraph">
                  <wp:posOffset>224790</wp:posOffset>
                </wp:positionV>
                <wp:extent cx="6057265" cy="4520565"/>
                <wp:effectExtent l="0" t="0" r="13335" b="13335"/>
                <wp:wrapNone/>
                <wp:docPr id="1" name="Text Box 1"/>
                <wp:cNvGraphicFramePr/>
                <a:graphic xmlns:a="http://schemas.openxmlformats.org/drawingml/2006/main">
                  <a:graphicData uri="http://schemas.microsoft.com/office/word/2010/wordprocessingShape">
                    <wps:wsp>
                      <wps:cNvSpPr txBox="1"/>
                      <wps:spPr>
                        <a:xfrm>
                          <a:off x="0" y="0"/>
                          <a:ext cx="6057265" cy="4520565"/>
                        </a:xfrm>
                        <a:prstGeom prst="rect">
                          <a:avLst/>
                        </a:prstGeom>
                        <a:solidFill>
                          <a:schemeClr val="lt1"/>
                        </a:solidFill>
                        <a:ln w="6350">
                          <a:solidFill>
                            <a:prstClr val="black"/>
                          </a:solidFill>
                        </a:ln>
                      </wps:spPr>
                      <wps:txbx>
                        <w:txbxContent>
                          <w:p w14:paraId="7E151426" w14:textId="52560081" w:rsidR="003C1F57" w:rsidRPr="003C277E" w:rsidRDefault="003C1F57" w:rsidP="00540766">
                            <w:pPr>
                              <w:jc w:val="center"/>
                              <w:rPr>
                                <w:rFonts w:asciiTheme="minorHAnsi" w:hAnsiTheme="minorHAnsi" w:cstheme="minorHAnsi"/>
                                <w:b/>
                                <w:color w:val="000000" w:themeColor="text1"/>
                                <w:sz w:val="22"/>
                                <w:szCs w:val="22"/>
                                <w:lang w:val="en-GB"/>
                              </w:rPr>
                            </w:pPr>
                            <w:r w:rsidRPr="003C277E">
                              <w:rPr>
                                <w:rFonts w:asciiTheme="minorHAnsi" w:hAnsiTheme="minorHAnsi" w:cstheme="minorHAnsi"/>
                                <w:b/>
                                <w:color w:val="000000" w:themeColor="text1"/>
                                <w:sz w:val="22"/>
                                <w:szCs w:val="22"/>
                                <w:lang w:val="en-GB"/>
                              </w:rPr>
                              <w:t xml:space="preserve">Recommendations to achieve harmonised and expedited regulatory approvals for new antibiotics </w:t>
                            </w:r>
                            <w:r>
                              <w:rPr>
                                <w:rFonts w:asciiTheme="minorHAnsi" w:hAnsiTheme="minorHAnsi" w:cstheme="minorHAnsi"/>
                                <w:b/>
                                <w:color w:val="000000" w:themeColor="text1"/>
                                <w:sz w:val="22"/>
                                <w:szCs w:val="22"/>
                                <w:lang w:val="en-GB"/>
                              </w:rPr>
                              <w:t>for use</w:t>
                            </w:r>
                            <w:r w:rsidRPr="003C277E">
                              <w:rPr>
                                <w:rFonts w:asciiTheme="minorHAnsi" w:hAnsiTheme="minorHAnsi" w:cstheme="minorHAnsi"/>
                                <w:b/>
                                <w:color w:val="000000" w:themeColor="text1"/>
                                <w:sz w:val="22"/>
                                <w:szCs w:val="22"/>
                                <w:lang w:val="en-GB"/>
                              </w:rPr>
                              <w:t xml:space="preserve"> </w:t>
                            </w:r>
                            <w:r>
                              <w:rPr>
                                <w:rFonts w:asciiTheme="minorHAnsi" w:hAnsiTheme="minorHAnsi" w:cstheme="minorHAnsi"/>
                                <w:b/>
                                <w:color w:val="000000" w:themeColor="text1"/>
                                <w:sz w:val="22"/>
                                <w:szCs w:val="22"/>
                                <w:lang w:val="en-GB"/>
                              </w:rPr>
                              <w:t xml:space="preserve">in </w:t>
                            </w:r>
                            <w:r w:rsidRPr="003C277E">
                              <w:rPr>
                                <w:rFonts w:asciiTheme="minorHAnsi" w:hAnsiTheme="minorHAnsi" w:cstheme="minorHAnsi"/>
                                <w:b/>
                                <w:color w:val="000000" w:themeColor="text1"/>
                                <w:sz w:val="22"/>
                                <w:szCs w:val="22"/>
                                <w:lang w:val="en-GB"/>
                              </w:rPr>
                              <w:t>children</w:t>
                            </w:r>
                          </w:p>
                          <w:p w14:paraId="09B2FA5C" w14:textId="77777777" w:rsidR="003C1F57" w:rsidRPr="00EF5361" w:rsidRDefault="003C1F57" w:rsidP="003C1F57">
                            <w:pPr>
                              <w:jc w:val="both"/>
                              <w:rPr>
                                <w:rFonts w:asciiTheme="minorHAnsi" w:hAnsiTheme="minorHAnsi" w:cstheme="minorHAnsi"/>
                                <w:color w:val="000000" w:themeColor="text1"/>
                                <w:sz w:val="22"/>
                                <w:szCs w:val="22"/>
                                <w:lang w:val="en-GB"/>
                              </w:rPr>
                            </w:pPr>
                          </w:p>
                          <w:p w14:paraId="323B4BE7" w14:textId="60D22F4D" w:rsidR="003C1F57" w:rsidRPr="00444ECA"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There should be </w:t>
                            </w:r>
                            <w:r w:rsidRPr="00444ECA">
                              <w:rPr>
                                <w:rFonts w:asciiTheme="minorHAnsi" w:hAnsiTheme="minorHAnsi" w:cstheme="minorHAnsi"/>
                                <w:color w:val="000000" w:themeColor="text1"/>
                                <w:sz w:val="22"/>
                                <w:szCs w:val="22"/>
                                <w:lang w:val="en-GB"/>
                              </w:rPr>
                              <w:t xml:space="preserve">recognition that for well-established classes of antibiotics such as </w:t>
                            </w:r>
                            <w:r w:rsidR="00FF7022" w:rsidRPr="00EF5361">
                              <w:rPr>
                                <w:rFonts w:asciiTheme="minorHAnsi" w:hAnsiTheme="minorHAnsi" w:cstheme="minorHAnsi"/>
                                <w:color w:val="000000" w:themeColor="text1"/>
                                <w:sz w:val="22"/>
                                <w:szCs w:val="22"/>
                                <w:shd w:val="clear" w:color="auto" w:fill="FFFFFF"/>
                                <w:lang w:val="en-GB"/>
                              </w:rPr>
                              <w:t>β-</w:t>
                            </w:r>
                            <w:r w:rsidRPr="00444ECA">
                              <w:rPr>
                                <w:rFonts w:asciiTheme="minorHAnsi" w:hAnsiTheme="minorHAnsi" w:cstheme="minorHAnsi"/>
                                <w:color w:val="000000" w:themeColor="text1"/>
                                <w:sz w:val="22"/>
                                <w:szCs w:val="22"/>
                                <w:lang w:val="en-GB"/>
                              </w:rPr>
                              <w:t>lactam/</w:t>
                            </w:r>
                            <w:r w:rsidR="00FF7022" w:rsidRPr="00EF5361">
                              <w:rPr>
                                <w:rFonts w:asciiTheme="minorHAnsi" w:hAnsiTheme="minorHAnsi" w:cstheme="minorHAnsi"/>
                                <w:color w:val="000000" w:themeColor="text1"/>
                                <w:sz w:val="22"/>
                                <w:szCs w:val="22"/>
                                <w:shd w:val="clear" w:color="auto" w:fill="FFFFFF"/>
                                <w:lang w:val="en-GB"/>
                              </w:rPr>
                              <w:t>β-</w:t>
                            </w:r>
                            <w:r w:rsidRPr="00444ECA">
                              <w:rPr>
                                <w:rFonts w:asciiTheme="minorHAnsi" w:hAnsiTheme="minorHAnsi" w:cstheme="minorHAnsi"/>
                                <w:color w:val="000000" w:themeColor="text1"/>
                                <w:sz w:val="22"/>
                                <w:szCs w:val="22"/>
                                <w:lang w:val="en-GB"/>
                              </w:rPr>
                              <w:t xml:space="preserve">lactam inhibitor combinations, single and multidose PK and safety studies </w:t>
                            </w:r>
                            <w:r>
                              <w:rPr>
                                <w:rFonts w:asciiTheme="minorHAnsi" w:hAnsiTheme="minorHAnsi" w:cstheme="minorHAnsi"/>
                                <w:color w:val="000000" w:themeColor="text1"/>
                                <w:sz w:val="22"/>
                                <w:szCs w:val="22"/>
                                <w:lang w:val="en-GB"/>
                              </w:rPr>
                              <w:t xml:space="preserve">can </w:t>
                            </w:r>
                            <w:r w:rsidRPr="00444ECA">
                              <w:rPr>
                                <w:rFonts w:asciiTheme="minorHAnsi" w:hAnsiTheme="minorHAnsi" w:cstheme="minorHAnsi"/>
                                <w:color w:val="000000" w:themeColor="text1"/>
                                <w:sz w:val="22"/>
                                <w:szCs w:val="22"/>
                                <w:lang w:val="en-GB"/>
                              </w:rPr>
                              <w:t>provide the basis for licensure.</w:t>
                            </w:r>
                          </w:p>
                          <w:p w14:paraId="27DBA467" w14:textId="77777777" w:rsidR="003C1F57" w:rsidRPr="00EF5361" w:rsidRDefault="003C1F57" w:rsidP="003C1F57">
                            <w:pPr>
                              <w:jc w:val="both"/>
                              <w:rPr>
                                <w:rFonts w:asciiTheme="minorHAnsi" w:hAnsiTheme="minorHAnsi" w:cstheme="minorHAnsi"/>
                                <w:color w:val="000000" w:themeColor="text1"/>
                                <w:sz w:val="22"/>
                                <w:szCs w:val="22"/>
                                <w:lang w:val="en-GB"/>
                              </w:rPr>
                            </w:pPr>
                          </w:p>
                          <w:p w14:paraId="303EC1D6" w14:textId="1D6B7140" w:rsidR="003C1F57" w:rsidRPr="00444ECA"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w:t>
                            </w:r>
                            <w:r w:rsidRPr="00444ECA">
                              <w:rPr>
                                <w:rFonts w:asciiTheme="minorHAnsi" w:hAnsiTheme="minorHAnsi" w:cstheme="minorHAnsi"/>
                                <w:color w:val="000000" w:themeColor="text1"/>
                                <w:sz w:val="22"/>
                                <w:szCs w:val="22"/>
                                <w:lang w:val="en-GB"/>
                              </w:rPr>
                              <w:t>andomised trial</w:t>
                            </w:r>
                            <w:r>
                              <w:rPr>
                                <w:rFonts w:asciiTheme="minorHAnsi" w:hAnsiTheme="minorHAnsi" w:cstheme="minorHAnsi"/>
                                <w:color w:val="000000" w:themeColor="text1"/>
                                <w:sz w:val="22"/>
                                <w:szCs w:val="22"/>
                                <w:lang w:val="en-GB"/>
                              </w:rPr>
                              <w:t xml:space="preserve">s </w:t>
                            </w:r>
                            <w:r w:rsidRPr="00444ECA">
                              <w:rPr>
                                <w:rFonts w:asciiTheme="minorHAnsi" w:hAnsiTheme="minorHAnsi" w:cstheme="minorHAnsi"/>
                                <w:color w:val="000000" w:themeColor="text1"/>
                                <w:sz w:val="22"/>
                                <w:szCs w:val="22"/>
                                <w:lang w:val="en-GB"/>
                              </w:rPr>
                              <w:t>with SOC comparator</w:t>
                            </w:r>
                            <w:r>
                              <w:rPr>
                                <w:rFonts w:asciiTheme="minorHAnsi" w:hAnsiTheme="minorHAnsi" w:cstheme="minorHAnsi"/>
                                <w:color w:val="000000" w:themeColor="text1"/>
                                <w:sz w:val="22"/>
                                <w:szCs w:val="22"/>
                                <w:lang w:val="en-GB"/>
                              </w:rPr>
                              <w:t xml:space="preserve"> arms should not be required</w:t>
                            </w:r>
                            <w:r w:rsidRPr="00444ECA">
                              <w:rPr>
                                <w:rFonts w:asciiTheme="minorHAnsi" w:hAnsiTheme="minorHAnsi" w:cstheme="minorHAnsi"/>
                                <w:color w:val="000000" w:themeColor="text1"/>
                                <w:sz w:val="22"/>
                                <w:szCs w:val="22"/>
                                <w:lang w:val="en-GB"/>
                              </w:rPr>
                              <w:t xml:space="preserve"> for </w:t>
                            </w:r>
                            <w:r>
                              <w:rPr>
                                <w:rFonts w:asciiTheme="minorHAnsi" w:hAnsiTheme="minorHAnsi" w:cstheme="minorHAnsi"/>
                                <w:color w:val="000000" w:themeColor="text1"/>
                                <w:sz w:val="22"/>
                                <w:szCs w:val="22"/>
                                <w:lang w:val="en-GB"/>
                              </w:rPr>
                              <w:t xml:space="preserve">licencing </w:t>
                            </w:r>
                            <w:r w:rsidRPr="00444ECA">
                              <w:rPr>
                                <w:rFonts w:asciiTheme="minorHAnsi" w:hAnsiTheme="minorHAnsi" w:cstheme="minorHAnsi"/>
                                <w:color w:val="000000" w:themeColor="text1"/>
                                <w:sz w:val="22"/>
                                <w:szCs w:val="22"/>
                                <w:lang w:val="en-GB"/>
                              </w:rPr>
                              <w:t>well-established classes of antibiotics with a</w:t>
                            </w:r>
                            <w:r>
                              <w:rPr>
                                <w:rFonts w:asciiTheme="minorHAnsi" w:hAnsiTheme="minorHAnsi" w:cstheme="minorHAnsi"/>
                                <w:color w:val="000000" w:themeColor="text1"/>
                                <w:sz w:val="22"/>
                                <w:szCs w:val="22"/>
                                <w:lang w:val="en-GB"/>
                              </w:rPr>
                              <w:t xml:space="preserve"> </w:t>
                            </w:r>
                            <w:r w:rsidR="00540766">
                              <w:rPr>
                                <w:rFonts w:asciiTheme="minorHAnsi" w:hAnsiTheme="minorHAnsi" w:cstheme="minorHAnsi"/>
                                <w:color w:val="000000" w:themeColor="text1"/>
                                <w:sz w:val="22"/>
                                <w:szCs w:val="22"/>
                                <w:lang w:val="en-GB"/>
                              </w:rPr>
                              <w:t xml:space="preserve">well-established </w:t>
                            </w:r>
                            <w:r w:rsidRPr="00444ECA">
                              <w:rPr>
                                <w:rFonts w:asciiTheme="minorHAnsi" w:hAnsiTheme="minorHAnsi" w:cstheme="minorHAnsi"/>
                                <w:color w:val="000000" w:themeColor="text1"/>
                                <w:sz w:val="22"/>
                                <w:szCs w:val="22"/>
                                <w:lang w:val="en-GB"/>
                              </w:rPr>
                              <w:t xml:space="preserve">safety profile. </w:t>
                            </w:r>
                          </w:p>
                          <w:p w14:paraId="729EEDFB" w14:textId="77777777" w:rsidR="003C1F57" w:rsidRPr="00EF5361" w:rsidRDefault="003C1F57" w:rsidP="003C1F57">
                            <w:pPr>
                              <w:jc w:val="both"/>
                              <w:rPr>
                                <w:rFonts w:asciiTheme="minorHAnsi" w:hAnsiTheme="minorHAnsi" w:cstheme="minorHAnsi"/>
                                <w:color w:val="000000" w:themeColor="text1"/>
                                <w:sz w:val="22"/>
                                <w:szCs w:val="22"/>
                                <w:lang w:val="en-GB"/>
                              </w:rPr>
                            </w:pPr>
                          </w:p>
                          <w:p w14:paraId="561C9BB6" w14:textId="2C7E91B3" w:rsidR="003C1F57" w:rsidRPr="00444ECA"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sidRPr="00444ECA">
                              <w:rPr>
                                <w:rFonts w:asciiTheme="minorHAnsi" w:hAnsiTheme="minorHAnsi" w:cstheme="minorHAnsi"/>
                                <w:color w:val="000000" w:themeColor="text1"/>
                                <w:sz w:val="22"/>
                                <w:szCs w:val="22"/>
                                <w:lang w:val="en-GB"/>
                              </w:rPr>
                              <w:t xml:space="preserve">Recruitment of children into </w:t>
                            </w:r>
                            <w:r>
                              <w:rPr>
                                <w:rFonts w:asciiTheme="minorHAnsi" w:hAnsiTheme="minorHAnsi" w:cstheme="minorHAnsi"/>
                                <w:color w:val="000000" w:themeColor="text1"/>
                                <w:sz w:val="22"/>
                                <w:szCs w:val="22"/>
                                <w:lang w:val="en-GB"/>
                              </w:rPr>
                              <w:t xml:space="preserve">pharmacokinetic </w:t>
                            </w:r>
                            <w:r w:rsidRPr="00444ECA">
                              <w:rPr>
                                <w:rFonts w:asciiTheme="minorHAnsi" w:hAnsiTheme="minorHAnsi" w:cstheme="minorHAnsi"/>
                                <w:color w:val="000000" w:themeColor="text1"/>
                                <w:sz w:val="22"/>
                                <w:szCs w:val="22"/>
                                <w:lang w:val="en-GB"/>
                              </w:rPr>
                              <w:t xml:space="preserve">and safety studies </w:t>
                            </w:r>
                            <w:r>
                              <w:rPr>
                                <w:rFonts w:asciiTheme="minorHAnsi" w:hAnsiTheme="minorHAnsi" w:cstheme="minorHAnsi"/>
                                <w:color w:val="000000" w:themeColor="text1"/>
                                <w:sz w:val="22"/>
                                <w:szCs w:val="22"/>
                                <w:lang w:val="en-GB"/>
                              </w:rPr>
                              <w:t>should allow for inclusion of</w:t>
                            </w:r>
                            <w:r w:rsidRPr="00444ECA">
                              <w:rPr>
                                <w:rFonts w:asciiTheme="minorHAnsi" w:hAnsiTheme="minorHAnsi" w:cstheme="minorHAnsi"/>
                                <w:color w:val="000000" w:themeColor="text1"/>
                                <w:sz w:val="22"/>
                                <w:szCs w:val="22"/>
                                <w:lang w:val="en-GB"/>
                              </w:rPr>
                              <w:t xml:space="preserve"> patients with </w:t>
                            </w:r>
                            <w:r w:rsidRPr="00AB7F98">
                              <w:rPr>
                                <w:rFonts w:asciiTheme="minorHAnsi" w:hAnsiTheme="minorHAnsi" w:cstheme="minorHAnsi"/>
                                <w:i/>
                                <w:color w:val="000000" w:themeColor="text1"/>
                                <w:sz w:val="22"/>
                                <w:szCs w:val="22"/>
                                <w:lang w:val="en-GB"/>
                              </w:rPr>
                              <w:t>any</w:t>
                            </w:r>
                            <w:r w:rsidRPr="00444ECA">
                              <w:rPr>
                                <w:rFonts w:asciiTheme="minorHAnsi" w:hAnsiTheme="minorHAnsi" w:cstheme="minorHAnsi"/>
                                <w:color w:val="000000" w:themeColor="text1"/>
                                <w:sz w:val="22"/>
                                <w:szCs w:val="22"/>
                                <w:lang w:val="en-GB"/>
                              </w:rPr>
                              <w:t xml:space="preserve"> relevant bacterial infection, </w:t>
                            </w:r>
                            <w:r>
                              <w:rPr>
                                <w:rFonts w:asciiTheme="minorHAnsi" w:hAnsiTheme="minorHAnsi" w:cstheme="minorHAnsi"/>
                                <w:color w:val="000000" w:themeColor="text1"/>
                                <w:sz w:val="22"/>
                                <w:szCs w:val="22"/>
                                <w:lang w:val="en-GB"/>
                              </w:rPr>
                              <w:t>rather than restricting enrolment only to</w:t>
                            </w:r>
                            <w:r w:rsidRPr="00444ECA">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those</w:t>
                            </w:r>
                            <w:r w:rsidRPr="00444ECA">
                              <w:rPr>
                                <w:rFonts w:asciiTheme="minorHAnsi" w:hAnsiTheme="minorHAnsi" w:cstheme="minorHAnsi"/>
                                <w:color w:val="000000" w:themeColor="text1"/>
                                <w:sz w:val="22"/>
                                <w:szCs w:val="22"/>
                                <w:lang w:val="en-GB"/>
                              </w:rPr>
                              <w:t xml:space="preserve"> with the adult licensed </w:t>
                            </w:r>
                            <w:r>
                              <w:rPr>
                                <w:rFonts w:asciiTheme="minorHAnsi" w:hAnsiTheme="minorHAnsi" w:cstheme="minorHAnsi"/>
                                <w:color w:val="000000" w:themeColor="text1"/>
                                <w:sz w:val="22"/>
                                <w:szCs w:val="22"/>
                                <w:lang w:val="en-GB"/>
                              </w:rPr>
                              <w:t>indication for the antibiotic under investigation</w:t>
                            </w:r>
                            <w:r w:rsidRPr="00444ECA">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This will enable investigation of a more generalisable patient population and facilitate recruitment, </w:t>
                            </w:r>
                            <w:r w:rsidR="00AB7F98">
                              <w:rPr>
                                <w:rFonts w:asciiTheme="minorHAnsi" w:hAnsiTheme="minorHAnsi" w:cstheme="minorHAnsi"/>
                                <w:color w:val="000000" w:themeColor="text1"/>
                                <w:sz w:val="22"/>
                                <w:szCs w:val="22"/>
                                <w:lang w:val="en-GB"/>
                              </w:rPr>
                              <w:t>to ensure</w:t>
                            </w:r>
                            <w:r>
                              <w:rPr>
                                <w:rFonts w:asciiTheme="minorHAnsi" w:hAnsiTheme="minorHAnsi" w:cstheme="minorHAnsi"/>
                                <w:color w:val="000000" w:themeColor="text1"/>
                                <w:sz w:val="22"/>
                                <w:szCs w:val="22"/>
                                <w:lang w:val="en-GB"/>
                              </w:rPr>
                              <w:t xml:space="preserve"> appropriate sample sizes with adequacy to detect safety signals and accurately predict pharmacokinetic parameters </w:t>
                            </w:r>
                            <w:r w:rsidR="00AB7F98">
                              <w:rPr>
                                <w:rFonts w:asciiTheme="minorHAnsi" w:hAnsiTheme="minorHAnsi" w:cstheme="minorHAnsi"/>
                                <w:color w:val="000000" w:themeColor="text1"/>
                                <w:sz w:val="22"/>
                                <w:szCs w:val="22"/>
                                <w:lang w:val="en-GB"/>
                              </w:rPr>
                              <w:t>are</w:t>
                            </w:r>
                            <w:r>
                              <w:rPr>
                                <w:rFonts w:asciiTheme="minorHAnsi" w:hAnsiTheme="minorHAnsi" w:cstheme="minorHAnsi"/>
                                <w:color w:val="000000" w:themeColor="text1"/>
                                <w:sz w:val="22"/>
                                <w:szCs w:val="22"/>
                                <w:lang w:val="en-GB"/>
                              </w:rPr>
                              <w:t xml:space="preserve"> </w:t>
                            </w:r>
                            <w:r w:rsidR="00F57F6E">
                              <w:rPr>
                                <w:rFonts w:asciiTheme="minorHAnsi" w:hAnsiTheme="minorHAnsi" w:cstheme="minorHAnsi"/>
                                <w:color w:val="000000" w:themeColor="text1"/>
                                <w:sz w:val="22"/>
                                <w:szCs w:val="22"/>
                                <w:lang w:val="en-GB"/>
                              </w:rPr>
                              <w:t>enrolled.</w:t>
                            </w:r>
                          </w:p>
                          <w:p w14:paraId="228E73C1" w14:textId="77777777" w:rsidR="003C1F57" w:rsidRPr="00EF5361" w:rsidRDefault="003C1F57" w:rsidP="003C1F57">
                            <w:pPr>
                              <w:jc w:val="both"/>
                              <w:rPr>
                                <w:rFonts w:asciiTheme="minorHAnsi" w:hAnsiTheme="minorHAnsi" w:cstheme="minorHAnsi"/>
                                <w:color w:val="000000" w:themeColor="text1"/>
                                <w:sz w:val="22"/>
                                <w:szCs w:val="22"/>
                                <w:lang w:val="en-GB"/>
                              </w:rPr>
                            </w:pPr>
                          </w:p>
                          <w:p w14:paraId="4DFB7666" w14:textId="27D6A50B" w:rsidR="003C1F57"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sidRPr="00444ECA">
                              <w:rPr>
                                <w:rFonts w:asciiTheme="minorHAnsi" w:hAnsiTheme="minorHAnsi" w:cstheme="minorHAnsi"/>
                                <w:color w:val="000000" w:themeColor="text1"/>
                                <w:sz w:val="22"/>
                                <w:szCs w:val="22"/>
                                <w:lang w:val="en-GB"/>
                              </w:rPr>
                              <w:t>Wherever possible</w:t>
                            </w:r>
                            <w:r>
                              <w:rPr>
                                <w:rFonts w:asciiTheme="minorHAnsi" w:hAnsiTheme="minorHAnsi" w:cstheme="minorHAnsi"/>
                                <w:color w:val="000000" w:themeColor="text1"/>
                                <w:sz w:val="22"/>
                                <w:szCs w:val="22"/>
                                <w:lang w:val="en-GB"/>
                              </w:rPr>
                              <w:t>,</w:t>
                            </w:r>
                            <w:r w:rsidRPr="00444ECA">
                              <w:rPr>
                                <w:rFonts w:asciiTheme="minorHAnsi" w:hAnsiTheme="minorHAnsi" w:cstheme="minorHAnsi"/>
                                <w:color w:val="000000" w:themeColor="text1"/>
                                <w:sz w:val="22"/>
                                <w:szCs w:val="22"/>
                                <w:lang w:val="en-GB"/>
                              </w:rPr>
                              <w:t xml:space="preserve"> the goal </w:t>
                            </w:r>
                            <w:r>
                              <w:rPr>
                                <w:rFonts w:asciiTheme="minorHAnsi" w:hAnsiTheme="minorHAnsi" w:cstheme="minorHAnsi"/>
                                <w:color w:val="000000" w:themeColor="text1"/>
                                <w:sz w:val="22"/>
                                <w:szCs w:val="22"/>
                                <w:lang w:val="en-GB"/>
                              </w:rPr>
                              <w:t>should</w:t>
                            </w:r>
                            <w:r w:rsidRPr="00444ECA">
                              <w:rPr>
                                <w:rFonts w:asciiTheme="minorHAnsi" w:hAnsiTheme="minorHAnsi" w:cstheme="minorHAnsi"/>
                                <w:color w:val="000000" w:themeColor="text1"/>
                                <w:sz w:val="22"/>
                                <w:szCs w:val="22"/>
                                <w:lang w:val="en-GB"/>
                              </w:rPr>
                              <w:t xml:space="preserve"> be for the FDA and EMA to agree to the development of a single study master protocol for new antibiotics</w:t>
                            </w:r>
                            <w:r>
                              <w:rPr>
                                <w:rFonts w:asciiTheme="minorHAnsi" w:hAnsiTheme="minorHAnsi" w:cstheme="minorHAnsi"/>
                                <w:color w:val="000000" w:themeColor="text1"/>
                                <w:sz w:val="22"/>
                                <w:szCs w:val="22"/>
                                <w:lang w:val="en-GB"/>
                              </w:rPr>
                              <w:t>,</w:t>
                            </w:r>
                            <w:r w:rsidRPr="00444ECA">
                              <w:rPr>
                                <w:rFonts w:asciiTheme="minorHAnsi" w:hAnsiTheme="minorHAnsi" w:cstheme="minorHAnsi"/>
                                <w:color w:val="000000" w:themeColor="text1"/>
                                <w:sz w:val="22"/>
                                <w:szCs w:val="22"/>
                                <w:lang w:val="en-GB"/>
                              </w:rPr>
                              <w:t xml:space="preserve"> based on single and multi</w:t>
                            </w:r>
                            <w:r w:rsidR="003068F4">
                              <w:rPr>
                                <w:rFonts w:asciiTheme="minorHAnsi" w:hAnsiTheme="minorHAnsi" w:cstheme="minorHAnsi"/>
                                <w:color w:val="000000" w:themeColor="text1"/>
                                <w:sz w:val="22"/>
                                <w:szCs w:val="22"/>
                                <w:lang w:val="en-GB"/>
                              </w:rPr>
                              <w:t>-</w:t>
                            </w:r>
                            <w:r w:rsidRPr="00444ECA">
                              <w:rPr>
                                <w:rFonts w:asciiTheme="minorHAnsi" w:hAnsiTheme="minorHAnsi" w:cstheme="minorHAnsi"/>
                                <w:color w:val="000000" w:themeColor="text1"/>
                                <w:sz w:val="22"/>
                                <w:szCs w:val="22"/>
                                <w:lang w:val="en-GB"/>
                              </w:rPr>
                              <w:t>dose pharmacokinetics</w:t>
                            </w:r>
                            <w:r>
                              <w:rPr>
                                <w:rFonts w:asciiTheme="minorHAnsi" w:hAnsiTheme="minorHAnsi" w:cstheme="minorHAnsi"/>
                                <w:color w:val="000000" w:themeColor="text1"/>
                                <w:sz w:val="22"/>
                                <w:szCs w:val="22"/>
                                <w:lang w:val="en-GB"/>
                              </w:rPr>
                              <w:t>,</w:t>
                            </w:r>
                            <w:r w:rsidRPr="00444ECA">
                              <w:rPr>
                                <w:rFonts w:asciiTheme="minorHAnsi" w:hAnsiTheme="minorHAnsi" w:cstheme="minorHAnsi"/>
                                <w:color w:val="000000" w:themeColor="text1"/>
                                <w:sz w:val="22"/>
                                <w:szCs w:val="22"/>
                                <w:lang w:val="en-GB"/>
                              </w:rPr>
                              <w:t xml:space="preserve"> that require</w:t>
                            </w:r>
                            <w:r>
                              <w:rPr>
                                <w:rFonts w:asciiTheme="minorHAnsi" w:hAnsiTheme="minorHAnsi" w:cstheme="minorHAnsi"/>
                                <w:color w:val="000000" w:themeColor="text1"/>
                                <w:sz w:val="22"/>
                                <w:szCs w:val="22"/>
                                <w:lang w:val="en-GB"/>
                              </w:rPr>
                              <w:t>s</w:t>
                            </w:r>
                            <w:r w:rsidRPr="00444ECA">
                              <w:rPr>
                                <w:rFonts w:asciiTheme="minorHAnsi" w:hAnsiTheme="minorHAnsi" w:cstheme="minorHAnsi"/>
                                <w:color w:val="000000" w:themeColor="text1"/>
                                <w:sz w:val="22"/>
                                <w:szCs w:val="22"/>
                                <w:lang w:val="en-GB"/>
                              </w:rPr>
                              <w:t xml:space="preserve"> only one global trial for recruitment and registration across all licensing authorities. </w:t>
                            </w:r>
                          </w:p>
                          <w:p w14:paraId="42FA053D" w14:textId="77777777" w:rsidR="003C1F57" w:rsidRPr="007B61A7" w:rsidRDefault="003C1F57" w:rsidP="003C1F57">
                            <w:pPr>
                              <w:pStyle w:val="ListParagraph"/>
                              <w:rPr>
                                <w:rFonts w:asciiTheme="minorHAnsi" w:hAnsiTheme="minorHAnsi" w:cstheme="minorHAnsi"/>
                                <w:color w:val="000000" w:themeColor="text1"/>
                                <w:sz w:val="22"/>
                                <w:szCs w:val="22"/>
                                <w:lang w:val="en-GB"/>
                              </w:rPr>
                            </w:pPr>
                          </w:p>
                          <w:p w14:paraId="0CA7DB5E" w14:textId="382BEAA3" w:rsidR="003C1F57" w:rsidRPr="00444ECA"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shd w:val="clear" w:color="auto" w:fill="FFFFFF"/>
                              </w:rPr>
                              <w:t>A clear focus on reducing the time between new antibiotics being licensed for use in adults and children is necessary</w:t>
                            </w:r>
                            <w:r w:rsidR="003068F4">
                              <w:rPr>
                                <w:rFonts w:asciiTheme="minorHAnsi" w:hAnsiTheme="minorHAnsi" w:cstheme="minorHAnsi"/>
                                <w:color w:val="000000" w:themeColor="text1"/>
                                <w:sz w:val="22"/>
                                <w:szCs w:val="22"/>
                                <w:shd w:val="clear" w:color="auto" w:fill="FFFFFF"/>
                              </w:rPr>
                              <w:t>. An</w:t>
                            </w:r>
                            <w:r>
                              <w:rPr>
                                <w:rFonts w:asciiTheme="minorHAnsi" w:hAnsiTheme="minorHAnsi" w:cstheme="minorHAnsi"/>
                                <w:color w:val="000000" w:themeColor="text1"/>
                                <w:sz w:val="22"/>
                                <w:szCs w:val="22"/>
                                <w:shd w:val="clear" w:color="auto" w:fill="FFFFFF"/>
                              </w:rPr>
                              <w:t xml:space="preserve"> achievable goal of paediatric licences being issued within five years of the adult licence should be established.</w:t>
                            </w:r>
                          </w:p>
                          <w:p w14:paraId="1E974F56" w14:textId="77777777" w:rsidR="003C1F57" w:rsidRDefault="003C1F57" w:rsidP="003C1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BF80E" id="_x0000_t202" coordsize="21600,21600" o:spt="202" path="m,l,21600r21600,l21600,xe">
                <v:stroke joinstyle="miter"/>
                <v:path gradientshapeok="t" o:connecttype="rect"/>
              </v:shapetype>
              <v:shape id="Text Box 1" o:spid="_x0000_s1026" type="#_x0000_t202" style="position:absolute;left:0;text-align:left;margin-left:-12.05pt;margin-top:17.7pt;width:476.95pt;height:3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" fillcolor="white [3201]" strokeweight=".5pt">
                <v:textbox>
                  <w:txbxContent>
                    <w:p w14:paraId="7E151426" w14:textId="52560081" w:rsidR="003C1F57" w:rsidRPr="003C277E" w:rsidRDefault="003C1F57" w:rsidP="00540766">
                      <w:pPr>
                        <w:jc w:val="center"/>
                        <w:rPr>
                          <w:rFonts w:asciiTheme="minorHAnsi" w:hAnsiTheme="minorHAnsi" w:cstheme="minorHAnsi"/>
                          <w:b/>
                          <w:color w:val="000000" w:themeColor="text1"/>
                          <w:sz w:val="22"/>
                          <w:szCs w:val="22"/>
                          <w:lang w:val="en-GB"/>
                        </w:rPr>
                      </w:pPr>
                      <w:r w:rsidRPr="003C277E">
                        <w:rPr>
                          <w:rFonts w:asciiTheme="minorHAnsi" w:hAnsiTheme="minorHAnsi" w:cstheme="minorHAnsi"/>
                          <w:b/>
                          <w:color w:val="000000" w:themeColor="text1"/>
                          <w:sz w:val="22"/>
                          <w:szCs w:val="22"/>
                          <w:lang w:val="en-GB"/>
                        </w:rPr>
                        <w:t xml:space="preserve">Recommendations to achieve harmonised and expedited regulatory approvals for new antibiotics </w:t>
                      </w:r>
                      <w:r>
                        <w:rPr>
                          <w:rFonts w:asciiTheme="minorHAnsi" w:hAnsiTheme="minorHAnsi" w:cstheme="minorHAnsi"/>
                          <w:b/>
                          <w:color w:val="000000" w:themeColor="text1"/>
                          <w:sz w:val="22"/>
                          <w:szCs w:val="22"/>
                          <w:lang w:val="en-GB"/>
                        </w:rPr>
                        <w:t>for use</w:t>
                      </w:r>
                      <w:r w:rsidRPr="003C277E">
                        <w:rPr>
                          <w:rFonts w:asciiTheme="minorHAnsi" w:hAnsiTheme="minorHAnsi" w:cstheme="minorHAnsi"/>
                          <w:b/>
                          <w:color w:val="000000" w:themeColor="text1"/>
                          <w:sz w:val="22"/>
                          <w:szCs w:val="22"/>
                          <w:lang w:val="en-GB"/>
                        </w:rPr>
                        <w:t xml:space="preserve"> </w:t>
                      </w:r>
                      <w:r>
                        <w:rPr>
                          <w:rFonts w:asciiTheme="minorHAnsi" w:hAnsiTheme="minorHAnsi" w:cstheme="minorHAnsi"/>
                          <w:b/>
                          <w:color w:val="000000" w:themeColor="text1"/>
                          <w:sz w:val="22"/>
                          <w:szCs w:val="22"/>
                          <w:lang w:val="en-GB"/>
                        </w:rPr>
                        <w:t xml:space="preserve">in </w:t>
                      </w:r>
                      <w:r w:rsidRPr="003C277E">
                        <w:rPr>
                          <w:rFonts w:asciiTheme="minorHAnsi" w:hAnsiTheme="minorHAnsi" w:cstheme="minorHAnsi"/>
                          <w:b/>
                          <w:color w:val="000000" w:themeColor="text1"/>
                          <w:sz w:val="22"/>
                          <w:szCs w:val="22"/>
                          <w:lang w:val="en-GB"/>
                        </w:rPr>
                        <w:t>children</w:t>
                      </w:r>
                    </w:p>
                    <w:p w14:paraId="09B2FA5C" w14:textId="77777777" w:rsidR="003C1F57" w:rsidRPr="00EF5361" w:rsidRDefault="003C1F57" w:rsidP="003C1F57">
                      <w:pPr>
                        <w:jc w:val="both"/>
                        <w:rPr>
                          <w:rFonts w:asciiTheme="minorHAnsi" w:hAnsiTheme="minorHAnsi" w:cstheme="minorHAnsi"/>
                          <w:color w:val="000000" w:themeColor="text1"/>
                          <w:sz w:val="22"/>
                          <w:szCs w:val="22"/>
                          <w:lang w:val="en-GB"/>
                        </w:rPr>
                      </w:pPr>
                    </w:p>
                    <w:p w14:paraId="323B4BE7" w14:textId="60D22F4D" w:rsidR="003C1F57" w:rsidRPr="00444ECA"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There should be </w:t>
                      </w:r>
                      <w:r w:rsidRPr="00444ECA">
                        <w:rPr>
                          <w:rFonts w:asciiTheme="minorHAnsi" w:hAnsiTheme="minorHAnsi" w:cstheme="minorHAnsi"/>
                          <w:color w:val="000000" w:themeColor="text1"/>
                          <w:sz w:val="22"/>
                          <w:szCs w:val="22"/>
                          <w:lang w:val="en-GB"/>
                        </w:rPr>
                        <w:t xml:space="preserve">recognition that for well-established classes of antibiotics such as </w:t>
                      </w:r>
                      <w:r w:rsidR="00FF7022" w:rsidRPr="00EF5361">
                        <w:rPr>
                          <w:rFonts w:asciiTheme="minorHAnsi" w:hAnsiTheme="minorHAnsi" w:cstheme="minorHAnsi"/>
                          <w:color w:val="000000" w:themeColor="text1"/>
                          <w:sz w:val="22"/>
                          <w:szCs w:val="22"/>
                          <w:shd w:val="clear" w:color="auto" w:fill="FFFFFF"/>
                          <w:lang w:val="en-GB"/>
                        </w:rPr>
                        <w:t>β-</w:t>
                      </w:r>
                      <w:r w:rsidRPr="00444ECA">
                        <w:rPr>
                          <w:rFonts w:asciiTheme="minorHAnsi" w:hAnsiTheme="minorHAnsi" w:cstheme="minorHAnsi"/>
                          <w:color w:val="000000" w:themeColor="text1"/>
                          <w:sz w:val="22"/>
                          <w:szCs w:val="22"/>
                          <w:lang w:val="en-GB"/>
                        </w:rPr>
                        <w:t>lactam/</w:t>
                      </w:r>
                      <w:r w:rsidR="00FF7022" w:rsidRPr="00EF5361">
                        <w:rPr>
                          <w:rFonts w:asciiTheme="minorHAnsi" w:hAnsiTheme="minorHAnsi" w:cstheme="minorHAnsi"/>
                          <w:color w:val="000000" w:themeColor="text1"/>
                          <w:sz w:val="22"/>
                          <w:szCs w:val="22"/>
                          <w:shd w:val="clear" w:color="auto" w:fill="FFFFFF"/>
                          <w:lang w:val="en-GB"/>
                        </w:rPr>
                        <w:t>β-</w:t>
                      </w:r>
                      <w:r w:rsidRPr="00444ECA">
                        <w:rPr>
                          <w:rFonts w:asciiTheme="minorHAnsi" w:hAnsiTheme="minorHAnsi" w:cstheme="minorHAnsi"/>
                          <w:color w:val="000000" w:themeColor="text1"/>
                          <w:sz w:val="22"/>
                          <w:szCs w:val="22"/>
                          <w:lang w:val="en-GB"/>
                        </w:rPr>
                        <w:t xml:space="preserve">lactam inhibitor combinations, single and multidose PK and safety studies </w:t>
                      </w:r>
                      <w:r>
                        <w:rPr>
                          <w:rFonts w:asciiTheme="minorHAnsi" w:hAnsiTheme="minorHAnsi" w:cstheme="minorHAnsi"/>
                          <w:color w:val="000000" w:themeColor="text1"/>
                          <w:sz w:val="22"/>
                          <w:szCs w:val="22"/>
                          <w:lang w:val="en-GB"/>
                        </w:rPr>
                        <w:t xml:space="preserve">can </w:t>
                      </w:r>
                      <w:r w:rsidRPr="00444ECA">
                        <w:rPr>
                          <w:rFonts w:asciiTheme="minorHAnsi" w:hAnsiTheme="minorHAnsi" w:cstheme="minorHAnsi"/>
                          <w:color w:val="000000" w:themeColor="text1"/>
                          <w:sz w:val="22"/>
                          <w:szCs w:val="22"/>
                          <w:lang w:val="en-GB"/>
                        </w:rPr>
                        <w:t>provide the basis for licensure.</w:t>
                      </w:r>
                    </w:p>
                    <w:p w14:paraId="27DBA467" w14:textId="77777777" w:rsidR="003C1F57" w:rsidRPr="00EF5361" w:rsidRDefault="003C1F57" w:rsidP="003C1F57">
                      <w:pPr>
                        <w:jc w:val="both"/>
                        <w:rPr>
                          <w:rFonts w:asciiTheme="minorHAnsi" w:hAnsiTheme="minorHAnsi" w:cstheme="minorHAnsi"/>
                          <w:color w:val="000000" w:themeColor="text1"/>
                          <w:sz w:val="22"/>
                          <w:szCs w:val="22"/>
                          <w:lang w:val="en-GB"/>
                        </w:rPr>
                      </w:pPr>
                    </w:p>
                    <w:p w14:paraId="303EC1D6" w14:textId="1D6B7140" w:rsidR="003C1F57" w:rsidRPr="00444ECA"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w:t>
                      </w:r>
                      <w:r w:rsidRPr="00444ECA">
                        <w:rPr>
                          <w:rFonts w:asciiTheme="minorHAnsi" w:hAnsiTheme="minorHAnsi" w:cstheme="minorHAnsi"/>
                          <w:color w:val="000000" w:themeColor="text1"/>
                          <w:sz w:val="22"/>
                          <w:szCs w:val="22"/>
                          <w:lang w:val="en-GB"/>
                        </w:rPr>
                        <w:t>andomised trial</w:t>
                      </w:r>
                      <w:r>
                        <w:rPr>
                          <w:rFonts w:asciiTheme="minorHAnsi" w:hAnsiTheme="minorHAnsi" w:cstheme="minorHAnsi"/>
                          <w:color w:val="000000" w:themeColor="text1"/>
                          <w:sz w:val="22"/>
                          <w:szCs w:val="22"/>
                          <w:lang w:val="en-GB"/>
                        </w:rPr>
                        <w:t xml:space="preserve">s </w:t>
                      </w:r>
                      <w:r w:rsidRPr="00444ECA">
                        <w:rPr>
                          <w:rFonts w:asciiTheme="minorHAnsi" w:hAnsiTheme="minorHAnsi" w:cstheme="minorHAnsi"/>
                          <w:color w:val="000000" w:themeColor="text1"/>
                          <w:sz w:val="22"/>
                          <w:szCs w:val="22"/>
                          <w:lang w:val="en-GB"/>
                        </w:rPr>
                        <w:t>with SOC comparator</w:t>
                      </w:r>
                      <w:r>
                        <w:rPr>
                          <w:rFonts w:asciiTheme="minorHAnsi" w:hAnsiTheme="minorHAnsi" w:cstheme="minorHAnsi"/>
                          <w:color w:val="000000" w:themeColor="text1"/>
                          <w:sz w:val="22"/>
                          <w:szCs w:val="22"/>
                          <w:lang w:val="en-GB"/>
                        </w:rPr>
                        <w:t xml:space="preserve"> arms should not be required</w:t>
                      </w:r>
                      <w:r w:rsidRPr="00444ECA">
                        <w:rPr>
                          <w:rFonts w:asciiTheme="minorHAnsi" w:hAnsiTheme="minorHAnsi" w:cstheme="minorHAnsi"/>
                          <w:color w:val="000000" w:themeColor="text1"/>
                          <w:sz w:val="22"/>
                          <w:szCs w:val="22"/>
                          <w:lang w:val="en-GB"/>
                        </w:rPr>
                        <w:t xml:space="preserve"> for </w:t>
                      </w:r>
                      <w:r>
                        <w:rPr>
                          <w:rFonts w:asciiTheme="minorHAnsi" w:hAnsiTheme="minorHAnsi" w:cstheme="minorHAnsi"/>
                          <w:color w:val="000000" w:themeColor="text1"/>
                          <w:sz w:val="22"/>
                          <w:szCs w:val="22"/>
                          <w:lang w:val="en-GB"/>
                        </w:rPr>
                        <w:t xml:space="preserve">licencing </w:t>
                      </w:r>
                      <w:r w:rsidRPr="00444ECA">
                        <w:rPr>
                          <w:rFonts w:asciiTheme="minorHAnsi" w:hAnsiTheme="minorHAnsi" w:cstheme="minorHAnsi"/>
                          <w:color w:val="000000" w:themeColor="text1"/>
                          <w:sz w:val="22"/>
                          <w:szCs w:val="22"/>
                          <w:lang w:val="en-GB"/>
                        </w:rPr>
                        <w:t>well-established classes of antibiotics with a</w:t>
                      </w:r>
                      <w:r>
                        <w:rPr>
                          <w:rFonts w:asciiTheme="minorHAnsi" w:hAnsiTheme="minorHAnsi" w:cstheme="minorHAnsi"/>
                          <w:color w:val="000000" w:themeColor="text1"/>
                          <w:sz w:val="22"/>
                          <w:szCs w:val="22"/>
                          <w:lang w:val="en-GB"/>
                        </w:rPr>
                        <w:t xml:space="preserve"> </w:t>
                      </w:r>
                      <w:r w:rsidR="00540766">
                        <w:rPr>
                          <w:rFonts w:asciiTheme="minorHAnsi" w:hAnsiTheme="minorHAnsi" w:cstheme="minorHAnsi"/>
                          <w:color w:val="000000" w:themeColor="text1"/>
                          <w:sz w:val="22"/>
                          <w:szCs w:val="22"/>
                          <w:lang w:val="en-GB"/>
                        </w:rPr>
                        <w:t xml:space="preserve">well-established </w:t>
                      </w:r>
                      <w:r w:rsidRPr="00444ECA">
                        <w:rPr>
                          <w:rFonts w:asciiTheme="minorHAnsi" w:hAnsiTheme="minorHAnsi" w:cstheme="minorHAnsi"/>
                          <w:color w:val="000000" w:themeColor="text1"/>
                          <w:sz w:val="22"/>
                          <w:szCs w:val="22"/>
                          <w:lang w:val="en-GB"/>
                        </w:rPr>
                        <w:t xml:space="preserve">safety profile. </w:t>
                      </w:r>
                    </w:p>
                    <w:p w14:paraId="729EEDFB" w14:textId="77777777" w:rsidR="003C1F57" w:rsidRPr="00EF5361" w:rsidRDefault="003C1F57" w:rsidP="003C1F57">
                      <w:pPr>
                        <w:jc w:val="both"/>
                        <w:rPr>
                          <w:rFonts w:asciiTheme="minorHAnsi" w:hAnsiTheme="minorHAnsi" w:cstheme="minorHAnsi"/>
                          <w:color w:val="000000" w:themeColor="text1"/>
                          <w:sz w:val="22"/>
                          <w:szCs w:val="22"/>
                          <w:lang w:val="en-GB"/>
                        </w:rPr>
                      </w:pPr>
                    </w:p>
                    <w:p w14:paraId="561C9BB6" w14:textId="2C7E91B3" w:rsidR="003C1F57" w:rsidRPr="00444ECA"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sidRPr="00444ECA">
                        <w:rPr>
                          <w:rFonts w:asciiTheme="minorHAnsi" w:hAnsiTheme="minorHAnsi" w:cstheme="minorHAnsi"/>
                          <w:color w:val="000000" w:themeColor="text1"/>
                          <w:sz w:val="22"/>
                          <w:szCs w:val="22"/>
                          <w:lang w:val="en-GB"/>
                        </w:rPr>
                        <w:t xml:space="preserve">Recruitment of children into </w:t>
                      </w:r>
                      <w:r>
                        <w:rPr>
                          <w:rFonts w:asciiTheme="minorHAnsi" w:hAnsiTheme="minorHAnsi" w:cstheme="minorHAnsi"/>
                          <w:color w:val="000000" w:themeColor="text1"/>
                          <w:sz w:val="22"/>
                          <w:szCs w:val="22"/>
                          <w:lang w:val="en-GB"/>
                        </w:rPr>
                        <w:t xml:space="preserve">pharmacokinetic </w:t>
                      </w:r>
                      <w:r w:rsidRPr="00444ECA">
                        <w:rPr>
                          <w:rFonts w:asciiTheme="minorHAnsi" w:hAnsiTheme="minorHAnsi" w:cstheme="minorHAnsi"/>
                          <w:color w:val="000000" w:themeColor="text1"/>
                          <w:sz w:val="22"/>
                          <w:szCs w:val="22"/>
                          <w:lang w:val="en-GB"/>
                        </w:rPr>
                        <w:t xml:space="preserve">and safety studies </w:t>
                      </w:r>
                      <w:r>
                        <w:rPr>
                          <w:rFonts w:asciiTheme="minorHAnsi" w:hAnsiTheme="minorHAnsi" w:cstheme="minorHAnsi"/>
                          <w:color w:val="000000" w:themeColor="text1"/>
                          <w:sz w:val="22"/>
                          <w:szCs w:val="22"/>
                          <w:lang w:val="en-GB"/>
                        </w:rPr>
                        <w:t>should allow for inclusion of</w:t>
                      </w:r>
                      <w:r w:rsidRPr="00444ECA">
                        <w:rPr>
                          <w:rFonts w:asciiTheme="minorHAnsi" w:hAnsiTheme="minorHAnsi" w:cstheme="minorHAnsi"/>
                          <w:color w:val="000000" w:themeColor="text1"/>
                          <w:sz w:val="22"/>
                          <w:szCs w:val="22"/>
                          <w:lang w:val="en-GB"/>
                        </w:rPr>
                        <w:t xml:space="preserve"> patients with </w:t>
                      </w:r>
                      <w:r w:rsidRPr="00AB7F98">
                        <w:rPr>
                          <w:rFonts w:asciiTheme="minorHAnsi" w:hAnsiTheme="minorHAnsi" w:cstheme="minorHAnsi"/>
                          <w:i/>
                          <w:color w:val="000000" w:themeColor="text1"/>
                          <w:sz w:val="22"/>
                          <w:szCs w:val="22"/>
                          <w:lang w:val="en-GB"/>
                        </w:rPr>
                        <w:t>any</w:t>
                      </w:r>
                      <w:r w:rsidRPr="00444ECA">
                        <w:rPr>
                          <w:rFonts w:asciiTheme="minorHAnsi" w:hAnsiTheme="minorHAnsi" w:cstheme="minorHAnsi"/>
                          <w:color w:val="000000" w:themeColor="text1"/>
                          <w:sz w:val="22"/>
                          <w:szCs w:val="22"/>
                          <w:lang w:val="en-GB"/>
                        </w:rPr>
                        <w:t xml:space="preserve"> relevant bacterial infection, </w:t>
                      </w:r>
                      <w:r>
                        <w:rPr>
                          <w:rFonts w:asciiTheme="minorHAnsi" w:hAnsiTheme="minorHAnsi" w:cstheme="minorHAnsi"/>
                          <w:color w:val="000000" w:themeColor="text1"/>
                          <w:sz w:val="22"/>
                          <w:szCs w:val="22"/>
                          <w:lang w:val="en-GB"/>
                        </w:rPr>
                        <w:t>rather than restricting enrolment only to</w:t>
                      </w:r>
                      <w:r w:rsidRPr="00444ECA">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those</w:t>
                      </w:r>
                      <w:r w:rsidRPr="00444ECA">
                        <w:rPr>
                          <w:rFonts w:asciiTheme="minorHAnsi" w:hAnsiTheme="minorHAnsi" w:cstheme="minorHAnsi"/>
                          <w:color w:val="000000" w:themeColor="text1"/>
                          <w:sz w:val="22"/>
                          <w:szCs w:val="22"/>
                          <w:lang w:val="en-GB"/>
                        </w:rPr>
                        <w:t xml:space="preserve"> with the adult licensed </w:t>
                      </w:r>
                      <w:r>
                        <w:rPr>
                          <w:rFonts w:asciiTheme="minorHAnsi" w:hAnsiTheme="minorHAnsi" w:cstheme="minorHAnsi"/>
                          <w:color w:val="000000" w:themeColor="text1"/>
                          <w:sz w:val="22"/>
                          <w:szCs w:val="22"/>
                          <w:lang w:val="en-GB"/>
                        </w:rPr>
                        <w:t>indication for the antibiotic under investigation</w:t>
                      </w:r>
                      <w:r w:rsidRPr="00444ECA">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This will enable investigation of a more generalisable patient population and facilitate recruitment, </w:t>
                      </w:r>
                      <w:r w:rsidR="00AB7F98">
                        <w:rPr>
                          <w:rFonts w:asciiTheme="minorHAnsi" w:hAnsiTheme="minorHAnsi" w:cstheme="minorHAnsi"/>
                          <w:color w:val="000000" w:themeColor="text1"/>
                          <w:sz w:val="22"/>
                          <w:szCs w:val="22"/>
                          <w:lang w:val="en-GB"/>
                        </w:rPr>
                        <w:t>to ensure</w:t>
                      </w:r>
                      <w:r>
                        <w:rPr>
                          <w:rFonts w:asciiTheme="minorHAnsi" w:hAnsiTheme="minorHAnsi" w:cstheme="minorHAnsi"/>
                          <w:color w:val="000000" w:themeColor="text1"/>
                          <w:sz w:val="22"/>
                          <w:szCs w:val="22"/>
                          <w:lang w:val="en-GB"/>
                        </w:rPr>
                        <w:t xml:space="preserve"> appropriate sample sizes with adequacy to detect safety signals and accurately predict pharmacokinetic parameters </w:t>
                      </w:r>
                      <w:r w:rsidR="00AB7F98">
                        <w:rPr>
                          <w:rFonts w:asciiTheme="minorHAnsi" w:hAnsiTheme="minorHAnsi" w:cstheme="minorHAnsi"/>
                          <w:color w:val="000000" w:themeColor="text1"/>
                          <w:sz w:val="22"/>
                          <w:szCs w:val="22"/>
                          <w:lang w:val="en-GB"/>
                        </w:rPr>
                        <w:t>are</w:t>
                      </w:r>
                      <w:r>
                        <w:rPr>
                          <w:rFonts w:asciiTheme="minorHAnsi" w:hAnsiTheme="minorHAnsi" w:cstheme="minorHAnsi"/>
                          <w:color w:val="000000" w:themeColor="text1"/>
                          <w:sz w:val="22"/>
                          <w:szCs w:val="22"/>
                          <w:lang w:val="en-GB"/>
                        </w:rPr>
                        <w:t xml:space="preserve"> </w:t>
                      </w:r>
                      <w:r w:rsidR="00F57F6E">
                        <w:rPr>
                          <w:rFonts w:asciiTheme="minorHAnsi" w:hAnsiTheme="minorHAnsi" w:cstheme="minorHAnsi"/>
                          <w:color w:val="000000" w:themeColor="text1"/>
                          <w:sz w:val="22"/>
                          <w:szCs w:val="22"/>
                          <w:lang w:val="en-GB"/>
                        </w:rPr>
                        <w:t>enrolled.</w:t>
                      </w:r>
                    </w:p>
                    <w:p w14:paraId="228E73C1" w14:textId="77777777" w:rsidR="003C1F57" w:rsidRPr="00EF5361" w:rsidRDefault="003C1F57" w:rsidP="003C1F57">
                      <w:pPr>
                        <w:jc w:val="both"/>
                        <w:rPr>
                          <w:rFonts w:asciiTheme="minorHAnsi" w:hAnsiTheme="minorHAnsi" w:cstheme="minorHAnsi"/>
                          <w:color w:val="000000" w:themeColor="text1"/>
                          <w:sz w:val="22"/>
                          <w:szCs w:val="22"/>
                          <w:lang w:val="en-GB"/>
                        </w:rPr>
                      </w:pPr>
                    </w:p>
                    <w:p w14:paraId="4DFB7666" w14:textId="27D6A50B" w:rsidR="003C1F57"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sidRPr="00444ECA">
                        <w:rPr>
                          <w:rFonts w:asciiTheme="minorHAnsi" w:hAnsiTheme="minorHAnsi" w:cstheme="minorHAnsi"/>
                          <w:color w:val="000000" w:themeColor="text1"/>
                          <w:sz w:val="22"/>
                          <w:szCs w:val="22"/>
                          <w:lang w:val="en-GB"/>
                        </w:rPr>
                        <w:t>Wherever possible</w:t>
                      </w:r>
                      <w:r>
                        <w:rPr>
                          <w:rFonts w:asciiTheme="minorHAnsi" w:hAnsiTheme="minorHAnsi" w:cstheme="minorHAnsi"/>
                          <w:color w:val="000000" w:themeColor="text1"/>
                          <w:sz w:val="22"/>
                          <w:szCs w:val="22"/>
                          <w:lang w:val="en-GB"/>
                        </w:rPr>
                        <w:t>,</w:t>
                      </w:r>
                      <w:r w:rsidRPr="00444ECA">
                        <w:rPr>
                          <w:rFonts w:asciiTheme="minorHAnsi" w:hAnsiTheme="minorHAnsi" w:cstheme="minorHAnsi"/>
                          <w:color w:val="000000" w:themeColor="text1"/>
                          <w:sz w:val="22"/>
                          <w:szCs w:val="22"/>
                          <w:lang w:val="en-GB"/>
                        </w:rPr>
                        <w:t xml:space="preserve"> the goal </w:t>
                      </w:r>
                      <w:r>
                        <w:rPr>
                          <w:rFonts w:asciiTheme="minorHAnsi" w:hAnsiTheme="minorHAnsi" w:cstheme="minorHAnsi"/>
                          <w:color w:val="000000" w:themeColor="text1"/>
                          <w:sz w:val="22"/>
                          <w:szCs w:val="22"/>
                          <w:lang w:val="en-GB"/>
                        </w:rPr>
                        <w:t>should</w:t>
                      </w:r>
                      <w:r w:rsidRPr="00444ECA">
                        <w:rPr>
                          <w:rFonts w:asciiTheme="minorHAnsi" w:hAnsiTheme="minorHAnsi" w:cstheme="minorHAnsi"/>
                          <w:color w:val="000000" w:themeColor="text1"/>
                          <w:sz w:val="22"/>
                          <w:szCs w:val="22"/>
                          <w:lang w:val="en-GB"/>
                        </w:rPr>
                        <w:t xml:space="preserve"> be for the FDA and EMA to agree to the development of a single study master protocol for new antibiotics</w:t>
                      </w:r>
                      <w:r>
                        <w:rPr>
                          <w:rFonts w:asciiTheme="minorHAnsi" w:hAnsiTheme="minorHAnsi" w:cstheme="minorHAnsi"/>
                          <w:color w:val="000000" w:themeColor="text1"/>
                          <w:sz w:val="22"/>
                          <w:szCs w:val="22"/>
                          <w:lang w:val="en-GB"/>
                        </w:rPr>
                        <w:t>,</w:t>
                      </w:r>
                      <w:r w:rsidRPr="00444ECA">
                        <w:rPr>
                          <w:rFonts w:asciiTheme="minorHAnsi" w:hAnsiTheme="minorHAnsi" w:cstheme="minorHAnsi"/>
                          <w:color w:val="000000" w:themeColor="text1"/>
                          <w:sz w:val="22"/>
                          <w:szCs w:val="22"/>
                          <w:lang w:val="en-GB"/>
                        </w:rPr>
                        <w:t xml:space="preserve"> based on single and multi</w:t>
                      </w:r>
                      <w:r w:rsidR="003068F4">
                        <w:rPr>
                          <w:rFonts w:asciiTheme="minorHAnsi" w:hAnsiTheme="minorHAnsi" w:cstheme="minorHAnsi"/>
                          <w:color w:val="000000" w:themeColor="text1"/>
                          <w:sz w:val="22"/>
                          <w:szCs w:val="22"/>
                          <w:lang w:val="en-GB"/>
                        </w:rPr>
                        <w:t>-</w:t>
                      </w:r>
                      <w:r w:rsidRPr="00444ECA">
                        <w:rPr>
                          <w:rFonts w:asciiTheme="minorHAnsi" w:hAnsiTheme="minorHAnsi" w:cstheme="minorHAnsi"/>
                          <w:color w:val="000000" w:themeColor="text1"/>
                          <w:sz w:val="22"/>
                          <w:szCs w:val="22"/>
                          <w:lang w:val="en-GB"/>
                        </w:rPr>
                        <w:t>dose pharmacokinetics</w:t>
                      </w:r>
                      <w:r>
                        <w:rPr>
                          <w:rFonts w:asciiTheme="minorHAnsi" w:hAnsiTheme="minorHAnsi" w:cstheme="minorHAnsi"/>
                          <w:color w:val="000000" w:themeColor="text1"/>
                          <w:sz w:val="22"/>
                          <w:szCs w:val="22"/>
                          <w:lang w:val="en-GB"/>
                        </w:rPr>
                        <w:t>,</w:t>
                      </w:r>
                      <w:r w:rsidRPr="00444ECA">
                        <w:rPr>
                          <w:rFonts w:asciiTheme="minorHAnsi" w:hAnsiTheme="minorHAnsi" w:cstheme="minorHAnsi"/>
                          <w:color w:val="000000" w:themeColor="text1"/>
                          <w:sz w:val="22"/>
                          <w:szCs w:val="22"/>
                          <w:lang w:val="en-GB"/>
                        </w:rPr>
                        <w:t xml:space="preserve"> that require</w:t>
                      </w:r>
                      <w:r>
                        <w:rPr>
                          <w:rFonts w:asciiTheme="minorHAnsi" w:hAnsiTheme="minorHAnsi" w:cstheme="minorHAnsi"/>
                          <w:color w:val="000000" w:themeColor="text1"/>
                          <w:sz w:val="22"/>
                          <w:szCs w:val="22"/>
                          <w:lang w:val="en-GB"/>
                        </w:rPr>
                        <w:t>s</w:t>
                      </w:r>
                      <w:r w:rsidRPr="00444ECA">
                        <w:rPr>
                          <w:rFonts w:asciiTheme="minorHAnsi" w:hAnsiTheme="minorHAnsi" w:cstheme="minorHAnsi"/>
                          <w:color w:val="000000" w:themeColor="text1"/>
                          <w:sz w:val="22"/>
                          <w:szCs w:val="22"/>
                          <w:lang w:val="en-GB"/>
                        </w:rPr>
                        <w:t xml:space="preserve"> only one global trial for recruitment and registration across all licensing authorities. </w:t>
                      </w:r>
                    </w:p>
                    <w:p w14:paraId="42FA053D" w14:textId="77777777" w:rsidR="003C1F57" w:rsidRPr="007B61A7" w:rsidRDefault="003C1F57" w:rsidP="003C1F57">
                      <w:pPr>
                        <w:pStyle w:val="ListParagraph"/>
                        <w:rPr>
                          <w:rFonts w:asciiTheme="minorHAnsi" w:hAnsiTheme="minorHAnsi" w:cstheme="minorHAnsi"/>
                          <w:color w:val="000000" w:themeColor="text1"/>
                          <w:sz w:val="22"/>
                          <w:szCs w:val="22"/>
                          <w:lang w:val="en-GB"/>
                        </w:rPr>
                      </w:pPr>
                    </w:p>
                    <w:p w14:paraId="0CA7DB5E" w14:textId="382BEAA3" w:rsidR="003C1F57" w:rsidRPr="00444ECA" w:rsidRDefault="003C1F57" w:rsidP="003C1F57">
                      <w:pPr>
                        <w:pStyle w:val="ListParagraph"/>
                        <w:numPr>
                          <w:ilvl w:val="0"/>
                          <w:numId w:val="3"/>
                        </w:numPr>
                        <w:ind w:left="36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shd w:val="clear" w:color="auto" w:fill="FFFFFF"/>
                        </w:rPr>
                        <w:t>A clear focus on reducing the time between new antibiotics being licensed for use in adults and children is necessary</w:t>
                      </w:r>
                      <w:r w:rsidR="003068F4">
                        <w:rPr>
                          <w:rFonts w:asciiTheme="minorHAnsi" w:hAnsiTheme="minorHAnsi" w:cstheme="minorHAnsi"/>
                          <w:color w:val="000000" w:themeColor="text1"/>
                          <w:sz w:val="22"/>
                          <w:szCs w:val="22"/>
                          <w:shd w:val="clear" w:color="auto" w:fill="FFFFFF"/>
                        </w:rPr>
                        <w:t>. An</w:t>
                      </w:r>
                      <w:r>
                        <w:rPr>
                          <w:rFonts w:asciiTheme="minorHAnsi" w:hAnsiTheme="minorHAnsi" w:cstheme="minorHAnsi"/>
                          <w:color w:val="000000" w:themeColor="text1"/>
                          <w:sz w:val="22"/>
                          <w:szCs w:val="22"/>
                          <w:shd w:val="clear" w:color="auto" w:fill="FFFFFF"/>
                        </w:rPr>
                        <w:t xml:space="preserve"> achievable goal of paediatric licences being issued within five years of the adult licence should be established.</w:t>
                      </w:r>
                    </w:p>
                    <w:p w14:paraId="1E974F56" w14:textId="77777777" w:rsidR="003C1F57" w:rsidRDefault="003C1F57" w:rsidP="003C1F57"/>
                  </w:txbxContent>
                </v:textbox>
              </v:shape>
            </w:pict>
          </mc:Fallback>
        </mc:AlternateContent>
      </w:r>
    </w:p>
    <w:p w14:paraId="41D2BC91" w14:textId="3AC18258" w:rsidR="001C3162" w:rsidRPr="00EF5361" w:rsidRDefault="001C3162" w:rsidP="00DC5750">
      <w:pPr>
        <w:shd w:val="clear" w:color="auto" w:fill="FFFFFF"/>
        <w:jc w:val="both"/>
        <w:rPr>
          <w:rFonts w:asciiTheme="minorHAnsi" w:hAnsiTheme="minorHAnsi" w:cstheme="minorHAnsi"/>
          <w:i/>
          <w:color w:val="000000" w:themeColor="text1"/>
          <w:sz w:val="22"/>
          <w:szCs w:val="22"/>
          <w:lang w:val="en-GB"/>
        </w:rPr>
      </w:pPr>
    </w:p>
    <w:p w14:paraId="4159EBB7" w14:textId="3386BA1F" w:rsidR="00B5797E" w:rsidRPr="00EF5361" w:rsidRDefault="00B5797E" w:rsidP="00DC5750">
      <w:pPr>
        <w:shd w:val="clear" w:color="auto" w:fill="FFFFFF"/>
        <w:jc w:val="both"/>
        <w:rPr>
          <w:rFonts w:asciiTheme="minorHAnsi" w:hAnsiTheme="minorHAnsi" w:cstheme="minorHAnsi"/>
          <w:b/>
          <w:color w:val="000000" w:themeColor="text1"/>
          <w:sz w:val="22"/>
          <w:szCs w:val="22"/>
          <w:lang w:val="en-GB"/>
        </w:rPr>
      </w:pPr>
    </w:p>
    <w:p w14:paraId="48DC8F0C" w14:textId="2FBAEF71" w:rsidR="000C684F" w:rsidRPr="00EF5361" w:rsidRDefault="00162669" w:rsidP="00DC5750">
      <w:pPr>
        <w:shd w:val="clear" w:color="auto" w:fill="FFFFFF"/>
        <w:jc w:val="both"/>
        <w:rPr>
          <w:rFonts w:asciiTheme="minorHAnsi" w:hAnsiTheme="minorHAnsi" w:cstheme="minorHAnsi"/>
          <w:color w:val="000000" w:themeColor="text1"/>
          <w:sz w:val="22"/>
          <w:szCs w:val="22"/>
          <w:lang w:val="en-GB"/>
        </w:rPr>
      </w:pPr>
      <w:r w:rsidRPr="00EF5361">
        <w:rPr>
          <w:rFonts w:asciiTheme="minorHAnsi" w:hAnsiTheme="minorHAnsi" w:cstheme="minorHAnsi"/>
          <w:color w:val="000000" w:themeColor="text1"/>
          <w:sz w:val="22"/>
          <w:szCs w:val="22"/>
          <w:lang w:val="en-GB"/>
        </w:rPr>
        <w:br w:type="column"/>
      </w:r>
      <w:r w:rsidR="00027CAE">
        <w:rPr>
          <w:rFonts w:asciiTheme="minorHAnsi" w:hAnsiTheme="minorHAnsi" w:cstheme="minorHAnsi"/>
          <w:b/>
          <w:color w:val="000000" w:themeColor="text1"/>
          <w:sz w:val="22"/>
          <w:szCs w:val="22"/>
          <w:lang w:val="en-GB"/>
        </w:rPr>
        <w:lastRenderedPageBreak/>
        <w:t>REFERENCES</w:t>
      </w:r>
      <w:r w:rsidR="00153075" w:rsidRPr="00EF5361">
        <w:rPr>
          <w:rFonts w:asciiTheme="minorHAnsi" w:hAnsiTheme="minorHAnsi" w:cstheme="minorHAnsi"/>
          <w:color w:val="000000" w:themeColor="text1"/>
          <w:sz w:val="22"/>
          <w:szCs w:val="22"/>
          <w:lang w:val="en-GB"/>
        </w:rPr>
        <w:t>:</w:t>
      </w:r>
    </w:p>
    <w:p w14:paraId="1EC9C641" w14:textId="0E703E4A" w:rsidR="00060798" w:rsidRPr="00060798" w:rsidRDefault="000C684F" w:rsidP="00060798">
      <w:pPr>
        <w:widowControl w:val="0"/>
        <w:autoSpaceDE w:val="0"/>
        <w:autoSpaceDN w:val="0"/>
        <w:adjustRightInd w:val="0"/>
        <w:ind w:left="640" w:hanging="640"/>
        <w:rPr>
          <w:rFonts w:ascii="Calibri" w:hAnsi="Calibri" w:cs="Calibri"/>
          <w:noProof/>
          <w:sz w:val="22"/>
          <w:lang w:val="en-US"/>
        </w:rPr>
      </w:pPr>
      <w:r w:rsidRPr="00EF5361">
        <w:rPr>
          <w:rFonts w:asciiTheme="minorHAnsi" w:hAnsiTheme="minorHAnsi" w:cstheme="minorHAnsi"/>
          <w:color w:val="000000" w:themeColor="text1"/>
          <w:sz w:val="22"/>
          <w:szCs w:val="22"/>
          <w:lang w:val="en-GB"/>
        </w:rPr>
        <w:fldChar w:fldCharType="begin" w:fldLock="1"/>
      </w:r>
      <w:r w:rsidRPr="00EF5361">
        <w:rPr>
          <w:rFonts w:asciiTheme="minorHAnsi" w:hAnsiTheme="minorHAnsi" w:cstheme="minorHAnsi"/>
          <w:color w:val="000000" w:themeColor="text1"/>
          <w:sz w:val="22"/>
          <w:szCs w:val="22"/>
          <w:lang w:val="en-GB"/>
        </w:rPr>
        <w:instrText xml:space="preserve">ADDIN Mendeley Bibliography CSL_BIBLIOGRAPHY </w:instrText>
      </w:r>
      <w:r w:rsidRPr="00EF5361">
        <w:rPr>
          <w:rFonts w:asciiTheme="minorHAnsi" w:hAnsiTheme="minorHAnsi" w:cstheme="minorHAnsi"/>
          <w:color w:val="000000" w:themeColor="text1"/>
          <w:sz w:val="22"/>
          <w:szCs w:val="22"/>
          <w:lang w:val="en-GB"/>
        </w:rPr>
        <w:fldChar w:fldCharType="separate"/>
      </w:r>
      <w:r w:rsidR="00060798" w:rsidRPr="00060798">
        <w:rPr>
          <w:rFonts w:ascii="Calibri" w:hAnsi="Calibri" w:cs="Calibri"/>
          <w:noProof/>
          <w:sz w:val="22"/>
          <w:lang w:val="en-US"/>
        </w:rPr>
        <w:t>1</w:t>
      </w:r>
      <w:r w:rsidR="00060798" w:rsidRPr="00060798">
        <w:rPr>
          <w:rFonts w:ascii="Calibri" w:hAnsi="Calibri" w:cs="Calibri"/>
          <w:noProof/>
          <w:sz w:val="22"/>
          <w:lang w:val="en-US"/>
        </w:rPr>
        <w:tab/>
        <w:t xml:space="preserve">Alfvén T, Dahlstrand J, Humphreys D, </w:t>
      </w:r>
      <w:r w:rsidR="00060798" w:rsidRPr="00060798">
        <w:rPr>
          <w:rFonts w:ascii="Calibri" w:hAnsi="Calibri" w:cs="Calibri"/>
          <w:i/>
          <w:iCs/>
          <w:noProof/>
          <w:sz w:val="22"/>
          <w:lang w:val="en-US"/>
        </w:rPr>
        <w:t>et al.</w:t>
      </w:r>
      <w:r w:rsidR="00060798" w:rsidRPr="00060798">
        <w:rPr>
          <w:rFonts w:ascii="Calibri" w:hAnsi="Calibri" w:cs="Calibri"/>
          <w:noProof/>
          <w:sz w:val="22"/>
          <w:lang w:val="en-US"/>
        </w:rPr>
        <w:t xml:space="preserve"> Placing children and adolescents at the centre of the Sustainable Development Goals will deliver for current and future generations. </w:t>
      </w:r>
      <w:r w:rsidR="00060798" w:rsidRPr="00060798">
        <w:rPr>
          <w:rFonts w:ascii="Calibri" w:hAnsi="Calibri" w:cs="Calibri"/>
          <w:i/>
          <w:iCs/>
          <w:noProof/>
          <w:sz w:val="22"/>
          <w:lang w:val="en-US"/>
        </w:rPr>
        <w:t>Glob Health Action</w:t>
      </w:r>
      <w:r w:rsidR="00060798" w:rsidRPr="00060798">
        <w:rPr>
          <w:rFonts w:ascii="Calibri" w:hAnsi="Calibri" w:cs="Calibri"/>
          <w:noProof/>
          <w:sz w:val="22"/>
          <w:lang w:val="en-US"/>
        </w:rPr>
        <w:t xml:space="preserve"> 2019; </w:t>
      </w:r>
      <w:r w:rsidR="00060798" w:rsidRPr="00060798">
        <w:rPr>
          <w:rFonts w:ascii="Calibri" w:hAnsi="Calibri" w:cs="Calibri"/>
          <w:b/>
          <w:bCs/>
          <w:noProof/>
          <w:sz w:val="22"/>
          <w:lang w:val="en-US"/>
        </w:rPr>
        <w:t>12</w:t>
      </w:r>
      <w:r w:rsidR="00060798" w:rsidRPr="00060798">
        <w:rPr>
          <w:rFonts w:ascii="Calibri" w:hAnsi="Calibri" w:cs="Calibri"/>
          <w:noProof/>
          <w:sz w:val="22"/>
          <w:lang w:val="en-US"/>
        </w:rPr>
        <w:t>: 1670015.</w:t>
      </w:r>
    </w:p>
    <w:p w14:paraId="3DC76AEE" w14:textId="29FA30D0" w:rsidR="00060798" w:rsidRPr="00060798" w:rsidRDefault="00060798" w:rsidP="00060798">
      <w:pPr>
        <w:widowControl w:val="0"/>
        <w:autoSpaceDE w:val="0"/>
        <w:autoSpaceDN w:val="0"/>
        <w:adjustRightInd w:val="0"/>
        <w:ind w:left="640" w:hanging="640"/>
        <w:rPr>
          <w:rFonts w:ascii="Calibri" w:hAnsi="Calibri" w:cs="Calibri"/>
          <w:noProof/>
          <w:sz w:val="22"/>
          <w:lang w:val="en-US"/>
        </w:rPr>
      </w:pPr>
      <w:r w:rsidRPr="00060798">
        <w:rPr>
          <w:rFonts w:ascii="Calibri" w:hAnsi="Calibri" w:cs="Calibri"/>
          <w:noProof/>
          <w:sz w:val="22"/>
          <w:lang w:val="en-US"/>
        </w:rPr>
        <w:t>2</w:t>
      </w:r>
      <w:r w:rsidRPr="00060798">
        <w:rPr>
          <w:rFonts w:ascii="Calibri" w:hAnsi="Calibri" w:cs="Calibri"/>
          <w:noProof/>
          <w:sz w:val="22"/>
          <w:lang w:val="en-US"/>
        </w:rPr>
        <w:tab/>
        <w:t>Laxminarayan R, Bhutta ZA. Antimicrobial resistance</w:t>
      </w:r>
      <w:r w:rsidR="00C05299">
        <w:rPr>
          <w:rFonts w:ascii="Calibri" w:hAnsi="Calibri" w:cs="Calibri"/>
          <w:noProof/>
          <w:sz w:val="22"/>
          <w:lang w:val="en-US"/>
        </w:rPr>
        <w:t xml:space="preserve">: </w:t>
      </w:r>
      <w:r w:rsidRPr="00060798">
        <w:rPr>
          <w:rFonts w:ascii="Calibri" w:hAnsi="Calibri" w:cs="Calibri"/>
          <w:noProof/>
          <w:sz w:val="22"/>
          <w:lang w:val="en-US"/>
        </w:rPr>
        <w:t xml:space="preserve">a threat to neonate survival. </w:t>
      </w:r>
      <w:r w:rsidRPr="00060798">
        <w:rPr>
          <w:rFonts w:ascii="Calibri" w:hAnsi="Calibri" w:cs="Calibri"/>
          <w:i/>
          <w:iCs/>
          <w:noProof/>
          <w:sz w:val="22"/>
          <w:lang w:val="en-US"/>
        </w:rPr>
        <w:t>Lancet Glob Heal</w:t>
      </w:r>
      <w:r w:rsidRPr="00060798">
        <w:rPr>
          <w:rFonts w:ascii="Calibri" w:hAnsi="Calibri" w:cs="Calibri"/>
          <w:noProof/>
          <w:sz w:val="22"/>
          <w:lang w:val="en-US"/>
        </w:rPr>
        <w:t xml:space="preserve"> 2017; </w:t>
      </w:r>
      <w:r w:rsidRPr="00060798">
        <w:rPr>
          <w:rFonts w:ascii="Calibri" w:hAnsi="Calibri" w:cs="Calibri"/>
          <w:b/>
          <w:bCs/>
          <w:noProof/>
          <w:sz w:val="22"/>
          <w:lang w:val="en-US"/>
        </w:rPr>
        <w:t>4</w:t>
      </w:r>
      <w:r w:rsidRPr="00060798">
        <w:rPr>
          <w:rFonts w:ascii="Calibri" w:hAnsi="Calibri" w:cs="Calibri"/>
          <w:noProof/>
          <w:sz w:val="22"/>
          <w:lang w:val="en-US"/>
        </w:rPr>
        <w:t>: e676–7.</w:t>
      </w:r>
    </w:p>
    <w:p w14:paraId="265DF299" w14:textId="77777777" w:rsidR="00060798" w:rsidRPr="00060798" w:rsidRDefault="00060798" w:rsidP="00060798">
      <w:pPr>
        <w:widowControl w:val="0"/>
        <w:autoSpaceDE w:val="0"/>
        <w:autoSpaceDN w:val="0"/>
        <w:adjustRightInd w:val="0"/>
        <w:ind w:left="640" w:hanging="640"/>
        <w:rPr>
          <w:rFonts w:ascii="Calibri" w:hAnsi="Calibri" w:cs="Calibri"/>
          <w:noProof/>
          <w:sz w:val="22"/>
          <w:lang w:val="en-US"/>
        </w:rPr>
      </w:pPr>
      <w:r w:rsidRPr="00060798">
        <w:rPr>
          <w:rFonts w:ascii="Calibri" w:hAnsi="Calibri" w:cs="Calibri"/>
          <w:noProof/>
          <w:sz w:val="22"/>
          <w:lang w:val="en-US"/>
        </w:rPr>
        <w:t>3</w:t>
      </w:r>
      <w:r w:rsidRPr="00060798">
        <w:rPr>
          <w:rFonts w:ascii="Calibri" w:hAnsi="Calibri" w:cs="Calibri"/>
          <w:noProof/>
          <w:sz w:val="22"/>
          <w:lang w:val="en-US"/>
        </w:rPr>
        <w:tab/>
        <w:t>National Institute of Medicine (US). Forum on Drug Discovery, Development, and Translation. Addressing the Barriers to Pediatric Drug Development: Workshop Summary. Washington (DC): Regulatory Framework, 2008.</w:t>
      </w:r>
    </w:p>
    <w:p w14:paraId="7D308BA7" w14:textId="6FBEFE05" w:rsidR="00060798" w:rsidRPr="00060798" w:rsidRDefault="00060798" w:rsidP="00060798">
      <w:pPr>
        <w:widowControl w:val="0"/>
        <w:autoSpaceDE w:val="0"/>
        <w:autoSpaceDN w:val="0"/>
        <w:adjustRightInd w:val="0"/>
        <w:ind w:left="640" w:hanging="640"/>
        <w:rPr>
          <w:rFonts w:ascii="Calibri" w:hAnsi="Calibri" w:cs="Calibri"/>
          <w:noProof/>
          <w:sz w:val="22"/>
          <w:lang w:val="en-US"/>
        </w:rPr>
      </w:pPr>
      <w:r w:rsidRPr="00060798">
        <w:rPr>
          <w:rFonts w:ascii="Calibri" w:hAnsi="Calibri" w:cs="Calibri"/>
          <w:noProof/>
          <w:sz w:val="22"/>
          <w:lang w:val="en-US"/>
        </w:rPr>
        <w:t>4</w:t>
      </w:r>
      <w:r w:rsidRPr="00060798">
        <w:rPr>
          <w:rFonts w:ascii="Calibri" w:hAnsi="Calibri" w:cs="Calibri"/>
          <w:noProof/>
          <w:sz w:val="22"/>
          <w:lang w:val="en-US"/>
        </w:rPr>
        <w:tab/>
        <w:t xml:space="preserve">Penkov D, Tomasi P, Eichler I, </w:t>
      </w:r>
      <w:r w:rsidR="00C05299">
        <w:rPr>
          <w:rFonts w:ascii="Calibri" w:hAnsi="Calibri" w:cs="Calibri"/>
          <w:i/>
          <w:noProof/>
          <w:sz w:val="22"/>
          <w:lang w:val="en-US"/>
        </w:rPr>
        <w:t>et al.</w:t>
      </w:r>
      <w:r w:rsidRPr="00060798">
        <w:rPr>
          <w:rFonts w:ascii="Calibri" w:hAnsi="Calibri" w:cs="Calibri"/>
          <w:noProof/>
          <w:sz w:val="22"/>
          <w:lang w:val="en-US"/>
        </w:rPr>
        <w:t xml:space="preserve"> Pediatric Medicine Development: An Overview and Comparison of Regulatory Processes in the European Union and United States. </w:t>
      </w:r>
      <w:r w:rsidRPr="00060798">
        <w:rPr>
          <w:rFonts w:ascii="Calibri" w:hAnsi="Calibri" w:cs="Calibri"/>
          <w:i/>
          <w:iCs/>
          <w:noProof/>
          <w:sz w:val="22"/>
          <w:lang w:val="en-US"/>
        </w:rPr>
        <w:t>Ther Innov Regul Sci</w:t>
      </w:r>
      <w:r w:rsidRPr="00060798">
        <w:rPr>
          <w:rFonts w:ascii="Calibri" w:hAnsi="Calibri" w:cs="Calibri"/>
          <w:noProof/>
          <w:sz w:val="22"/>
          <w:lang w:val="en-US"/>
        </w:rPr>
        <w:t xml:space="preserve"> 2017; </w:t>
      </w:r>
      <w:r w:rsidRPr="00060798">
        <w:rPr>
          <w:rFonts w:ascii="Calibri" w:hAnsi="Calibri" w:cs="Calibri"/>
          <w:b/>
          <w:bCs/>
          <w:noProof/>
          <w:sz w:val="22"/>
          <w:lang w:val="en-US"/>
        </w:rPr>
        <w:t>51</w:t>
      </w:r>
      <w:r w:rsidRPr="00060798">
        <w:rPr>
          <w:rFonts w:ascii="Calibri" w:hAnsi="Calibri" w:cs="Calibri"/>
          <w:noProof/>
          <w:sz w:val="22"/>
          <w:lang w:val="en-US"/>
        </w:rPr>
        <w:t>: 360–71.</w:t>
      </w:r>
    </w:p>
    <w:p w14:paraId="4A6A8F16" w14:textId="2167FC75" w:rsidR="00060798" w:rsidRPr="00060798" w:rsidRDefault="00060798" w:rsidP="00060798">
      <w:pPr>
        <w:widowControl w:val="0"/>
        <w:autoSpaceDE w:val="0"/>
        <w:autoSpaceDN w:val="0"/>
        <w:adjustRightInd w:val="0"/>
        <w:ind w:left="640" w:hanging="640"/>
        <w:rPr>
          <w:rFonts w:ascii="Calibri" w:hAnsi="Calibri" w:cs="Calibri"/>
          <w:noProof/>
          <w:sz w:val="22"/>
          <w:lang w:val="en-US"/>
        </w:rPr>
      </w:pPr>
      <w:r w:rsidRPr="00060798">
        <w:rPr>
          <w:rFonts w:ascii="Calibri" w:hAnsi="Calibri" w:cs="Calibri"/>
          <w:noProof/>
          <w:sz w:val="22"/>
          <w:lang w:val="en-US"/>
        </w:rPr>
        <w:t>5</w:t>
      </w:r>
      <w:r w:rsidRPr="00060798">
        <w:rPr>
          <w:rFonts w:ascii="Calibri" w:hAnsi="Calibri" w:cs="Calibri"/>
          <w:noProof/>
          <w:sz w:val="22"/>
          <w:lang w:val="en-US"/>
        </w:rPr>
        <w:tab/>
        <w:t>United States Food and Drug Administration. Development of Anti-Infective Drug Products for the Pediatric Population Guidance for Industry. Washington (DC), 20</w:t>
      </w:r>
      <w:bookmarkStart w:id="0" w:name="_GoBack"/>
      <w:bookmarkEnd w:id="0"/>
      <w:r w:rsidRPr="00060798">
        <w:rPr>
          <w:rFonts w:ascii="Calibri" w:hAnsi="Calibri" w:cs="Calibri"/>
          <w:noProof/>
          <w:sz w:val="22"/>
          <w:lang w:val="en-US"/>
        </w:rPr>
        <w:t xml:space="preserve">20 </w:t>
      </w:r>
      <w:r w:rsidR="00C05299">
        <w:rPr>
          <w:rFonts w:ascii="Calibri" w:hAnsi="Calibri" w:cs="Calibri"/>
          <w:noProof/>
          <w:sz w:val="22"/>
          <w:lang w:val="en-US"/>
        </w:rPr>
        <w:t>[Online], Available:</w:t>
      </w:r>
      <w:r w:rsidRPr="00060798">
        <w:rPr>
          <w:rFonts w:ascii="Calibri" w:hAnsi="Calibri" w:cs="Calibri"/>
          <w:noProof/>
          <w:sz w:val="22"/>
          <w:lang w:val="en-US"/>
        </w:rPr>
        <w:t>https://www.fda.gov/media/139586/download.</w:t>
      </w:r>
      <w:r w:rsidR="00C05299">
        <w:rPr>
          <w:rFonts w:ascii="Calibri" w:hAnsi="Calibri" w:cs="Calibri"/>
          <w:noProof/>
          <w:sz w:val="22"/>
          <w:lang w:val="en-US"/>
        </w:rPr>
        <w:t xml:space="preserve"> Accessed: 9</w:t>
      </w:r>
      <w:r w:rsidR="00C05299" w:rsidRPr="00C05299">
        <w:rPr>
          <w:rFonts w:ascii="Calibri" w:hAnsi="Calibri" w:cs="Calibri"/>
          <w:noProof/>
          <w:sz w:val="22"/>
          <w:vertAlign w:val="superscript"/>
          <w:lang w:val="en-US"/>
        </w:rPr>
        <w:t>th</w:t>
      </w:r>
      <w:r w:rsidR="00C05299">
        <w:rPr>
          <w:rFonts w:ascii="Calibri" w:hAnsi="Calibri" w:cs="Calibri"/>
          <w:noProof/>
          <w:sz w:val="22"/>
          <w:lang w:val="en-US"/>
        </w:rPr>
        <w:t xml:space="preserve"> August, 2020.</w:t>
      </w:r>
    </w:p>
    <w:p w14:paraId="75001DEC" w14:textId="082FB030" w:rsidR="00060798" w:rsidRPr="00060798" w:rsidRDefault="00060798" w:rsidP="00060798">
      <w:pPr>
        <w:widowControl w:val="0"/>
        <w:autoSpaceDE w:val="0"/>
        <w:autoSpaceDN w:val="0"/>
        <w:adjustRightInd w:val="0"/>
        <w:ind w:left="640" w:hanging="640"/>
        <w:rPr>
          <w:rFonts w:ascii="Calibri" w:hAnsi="Calibri" w:cs="Calibri"/>
          <w:noProof/>
          <w:sz w:val="22"/>
          <w:lang w:val="en-US"/>
        </w:rPr>
      </w:pPr>
      <w:r w:rsidRPr="00060798">
        <w:rPr>
          <w:rFonts w:ascii="Calibri" w:hAnsi="Calibri" w:cs="Calibri"/>
          <w:noProof/>
          <w:sz w:val="22"/>
          <w:lang w:val="en-US"/>
        </w:rPr>
        <w:t>6</w:t>
      </w:r>
      <w:r w:rsidRPr="00060798">
        <w:rPr>
          <w:rFonts w:ascii="Calibri" w:hAnsi="Calibri" w:cs="Calibri"/>
          <w:noProof/>
          <w:sz w:val="22"/>
          <w:lang w:val="en-US"/>
        </w:rPr>
        <w:tab/>
        <w:t xml:space="preserve">Scanlan BT, Ibrahim LF, Hopper SM, </w:t>
      </w:r>
      <w:r w:rsidR="00C05299">
        <w:rPr>
          <w:rFonts w:ascii="Calibri" w:hAnsi="Calibri" w:cs="Calibri"/>
          <w:i/>
          <w:noProof/>
          <w:sz w:val="22"/>
          <w:lang w:val="en-US"/>
        </w:rPr>
        <w:t>et al</w:t>
      </w:r>
      <w:r w:rsidRPr="00060798">
        <w:rPr>
          <w:rFonts w:ascii="Calibri" w:hAnsi="Calibri" w:cs="Calibri"/>
          <w:noProof/>
          <w:sz w:val="22"/>
          <w:lang w:val="en-US"/>
        </w:rPr>
        <w:t xml:space="preserve">. Selected Children With Complicated Acute Urinary Tract Infection May Be Treated With  Outpatient Parenteral Antibiotic Therapy at Home Directly From the Emergency Department. </w:t>
      </w:r>
      <w:r w:rsidRPr="00060798">
        <w:rPr>
          <w:rFonts w:ascii="Calibri" w:hAnsi="Calibri" w:cs="Calibri"/>
          <w:i/>
          <w:iCs/>
          <w:noProof/>
          <w:sz w:val="22"/>
          <w:lang w:val="en-US"/>
        </w:rPr>
        <w:t>Pediatr Infect Dis J</w:t>
      </w:r>
      <w:r w:rsidRPr="00060798">
        <w:rPr>
          <w:rFonts w:ascii="Calibri" w:hAnsi="Calibri" w:cs="Calibri"/>
          <w:noProof/>
          <w:sz w:val="22"/>
          <w:lang w:val="en-US"/>
        </w:rPr>
        <w:t xml:space="preserve"> 2019; </w:t>
      </w:r>
      <w:r w:rsidRPr="00060798">
        <w:rPr>
          <w:rFonts w:ascii="Calibri" w:hAnsi="Calibri" w:cs="Calibri"/>
          <w:b/>
          <w:bCs/>
          <w:noProof/>
          <w:sz w:val="22"/>
          <w:lang w:val="en-US"/>
        </w:rPr>
        <w:t>38</w:t>
      </w:r>
      <w:r w:rsidRPr="00060798">
        <w:rPr>
          <w:rFonts w:ascii="Calibri" w:hAnsi="Calibri" w:cs="Calibri"/>
          <w:noProof/>
          <w:sz w:val="22"/>
          <w:lang w:val="en-US"/>
        </w:rPr>
        <w:t>: e20–5.</w:t>
      </w:r>
    </w:p>
    <w:p w14:paraId="2088EC42" w14:textId="77777777" w:rsidR="00060798" w:rsidRPr="00060798" w:rsidRDefault="00060798" w:rsidP="00060798">
      <w:pPr>
        <w:widowControl w:val="0"/>
        <w:autoSpaceDE w:val="0"/>
        <w:autoSpaceDN w:val="0"/>
        <w:adjustRightInd w:val="0"/>
        <w:ind w:left="640" w:hanging="640"/>
        <w:rPr>
          <w:rFonts w:ascii="Calibri" w:hAnsi="Calibri" w:cs="Calibri"/>
          <w:noProof/>
          <w:sz w:val="22"/>
          <w:lang w:val="en-US"/>
        </w:rPr>
      </w:pPr>
      <w:r w:rsidRPr="00060798">
        <w:rPr>
          <w:rFonts w:ascii="Calibri" w:hAnsi="Calibri" w:cs="Calibri"/>
          <w:noProof/>
          <w:sz w:val="22"/>
          <w:lang w:val="en-US"/>
        </w:rPr>
        <w:t>7</w:t>
      </w:r>
      <w:r w:rsidRPr="00060798">
        <w:rPr>
          <w:rFonts w:ascii="Calibri" w:hAnsi="Calibri" w:cs="Calibri"/>
          <w:noProof/>
          <w:sz w:val="22"/>
          <w:lang w:val="en-US"/>
        </w:rPr>
        <w:tab/>
        <w:t xml:space="preserve">Folgori L, Lutsar I, Standing JF, </w:t>
      </w:r>
      <w:r w:rsidRPr="00060798">
        <w:rPr>
          <w:rFonts w:ascii="Calibri" w:hAnsi="Calibri" w:cs="Calibri"/>
          <w:i/>
          <w:iCs/>
          <w:noProof/>
          <w:sz w:val="22"/>
          <w:lang w:val="en-US"/>
        </w:rPr>
        <w:t>et al.</w:t>
      </w:r>
      <w:r w:rsidRPr="00060798">
        <w:rPr>
          <w:rFonts w:ascii="Calibri" w:hAnsi="Calibri" w:cs="Calibri"/>
          <w:noProof/>
          <w:sz w:val="22"/>
          <w:lang w:val="en-US"/>
        </w:rPr>
        <w:t xml:space="preserve"> Standardising neonatal and paediatric antibiotic clinical trial design and conduct:  the PENTA-ID network view. </w:t>
      </w:r>
      <w:r w:rsidRPr="00060798">
        <w:rPr>
          <w:rFonts w:ascii="Calibri" w:hAnsi="Calibri" w:cs="Calibri"/>
          <w:i/>
          <w:iCs/>
          <w:noProof/>
          <w:sz w:val="22"/>
          <w:lang w:val="en-US"/>
        </w:rPr>
        <w:t>BMJ Open</w:t>
      </w:r>
      <w:r w:rsidRPr="00060798">
        <w:rPr>
          <w:rFonts w:ascii="Calibri" w:hAnsi="Calibri" w:cs="Calibri"/>
          <w:noProof/>
          <w:sz w:val="22"/>
          <w:lang w:val="en-US"/>
        </w:rPr>
        <w:t xml:space="preserve"> 2019; </w:t>
      </w:r>
      <w:r w:rsidRPr="00060798">
        <w:rPr>
          <w:rFonts w:ascii="Calibri" w:hAnsi="Calibri" w:cs="Calibri"/>
          <w:b/>
          <w:bCs/>
          <w:noProof/>
          <w:sz w:val="22"/>
          <w:lang w:val="en-US"/>
        </w:rPr>
        <w:t>9</w:t>
      </w:r>
      <w:r w:rsidRPr="00060798">
        <w:rPr>
          <w:rFonts w:ascii="Calibri" w:hAnsi="Calibri" w:cs="Calibri"/>
          <w:noProof/>
          <w:sz w:val="22"/>
          <w:lang w:val="en-US"/>
        </w:rPr>
        <w:t>: e032592.</w:t>
      </w:r>
    </w:p>
    <w:p w14:paraId="3FDC6DD4" w14:textId="77777777" w:rsidR="00060798" w:rsidRPr="00060798" w:rsidRDefault="00060798" w:rsidP="00060798">
      <w:pPr>
        <w:widowControl w:val="0"/>
        <w:autoSpaceDE w:val="0"/>
        <w:autoSpaceDN w:val="0"/>
        <w:adjustRightInd w:val="0"/>
        <w:ind w:left="640" w:hanging="640"/>
        <w:rPr>
          <w:rFonts w:ascii="Calibri" w:hAnsi="Calibri" w:cs="Calibri"/>
          <w:noProof/>
          <w:sz w:val="22"/>
          <w:lang w:val="en-US"/>
        </w:rPr>
      </w:pPr>
      <w:r w:rsidRPr="00060798">
        <w:rPr>
          <w:rFonts w:ascii="Calibri" w:hAnsi="Calibri" w:cs="Calibri"/>
          <w:noProof/>
          <w:sz w:val="22"/>
          <w:lang w:val="en-US"/>
        </w:rPr>
        <w:t>8</w:t>
      </w:r>
      <w:r w:rsidRPr="00060798">
        <w:rPr>
          <w:rFonts w:ascii="Calibri" w:hAnsi="Calibri" w:cs="Calibri"/>
          <w:noProof/>
          <w:sz w:val="22"/>
          <w:lang w:val="en-US"/>
        </w:rPr>
        <w:tab/>
        <w:t xml:space="preserve">Thomsen MDT. Global Pediatric Drug Development. </w:t>
      </w:r>
      <w:r w:rsidRPr="00060798">
        <w:rPr>
          <w:rFonts w:ascii="Calibri" w:hAnsi="Calibri" w:cs="Calibri"/>
          <w:i/>
          <w:iCs/>
          <w:noProof/>
          <w:sz w:val="22"/>
          <w:lang w:val="en-US"/>
        </w:rPr>
        <w:t>Curr Ther Res Clin Exp</w:t>
      </w:r>
      <w:r w:rsidRPr="00060798">
        <w:rPr>
          <w:rFonts w:ascii="Calibri" w:hAnsi="Calibri" w:cs="Calibri"/>
          <w:noProof/>
          <w:sz w:val="22"/>
          <w:lang w:val="en-US"/>
        </w:rPr>
        <w:t xml:space="preserve"> 2019; </w:t>
      </w:r>
      <w:r w:rsidRPr="00060798">
        <w:rPr>
          <w:rFonts w:ascii="Calibri" w:hAnsi="Calibri" w:cs="Calibri"/>
          <w:b/>
          <w:bCs/>
          <w:noProof/>
          <w:sz w:val="22"/>
          <w:lang w:val="en-US"/>
        </w:rPr>
        <w:t>90</w:t>
      </w:r>
      <w:r w:rsidRPr="00060798">
        <w:rPr>
          <w:rFonts w:ascii="Calibri" w:hAnsi="Calibri" w:cs="Calibri"/>
          <w:noProof/>
          <w:sz w:val="22"/>
          <w:lang w:val="en-US"/>
        </w:rPr>
        <w:t>: 135–42.</w:t>
      </w:r>
    </w:p>
    <w:p w14:paraId="066E2D4B" w14:textId="77777777" w:rsidR="00060798" w:rsidRPr="00060798" w:rsidRDefault="00060798" w:rsidP="00060798">
      <w:pPr>
        <w:widowControl w:val="0"/>
        <w:autoSpaceDE w:val="0"/>
        <w:autoSpaceDN w:val="0"/>
        <w:adjustRightInd w:val="0"/>
        <w:ind w:left="640" w:hanging="640"/>
        <w:rPr>
          <w:rFonts w:ascii="Calibri" w:hAnsi="Calibri" w:cs="Calibri"/>
          <w:noProof/>
          <w:sz w:val="22"/>
          <w:lang w:val="en-US"/>
        </w:rPr>
      </w:pPr>
      <w:r w:rsidRPr="00060798">
        <w:rPr>
          <w:rFonts w:ascii="Calibri" w:hAnsi="Calibri" w:cs="Calibri"/>
          <w:noProof/>
          <w:sz w:val="22"/>
          <w:lang w:val="en-US"/>
        </w:rPr>
        <w:t>9</w:t>
      </w:r>
      <w:r w:rsidRPr="00060798">
        <w:rPr>
          <w:rFonts w:ascii="Calibri" w:hAnsi="Calibri" w:cs="Calibri"/>
          <w:noProof/>
          <w:sz w:val="22"/>
          <w:lang w:val="en-US"/>
        </w:rPr>
        <w:tab/>
        <w:t xml:space="preserve">Darrow JJ, Najafzadeh M, Stefanini K, Kesselheim AS. Regulatory approval characteristics of antimicrobial versus non-antimicrobial products, 1984-2018: an evaluation of Food and Drug Administration flexibilities. </w:t>
      </w:r>
      <w:r w:rsidRPr="00060798">
        <w:rPr>
          <w:rFonts w:ascii="Calibri" w:hAnsi="Calibri" w:cs="Calibri"/>
          <w:i/>
          <w:iCs/>
          <w:noProof/>
          <w:sz w:val="22"/>
          <w:lang w:val="en-US"/>
        </w:rPr>
        <w:t>Lancet Infect Dis</w:t>
      </w:r>
      <w:r w:rsidRPr="00060798">
        <w:rPr>
          <w:rFonts w:ascii="Calibri" w:hAnsi="Calibri" w:cs="Calibri"/>
          <w:noProof/>
          <w:sz w:val="22"/>
          <w:lang w:val="en-US"/>
        </w:rPr>
        <w:t xml:space="preserve"> 2020; </w:t>
      </w:r>
      <w:r w:rsidRPr="00060798">
        <w:rPr>
          <w:rFonts w:ascii="Calibri" w:hAnsi="Calibri" w:cs="Calibri"/>
          <w:b/>
          <w:bCs/>
          <w:noProof/>
          <w:sz w:val="22"/>
          <w:lang w:val="en-US"/>
        </w:rPr>
        <w:t>20</w:t>
      </w:r>
      <w:r w:rsidRPr="00060798">
        <w:rPr>
          <w:rFonts w:ascii="Calibri" w:hAnsi="Calibri" w:cs="Calibri"/>
          <w:noProof/>
          <w:sz w:val="22"/>
          <w:lang w:val="en-US"/>
        </w:rPr>
        <w:t>: e159–64.</w:t>
      </w:r>
    </w:p>
    <w:p w14:paraId="4BCC5077" w14:textId="7C01844F" w:rsidR="00060798" w:rsidRPr="00060798" w:rsidRDefault="00060798" w:rsidP="00060798">
      <w:pPr>
        <w:widowControl w:val="0"/>
        <w:autoSpaceDE w:val="0"/>
        <w:autoSpaceDN w:val="0"/>
        <w:adjustRightInd w:val="0"/>
        <w:ind w:left="640" w:hanging="640"/>
        <w:rPr>
          <w:rFonts w:ascii="Calibri" w:hAnsi="Calibri" w:cs="Calibri"/>
          <w:noProof/>
          <w:sz w:val="22"/>
        </w:rPr>
      </w:pPr>
      <w:r w:rsidRPr="00060798">
        <w:rPr>
          <w:rFonts w:ascii="Calibri" w:hAnsi="Calibri" w:cs="Calibri"/>
          <w:noProof/>
          <w:sz w:val="22"/>
          <w:lang w:val="en-US"/>
        </w:rPr>
        <w:t>10</w:t>
      </w:r>
      <w:r w:rsidRPr="00060798">
        <w:rPr>
          <w:rFonts w:ascii="Calibri" w:hAnsi="Calibri" w:cs="Calibri"/>
          <w:noProof/>
          <w:sz w:val="22"/>
          <w:lang w:val="en-US"/>
        </w:rPr>
        <w:tab/>
        <w:t>Laxminarayan R, Bhutta ZA. Antimicrobial resistance</w:t>
      </w:r>
      <w:r w:rsidR="00C05299">
        <w:rPr>
          <w:rFonts w:ascii="Calibri" w:hAnsi="Calibri" w:cs="Calibri"/>
          <w:noProof/>
          <w:sz w:val="22"/>
          <w:lang w:val="en-US"/>
        </w:rPr>
        <w:t>: A</w:t>
      </w:r>
      <w:r w:rsidRPr="00060798">
        <w:rPr>
          <w:rFonts w:ascii="Calibri" w:hAnsi="Calibri" w:cs="Calibri"/>
          <w:noProof/>
          <w:sz w:val="22"/>
          <w:lang w:val="en-US"/>
        </w:rPr>
        <w:t xml:space="preserve"> threat to neonate survival. </w:t>
      </w:r>
      <w:r w:rsidRPr="00060798">
        <w:rPr>
          <w:rFonts w:ascii="Calibri" w:hAnsi="Calibri" w:cs="Calibri"/>
          <w:i/>
          <w:iCs/>
          <w:noProof/>
          <w:sz w:val="22"/>
          <w:lang w:val="en-US"/>
        </w:rPr>
        <w:t>Lancet Glob Heal</w:t>
      </w:r>
      <w:r w:rsidRPr="00060798">
        <w:rPr>
          <w:rFonts w:ascii="Calibri" w:hAnsi="Calibri" w:cs="Calibri"/>
          <w:noProof/>
          <w:sz w:val="22"/>
          <w:lang w:val="en-US"/>
        </w:rPr>
        <w:t xml:space="preserve"> 2017; </w:t>
      </w:r>
      <w:r w:rsidRPr="00060798">
        <w:rPr>
          <w:rFonts w:ascii="Calibri" w:hAnsi="Calibri" w:cs="Calibri"/>
          <w:b/>
          <w:bCs/>
          <w:noProof/>
          <w:sz w:val="22"/>
          <w:lang w:val="en-US"/>
        </w:rPr>
        <w:t>4</w:t>
      </w:r>
      <w:r w:rsidRPr="00060798">
        <w:rPr>
          <w:rFonts w:ascii="Calibri" w:hAnsi="Calibri" w:cs="Calibri"/>
          <w:noProof/>
          <w:sz w:val="22"/>
          <w:lang w:val="en-US"/>
        </w:rPr>
        <w:t>: e676–7.</w:t>
      </w:r>
    </w:p>
    <w:p w14:paraId="18878BAE" w14:textId="12F91B79" w:rsidR="00E77074" w:rsidRPr="00EF5361" w:rsidRDefault="000C684F">
      <w:pPr>
        <w:jc w:val="both"/>
        <w:rPr>
          <w:rFonts w:asciiTheme="minorHAnsi" w:hAnsiTheme="minorHAnsi" w:cstheme="minorHAnsi"/>
          <w:color w:val="000000" w:themeColor="text1"/>
          <w:sz w:val="22"/>
          <w:szCs w:val="22"/>
          <w:lang w:val="en-GB"/>
        </w:rPr>
      </w:pPr>
      <w:r w:rsidRPr="00EF5361">
        <w:rPr>
          <w:rFonts w:asciiTheme="minorHAnsi" w:hAnsiTheme="minorHAnsi" w:cstheme="minorHAnsi"/>
          <w:color w:val="000000" w:themeColor="text1"/>
          <w:sz w:val="22"/>
          <w:szCs w:val="22"/>
          <w:lang w:val="en-GB"/>
        </w:rPr>
        <w:fldChar w:fldCharType="end"/>
      </w:r>
    </w:p>
    <w:sectPr w:rsidR="00E77074" w:rsidRPr="00EF5361" w:rsidSect="005729E0">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4830" w14:textId="77777777" w:rsidR="00022C6C" w:rsidRDefault="00022C6C" w:rsidP="00B5797E">
      <w:r>
        <w:separator/>
      </w:r>
    </w:p>
  </w:endnote>
  <w:endnote w:type="continuationSeparator" w:id="0">
    <w:p w14:paraId="7783883F" w14:textId="77777777" w:rsidR="00022C6C" w:rsidRDefault="00022C6C" w:rsidP="00B5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1518524"/>
      <w:docPartObj>
        <w:docPartGallery w:val="Page Numbers (Bottom of Page)"/>
        <w:docPartUnique/>
      </w:docPartObj>
    </w:sdtPr>
    <w:sdtEndPr>
      <w:rPr>
        <w:rStyle w:val="PageNumber"/>
      </w:rPr>
    </w:sdtEndPr>
    <w:sdtContent>
      <w:p w14:paraId="6DF81958" w14:textId="7D511940" w:rsidR="004F4F50" w:rsidRDefault="004F4F50" w:rsidP="00B928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6A7ADB" w14:textId="77777777" w:rsidR="004F4F50" w:rsidRDefault="004F4F50" w:rsidP="004F4F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1865650"/>
      <w:docPartObj>
        <w:docPartGallery w:val="Page Numbers (Bottom of Page)"/>
        <w:docPartUnique/>
      </w:docPartObj>
    </w:sdtPr>
    <w:sdtEndPr>
      <w:rPr>
        <w:rStyle w:val="PageNumber"/>
      </w:rPr>
    </w:sdtEndPr>
    <w:sdtContent>
      <w:p w14:paraId="1C50487B" w14:textId="74392CE2" w:rsidR="004F4F50" w:rsidRDefault="004F4F50" w:rsidP="00B928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554BF9" w14:textId="77777777" w:rsidR="004F4F50" w:rsidRDefault="004F4F50" w:rsidP="004F4F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B32D" w14:textId="77777777" w:rsidR="00022C6C" w:rsidRDefault="00022C6C" w:rsidP="00B5797E">
      <w:r>
        <w:separator/>
      </w:r>
    </w:p>
  </w:footnote>
  <w:footnote w:type="continuationSeparator" w:id="0">
    <w:p w14:paraId="1B50914A" w14:textId="77777777" w:rsidR="00022C6C" w:rsidRDefault="00022C6C" w:rsidP="00B5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B475E"/>
    <w:multiLevelType w:val="hybridMultilevel"/>
    <w:tmpl w:val="3A181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9B5F72"/>
    <w:multiLevelType w:val="hybridMultilevel"/>
    <w:tmpl w:val="DDEA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62941"/>
    <w:multiLevelType w:val="hybridMultilevel"/>
    <w:tmpl w:val="961C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4F"/>
    <w:rsid w:val="00000D37"/>
    <w:rsid w:val="000054AB"/>
    <w:rsid w:val="000101F2"/>
    <w:rsid w:val="00022C6C"/>
    <w:rsid w:val="00024062"/>
    <w:rsid w:val="000246ED"/>
    <w:rsid w:val="00025389"/>
    <w:rsid w:val="00026864"/>
    <w:rsid w:val="00027CAE"/>
    <w:rsid w:val="00031692"/>
    <w:rsid w:val="00031B87"/>
    <w:rsid w:val="00032DD8"/>
    <w:rsid w:val="000332C2"/>
    <w:rsid w:val="00036895"/>
    <w:rsid w:val="00042431"/>
    <w:rsid w:val="00060590"/>
    <w:rsid w:val="00060798"/>
    <w:rsid w:val="00065125"/>
    <w:rsid w:val="000664A5"/>
    <w:rsid w:val="0007132E"/>
    <w:rsid w:val="000723A3"/>
    <w:rsid w:val="000735C3"/>
    <w:rsid w:val="00075C6C"/>
    <w:rsid w:val="00076A88"/>
    <w:rsid w:val="00082364"/>
    <w:rsid w:val="00085ECB"/>
    <w:rsid w:val="00086685"/>
    <w:rsid w:val="000902CF"/>
    <w:rsid w:val="00092809"/>
    <w:rsid w:val="000937F5"/>
    <w:rsid w:val="00096624"/>
    <w:rsid w:val="000A05C2"/>
    <w:rsid w:val="000A08A2"/>
    <w:rsid w:val="000A1B6E"/>
    <w:rsid w:val="000B3FA0"/>
    <w:rsid w:val="000C369A"/>
    <w:rsid w:val="000C684F"/>
    <w:rsid w:val="000C6BE9"/>
    <w:rsid w:val="000D0DF5"/>
    <w:rsid w:val="000E25CE"/>
    <w:rsid w:val="000E665B"/>
    <w:rsid w:val="00101538"/>
    <w:rsid w:val="00111083"/>
    <w:rsid w:val="00112C0A"/>
    <w:rsid w:val="00113E89"/>
    <w:rsid w:val="001223EC"/>
    <w:rsid w:val="00132BEE"/>
    <w:rsid w:val="00133781"/>
    <w:rsid w:val="0014209D"/>
    <w:rsid w:val="001451FF"/>
    <w:rsid w:val="00153075"/>
    <w:rsid w:val="00154772"/>
    <w:rsid w:val="0015690D"/>
    <w:rsid w:val="00162669"/>
    <w:rsid w:val="00181CE7"/>
    <w:rsid w:val="00182291"/>
    <w:rsid w:val="001902FB"/>
    <w:rsid w:val="001A1C63"/>
    <w:rsid w:val="001A2D4F"/>
    <w:rsid w:val="001A58B4"/>
    <w:rsid w:val="001B2382"/>
    <w:rsid w:val="001B41E8"/>
    <w:rsid w:val="001C3162"/>
    <w:rsid w:val="001C404E"/>
    <w:rsid w:val="001D494E"/>
    <w:rsid w:val="001D6DB4"/>
    <w:rsid w:val="001E1EB2"/>
    <w:rsid w:val="001E285E"/>
    <w:rsid w:val="001E3293"/>
    <w:rsid w:val="001E43CE"/>
    <w:rsid w:val="001E7D23"/>
    <w:rsid w:val="001F36F8"/>
    <w:rsid w:val="001F72BE"/>
    <w:rsid w:val="001F777E"/>
    <w:rsid w:val="002005F8"/>
    <w:rsid w:val="002137F5"/>
    <w:rsid w:val="00226EE4"/>
    <w:rsid w:val="00227611"/>
    <w:rsid w:val="00241760"/>
    <w:rsid w:val="00243B5A"/>
    <w:rsid w:val="002478DE"/>
    <w:rsid w:val="00247E1C"/>
    <w:rsid w:val="0025147B"/>
    <w:rsid w:val="0026041D"/>
    <w:rsid w:val="00262337"/>
    <w:rsid w:val="002624FA"/>
    <w:rsid w:val="002647C1"/>
    <w:rsid w:val="0026763D"/>
    <w:rsid w:val="00274F7B"/>
    <w:rsid w:val="00276DB4"/>
    <w:rsid w:val="00280D39"/>
    <w:rsid w:val="00281A2B"/>
    <w:rsid w:val="002923AA"/>
    <w:rsid w:val="002928D8"/>
    <w:rsid w:val="00293184"/>
    <w:rsid w:val="00293A91"/>
    <w:rsid w:val="00297BDA"/>
    <w:rsid w:val="002B63C1"/>
    <w:rsid w:val="002C0D37"/>
    <w:rsid w:val="002C7682"/>
    <w:rsid w:val="002D1690"/>
    <w:rsid w:val="002D1D5B"/>
    <w:rsid w:val="002D306C"/>
    <w:rsid w:val="002D6CE9"/>
    <w:rsid w:val="002E4D14"/>
    <w:rsid w:val="002F289F"/>
    <w:rsid w:val="003068F4"/>
    <w:rsid w:val="00310A8D"/>
    <w:rsid w:val="00314561"/>
    <w:rsid w:val="00322B6F"/>
    <w:rsid w:val="00326DCB"/>
    <w:rsid w:val="003272C0"/>
    <w:rsid w:val="00333BFA"/>
    <w:rsid w:val="00334E3D"/>
    <w:rsid w:val="003409A6"/>
    <w:rsid w:val="003433F2"/>
    <w:rsid w:val="00352D16"/>
    <w:rsid w:val="00352D92"/>
    <w:rsid w:val="0035337B"/>
    <w:rsid w:val="00353A3E"/>
    <w:rsid w:val="00362DA4"/>
    <w:rsid w:val="00367494"/>
    <w:rsid w:val="003744C9"/>
    <w:rsid w:val="00384206"/>
    <w:rsid w:val="0038429C"/>
    <w:rsid w:val="003842EF"/>
    <w:rsid w:val="00392388"/>
    <w:rsid w:val="00394E11"/>
    <w:rsid w:val="003A059C"/>
    <w:rsid w:val="003A46C6"/>
    <w:rsid w:val="003B36EF"/>
    <w:rsid w:val="003C1F57"/>
    <w:rsid w:val="003C277E"/>
    <w:rsid w:val="003C3449"/>
    <w:rsid w:val="003C6466"/>
    <w:rsid w:val="003D001B"/>
    <w:rsid w:val="003E27B9"/>
    <w:rsid w:val="003F2DAB"/>
    <w:rsid w:val="003F7CE0"/>
    <w:rsid w:val="00405A9D"/>
    <w:rsid w:val="0040621F"/>
    <w:rsid w:val="00411087"/>
    <w:rsid w:val="00426673"/>
    <w:rsid w:val="00431AC8"/>
    <w:rsid w:val="00433715"/>
    <w:rsid w:val="00441BAD"/>
    <w:rsid w:val="00441D88"/>
    <w:rsid w:val="004425F5"/>
    <w:rsid w:val="00444ECA"/>
    <w:rsid w:val="004455F6"/>
    <w:rsid w:val="00453845"/>
    <w:rsid w:val="00460B65"/>
    <w:rsid w:val="00476F80"/>
    <w:rsid w:val="00480D10"/>
    <w:rsid w:val="00490B12"/>
    <w:rsid w:val="004A5B6F"/>
    <w:rsid w:val="004C515C"/>
    <w:rsid w:val="004C68AC"/>
    <w:rsid w:val="004D3AA1"/>
    <w:rsid w:val="004D43BF"/>
    <w:rsid w:val="004E1C65"/>
    <w:rsid w:val="004F18FB"/>
    <w:rsid w:val="004F28FF"/>
    <w:rsid w:val="004F4827"/>
    <w:rsid w:val="004F4F50"/>
    <w:rsid w:val="004F5D1E"/>
    <w:rsid w:val="004F5DC0"/>
    <w:rsid w:val="004F7A01"/>
    <w:rsid w:val="00504C3E"/>
    <w:rsid w:val="00514456"/>
    <w:rsid w:val="00520CF8"/>
    <w:rsid w:val="00521E59"/>
    <w:rsid w:val="00540766"/>
    <w:rsid w:val="0055157A"/>
    <w:rsid w:val="00551589"/>
    <w:rsid w:val="00562DAF"/>
    <w:rsid w:val="005723A4"/>
    <w:rsid w:val="005729E0"/>
    <w:rsid w:val="005848E7"/>
    <w:rsid w:val="0059310B"/>
    <w:rsid w:val="005943FD"/>
    <w:rsid w:val="00597AFE"/>
    <w:rsid w:val="005A16EC"/>
    <w:rsid w:val="005A1D6E"/>
    <w:rsid w:val="005A3446"/>
    <w:rsid w:val="005A4E8E"/>
    <w:rsid w:val="005A76FA"/>
    <w:rsid w:val="005A7B51"/>
    <w:rsid w:val="005C1C7A"/>
    <w:rsid w:val="005C230A"/>
    <w:rsid w:val="005D0DCA"/>
    <w:rsid w:val="005D7FCB"/>
    <w:rsid w:val="005E0335"/>
    <w:rsid w:val="005E19A9"/>
    <w:rsid w:val="005E4C28"/>
    <w:rsid w:val="005F7B5C"/>
    <w:rsid w:val="0060356D"/>
    <w:rsid w:val="00621174"/>
    <w:rsid w:val="0063050D"/>
    <w:rsid w:val="0064250B"/>
    <w:rsid w:val="00651223"/>
    <w:rsid w:val="0065149B"/>
    <w:rsid w:val="0065337E"/>
    <w:rsid w:val="00653CA2"/>
    <w:rsid w:val="00662879"/>
    <w:rsid w:val="00666030"/>
    <w:rsid w:val="0066772B"/>
    <w:rsid w:val="00667F1F"/>
    <w:rsid w:val="00670D6D"/>
    <w:rsid w:val="00670FBB"/>
    <w:rsid w:val="006719A2"/>
    <w:rsid w:val="00696D09"/>
    <w:rsid w:val="006972C9"/>
    <w:rsid w:val="006A086B"/>
    <w:rsid w:val="006A16AD"/>
    <w:rsid w:val="006A3FFB"/>
    <w:rsid w:val="006A5DFB"/>
    <w:rsid w:val="006C1A2A"/>
    <w:rsid w:val="006C2B54"/>
    <w:rsid w:val="006C6BC7"/>
    <w:rsid w:val="006D1758"/>
    <w:rsid w:val="006D5B01"/>
    <w:rsid w:val="006D5CC8"/>
    <w:rsid w:val="006E13BD"/>
    <w:rsid w:val="006E2C63"/>
    <w:rsid w:val="006E2E30"/>
    <w:rsid w:val="006E674F"/>
    <w:rsid w:val="006E7A75"/>
    <w:rsid w:val="006F43DC"/>
    <w:rsid w:val="007144D2"/>
    <w:rsid w:val="00714C84"/>
    <w:rsid w:val="00717D80"/>
    <w:rsid w:val="00721EB3"/>
    <w:rsid w:val="007303B1"/>
    <w:rsid w:val="007346FC"/>
    <w:rsid w:val="0074148F"/>
    <w:rsid w:val="0075148F"/>
    <w:rsid w:val="00752D58"/>
    <w:rsid w:val="007549CB"/>
    <w:rsid w:val="00755E13"/>
    <w:rsid w:val="00757614"/>
    <w:rsid w:val="00760CA5"/>
    <w:rsid w:val="00761684"/>
    <w:rsid w:val="0077135F"/>
    <w:rsid w:val="0077477A"/>
    <w:rsid w:val="00780F37"/>
    <w:rsid w:val="00784D89"/>
    <w:rsid w:val="0079427A"/>
    <w:rsid w:val="00794F53"/>
    <w:rsid w:val="007A2512"/>
    <w:rsid w:val="007A5292"/>
    <w:rsid w:val="007B0F0E"/>
    <w:rsid w:val="007B4822"/>
    <w:rsid w:val="007B61A7"/>
    <w:rsid w:val="007C129F"/>
    <w:rsid w:val="007C2F97"/>
    <w:rsid w:val="007C6520"/>
    <w:rsid w:val="007C6BAA"/>
    <w:rsid w:val="007D0D30"/>
    <w:rsid w:val="007D3456"/>
    <w:rsid w:val="007D4DB9"/>
    <w:rsid w:val="007E16BE"/>
    <w:rsid w:val="007E216B"/>
    <w:rsid w:val="007E6EA7"/>
    <w:rsid w:val="007F6201"/>
    <w:rsid w:val="0080014E"/>
    <w:rsid w:val="008038EA"/>
    <w:rsid w:val="008069C4"/>
    <w:rsid w:val="00816A0B"/>
    <w:rsid w:val="00817E6A"/>
    <w:rsid w:val="00820349"/>
    <w:rsid w:val="00821061"/>
    <w:rsid w:val="00823316"/>
    <w:rsid w:val="00833A6C"/>
    <w:rsid w:val="00833E61"/>
    <w:rsid w:val="00836570"/>
    <w:rsid w:val="0084308D"/>
    <w:rsid w:val="0084534D"/>
    <w:rsid w:val="00846FB3"/>
    <w:rsid w:val="008638FB"/>
    <w:rsid w:val="00865D30"/>
    <w:rsid w:val="00870977"/>
    <w:rsid w:val="0087213D"/>
    <w:rsid w:val="00877207"/>
    <w:rsid w:val="00880398"/>
    <w:rsid w:val="00881DAA"/>
    <w:rsid w:val="00886E33"/>
    <w:rsid w:val="0089119F"/>
    <w:rsid w:val="00892076"/>
    <w:rsid w:val="0089750C"/>
    <w:rsid w:val="008B15F4"/>
    <w:rsid w:val="008C4DFC"/>
    <w:rsid w:val="008C566A"/>
    <w:rsid w:val="008D2B12"/>
    <w:rsid w:val="008E292A"/>
    <w:rsid w:val="008E53B5"/>
    <w:rsid w:val="008E7BFF"/>
    <w:rsid w:val="008F56D6"/>
    <w:rsid w:val="008F5AAB"/>
    <w:rsid w:val="008F6C52"/>
    <w:rsid w:val="009003EA"/>
    <w:rsid w:val="00903D4E"/>
    <w:rsid w:val="00906575"/>
    <w:rsid w:val="009065F5"/>
    <w:rsid w:val="00914374"/>
    <w:rsid w:val="009220AD"/>
    <w:rsid w:val="00925FA0"/>
    <w:rsid w:val="00931415"/>
    <w:rsid w:val="00934CAE"/>
    <w:rsid w:val="0093553C"/>
    <w:rsid w:val="0094034B"/>
    <w:rsid w:val="00940536"/>
    <w:rsid w:val="009408F7"/>
    <w:rsid w:val="00942B34"/>
    <w:rsid w:val="00945DA2"/>
    <w:rsid w:val="00947C53"/>
    <w:rsid w:val="009509E5"/>
    <w:rsid w:val="00950FEA"/>
    <w:rsid w:val="00956605"/>
    <w:rsid w:val="0095698C"/>
    <w:rsid w:val="00967493"/>
    <w:rsid w:val="00967B29"/>
    <w:rsid w:val="00967DFD"/>
    <w:rsid w:val="0098628E"/>
    <w:rsid w:val="009A0139"/>
    <w:rsid w:val="009A523D"/>
    <w:rsid w:val="009C1C4D"/>
    <w:rsid w:val="009C5FC3"/>
    <w:rsid w:val="009C73E1"/>
    <w:rsid w:val="009D158A"/>
    <w:rsid w:val="009D3A7E"/>
    <w:rsid w:val="009D3FCC"/>
    <w:rsid w:val="009D4BEF"/>
    <w:rsid w:val="009E12EA"/>
    <w:rsid w:val="009E13C4"/>
    <w:rsid w:val="009F1BB9"/>
    <w:rsid w:val="00A06E4F"/>
    <w:rsid w:val="00A20234"/>
    <w:rsid w:val="00A2366B"/>
    <w:rsid w:val="00A23BB5"/>
    <w:rsid w:val="00A3136D"/>
    <w:rsid w:val="00A313D3"/>
    <w:rsid w:val="00A31C7F"/>
    <w:rsid w:val="00A326BA"/>
    <w:rsid w:val="00A43588"/>
    <w:rsid w:val="00A4791F"/>
    <w:rsid w:val="00A54015"/>
    <w:rsid w:val="00A551B9"/>
    <w:rsid w:val="00A61E94"/>
    <w:rsid w:val="00A62427"/>
    <w:rsid w:val="00A73CB4"/>
    <w:rsid w:val="00A770B5"/>
    <w:rsid w:val="00A94FB0"/>
    <w:rsid w:val="00AA0E43"/>
    <w:rsid w:val="00AA1C51"/>
    <w:rsid w:val="00AA1E63"/>
    <w:rsid w:val="00AA6AEE"/>
    <w:rsid w:val="00AB1695"/>
    <w:rsid w:val="00AB5EDA"/>
    <w:rsid w:val="00AB6C7E"/>
    <w:rsid w:val="00AB7F98"/>
    <w:rsid w:val="00AC271B"/>
    <w:rsid w:val="00AC3B0A"/>
    <w:rsid w:val="00AC5242"/>
    <w:rsid w:val="00AC57AD"/>
    <w:rsid w:val="00AC69F4"/>
    <w:rsid w:val="00AD7AD8"/>
    <w:rsid w:val="00AE0219"/>
    <w:rsid w:val="00AF3C87"/>
    <w:rsid w:val="00AF7410"/>
    <w:rsid w:val="00B034E3"/>
    <w:rsid w:val="00B169DF"/>
    <w:rsid w:val="00B16C50"/>
    <w:rsid w:val="00B2246B"/>
    <w:rsid w:val="00B3076D"/>
    <w:rsid w:val="00B32485"/>
    <w:rsid w:val="00B36AE7"/>
    <w:rsid w:val="00B41521"/>
    <w:rsid w:val="00B45A75"/>
    <w:rsid w:val="00B53CC7"/>
    <w:rsid w:val="00B55958"/>
    <w:rsid w:val="00B559EB"/>
    <w:rsid w:val="00B56368"/>
    <w:rsid w:val="00B5797E"/>
    <w:rsid w:val="00B63593"/>
    <w:rsid w:val="00B6508F"/>
    <w:rsid w:val="00B6712E"/>
    <w:rsid w:val="00B6769F"/>
    <w:rsid w:val="00B76A64"/>
    <w:rsid w:val="00B84008"/>
    <w:rsid w:val="00B84F69"/>
    <w:rsid w:val="00B86405"/>
    <w:rsid w:val="00B869C4"/>
    <w:rsid w:val="00B91876"/>
    <w:rsid w:val="00B946E3"/>
    <w:rsid w:val="00B961CB"/>
    <w:rsid w:val="00B97772"/>
    <w:rsid w:val="00BA2532"/>
    <w:rsid w:val="00BB2CF7"/>
    <w:rsid w:val="00BB5BC6"/>
    <w:rsid w:val="00BB7619"/>
    <w:rsid w:val="00BC32FB"/>
    <w:rsid w:val="00BD3C10"/>
    <w:rsid w:val="00BE1B92"/>
    <w:rsid w:val="00BE1C2A"/>
    <w:rsid w:val="00BF03F8"/>
    <w:rsid w:val="00BF0CBF"/>
    <w:rsid w:val="00BF3954"/>
    <w:rsid w:val="00BF4066"/>
    <w:rsid w:val="00BF79C4"/>
    <w:rsid w:val="00C0061C"/>
    <w:rsid w:val="00C00C9A"/>
    <w:rsid w:val="00C01158"/>
    <w:rsid w:val="00C046E4"/>
    <w:rsid w:val="00C04732"/>
    <w:rsid w:val="00C05299"/>
    <w:rsid w:val="00C13EB5"/>
    <w:rsid w:val="00C142D9"/>
    <w:rsid w:val="00C1676A"/>
    <w:rsid w:val="00C35F69"/>
    <w:rsid w:val="00C40C5B"/>
    <w:rsid w:val="00C42D17"/>
    <w:rsid w:val="00C4798C"/>
    <w:rsid w:val="00C560FF"/>
    <w:rsid w:val="00C6450F"/>
    <w:rsid w:val="00C70A42"/>
    <w:rsid w:val="00C77467"/>
    <w:rsid w:val="00C77B59"/>
    <w:rsid w:val="00C95A22"/>
    <w:rsid w:val="00C97664"/>
    <w:rsid w:val="00CA479B"/>
    <w:rsid w:val="00CA5559"/>
    <w:rsid w:val="00CA5F03"/>
    <w:rsid w:val="00CB04FC"/>
    <w:rsid w:val="00CB29A7"/>
    <w:rsid w:val="00CC2F16"/>
    <w:rsid w:val="00CC64E3"/>
    <w:rsid w:val="00CD02C0"/>
    <w:rsid w:val="00CD042B"/>
    <w:rsid w:val="00CE1144"/>
    <w:rsid w:val="00CE15A2"/>
    <w:rsid w:val="00CE2074"/>
    <w:rsid w:val="00D11216"/>
    <w:rsid w:val="00D11DC8"/>
    <w:rsid w:val="00D32CA3"/>
    <w:rsid w:val="00D409BE"/>
    <w:rsid w:val="00D42EAD"/>
    <w:rsid w:val="00D52603"/>
    <w:rsid w:val="00D5376F"/>
    <w:rsid w:val="00D71C32"/>
    <w:rsid w:val="00D75079"/>
    <w:rsid w:val="00D8123F"/>
    <w:rsid w:val="00D863DD"/>
    <w:rsid w:val="00D921C7"/>
    <w:rsid w:val="00D931D4"/>
    <w:rsid w:val="00D93495"/>
    <w:rsid w:val="00D96AA5"/>
    <w:rsid w:val="00DA2178"/>
    <w:rsid w:val="00DB0AE1"/>
    <w:rsid w:val="00DC0AC5"/>
    <w:rsid w:val="00DC4577"/>
    <w:rsid w:val="00DC5750"/>
    <w:rsid w:val="00DC6E85"/>
    <w:rsid w:val="00DD2149"/>
    <w:rsid w:val="00DD380A"/>
    <w:rsid w:val="00DD66D1"/>
    <w:rsid w:val="00DD7BDB"/>
    <w:rsid w:val="00DE031B"/>
    <w:rsid w:val="00DE34F0"/>
    <w:rsid w:val="00DE3F7A"/>
    <w:rsid w:val="00DE5464"/>
    <w:rsid w:val="00DF1593"/>
    <w:rsid w:val="00DF6BF8"/>
    <w:rsid w:val="00E02F5A"/>
    <w:rsid w:val="00E10D89"/>
    <w:rsid w:val="00E16E65"/>
    <w:rsid w:val="00E21272"/>
    <w:rsid w:val="00E31154"/>
    <w:rsid w:val="00E43A07"/>
    <w:rsid w:val="00E5732E"/>
    <w:rsid w:val="00E57EA6"/>
    <w:rsid w:val="00E60F8B"/>
    <w:rsid w:val="00E72BEA"/>
    <w:rsid w:val="00E77074"/>
    <w:rsid w:val="00E81727"/>
    <w:rsid w:val="00E81D03"/>
    <w:rsid w:val="00E834FA"/>
    <w:rsid w:val="00E85D8B"/>
    <w:rsid w:val="00E94767"/>
    <w:rsid w:val="00E95224"/>
    <w:rsid w:val="00EA1A79"/>
    <w:rsid w:val="00EC6E17"/>
    <w:rsid w:val="00EE75AE"/>
    <w:rsid w:val="00EF1CE9"/>
    <w:rsid w:val="00EF5361"/>
    <w:rsid w:val="00F00F69"/>
    <w:rsid w:val="00F02A8D"/>
    <w:rsid w:val="00F04398"/>
    <w:rsid w:val="00F0773A"/>
    <w:rsid w:val="00F07C2F"/>
    <w:rsid w:val="00F130B3"/>
    <w:rsid w:val="00F138CC"/>
    <w:rsid w:val="00F154A0"/>
    <w:rsid w:val="00F22560"/>
    <w:rsid w:val="00F361E8"/>
    <w:rsid w:val="00F37BD3"/>
    <w:rsid w:val="00F50981"/>
    <w:rsid w:val="00F50CB7"/>
    <w:rsid w:val="00F52650"/>
    <w:rsid w:val="00F53344"/>
    <w:rsid w:val="00F572C8"/>
    <w:rsid w:val="00F57F6E"/>
    <w:rsid w:val="00F62E1A"/>
    <w:rsid w:val="00F7634D"/>
    <w:rsid w:val="00F776BF"/>
    <w:rsid w:val="00F81296"/>
    <w:rsid w:val="00F817A0"/>
    <w:rsid w:val="00F8637E"/>
    <w:rsid w:val="00F92A40"/>
    <w:rsid w:val="00F93603"/>
    <w:rsid w:val="00F95046"/>
    <w:rsid w:val="00F9551A"/>
    <w:rsid w:val="00F9581C"/>
    <w:rsid w:val="00FA305C"/>
    <w:rsid w:val="00FA6641"/>
    <w:rsid w:val="00FA6CF7"/>
    <w:rsid w:val="00FB1F88"/>
    <w:rsid w:val="00FB5C47"/>
    <w:rsid w:val="00FB6A16"/>
    <w:rsid w:val="00FC5376"/>
    <w:rsid w:val="00FD0B1A"/>
    <w:rsid w:val="00FD1ECE"/>
    <w:rsid w:val="00FD62A2"/>
    <w:rsid w:val="00FD6D8C"/>
    <w:rsid w:val="00FE06E5"/>
    <w:rsid w:val="00FE3BBC"/>
    <w:rsid w:val="00FE68BF"/>
    <w:rsid w:val="00FF0453"/>
    <w:rsid w:val="00FF70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99B27"/>
  <w15:docId w15:val="{CCEE9C7C-9FAE-2540-B6BB-B0691608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27"/>
    <w:rPr>
      <w:rFonts w:ascii="Times New Roman" w:eastAsia="Times New Roman" w:hAnsi="Times New Roman" w:cs="Times New Roman"/>
    </w:rPr>
  </w:style>
  <w:style w:type="paragraph" w:styleId="Heading1">
    <w:name w:val="heading 1"/>
    <w:basedOn w:val="Normal"/>
    <w:link w:val="Heading1Char"/>
    <w:uiPriority w:val="9"/>
    <w:qFormat/>
    <w:rsid w:val="00293A9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842E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684F"/>
    <w:rPr>
      <w:sz w:val="16"/>
      <w:szCs w:val="16"/>
    </w:rPr>
  </w:style>
  <w:style w:type="paragraph" w:styleId="CommentText">
    <w:name w:val="annotation text"/>
    <w:basedOn w:val="Normal"/>
    <w:link w:val="CommentTextChar"/>
    <w:uiPriority w:val="99"/>
    <w:unhideWhenUsed/>
    <w:rsid w:val="000C684F"/>
    <w:rPr>
      <w:sz w:val="20"/>
      <w:szCs w:val="20"/>
    </w:rPr>
  </w:style>
  <w:style w:type="character" w:customStyle="1" w:styleId="CommentTextChar">
    <w:name w:val="Comment Text Char"/>
    <w:basedOn w:val="DefaultParagraphFont"/>
    <w:link w:val="CommentText"/>
    <w:uiPriority w:val="99"/>
    <w:rsid w:val="000C684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684F"/>
    <w:rPr>
      <w:sz w:val="18"/>
      <w:szCs w:val="18"/>
    </w:rPr>
  </w:style>
  <w:style w:type="character" w:customStyle="1" w:styleId="BalloonTextChar">
    <w:name w:val="Balloon Text Char"/>
    <w:basedOn w:val="DefaultParagraphFont"/>
    <w:link w:val="BalloonText"/>
    <w:uiPriority w:val="99"/>
    <w:semiHidden/>
    <w:rsid w:val="000C684F"/>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293A91"/>
    <w:rPr>
      <w:rFonts w:ascii="Times New Roman" w:eastAsia="Times New Roman" w:hAnsi="Times New Roman" w:cs="Times New Roman"/>
      <w:b/>
      <w:bCs/>
      <w:kern w:val="36"/>
      <w:sz w:val="48"/>
      <w:szCs w:val="48"/>
    </w:rPr>
  </w:style>
  <w:style w:type="character" w:customStyle="1" w:styleId="hitsyn">
    <w:name w:val="hit_syn"/>
    <w:basedOn w:val="DefaultParagraphFont"/>
    <w:rsid w:val="00293A91"/>
  </w:style>
  <w:style w:type="character" w:customStyle="1" w:styleId="hitinf">
    <w:name w:val="hit_inf"/>
    <w:basedOn w:val="DefaultParagraphFont"/>
    <w:rsid w:val="00293A91"/>
  </w:style>
  <w:style w:type="character" w:styleId="Hyperlink">
    <w:name w:val="Hyperlink"/>
    <w:basedOn w:val="DefaultParagraphFont"/>
    <w:uiPriority w:val="99"/>
    <w:unhideWhenUsed/>
    <w:rsid w:val="009E13C4"/>
    <w:rPr>
      <w:color w:val="0000FF"/>
      <w:u w:val="single"/>
    </w:rPr>
  </w:style>
  <w:style w:type="character" w:customStyle="1" w:styleId="UnresolvedMention1">
    <w:name w:val="Unresolved Mention1"/>
    <w:basedOn w:val="DefaultParagraphFont"/>
    <w:uiPriority w:val="99"/>
    <w:semiHidden/>
    <w:unhideWhenUsed/>
    <w:rsid w:val="00DC0AC5"/>
    <w:rPr>
      <w:color w:val="605E5C"/>
      <w:shd w:val="clear" w:color="auto" w:fill="E1DFDD"/>
    </w:rPr>
  </w:style>
  <w:style w:type="paragraph" w:styleId="ListParagraph">
    <w:name w:val="List Paragraph"/>
    <w:basedOn w:val="Normal"/>
    <w:uiPriority w:val="34"/>
    <w:qFormat/>
    <w:rsid w:val="004F5D1E"/>
    <w:pPr>
      <w:ind w:left="720"/>
      <w:contextualSpacing/>
    </w:pPr>
  </w:style>
  <w:style w:type="paragraph" w:styleId="CommentSubject">
    <w:name w:val="annotation subject"/>
    <w:basedOn w:val="CommentText"/>
    <w:next w:val="CommentText"/>
    <w:link w:val="CommentSubjectChar"/>
    <w:uiPriority w:val="99"/>
    <w:semiHidden/>
    <w:unhideWhenUsed/>
    <w:rsid w:val="003272C0"/>
    <w:rPr>
      <w:b/>
      <w:bCs/>
    </w:rPr>
  </w:style>
  <w:style w:type="character" w:customStyle="1" w:styleId="CommentSubjectChar">
    <w:name w:val="Comment Subject Char"/>
    <w:basedOn w:val="CommentTextChar"/>
    <w:link w:val="CommentSubject"/>
    <w:uiPriority w:val="99"/>
    <w:semiHidden/>
    <w:rsid w:val="003272C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5797E"/>
    <w:pPr>
      <w:tabs>
        <w:tab w:val="center" w:pos="4680"/>
        <w:tab w:val="right" w:pos="9360"/>
      </w:tabs>
    </w:pPr>
  </w:style>
  <w:style w:type="character" w:customStyle="1" w:styleId="HeaderChar">
    <w:name w:val="Header Char"/>
    <w:basedOn w:val="DefaultParagraphFont"/>
    <w:link w:val="Header"/>
    <w:uiPriority w:val="99"/>
    <w:rsid w:val="00B5797E"/>
    <w:rPr>
      <w:rFonts w:ascii="Times New Roman" w:eastAsia="Times New Roman" w:hAnsi="Times New Roman" w:cs="Times New Roman"/>
    </w:rPr>
  </w:style>
  <w:style w:type="paragraph" w:styleId="Footer">
    <w:name w:val="footer"/>
    <w:basedOn w:val="Normal"/>
    <w:link w:val="FooterChar"/>
    <w:uiPriority w:val="99"/>
    <w:unhideWhenUsed/>
    <w:rsid w:val="00B5797E"/>
    <w:pPr>
      <w:tabs>
        <w:tab w:val="center" w:pos="4680"/>
        <w:tab w:val="right" w:pos="9360"/>
      </w:tabs>
    </w:pPr>
  </w:style>
  <w:style w:type="character" w:customStyle="1" w:styleId="FooterChar">
    <w:name w:val="Footer Char"/>
    <w:basedOn w:val="DefaultParagraphFont"/>
    <w:link w:val="Footer"/>
    <w:uiPriority w:val="99"/>
    <w:rsid w:val="00B5797E"/>
    <w:rPr>
      <w:rFonts w:ascii="Times New Roman" w:eastAsia="Times New Roman" w:hAnsi="Times New Roman" w:cs="Times New Roman"/>
    </w:rPr>
  </w:style>
  <w:style w:type="table" w:styleId="TableGrid">
    <w:name w:val="Table Grid"/>
    <w:basedOn w:val="TableNormal"/>
    <w:uiPriority w:val="39"/>
    <w:rsid w:val="00B5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770B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A770B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1C3162"/>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21E59"/>
    <w:rPr>
      <w:color w:val="954F72" w:themeColor="followedHyperlink"/>
      <w:u w:val="single"/>
    </w:rPr>
  </w:style>
  <w:style w:type="character" w:customStyle="1" w:styleId="apple-converted-space">
    <w:name w:val="apple-converted-space"/>
    <w:basedOn w:val="DefaultParagraphFont"/>
    <w:rsid w:val="00B559EB"/>
  </w:style>
  <w:style w:type="character" w:customStyle="1" w:styleId="UnresolvedMention2">
    <w:name w:val="Unresolved Mention2"/>
    <w:basedOn w:val="DefaultParagraphFont"/>
    <w:uiPriority w:val="99"/>
    <w:semiHidden/>
    <w:unhideWhenUsed/>
    <w:rsid w:val="006E2E30"/>
    <w:rPr>
      <w:color w:val="605E5C"/>
      <w:shd w:val="clear" w:color="auto" w:fill="E1DFDD"/>
    </w:rPr>
  </w:style>
  <w:style w:type="character" w:customStyle="1" w:styleId="Heading2Char">
    <w:name w:val="Heading 2 Char"/>
    <w:basedOn w:val="DefaultParagraphFont"/>
    <w:link w:val="Heading2"/>
    <w:uiPriority w:val="9"/>
    <w:rsid w:val="003842EF"/>
    <w:rPr>
      <w:rFonts w:asciiTheme="majorHAnsi" w:eastAsiaTheme="majorEastAsia" w:hAnsiTheme="majorHAnsi" w:cstheme="majorBidi"/>
      <w:b/>
      <w:bCs/>
      <w:color w:val="4472C4" w:themeColor="accent1"/>
      <w:sz w:val="26"/>
      <w:szCs w:val="26"/>
    </w:rPr>
  </w:style>
  <w:style w:type="paragraph" w:customStyle="1" w:styleId="Normal1">
    <w:name w:val="Normal1"/>
    <w:rsid w:val="000E25CE"/>
    <w:pPr>
      <w:spacing w:line="276" w:lineRule="auto"/>
    </w:pPr>
    <w:rPr>
      <w:rFonts w:ascii="Arial" w:eastAsia="Arial" w:hAnsi="Arial" w:cs="Arial"/>
      <w:sz w:val="22"/>
      <w:szCs w:val="22"/>
      <w:lang w:val="sv" w:eastAsia="sv-SE"/>
    </w:rPr>
  </w:style>
  <w:style w:type="character" w:styleId="UnresolvedMention">
    <w:name w:val="Unresolved Mention"/>
    <w:basedOn w:val="DefaultParagraphFont"/>
    <w:uiPriority w:val="99"/>
    <w:semiHidden/>
    <w:unhideWhenUsed/>
    <w:rsid w:val="009D158A"/>
    <w:rPr>
      <w:color w:val="605E5C"/>
      <w:shd w:val="clear" w:color="auto" w:fill="E1DFDD"/>
    </w:rPr>
  </w:style>
  <w:style w:type="character" w:styleId="PageNumber">
    <w:name w:val="page number"/>
    <w:basedOn w:val="DefaultParagraphFont"/>
    <w:uiPriority w:val="99"/>
    <w:semiHidden/>
    <w:unhideWhenUsed/>
    <w:rsid w:val="004F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067">
      <w:bodyDiv w:val="1"/>
      <w:marLeft w:val="0"/>
      <w:marRight w:val="0"/>
      <w:marTop w:val="0"/>
      <w:marBottom w:val="0"/>
      <w:divBdr>
        <w:top w:val="none" w:sz="0" w:space="0" w:color="auto"/>
        <w:left w:val="none" w:sz="0" w:space="0" w:color="auto"/>
        <w:bottom w:val="none" w:sz="0" w:space="0" w:color="auto"/>
        <w:right w:val="none" w:sz="0" w:space="0" w:color="auto"/>
      </w:divBdr>
    </w:div>
    <w:div w:id="173343611">
      <w:bodyDiv w:val="1"/>
      <w:marLeft w:val="0"/>
      <w:marRight w:val="0"/>
      <w:marTop w:val="0"/>
      <w:marBottom w:val="0"/>
      <w:divBdr>
        <w:top w:val="none" w:sz="0" w:space="0" w:color="auto"/>
        <w:left w:val="none" w:sz="0" w:space="0" w:color="auto"/>
        <w:bottom w:val="none" w:sz="0" w:space="0" w:color="auto"/>
        <w:right w:val="none" w:sz="0" w:space="0" w:color="auto"/>
      </w:divBdr>
    </w:div>
    <w:div w:id="202445949">
      <w:bodyDiv w:val="1"/>
      <w:marLeft w:val="0"/>
      <w:marRight w:val="0"/>
      <w:marTop w:val="0"/>
      <w:marBottom w:val="0"/>
      <w:divBdr>
        <w:top w:val="none" w:sz="0" w:space="0" w:color="auto"/>
        <w:left w:val="none" w:sz="0" w:space="0" w:color="auto"/>
        <w:bottom w:val="none" w:sz="0" w:space="0" w:color="auto"/>
        <w:right w:val="none" w:sz="0" w:space="0" w:color="auto"/>
      </w:divBdr>
    </w:div>
    <w:div w:id="362244834">
      <w:bodyDiv w:val="1"/>
      <w:marLeft w:val="0"/>
      <w:marRight w:val="0"/>
      <w:marTop w:val="0"/>
      <w:marBottom w:val="0"/>
      <w:divBdr>
        <w:top w:val="none" w:sz="0" w:space="0" w:color="auto"/>
        <w:left w:val="none" w:sz="0" w:space="0" w:color="auto"/>
        <w:bottom w:val="none" w:sz="0" w:space="0" w:color="auto"/>
        <w:right w:val="none" w:sz="0" w:space="0" w:color="auto"/>
      </w:divBdr>
    </w:div>
    <w:div w:id="384447822">
      <w:bodyDiv w:val="1"/>
      <w:marLeft w:val="0"/>
      <w:marRight w:val="0"/>
      <w:marTop w:val="0"/>
      <w:marBottom w:val="0"/>
      <w:divBdr>
        <w:top w:val="none" w:sz="0" w:space="0" w:color="auto"/>
        <w:left w:val="none" w:sz="0" w:space="0" w:color="auto"/>
        <w:bottom w:val="none" w:sz="0" w:space="0" w:color="auto"/>
        <w:right w:val="none" w:sz="0" w:space="0" w:color="auto"/>
      </w:divBdr>
    </w:div>
    <w:div w:id="448938765">
      <w:bodyDiv w:val="1"/>
      <w:marLeft w:val="0"/>
      <w:marRight w:val="0"/>
      <w:marTop w:val="0"/>
      <w:marBottom w:val="0"/>
      <w:divBdr>
        <w:top w:val="none" w:sz="0" w:space="0" w:color="auto"/>
        <w:left w:val="none" w:sz="0" w:space="0" w:color="auto"/>
        <w:bottom w:val="none" w:sz="0" w:space="0" w:color="auto"/>
        <w:right w:val="none" w:sz="0" w:space="0" w:color="auto"/>
      </w:divBdr>
    </w:div>
    <w:div w:id="484781405">
      <w:bodyDiv w:val="1"/>
      <w:marLeft w:val="0"/>
      <w:marRight w:val="0"/>
      <w:marTop w:val="0"/>
      <w:marBottom w:val="0"/>
      <w:divBdr>
        <w:top w:val="none" w:sz="0" w:space="0" w:color="auto"/>
        <w:left w:val="none" w:sz="0" w:space="0" w:color="auto"/>
        <w:bottom w:val="none" w:sz="0" w:space="0" w:color="auto"/>
        <w:right w:val="none" w:sz="0" w:space="0" w:color="auto"/>
      </w:divBdr>
    </w:div>
    <w:div w:id="499348122">
      <w:bodyDiv w:val="1"/>
      <w:marLeft w:val="0"/>
      <w:marRight w:val="0"/>
      <w:marTop w:val="0"/>
      <w:marBottom w:val="0"/>
      <w:divBdr>
        <w:top w:val="none" w:sz="0" w:space="0" w:color="auto"/>
        <w:left w:val="none" w:sz="0" w:space="0" w:color="auto"/>
        <w:bottom w:val="none" w:sz="0" w:space="0" w:color="auto"/>
        <w:right w:val="none" w:sz="0" w:space="0" w:color="auto"/>
      </w:divBdr>
    </w:div>
    <w:div w:id="557976862">
      <w:bodyDiv w:val="1"/>
      <w:marLeft w:val="0"/>
      <w:marRight w:val="0"/>
      <w:marTop w:val="0"/>
      <w:marBottom w:val="0"/>
      <w:divBdr>
        <w:top w:val="none" w:sz="0" w:space="0" w:color="auto"/>
        <w:left w:val="none" w:sz="0" w:space="0" w:color="auto"/>
        <w:bottom w:val="none" w:sz="0" w:space="0" w:color="auto"/>
        <w:right w:val="none" w:sz="0" w:space="0" w:color="auto"/>
      </w:divBdr>
    </w:div>
    <w:div w:id="615407896">
      <w:bodyDiv w:val="1"/>
      <w:marLeft w:val="0"/>
      <w:marRight w:val="0"/>
      <w:marTop w:val="0"/>
      <w:marBottom w:val="0"/>
      <w:divBdr>
        <w:top w:val="none" w:sz="0" w:space="0" w:color="auto"/>
        <w:left w:val="none" w:sz="0" w:space="0" w:color="auto"/>
        <w:bottom w:val="none" w:sz="0" w:space="0" w:color="auto"/>
        <w:right w:val="none" w:sz="0" w:space="0" w:color="auto"/>
      </w:divBdr>
    </w:div>
    <w:div w:id="707335858">
      <w:bodyDiv w:val="1"/>
      <w:marLeft w:val="0"/>
      <w:marRight w:val="0"/>
      <w:marTop w:val="0"/>
      <w:marBottom w:val="0"/>
      <w:divBdr>
        <w:top w:val="none" w:sz="0" w:space="0" w:color="auto"/>
        <w:left w:val="none" w:sz="0" w:space="0" w:color="auto"/>
        <w:bottom w:val="none" w:sz="0" w:space="0" w:color="auto"/>
        <w:right w:val="none" w:sz="0" w:space="0" w:color="auto"/>
      </w:divBdr>
    </w:div>
    <w:div w:id="842205239">
      <w:bodyDiv w:val="1"/>
      <w:marLeft w:val="0"/>
      <w:marRight w:val="0"/>
      <w:marTop w:val="0"/>
      <w:marBottom w:val="0"/>
      <w:divBdr>
        <w:top w:val="none" w:sz="0" w:space="0" w:color="auto"/>
        <w:left w:val="none" w:sz="0" w:space="0" w:color="auto"/>
        <w:bottom w:val="none" w:sz="0" w:space="0" w:color="auto"/>
        <w:right w:val="none" w:sz="0" w:space="0" w:color="auto"/>
      </w:divBdr>
    </w:div>
    <w:div w:id="962807908">
      <w:bodyDiv w:val="1"/>
      <w:marLeft w:val="0"/>
      <w:marRight w:val="0"/>
      <w:marTop w:val="0"/>
      <w:marBottom w:val="0"/>
      <w:divBdr>
        <w:top w:val="none" w:sz="0" w:space="0" w:color="auto"/>
        <w:left w:val="none" w:sz="0" w:space="0" w:color="auto"/>
        <w:bottom w:val="none" w:sz="0" w:space="0" w:color="auto"/>
        <w:right w:val="none" w:sz="0" w:space="0" w:color="auto"/>
      </w:divBdr>
    </w:div>
    <w:div w:id="1221862054">
      <w:bodyDiv w:val="1"/>
      <w:marLeft w:val="0"/>
      <w:marRight w:val="0"/>
      <w:marTop w:val="0"/>
      <w:marBottom w:val="0"/>
      <w:divBdr>
        <w:top w:val="none" w:sz="0" w:space="0" w:color="auto"/>
        <w:left w:val="none" w:sz="0" w:space="0" w:color="auto"/>
        <w:bottom w:val="none" w:sz="0" w:space="0" w:color="auto"/>
        <w:right w:val="none" w:sz="0" w:space="0" w:color="auto"/>
      </w:divBdr>
    </w:div>
    <w:div w:id="1304777133">
      <w:bodyDiv w:val="1"/>
      <w:marLeft w:val="0"/>
      <w:marRight w:val="0"/>
      <w:marTop w:val="0"/>
      <w:marBottom w:val="0"/>
      <w:divBdr>
        <w:top w:val="none" w:sz="0" w:space="0" w:color="auto"/>
        <w:left w:val="none" w:sz="0" w:space="0" w:color="auto"/>
        <w:bottom w:val="none" w:sz="0" w:space="0" w:color="auto"/>
        <w:right w:val="none" w:sz="0" w:space="0" w:color="auto"/>
      </w:divBdr>
    </w:div>
    <w:div w:id="1360206326">
      <w:bodyDiv w:val="1"/>
      <w:marLeft w:val="0"/>
      <w:marRight w:val="0"/>
      <w:marTop w:val="0"/>
      <w:marBottom w:val="0"/>
      <w:divBdr>
        <w:top w:val="none" w:sz="0" w:space="0" w:color="auto"/>
        <w:left w:val="none" w:sz="0" w:space="0" w:color="auto"/>
        <w:bottom w:val="none" w:sz="0" w:space="0" w:color="auto"/>
        <w:right w:val="none" w:sz="0" w:space="0" w:color="auto"/>
      </w:divBdr>
    </w:div>
    <w:div w:id="1378776281">
      <w:bodyDiv w:val="1"/>
      <w:marLeft w:val="0"/>
      <w:marRight w:val="0"/>
      <w:marTop w:val="0"/>
      <w:marBottom w:val="0"/>
      <w:divBdr>
        <w:top w:val="none" w:sz="0" w:space="0" w:color="auto"/>
        <w:left w:val="none" w:sz="0" w:space="0" w:color="auto"/>
        <w:bottom w:val="none" w:sz="0" w:space="0" w:color="auto"/>
        <w:right w:val="none" w:sz="0" w:space="0" w:color="auto"/>
      </w:divBdr>
    </w:div>
    <w:div w:id="1481195098">
      <w:bodyDiv w:val="1"/>
      <w:marLeft w:val="0"/>
      <w:marRight w:val="0"/>
      <w:marTop w:val="0"/>
      <w:marBottom w:val="0"/>
      <w:divBdr>
        <w:top w:val="none" w:sz="0" w:space="0" w:color="auto"/>
        <w:left w:val="none" w:sz="0" w:space="0" w:color="auto"/>
        <w:bottom w:val="none" w:sz="0" w:space="0" w:color="auto"/>
        <w:right w:val="none" w:sz="0" w:space="0" w:color="auto"/>
      </w:divBdr>
    </w:div>
    <w:div w:id="1604144820">
      <w:bodyDiv w:val="1"/>
      <w:marLeft w:val="0"/>
      <w:marRight w:val="0"/>
      <w:marTop w:val="0"/>
      <w:marBottom w:val="0"/>
      <w:divBdr>
        <w:top w:val="none" w:sz="0" w:space="0" w:color="auto"/>
        <w:left w:val="none" w:sz="0" w:space="0" w:color="auto"/>
        <w:bottom w:val="none" w:sz="0" w:space="0" w:color="auto"/>
        <w:right w:val="none" w:sz="0" w:space="0" w:color="auto"/>
      </w:divBdr>
    </w:div>
    <w:div w:id="1809087503">
      <w:bodyDiv w:val="1"/>
      <w:marLeft w:val="0"/>
      <w:marRight w:val="0"/>
      <w:marTop w:val="0"/>
      <w:marBottom w:val="0"/>
      <w:divBdr>
        <w:top w:val="none" w:sz="0" w:space="0" w:color="auto"/>
        <w:left w:val="none" w:sz="0" w:space="0" w:color="auto"/>
        <w:bottom w:val="none" w:sz="0" w:space="0" w:color="auto"/>
        <w:right w:val="none" w:sz="0" w:space="0" w:color="auto"/>
      </w:divBdr>
    </w:div>
    <w:div w:id="1878076903">
      <w:bodyDiv w:val="1"/>
      <w:marLeft w:val="0"/>
      <w:marRight w:val="0"/>
      <w:marTop w:val="0"/>
      <w:marBottom w:val="0"/>
      <w:divBdr>
        <w:top w:val="none" w:sz="0" w:space="0" w:color="auto"/>
        <w:left w:val="none" w:sz="0" w:space="0" w:color="auto"/>
        <w:bottom w:val="none" w:sz="0" w:space="0" w:color="auto"/>
        <w:right w:val="none" w:sz="0" w:space="0" w:color="auto"/>
      </w:divBdr>
    </w:div>
    <w:div w:id="1932272077">
      <w:bodyDiv w:val="1"/>
      <w:marLeft w:val="0"/>
      <w:marRight w:val="0"/>
      <w:marTop w:val="0"/>
      <w:marBottom w:val="0"/>
      <w:divBdr>
        <w:top w:val="none" w:sz="0" w:space="0" w:color="auto"/>
        <w:left w:val="none" w:sz="0" w:space="0" w:color="auto"/>
        <w:bottom w:val="none" w:sz="0" w:space="0" w:color="auto"/>
        <w:right w:val="none" w:sz="0" w:space="0" w:color="auto"/>
      </w:divBdr>
    </w:div>
    <w:div w:id="1954480501">
      <w:bodyDiv w:val="1"/>
      <w:marLeft w:val="0"/>
      <w:marRight w:val="0"/>
      <w:marTop w:val="0"/>
      <w:marBottom w:val="0"/>
      <w:divBdr>
        <w:top w:val="none" w:sz="0" w:space="0" w:color="auto"/>
        <w:left w:val="none" w:sz="0" w:space="0" w:color="auto"/>
        <w:bottom w:val="none" w:sz="0" w:space="0" w:color="auto"/>
        <w:right w:val="none" w:sz="0" w:space="0" w:color="auto"/>
      </w:divBdr>
    </w:div>
    <w:div w:id="19912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ebe.williams@sydney.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oebe.williams1@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BC69-224E-0E45-A270-4082C7A9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4999</Words>
  <Characters>28495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dc:creator>
  <cp:keywords/>
  <dc:description/>
  <cp:lastModifiedBy>Phoebe</cp:lastModifiedBy>
  <cp:revision>3</cp:revision>
  <dcterms:created xsi:type="dcterms:W3CDTF">2020-10-12T23:13:00Z</dcterms:created>
  <dcterms:modified xsi:type="dcterms:W3CDTF">2020-10-12T23:23:00Z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http://www.zotero.org/styles/american-society-for-microbiology</vt:lpwstr>
  </property>
  <property fmtid="{D5CDD505-2E9C-101B-9397-08002B2CF9AE}" pid="3" name="Mendeley Recent Style Name 0_1">
    <vt:lpwstr>American Society for Microbiology</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http://www.zotero.org/styles/the-lancet</vt:lpwstr>
  </property>
  <property fmtid="{D5CDD505-2E9C-101B-9397-08002B2CF9AE}" pid="19" name="Mendeley Recent Style Name 8_1">
    <vt:lpwstr>The Lancet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a9fde69b-85b7-36f5-95f3-9c80ce05ea89</vt:lpwstr>
  </property>
  <property fmtid="{D5CDD505-2E9C-101B-9397-08002B2CF9AE}" pid="24" name="Mendeley Citation Style_1">
    <vt:lpwstr>http://www.zotero.org/styles/the-lancet</vt:lpwstr>
  </property>
</Properties>
</file>