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CDCD" w14:textId="0F452E2F" w:rsidR="00122BB9" w:rsidRPr="00122BB9" w:rsidRDefault="00122BB9" w:rsidP="00122BB9">
      <w:pPr>
        <w:pStyle w:val="BodyA"/>
        <w:spacing w:line="360" w:lineRule="auto"/>
        <w:rPr>
          <w:rFonts w:ascii="Helvetica" w:eastAsia="Helvetica" w:hAnsi="Helvetica" w:cs="Helvetica"/>
          <w:b/>
          <w:bCs/>
          <w:sz w:val="24"/>
          <w:szCs w:val="24"/>
        </w:rPr>
      </w:pPr>
      <w:r w:rsidRPr="00122BB9">
        <w:rPr>
          <w:sz w:val="24"/>
          <w:szCs w:val="24"/>
        </w:rPr>
        <w:t xml:space="preserve">LEADING ARTICLE </w:t>
      </w:r>
    </w:p>
    <w:p w14:paraId="332F101B" w14:textId="77777777" w:rsidR="00122BB9" w:rsidRDefault="00122BB9">
      <w:pPr>
        <w:pStyle w:val="BodyA"/>
        <w:spacing w:line="360" w:lineRule="auto"/>
        <w:rPr>
          <w:rFonts w:ascii="Helvetica" w:hAnsi="Helvetica"/>
          <w:b/>
          <w:bCs/>
        </w:rPr>
      </w:pPr>
    </w:p>
    <w:p w14:paraId="045E8DAF" w14:textId="2F89A37B" w:rsidR="005541C6" w:rsidRDefault="00FA51EF">
      <w:pPr>
        <w:pStyle w:val="BodyA"/>
        <w:spacing w:line="360" w:lineRule="auto"/>
        <w:rPr>
          <w:rFonts w:ascii="Helvetica" w:eastAsia="Helvetica" w:hAnsi="Helvetica" w:cs="Helvetica"/>
          <w:b/>
          <w:bCs/>
        </w:rPr>
      </w:pPr>
      <w:r>
        <w:rPr>
          <w:rFonts w:ascii="Helvetica" w:hAnsi="Helvetica"/>
          <w:b/>
          <w:bCs/>
        </w:rPr>
        <w:t>Teaching and Learning at the primary - secondary care interface: work in progress?</w:t>
      </w:r>
    </w:p>
    <w:p w14:paraId="22E75B9D" w14:textId="77777777" w:rsidR="00122BB9" w:rsidRDefault="00122BB9">
      <w:pPr>
        <w:pStyle w:val="BodyA"/>
        <w:spacing w:line="360" w:lineRule="auto"/>
        <w:rPr>
          <w:rFonts w:ascii="Helvetica" w:hAnsi="Helvetica"/>
          <w:b/>
          <w:bCs/>
        </w:rPr>
      </w:pPr>
    </w:p>
    <w:p w14:paraId="2ED630F9" w14:textId="414C3057" w:rsidR="005541C6" w:rsidRDefault="00FA51EF">
      <w:pPr>
        <w:pStyle w:val="BodyA"/>
        <w:spacing w:line="360" w:lineRule="auto"/>
        <w:rPr>
          <w:rFonts w:ascii="Helvetica" w:eastAsia="Helvetica" w:hAnsi="Helvetica" w:cs="Helvetica"/>
          <w:b/>
          <w:bCs/>
        </w:rPr>
      </w:pPr>
      <w:r>
        <w:rPr>
          <w:rFonts w:ascii="Helvetica" w:hAnsi="Helvetica"/>
          <w:b/>
          <w:bCs/>
        </w:rPr>
        <w:t xml:space="preserve">John Spicer </w:t>
      </w:r>
    </w:p>
    <w:p w14:paraId="6A2192E0" w14:textId="7A565DA2" w:rsidR="005541C6" w:rsidRDefault="00FA51EF">
      <w:pPr>
        <w:pStyle w:val="BodyA"/>
        <w:spacing w:line="360" w:lineRule="auto"/>
        <w:rPr>
          <w:rFonts w:ascii="Helvetica" w:eastAsia="Helvetica" w:hAnsi="Helvetica" w:cs="Helvetica"/>
          <w:b/>
          <w:bCs/>
        </w:rPr>
      </w:pPr>
      <w:r>
        <w:rPr>
          <w:rFonts w:ascii="Helvetica" w:hAnsi="Helvetica"/>
          <w:b/>
          <w:bCs/>
        </w:rPr>
        <w:t>GP</w:t>
      </w:r>
      <w:r w:rsidR="00E6020B">
        <w:rPr>
          <w:rFonts w:ascii="Helvetica" w:hAnsi="Helvetica"/>
          <w:b/>
          <w:bCs/>
        </w:rPr>
        <w:t>,</w:t>
      </w:r>
      <w:r>
        <w:rPr>
          <w:rFonts w:ascii="Helvetica" w:hAnsi="Helvetica"/>
          <w:b/>
          <w:bCs/>
        </w:rPr>
        <w:t xml:space="preserve"> Croydon, South London  </w:t>
      </w:r>
    </w:p>
    <w:p w14:paraId="250C9416" w14:textId="77777777" w:rsidR="005541C6" w:rsidRDefault="005541C6">
      <w:pPr>
        <w:pStyle w:val="BodyA"/>
        <w:spacing w:line="360" w:lineRule="auto"/>
        <w:rPr>
          <w:rFonts w:ascii="Helvetica" w:eastAsia="Helvetica" w:hAnsi="Helvetica" w:cs="Helvetica"/>
          <w:b/>
          <w:bCs/>
        </w:rPr>
      </w:pPr>
    </w:p>
    <w:p w14:paraId="6E99DB5E" w14:textId="77777777" w:rsidR="005541C6" w:rsidRDefault="00FA51EF">
      <w:pPr>
        <w:pStyle w:val="BodyA"/>
        <w:spacing w:line="360" w:lineRule="auto"/>
        <w:rPr>
          <w:rFonts w:ascii="Helvetica" w:eastAsia="Helvetica" w:hAnsi="Helvetica" w:cs="Helvetica"/>
          <w:b/>
          <w:bCs/>
        </w:rPr>
      </w:pPr>
      <w:r>
        <w:rPr>
          <w:rFonts w:ascii="Helvetica" w:hAnsi="Helvetica"/>
          <w:b/>
          <w:bCs/>
        </w:rPr>
        <w:t xml:space="preserve"> Rachel Roberts </w:t>
      </w:r>
    </w:p>
    <w:p w14:paraId="1F819B03" w14:textId="77777777" w:rsidR="005541C6" w:rsidRDefault="00FA51EF">
      <w:pPr>
        <w:pStyle w:val="BodyA"/>
        <w:spacing w:line="360" w:lineRule="auto"/>
        <w:rPr>
          <w:rFonts w:ascii="Helvetica" w:eastAsia="Helvetica" w:hAnsi="Helvetica" w:cs="Helvetica"/>
          <w:b/>
          <w:bCs/>
        </w:rPr>
      </w:pPr>
      <w:r>
        <w:rPr>
          <w:rFonts w:ascii="Helvetica" w:hAnsi="Helvetica"/>
          <w:b/>
          <w:bCs/>
        </w:rPr>
        <w:t xml:space="preserve">GP, and Primary Care Dean, Health Education England, London. </w:t>
      </w:r>
    </w:p>
    <w:p w14:paraId="4A24914A" w14:textId="77777777" w:rsidR="005541C6" w:rsidRDefault="005541C6">
      <w:pPr>
        <w:pStyle w:val="BodyA"/>
        <w:spacing w:line="360" w:lineRule="auto"/>
        <w:rPr>
          <w:rFonts w:ascii="Helvetica" w:eastAsia="Helvetica" w:hAnsi="Helvetica" w:cs="Helvetica"/>
          <w:b/>
          <w:bCs/>
        </w:rPr>
      </w:pPr>
    </w:p>
    <w:p w14:paraId="77E69D7E" w14:textId="410D54D3" w:rsidR="005541C6" w:rsidRDefault="00122BB9">
      <w:pPr>
        <w:pStyle w:val="BodyA"/>
        <w:spacing w:line="360" w:lineRule="auto"/>
        <w:rPr>
          <w:rFonts w:ascii="Helvetica" w:eastAsia="Helvetica" w:hAnsi="Helvetica" w:cs="Helvetica"/>
          <w:b/>
          <w:bCs/>
        </w:rPr>
      </w:pPr>
      <w:r>
        <w:rPr>
          <w:rFonts w:ascii="Helvetica" w:eastAsia="Helvetica" w:hAnsi="Helvetica" w:cs="Helvetica"/>
          <w:b/>
          <w:bCs/>
        </w:rPr>
        <w:t>Correspondence to</w:t>
      </w:r>
    </w:p>
    <w:p w14:paraId="377BF7B2" w14:textId="52A99735" w:rsidR="00122BB9" w:rsidRDefault="00122BB9">
      <w:pPr>
        <w:pStyle w:val="BodyA"/>
        <w:spacing w:line="360" w:lineRule="auto"/>
        <w:rPr>
          <w:rFonts w:ascii="Helvetica" w:eastAsia="Helvetica" w:hAnsi="Helvetica" w:cs="Helvetica"/>
          <w:b/>
          <w:bCs/>
        </w:rPr>
      </w:pPr>
      <w:r>
        <w:rPr>
          <w:rFonts w:ascii="Helvetica" w:eastAsia="Helvetica" w:hAnsi="Helvetica" w:cs="Helvetica"/>
          <w:b/>
          <w:bCs/>
        </w:rPr>
        <w:t xml:space="preserve">Dr John Spicer </w:t>
      </w:r>
    </w:p>
    <w:p w14:paraId="4F1A9E86" w14:textId="185E8416" w:rsidR="00122BB9" w:rsidRDefault="00122BB9">
      <w:pPr>
        <w:pStyle w:val="BodyA"/>
        <w:spacing w:line="360" w:lineRule="auto"/>
        <w:rPr>
          <w:rFonts w:ascii="Verdana" w:eastAsia="Times New Roman" w:hAnsi="Verdana"/>
          <w:sz w:val="17"/>
          <w:szCs w:val="17"/>
          <w:bdr w:val="none" w:sz="0" w:space="0" w:color="auto"/>
          <w:lang w:val="en-GB"/>
        </w:rPr>
      </w:pPr>
      <w:r w:rsidRPr="00122BB9">
        <w:rPr>
          <w:rFonts w:ascii="Verdana" w:eastAsia="Times New Roman" w:hAnsi="Verdana"/>
          <w:sz w:val="17"/>
          <w:szCs w:val="17"/>
          <w:bdr w:val="none" w:sz="0" w:space="0" w:color="auto"/>
          <w:lang w:val="en-GB"/>
        </w:rPr>
        <w:br/>
        <w:t xml:space="preserve">Woodside Health Centre 3 </w:t>
      </w:r>
      <w:proofErr w:type="spellStart"/>
      <w:r w:rsidRPr="00122BB9">
        <w:rPr>
          <w:rFonts w:ascii="Verdana" w:eastAsia="Times New Roman" w:hAnsi="Verdana"/>
          <w:sz w:val="17"/>
          <w:szCs w:val="17"/>
          <w:bdr w:val="none" w:sz="0" w:space="0" w:color="auto"/>
          <w:lang w:val="en-GB"/>
        </w:rPr>
        <w:t>Enmore</w:t>
      </w:r>
      <w:proofErr w:type="spellEnd"/>
      <w:r w:rsidRPr="00122BB9">
        <w:rPr>
          <w:rFonts w:ascii="Verdana" w:eastAsia="Times New Roman" w:hAnsi="Verdana"/>
          <w:sz w:val="17"/>
          <w:szCs w:val="17"/>
          <w:bdr w:val="none" w:sz="0" w:space="0" w:color="auto"/>
          <w:lang w:val="en-GB"/>
        </w:rPr>
        <w:t xml:space="preserve"> Road South Norwood London SE25 5NT</w:t>
      </w:r>
      <w:r w:rsidRPr="00122BB9">
        <w:rPr>
          <w:rFonts w:ascii="Verdana" w:eastAsia="Times New Roman" w:hAnsi="Verdana"/>
          <w:sz w:val="17"/>
          <w:szCs w:val="17"/>
          <w:bdr w:val="none" w:sz="0" w:space="0" w:color="auto"/>
          <w:lang w:val="en-GB"/>
        </w:rPr>
        <w:br/>
      </w:r>
      <w:r>
        <w:rPr>
          <w:rFonts w:ascii="Verdana" w:eastAsia="Times New Roman" w:hAnsi="Verdana"/>
          <w:sz w:val="17"/>
          <w:szCs w:val="17"/>
          <w:bdr w:val="none" w:sz="0" w:space="0" w:color="auto"/>
          <w:lang w:val="en-GB"/>
        </w:rPr>
        <w:t>UK</w:t>
      </w:r>
      <w:r w:rsidRPr="00122BB9">
        <w:rPr>
          <w:rFonts w:ascii="Verdana" w:eastAsia="Times New Roman" w:hAnsi="Verdana"/>
          <w:sz w:val="17"/>
          <w:szCs w:val="17"/>
          <w:bdr w:val="none" w:sz="0" w:space="0" w:color="auto"/>
          <w:lang w:val="en-GB"/>
        </w:rPr>
        <w:br/>
      </w:r>
    </w:p>
    <w:p w14:paraId="411D6FA4" w14:textId="320C7961" w:rsidR="00122BB9" w:rsidRDefault="00122BB9">
      <w:pPr>
        <w:pStyle w:val="BodyA"/>
        <w:spacing w:line="360" w:lineRule="auto"/>
        <w:rPr>
          <w:rFonts w:ascii="Helvetica" w:eastAsia="Helvetica" w:hAnsi="Helvetica" w:cs="Helvetica"/>
          <w:b/>
          <w:bCs/>
        </w:rPr>
      </w:pPr>
      <w:r w:rsidRPr="00122BB9">
        <w:rPr>
          <w:rFonts w:ascii="Helvetica" w:eastAsia="Helvetica" w:hAnsi="Helvetica" w:cs="Helvetica"/>
          <w:b/>
          <w:bCs/>
        </w:rPr>
        <w:t>johnspicer@doctors.org.uk</w:t>
      </w:r>
    </w:p>
    <w:p w14:paraId="5F749806" w14:textId="16F8FF37" w:rsidR="00122BB9" w:rsidRDefault="00122BB9">
      <w:pPr>
        <w:rPr>
          <w:rFonts w:ascii="Helvetica" w:eastAsia="Helvetica" w:hAnsi="Helvetica" w:cs="Helvetica"/>
          <w:b/>
          <w:bCs/>
          <w:color w:val="000000"/>
          <w:sz w:val="22"/>
          <w:szCs w:val="22"/>
          <w:u w:color="000000"/>
          <w:lang w:eastAsia="en-GB"/>
          <w14:textOutline w14:w="12700" w14:cap="flat" w14:cmpd="sng" w14:algn="ctr">
            <w14:noFill/>
            <w14:prstDash w14:val="solid"/>
            <w14:miter w14:lim="400000"/>
          </w14:textOutline>
        </w:rPr>
      </w:pPr>
      <w:r>
        <w:rPr>
          <w:rFonts w:ascii="Helvetica" w:eastAsia="Helvetica" w:hAnsi="Helvetica" w:cs="Helvetica"/>
          <w:b/>
          <w:bCs/>
        </w:rPr>
        <w:br w:type="page"/>
      </w:r>
    </w:p>
    <w:p w14:paraId="69639D12" w14:textId="77E1A89E" w:rsidR="00122BB9" w:rsidRDefault="000B7EB9" w:rsidP="000B7EB9">
      <w:pPr>
        <w:pStyle w:val="BodyA"/>
        <w:pBdr>
          <w:top w:val="single" w:sz="4" w:space="1" w:color="auto"/>
          <w:left w:val="single" w:sz="4" w:space="1" w:color="auto"/>
          <w:bottom w:val="single" w:sz="4" w:space="1" w:color="auto"/>
          <w:right w:val="single" w:sz="4" w:space="1" w:color="auto"/>
        </w:pBdr>
        <w:spacing w:line="360" w:lineRule="auto"/>
        <w:rPr>
          <w:rFonts w:cs="Calibri"/>
          <w:shd w:val="clear" w:color="auto" w:fill="FFFFFF"/>
        </w:rPr>
      </w:pPr>
      <w:r w:rsidRPr="000B7EB9">
        <w:rPr>
          <w:rFonts w:cs="Calibri"/>
          <w:b/>
          <w:bCs/>
          <w:shd w:val="clear" w:color="auto" w:fill="FFFFFF"/>
        </w:rPr>
        <w:lastRenderedPageBreak/>
        <w:t>Abstract:</w:t>
      </w:r>
      <w:r w:rsidRPr="000B7EB9">
        <w:rPr>
          <w:rFonts w:cs="Calibri"/>
          <w:shd w:val="clear" w:color="auto" w:fill="FFFFFF"/>
        </w:rPr>
        <w:t xml:space="preserve"> Teaching and learning across the primary -secondary care interface is more described than </w:t>
      </w:r>
      <w:proofErr w:type="gramStart"/>
      <w:r>
        <w:rPr>
          <w:rFonts w:cs="Calibri"/>
          <w:shd w:val="clear" w:color="auto" w:fill="FFFFFF"/>
        </w:rPr>
        <w:t>actually carried</w:t>
      </w:r>
      <w:proofErr w:type="gramEnd"/>
      <w:r>
        <w:rPr>
          <w:rFonts w:cs="Calibri"/>
          <w:shd w:val="clear" w:color="auto" w:fill="FFFFFF"/>
        </w:rPr>
        <w:t xml:space="preserve"> out. A</w:t>
      </w:r>
      <w:r w:rsidRPr="000B7EB9">
        <w:rPr>
          <w:rFonts w:cs="Calibri"/>
          <w:shd w:val="clear" w:color="auto" w:fill="FFFFFF"/>
        </w:rPr>
        <w:t xml:space="preserve">s such </w:t>
      </w:r>
      <w:r>
        <w:rPr>
          <w:rFonts w:cs="Calibri"/>
          <w:shd w:val="clear" w:color="auto" w:fill="FFFFFF"/>
        </w:rPr>
        <w:t xml:space="preserve">it </w:t>
      </w:r>
      <w:r w:rsidRPr="000B7EB9">
        <w:rPr>
          <w:rFonts w:cs="Calibri"/>
          <w:shd w:val="clear" w:color="auto" w:fill="FFFFFF"/>
        </w:rPr>
        <w:t xml:space="preserve">could be said </w:t>
      </w:r>
      <w:r>
        <w:rPr>
          <w:rFonts w:cs="Calibri"/>
          <w:shd w:val="clear" w:color="auto" w:fill="FFFFFF"/>
        </w:rPr>
        <w:t>this</w:t>
      </w:r>
      <w:r w:rsidRPr="000B7EB9">
        <w:rPr>
          <w:rFonts w:cs="Calibri"/>
          <w:shd w:val="clear" w:color="auto" w:fill="FFFFFF"/>
        </w:rPr>
        <w:t xml:space="preserve"> mirror</w:t>
      </w:r>
      <w:r>
        <w:rPr>
          <w:rFonts w:cs="Calibri"/>
          <w:shd w:val="clear" w:color="auto" w:fill="FFFFFF"/>
        </w:rPr>
        <w:t>s</w:t>
      </w:r>
      <w:r w:rsidRPr="000B7EB9">
        <w:rPr>
          <w:rFonts w:cs="Calibri"/>
          <w:shd w:val="clear" w:color="auto" w:fill="FFFFFF"/>
        </w:rPr>
        <w:t xml:space="preserve"> patient care across the same interface. We argue that for very good reasons generalists and specialists could do a lot more learning together than they currently do</w:t>
      </w:r>
      <w:r w:rsidR="006602DC">
        <w:rPr>
          <w:rFonts w:cs="Calibri"/>
          <w:shd w:val="clear" w:color="auto" w:fill="FFFFFF"/>
        </w:rPr>
        <w:t>.</w:t>
      </w:r>
      <w:r w:rsidRPr="000B7EB9">
        <w:rPr>
          <w:rFonts w:cs="Calibri"/>
          <w:shd w:val="clear" w:color="auto" w:fill="FFFFFF"/>
        </w:rPr>
        <w:t xml:space="preserve"> </w:t>
      </w:r>
      <w:r w:rsidR="006602DC">
        <w:rPr>
          <w:rFonts w:cs="Calibri"/>
          <w:shd w:val="clear" w:color="auto" w:fill="FFFFFF"/>
        </w:rPr>
        <w:t>I</w:t>
      </w:r>
      <w:r w:rsidRPr="000B7EB9">
        <w:rPr>
          <w:rFonts w:cs="Calibri"/>
          <w:shd w:val="clear" w:color="auto" w:fill="FFFFFF"/>
        </w:rPr>
        <w:t>f they did patient care</w:t>
      </w:r>
      <w:r w:rsidR="006602DC">
        <w:rPr>
          <w:rFonts w:cs="Calibri"/>
          <w:shd w:val="clear" w:color="auto" w:fill="FFFFFF"/>
        </w:rPr>
        <w:t>,</w:t>
      </w:r>
      <w:r w:rsidRPr="000B7EB9">
        <w:rPr>
          <w:rFonts w:cs="Calibri"/>
          <w:shd w:val="clear" w:color="auto" w:fill="FFFFFF"/>
        </w:rPr>
        <w:t xml:space="preserve"> particularly integrated care</w:t>
      </w:r>
      <w:r w:rsidR="006602DC">
        <w:rPr>
          <w:rFonts w:cs="Calibri"/>
          <w:shd w:val="clear" w:color="auto" w:fill="FFFFFF"/>
        </w:rPr>
        <w:t>,</w:t>
      </w:r>
      <w:r w:rsidRPr="000B7EB9">
        <w:rPr>
          <w:rFonts w:cs="Calibri"/>
          <w:shd w:val="clear" w:color="auto" w:fill="FFFFFF"/>
        </w:rPr>
        <w:t xml:space="preserve"> would be significantly advanced. We describe some examples of how it can be done </w:t>
      </w:r>
      <w:r w:rsidR="00612FFF" w:rsidRPr="000B7EB9">
        <w:rPr>
          <w:rFonts w:cs="Calibri"/>
          <w:shd w:val="clear" w:color="auto" w:fill="FFFFFF"/>
        </w:rPr>
        <w:t>well and</w:t>
      </w:r>
      <w:r w:rsidRPr="000B7EB9">
        <w:rPr>
          <w:rFonts w:cs="Calibri"/>
          <w:shd w:val="clear" w:color="auto" w:fill="FFFFFF"/>
        </w:rPr>
        <w:t xml:space="preserve"> suggest ways in which such learning might be more generally achieved. We suggest not only that those who learn together work better together, but also </w:t>
      </w:r>
      <w:r w:rsidR="006602DC">
        <w:rPr>
          <w:rFonts w:cs="Calibri"/>
          <w:shd w:val="clear" w:color="auto" w:fill="FFFFFF"/>
        </w:rPr>
        <w:t xml:space="preserve">that </w:t>
      </w:r>
      <w:r w:rsidRPr="000B7EB9">
        <w:rPr>
          <w:rFonts w:cs="Calibri"/>
          <w:shd w:val="clear" w:color="auto" w:fill="FFFFFF"/>
        </w:rPr>
        <w:t>they innovate health care more</w:t>
      </w:r>
      <w:r w:rsidR="006602DC">
        <w:rPr>
          <w:rFonts w:cs="Calibri"/>
          <w:shd w:val="clear" w:color="auto" w:fill="FFFFFF"/>
        </w:rPr>
        <w:t>.</w:t>
      </w:r>
    </w:p>
    <w:p w14:paraId="2D292ED6" w14:textId="2F3A79B7" w:rsidR="000B7EB9" w:rsidRPr="000B7EB9" w:rsidRDefault="00D8697D">
      <w:pPr>
        <w:pStyle w:val="BodyA"/>
        <w:spacing w:line="360" w:lineRule="auto"/>
        <w:rPr>
          <w:rFonts w:eastAsia="Helvetica" w:cs="Calibri"/>
          <w:b/>
          <w:bCs/>
        </w:rPr>
      </w:pPr>
      <w:r>
        <w:rPr>
          <w:rFonts w:eastAsia="Helvetica" w:cs="Calibri"/>
          <w:b/>
          <w:bCs/>
        </w:rPr>
        <w:t xml:space="preserve">Introduction </w:t>
      </w:r>
    </w:p>
    <w:p w14:paraId="6534F444" w14:textId="6C324693" w:rsidR="005541C6" w:rsidRDefault="00FA51EF">
      <w:pPr>
        <w:pStyle w:val="BodyA"/>
        <w:spacing w:line="360" w:lineRule="auto"/>
        <w:ind w:firstLine="720"/>
        <w:jc w:val="both"/>
      </w:pPr>
      <w:r>
        <w:t xml:space="preserve">For all sorts of reasons, clinicians in primary and secondary care seem to find it difficult to learn together. They exist in different workplaces, learn their various crafts differently and probably see the world in separate paradigms. Such a </w:t>
      </w:r>
      <w:proofErr w:type="gramStart"/>
      <w:r>
        <w:t>state of affairs</w:t>
      </w:r>
      <w:proofErr w:type="gramEnd"/>
      <w:r>
        <w:t xml:space="preserve"> is not the most fertile soil in which to grow integrated care across the primary -secondary care interface [henceforward </w:t>
      </w:r>
      <w:r>
        <w:rPr>
          <w:rFonts w:ascii="Arial Unicode MS" w:hAnsi="Arial Unicode MS"/>
          <w:rtl/>
          <w:lang w:val="ar-SA"/>
        </w:rPr>
        <w:t>‘</w:t>
      </w:r>
      <w:r>
        <w:t>the interface</w:t>
      </w:r>
      <w:r>
        <w:rPr>
          <w:rFonts w:ascii="Arial Unicode MS" w:hAnsi="Arial Unicode MS"/>
          <w:rtl/>
          <w:lang w:val="ar-SA"/>
        </w:rPr>
        <w:t>’</w:t>
      </w:r>
      <w:r>
        <w:t xml:space="preserve">] Overall there is a paucity of scholarship </w:t>
      </w:r>
      <w:r w:rsidR="00D8697D">
        <w:t xml:space="preserve">on </w:t>
      </w:r>
      <w:r>
        <w:t>interface learning</w:t>
      </w:r>
      <w:r w:rsidR="00D8697D">
        <w:t>.</w:t>
      </w:r>
      <w:r>
        <w:t xml:space="preserve"> </w:t>
      </w:r>
      <w:r w:rsidR="00D8697D">
        <w:t>T</w:t>
      </w:r>
      <w:r>
        <w:t xml:space="preserve">his may reflect </w:t>
      </w:r>
      <w:r w:rsidR="00612FFF">
        <w:t>clinicians’</w:t>
      </w:r>
      <w:r>
        <w:t xml:space="preserve"> comfort in their own silos.  </w:t>
      </w:r>
    </w:p>
    <w:p w14:paraId="76C1D3F9" w14:textId="4385C8A0" w:rsidR="00D8697D" w:rsidRPr="00D8697D" w:rsidRDefault="00D8697D" w:rsidP="00D8697D">
      <w:pPr>
        <w:pStyle w:val="BodyA"/>
        <w:spacing w:line="360" w:lineRule="auto"/>
        <w:jc w:val="both"/>
        <w:rPr>
          <w:b/>
          <w:bCs/>
        </w:rPr>
      </w:pPr>
      <w:r w:rsidRPr="00D8697D">
        <w:rPr>
          <w:b/>
          <w:bCs/>
        </w:rPr>
        <w:t>A few facts</w:t>
      </w:r>
    </w:p>
    <w:p w14:paraId="3B8BBA88" w14:textId="19C6BDC9" w:rsidR="005541C6" w:rsidRDefault="00FA51EF">
      <w:pPr>
        <w:pStyle w:val="BodyA"/>
        <w:spacing w:line="360" w:lineRule="auto"/>
        <w:ind w:firstLine="720"/>
        <w:jc w:val="both"/>
      </w:pPr>
      <w:r>
        <w:t>Here</w:t>
      </w:r>
      <w:r w:rsidR="008251D0">
        <w:rPr>
          <w:rFonts w:ascii="Arial Unicode MS" w:hAnsi="Arial Unicode MS" w:hint="cs"/>
          <w:rtl/>
          <w:lang w:val="ar-SA"/>
        </w:rPr>
        <w:t xml:space="preserve"> </w:t>
      </w:r>
      <w:r>
        <w:t>a</w:t>
      </w:r>
      <w:r w:rsidR="00FC51BA">
        <w:t>re</w:t>
      </w:r>
      <w:r>
        <w:t xml:space="preserve"> few facts to conjure with: firstly, we know population health is better delivered where hospital and community co-operate together. Secondly those who learn together work better together; and thirdly, improving individual health care depends on innovative methods of delivery. </w:t>
      </w:r>
    </w:p>
    <w:p w14:paraId="7A7FC779" w14:textId="74BCF91B" w:rsidR="005541C6" w:rsidRDefault="00FA51EF">
      <w:pPr>
        <w:pStyle w:val="BodyA"/>
        <w:spacing w:line="360" w:lineRule="auto"/>
        <w:jc w:val="both"/>
      </w:pPr>
      <w:r>
        <w:t>Putting all this together means that we need to improve clinical education at the interface [where traditionally it has not happened much]</w:t>
      </w:r>
      <w:r w:rsidR="00B722AA">
        <w:t>.</w:t>
      </w:r>
      <w:r>
        <w:t xml:space="preserve"> </w:t>
      </w:r>
      <w:r w:rsidR="00B722AA">
        <w:t>W</w:t>
      </w:r>
      <w:r>
        <w:t>e will offer</w:t>
      </w:r>
      <w:r w:rsidR="00B722AA">
        <w:t>,</w:t>
      </w:r>
      <w:r>
        <w:t xml:space="preserve"> </w:t>
      </w:r>
      <w:proofErr w:type="gramStart"/>
      <w:r w:rsidR="00B722AA">
        <w:t>later on</w:t>
      </w:r>
      <w:proofErr w:type="gramEnd"/>
      <w:r w:rsidR="00B722AA">
        <w:t xml:space="preserve">, </w:t>
      </w:r>
      <w:r>
        <w:t xml:space="preserve">some examples of where it is done well. To some extent this depends on good inter professional education, for which there is an evidence base of efficacy. </w:t>
      </w:r>
      <w:r w:rsidR="00B722AA">
        <w:t>I</w:t>
      </w:r>
      <w:r>
        <w:t xml:space="preserve">n this context considering doctors who work in primary care as a different discipline from those who work in hospitals is practicable if novel, for the reasons given above.  </w:t>
      </w:r>
      <w:proofErr w:type="gramStart"/>
      <w:r>
        <w:t>In reality we</w:t>
      </w:r>
      <w:proofErr w:type="gramEnd"/>
      <w:r>
        <w:t xml:space="preserve"> should consider all clinicians across the interface as part of that inter- professional nexus. </w:t>
      </w:r>
    </w:p>
    <w:p w14:paraId="10AD813D" w14:textId="71937D51" w:rsidR="00B722AA" w:rsidRPr="00B722AA" w:rsidRDefault="00B722AA">
      <w:pPr>
        <w:pStyle w:val="BodyA"/>
        <w:spacing w:line="360" w:lineRule="auto"/>
        <w:jc w:val="both"/>
        <w:rPr>
          <w:b/>
          <w:bCs/>
        </w:rPr>
      </w:pPr>
      <w:r w:rsidRPr="00B722AA">
        <w:rPr>
          <w:b/>
          <w:bCs/>
        </w:rPr>
        <w:t>Constraints:</w:t>
      </w:r>
    </w:p>
    <w:p w14:paraId="13146585" w14:textId="39A9E140" w:rsidR="005541C6" w:rsidRDefault="00FA51EF">
      <w:pPr>
        <w:pStyle w:val="BodyA"/>
        <w:spacing w:line="360" w:lineRule="auto"/>
        <w:ind w:firstLine="720"/>
        <w:jc w:val="both"/>
      </w:pPr>
      <w:r>
        <w:t>There are constraints of course</w:t>
      </w:r>
      <w:r w:rsidR="00B722AA">
        <w:t>.</w:t>
      </w:r>
      <w:r>
        <w:t xml:space="preserve"> </w:t>
      </w:r>
      <w:r w:rsidR="00B722AA">
        <w:t>T</w:t>
      </w:r>
      <w:r>
        <w:t xml:space="preserve">he National Health Service [NHS] in all </w:t>
      </w:r>
      <w:r w:rsidR="00B722AA">
        <w:t>four</w:t>
      </w:r>
      <w:r>
        <w:t xml:space="preserve"> UK countries is under severe financial pressure [and has been so for at least 10 years]</w:t>
      </w:r>
      <w:r w:rsidR="00B722AA">
        <w:t>.</w:t>
      </w:r>
      <w:r>
        <w:t xml:space="preserve"> </w:t>
      </w:r>
      <w:r w:rsidR="00B722AA">
        <w:t>T</w:t>
      </w:r>
      <w:r>
        <w:t>he opportunity for educational innovation is limited by service pressure, traditional educational conservatism and the need to fulfil regulatory driven learning outcomes. Furthermore, we might argue that the workplace could</w:t>
      </w:r>
      <w:r w:rsidR="00B722AA">
        <w:t>,</w:t>
      </w:r>
      <w:r>
        <w:t xml:space="preserve"> and should be</w:t>
      </w:r>
      <w:r w:rsidR="00B722AA">
        <w:t>,</w:t>
      </w:r>
      <w:r>
        <w:t xml:space="preserve"> the primary venue </w:t>
      </w:r>
      <w:r w:rsidR="00B722AA">
        <w:t>for</w:t>
      </w:r>
      <w:r>
        <w:t xml:space="preserve"> healthcare education delivery, or at least should </w:t>
      </w:r>
      <w:r w:rsidR="00B722AA">
        <w:t xml:space="preserve">aim to </w:t>
      </w:r>
      <w:r>
        <w:t xml:space="preserve">achieve a better balance with the classroom. Given the distributed nature of community-based service provision, compared to the hospital, this can be a challenge too. Historically for example, whilst </w:t>
      </w:r>
      <w:r>
        <w:lastRenderedPageBreak/>
        <w:t>General Practitioners [GPs] have conducted some of their training in the milieu of a hospital, the reverse is not generally true</w:t>
      </w:r>
      <w:r w:rsidR="00B722AA">
        <w:t>.</w:t>
      </w:r>
      <w:r>
        <w:t xml:space="preserve"> </w:t>
      </w:r>
      <w:r w:rsidR="00B722AA">
        <w:t>T</w:t>
      </w:r>
      <w:r>
        <w:t xml:space="preserve">he implication is that specialists should </w:t>
      </w:r>
      <w:proofErr w:type="gramStart"/>
      <w:r>
        <w:t>actually get</w:t>
      </w:r>
      <w:proofErr w:type="gramEnd"/>
      <w:r>
        <w:t xml:space="preserve"> out </w:t>
      </w:r>
      <w:r w:rsidR="00E31D0A">
        <w:t>more!</w:t>
      </w:r>
      <w:r>
        <w:rPr>
          <w:vertAlign w:val="superscript"/>
        </w:rPr>
        <w:endnoteReference w:id="2"/>
      </w:r>
      <w:r>
        <w:t>. Relationships across the interface do exist, both professional and personal</w:t>
      </w:r>
      <w:r w:rsidR="00B722AA">
        <w:t>.</w:t>
      </w:r>
      <w:r>
        <w:t xml:space="preserve"> </w:t>
      </w:r>
      <w:r w:rsidR="00B722AA">
        <w:t>W</w:t>
      </w:r>
      <w:r>
        <w:t xml:space="preserve">e suggest such relationship building is a necessary part of good care and good education too </w:t>
      </w:r>
      <w:r>
        <w:rPr>
          <w:vertAlign w:val="superscript"/>
        </w:rPr>
        <w:endnoteReference w:id="3"/>
      </w:r>
      <w:r>
        <w:t>. The success of the UK Foundation Programme since 2007, where early years generic training is conducted across the interface</w:t>
      </w:r>
      <w:r w:rsidR="00B722AA">
        <w:t>,</w:t>
      </w:r>
      <w:r>
        <w:t xml:space="preserve"> is an example of this </w:t>
      </w:r>
      <w:r>
        <w:rPr>
          <w:vertAlign w:val="superscript"/>
        </w:rPr>
        <w:endnoteReference w:id="4"/>
      </w:r>
    </w:p>
    <w:p w14:paraId="45331C42" w14:textId="57871494" w:rsidR="00B722AA" w:rsidRPr="00B722AA" w:rsidRDefault="002264F0" w:rsidP="00B722AA">
      <w:pPr>
        <w:pStyle w:val="BodyA"/>
        <w:spacing w:line="360" w:lineRule="auto"/>
        <w:jc w:val="both"/>
        <w:rPr>
          <w:rFonts w:cs="Calibri"/>
          <w:b/>
          <w:bCs/>
        </w:rPr>
      </w:pPr>
      <w:r>
        <w:rPr>
          <w:b/>
          <w:bCs/>
        </w:rPr>
        <w:t>Collaborative competencies:</w:t>
      </w:r>
    </w:p>
    <w:p w14:paraId="65A1E917" w14:textId="48D585CE" w:rsidR="0036312A" w:rsidRDefault="00FA51EF" w:rsidP="0036312A">
      <w:pPr>
        <w:pStyle w:val="BodyAA"/>
        <w:spacing w:line="360" w:lineRule="auto"/>
        <w:ind w:firstLine="720"/>
        <w:jc w:val="both"/>
        <w:rPr>
          <w:rFonts w:ascii="Calibri" w:hAnsi="Calibri"/>
        </w:rPr>
      </w:pPr>
      <w:r w:rsidRPr="004057CE">
        <w:rPr>
          <w:rFonts w:ascii="Calibri" w:hAnsi="Calibri" w:cs="Calibri"/>
        </w:rPr>
        <w:t xml:space="preserve">This is of </w:t>
      </w:r>
      <w:proofErr w:type="gramStart"/>
      <w:r w:rsidRPr="004057CE">
        <w:rPr>
          <w:rFonts w:ascii="Calibri" w:hAnsi="Calibri" w:cs="Calibri"/>
        </w:rPr>
        <w:t>particular consideration</w:t>
      </w:r>
      <w:proofErr w:type="gramEnd"/>
      <w:r w:rsidRPr="004057CE">
        <w:rPr>
          <w:rFonts w:ascii="Calibri" w:hAnsi="Calibri" w:cs="Calibri"/>
        </w:rPr>
        <w:t xml:space="preserve"> as hospital clinicians tend to be specialists whereas community practitioners tend to be generalists</w:t>
      </w:r>
      <w:r w:rsidR="00B722AA">
        <w:rPr>
          <w:rFonts w:ascii="Calibri" w:hAnsi="Calibri" w:cs="Calibri"/>
        </w:rPr>
        <w:t>.</w:t>
      </w:r>
      <w:r w:rsidRPr="004057CE">
        <w:rPr>
          <w:rFonts w:ascii="Calibri" w:hAnsi="Calibri" w:cs="Calibri"/>
        </w:rPr>
        <w:t xml:space="preserve"> </w:t>
      </w:r>
      <w:r w:rsidR="00B722AA">
        <w:rPr>
          <w:rFonts w:ascii="Calibri" w:hAnsi="Calibri" w:cs="Calibri"/>
        </w:rPr>
        <w:t>T</w:t>
      </w:r>
      <w:r w:rsidRPr="004057CE">
        <w:rPr>
          <w:rFonts w:ascii="Calibri" w:hAnsi="Calibri" w:cs="Calibri"/>
        </w:rPr>
        <w:t>his is not always so but</w:t>
      </w:r>
      <w:r w:rsidR="00B722AA">
        <w:rPr>
          <w:rFonts w:ascii="Calibri" w:hAnsi="Calibri" w:cs="Calibri"/>
        </w:rPr>
        <w:t>,</w:t>
      </w:r>
      <w:r w:rsidRPr="004057CE">
        <w:rPr>
          <w:rFonts w:ascii="Calibri" w:hAnsi="Calibri" w:cs="Calibri"/>
        </w:rPr>
        <w:t xml:space="preserve"> given the preponderance of work styled in this fashion</w:t>
      </w:r>
      <w:r w:rsidR="00B722AA">
        <w:rPr>
          <w:rFonts w:ascii="Calibri" w:hAnsi="Calibri" w:cs="Calibri"/>
        </w:rPr>
        <w:t>,</w:t>
      </w:r>
      <w:r w:rsidRPr="004057CE">
        <w:rPr>
          <w:rFonts w:ascii="Calibri" w:hAnsi="Calibri" w:cs="Calibri"/>
        </w:rPr>
        <w:t xml:space="preserve"> it is an important issue for education planning and delivery. However</w:t>
      </w:r>
      <w:r w:rsidR="002264F0">
        <w:rPr>
          <w:rFonts w:ascii="Calibri" w:hAnsi="Calibri" w:cs="Calibri"/>
        </w:rPr>
        <w:t>,</w:t>
      </w:r>
      <w:r w:rsidRPr="004057CE">
        <w:rPr>
          <w:rFonts w:ascii="Calibri" w:hAnsi="Calibri" w:cs="Calibri"/>
        </w:rPr>
        <w:t xml:space="preserve"> the NHS is essentially a monolithic provider where change can be fostered throughout the system</w:t>
      </w:r>
      <w:r w:rsidR="002264F0">
        <w:rPr>
          <w:rFonts w:ascii="Calibri" w:hAnsi="Calibri" w:cs="Calibri"/>
        </w:rPr>
        <w:t>.</w:t>
      </w:r>
      <w:r w:rsidRPr="004057CE">
        <w:rPr>
          <w:rFonts w:ascii="Calibri" w:hAnsi="Calibri" w:cs="Calibri"/>
        </w:rPr>
        <w:t xml:space="preserve"> </w:t>
      </w:r>
      <w:r w:rsidR="002264F0">
        <w:rPr>
          <w:rFonts w:ascii="Calibri" w:hAnsi="Calibri" w:cs="Calibri"/>
        </w:rPr>
        <w:t>A</w:t>
      </w:r>
      <w:r w:rsidRPr="004057CE">
        <w:rPr>
          <w:rFonts w:ascii="Calibri" w:hAnsi="Calibri" w:cs="Calibri"/>
        </w:rPr>
        <w:t xml:space="preserve"> </w:t>
      </w:r>
      <w:proofErr w:type="spellStart"/>
      <w:r w:rsidRPr="004057CE">
        <w:rPr>
          <w:rFonts w:ascii="Calibri" w:hAnsi="Calibri" w:cs="Calibri"/>
        </w:rPr>
        <w:t>generalised</w:t>
      </w:r>
      <w:proofErr w:type="spellEnd"/>
      <w:r w:rsidRPr="004057CE">
        <w:rPr>
          <w:rFonts w:ascii="Calibri" w:hAnsi="Calibri" w:cs="Calibri"/>
        </w:rPr>
        <w:t xml:space="preserve"> </w:t>
      </w:r>
      <w:proofErr w:type="gramStart"/>
      <w:r w:rsidRPr="004057CE">
        <w:rPr>
          <w:rFonts w:ascii="Calibri" w:hAnsi="Calibri" w:cs="Calibri"/>
        </w:rPr>
        <w:t>will to</w:t>
      </w:r>
      <w:proofErr w:type="gramEnd"/>
      <w:r w:rsidRPr="004057CE">
        <w:rPr>
          <w:rFonts w:ascii="Calibri" w:hAnsi="Calibri" w:cs="Calibri"/>
        </w:rPr>
        <w:t xml:space="preserve"> move to a system where clinicians learn together across the interface with the explicit aim of advancing integrated care</w:t>
      </w:r>
      <w:r w:rsidR="002264F0">
        <w:rPr>
          <w:rFonts w:ascii="Calibri" w:hAnsi="Calibri" w:cs="Calibri"/>
        </w:rPr>
        <w:t>,</w:t>
      </w:r>
      <w:r w:rsidRPr="004057CE">
        <w:rPr>
          <w:rFonts w:ascii="Calibri" w:hAnsi="Calibri" w:cs="Calibri"/>
        </w:rPr>
        <w:t xml:space="preserve"> and thus patient outcomes</w:t>
      </w:r>
      <w:r w:rsidR="002264F0">
        <w:rPr>
          <w:rFonts w:ascii="Calibri" w:hAnsi="Calibri" w:cs="Calibri"/>
        </w:rPr>
        <w:t>,</w:t>
      </w:r>
      <w:r w:rsidRPr="004057CE">
        <w:rPr>
          <w:rFonts w:ascii="Calibri" w:hAnsi="Calibri" w:cs="Calibri"/>
        </w:rPr>
        <w:t xml:space="preserve"> should, at least in theory, be more easily achievable at scale.</w:t>
      </w:r>
      <w:r>
        <w:t xml:space="preserve"> </w:t>
      </w:r>
      <w:r>
        <w:rPr>
          <w:rFonts w:ascii="Calibri" w:hAnsi="Calibri"/>
        </w:rPr>
        <w:t>Collaborative competencies</w:t>
      </w:r>
      <w:r w:rsidR="002264F0">
        <w:rPr>
          <w:rFonts w:ascii="Calibri" w:hAnsi="Calibri"/>
        </w:rPr>
        <w:t>,</w:t>
      </w:r>
      <w:r>
        <w:rPr>
          <w:rFonts w:ascii="Calibri" w:hAnsi="Calibri"/>
        </w:rPr>
        <w:t xml:space="preserve"> described often as a prerequisite of integrated care</w:t>
      </w:r>
      <w:r w:rsidR="002264F0">
        <w:rPr>
          <w:rFonts w:ascii="Calibri" w:hAnsi="Calibri"/>
        </w:rPr>
        <w:t>,</w:t>
      </w:r>
      <w:r>
        <w:rPr>
          <w:rFonts w:ascii="Calibri" w:hAnsi="Calibri"/>
        </w:rPr>
        <w:t xml:space="preserve"> are thus a necessary adjunct of interface education </w:t>
      </w:r>
      <w:r>
        <w:rPr>
          <w:rFonts w:ascii="Calibri" w:eastAsia="Calibri" w:hAnsi="Calibri" w:cs="Calibri"/>
          <w:vertAlign w:val="superscript"/>
        </w:rPr>
        <w:endnoteReference w:id="5"/>
      </w:r>
      <w:r>
        <w:rPr>
          <w:rFonts w:ascii="Calibri" w:hAnsi="Calibri"/>
        </w:rPr>
        <w:t>. In fact, the very act of sharing education practice, when it is done well, should augment the development of such competencies.</w:t>
      </w:r>
    </w:p>
    <w:p w14:paraId="427B09E6" w14:textId="77777777" w:rsidR="002264F0" w:rsidRDefault="002264F0" w:rsidP="0036312A">
      <w:pPr>
        <w:pStyle w:val="BodyAA"/>
        <w:spacing w:line="360" w:lineRule="auto"/>
        <w:ind w:firstLine="720"/>
        <w:jc w:val="both"/>
        <w:rPr>
          <w:rFonts w:ascii="Calibri" w:hAnsi="Calibri"/>
        </w:rPr>
      </w:pPr>
    </w:p>
    <w:p w14:paraId="7307F920" w14:textId="23D0B593" w:rsidR="002264F0" w:rsidRDefault="002264F0" w:rsidP="002264F0">
      <w:pPr>
        <w:pStyle w:val="BodyAA"/>
        <w:spacing w:line="360" w:lineRule="auto"/>
        <w:ind w:firstLine="720"/>
        <w:jc w:val="both"/>
        <w:rPr>
          <w:rFonts w:ascii="Calibri" w:eastAsia="Calibri" w:hAnsi="Calibri" w:cs="Calibri"/>
        </w:rPr>
      </w:pPr>
      <w:r>
        <w:rPr>
          <w:rFonts w:ascii="Calibri" w:hAnsi="Calibri"/>
        </w:rPr>
        <w:t xml:space="preserve">When planning interface educational initiatives, desirable outcomes could include equipping our postgraduate medical workforce with skills to design and deliver innovative and seamless patient care across the </w:t>
      </w:r>
      <w:r w:rsidR="00B8793D">
        <w:rPr>
          <w:rFonts w:ascii="Calibri" w:hAnsi="Calibri"/>
        </w:rPr>
        <w:t>sectors</w:t>
      </w:r>
      <w:r w:rsidR="00B8793D">
        <w:rPr>
          <w:rFonts w:ascii="Calibri" w:eastAsia="Calibri" w:hAnsi="Calibri" w:cs="Calibri"/>
          <w:vertAlign w:val="superscript"/>
        </w:rPr>
        <w:t xml:space="preserve"> </w:t>
      </w:r>
      <w:r>
        <w:rPr>
          <w:rFonts w:ascii="Calibri" w:eastAsia="Calibri" w:hAnsi="Calibri" w:cs="Calibri"/>
          <w:vertAlign w:val="superscript"/>
        </w:rPr>
        <w:endnoteReference w:id="6"/>
      </w:r>
      <w:r>
        <w:rPr>
          <w:rFonts w:ascii="Calibri" w:hAnsi="Calibri"/>
        </w:rPr>
        <w:t>. T</w:t>
      </w:r>
      <w:r w:rsidR="003C1D06">
        <w:rPr>
          <w:rFonts w:ascii="Calibri" w:hAnsi="Calibri"/>
        </w:rPr>
        <w:t>her</w:t>
      </w:r>
      <w:r>
        <w:rPr>
          <w:rFonts w:ascii="Calibri" w:hAnsi="Calibri"/>
        </w:rPr>
        <w:t>efore, it can be very helpful to plan to evaluate educational change and service redesign in tandem</w:t>
      </w:r>
      <w:r w:rsidR="003C1D06">
        <w:rPr>
          <w:rFonts w:ascii="Calibri" w:hAnsi="Calibri"/>
        </w:rPr>
        <w:t>.</w:t>
      </w:r>
      <w:r>
        <w:rPr>
          <w:rFonts w:ascii="Calibri" w:hAnsi="Calibri"/>
        </w:rPr>
        <w:t xml:space="preserve"> </w:t>
      </w:r>
      <w:r w:rsidR="003C1D06">
        <w:rPr>
          <w:rFonts w:ascii="Calibri" w:hAnsi="Calibri"/>
        </w:rPr>
        <w:t xml:space="preserve"> </w:t>
      </w:r>
      <w:r>
        <w:rPr>
          <w:rFonts w:ascii="Calibri" w:eastAsia="Calibri" w:hAnsi="Calibri" w:cs="Calibri"/>
          <w:vertAlign w:val="superscript"/>
        </w:rPr>
        <w:endnoteReference w:id="7"/>
      </w:r>
    </w:p>
    <w:p w14:paraId="09C59EF5" w14:textId="1E108326" w:rsidR="002264F0" w:rsidRDefault="002264F0" w:rsidP="002264F0">
      <w:pPr>
        <w:pStyle w:val="BodyAA"/>
        <w:spacing w:line="360" w:lineRule="auto"/>
        <w:jc w:val="both"/>
        <w:rPr>
          <w:rFonts w:ascii="Calibri" w:hAnsi="Calibri"/>
        </w:rPr>
      </w:pPr>
    </w:p>
    <w:p w14:paraId="7A841D52" w14:textId="29FE30D9" w:rsidR="002264F0" w:rsidRDefault="002264F0" w:rsidP="002264F0">
      <w:pPr>
        <w:pStyle w:val="BodyAA"/>
        <w:spacing w:line="360" w:lineRule="auto"/>
        <w:jc w:val="both"/>
        <w:rPr>
          <w:rFonts w:ascii="Calibri" w:hAnsi="Calibri"/>
          <w:b/>
          <w:bCs/>
        </w:rPr>
      </w:pPr>
      <w:r w:rsidRPr="002264F0">
        <w:rPr>
          <w:rFonts w:ascii="Calibri" w:hAnsi="Calibri"/>
          <w:b/>
          <w:bCs/>
        </w:rPr>
        <w:t>Designing interface medical education</w:t>
      </w:r>
    </w:p>
    <w:p w14:paraId="17A4C78E" w14:textId="77777777" w:rsidR="002264F0" w:rsidRPr="002264F0" w:rsidRDefault="002264F0" w:rsidP="002264F0">
      <w:pPr>
        <w:pStyle w:val="BodyAA"/>
        <w:spacing w:line="360" w:lineRule="auto"/>
        <w:jc w:val="both"/>
        <w:rPr>
          <w:rFonts w:ascii="Calibri" w:hAnsi="Calibri"/>
          <w:b/>
          <w:bCs/>
        </w:rPr>
      </w:pPr>
    </w:p>
    <w:p w14:paraId="502F4EDF" w14:textId="1EAB027C" w:rsidR="005541C6" w:rsidRDefault="00FA51EF">
      <w:pPr>
        <w:pStyle w:val="BodyAA"/>
        <w:spacing w:line="360" w:lineRule="auto"/>
        <w:ind w:firstLine="720"/>
        <w:jc w:val="both"/>
        <w:rPr>
          <w:rFonts w:ascii="Calibri" w:hAnsi="Calibri"/>
        </w:rPr>
      </w:pPr>
      <w:r>
        <w:t>In</w:t>
      </w:r>
      <w:r>
        <w:rPr>
          <w:rFonts w:ascii="Calibri" w:hAnsi="Calibri"/>
        </w:rPr>
        <w:t xml:space="preserve"> designing interface medical education thought </w:t>
      </w:r>
      <w:r w:rsidR="002264F0">
        <w:rPr>
          <w:rFonts w:ascii="Calibri" w:hAnsi="Calibri"/>
        </w:rPr>
        <w:t>can</w:t>
      </w:r>
      <w:r>
        <w:rPr>
          <w:rFonts w:ascii="Calibri" w:hAnsi="Calibri"/>
        </w:rPr>
        <w:t xml:space="preserve"> be given to a range of possible educational methods, and their suitability in terms of desired impact and scalability. By looking systematically at the parameters which can be changed in postgraduate medical education, one can design and evaluate a range of educational initiatives</w:t>
      </w:r>
      <w:r w:rsidR="002264F0">
        <w:rPr>
          <w:rFonts w:ascii="Calibri" w:hAnsi="Calibri"/>
        </w:rPr>
        <w:t>.</w:t>
      </w:r>
      <w:r>
        <w:rPr>
          <w:rFonts w:ascii="Calibri" w:eastAsia="Calibri" w:hAnsi="Calibri" w:cs="Calibri"/>
          <w:vertAlign w:val="superscript"/>
        </w:rPr>
        <w:endnoteReference w:id="8"/>
      </w:r>
      <w:r>
        <w:rPr>
          <w:rFonts w:ascii="Calibri" w:hAnsi="Calibri"/>
        </w:rPr>
        <w:t xml:space="preserve"> Such parameters may include changing the disciplines of those forming a learning or clinical team, </w:t>
      </w:r>
      <w:r w:rsidR="002264F0">
        <w:rPr>
          <w:rFonts w:ascii="Calibri" w:hAnsi="Calibri"/>
        </w:rPr>
        <w:t>adapting</w:t>
      </w:r>
      <w:r>
        <w:rPr>
          <w:rFonts w:ascii="Calibri" w:hAnsi="Calibri"/>
        </w:rPr>
        <w:t xml:space="preserve"> the learning environment to cross interfaces, using innovative technologies to run interactive learning events between remote interface sites, </w:t>
      </w:r>
      <w:proofErr w:type="spellStart"/>
      <w:r>
        <w:rPr>
          <w:rFonts w:ascii="Calibri" w:hAnsi="Calibri"/>
        </w:rPr>
        <w:t>utilising</w:t>
      </w:r>
      <w:proofErr w:type="spellEnd"/>
      <w:r>
        <w:rPr>
          <w:rFonts w:ascii="Calibri" w:hAnsi="Calibri"/>
        </w:rPr>
        <w:t xml:space="preserve"> educational skills of the opposite discipline, and creating cross sector employment as a catalyst for learning and service transformation.</w:t>
      </w:r>
    </w:p>
    <w:p w14:paraId="218B0A05" w14:textId="77777777" w:rsidR="002264F0" w:rsidRDefault="002264F0">
      <w:pPr>
        <w:pStyle w:val="BodyAA"/>
        <w:spacing w:line="360" w:lineRule="auto"/>
        <w:ind w:firstLine="720"/>
        <w:jc w:val="both"/>
        <w:rPr>
          <w:rFonts w:ascii="Calibri" w:eastAsia="Calibri" w:hAnsi="Calibri" w:cs="Calibri"/>
        </w:rPr>
      </w:pPr>
    </w:p>
    <w:p w14:paraId="41F1B467" w14:textId="10004565" w:rsidR="005541C6" w:rsidRDefault="00FA51EF">
      <w:pPr>
        <w:pStyle w:val="BodyAA"/>
        <w:spacing w:line="360" w:lineRule="auto"/>
        <w:jc w:val="both"/>
        <w:rPr>
          <w:rFonts w:ascii="Calibri" w:hAnsi="Calibri"/>
        </w:rPr>
      </w:pPr>
      <w:r>
        <w:lastRenderedPageBreak/>
        <w:tab/>
      </w:r>
      <w:r>
        <w:rPr>
          <w:rFonts w:ascii="Calibri" w:hAnsi="Calibri"/>
        </w:rPr>
        <w:t xml:space="preserve">Changing the disciplines of learners who form a learning group or clinical team </w:t>
      </w:r>
      <w:r w:rsidR="00B8793D">
        <w:rPr>
          <w:rFonts w:ascii="Calibri" w:hAnsi="Calibri"/>
        </w:rPr>
        <w:t>is</w:t>
      </w:r>
      <w:r>
        <w:rPr>
          <w:rFonts w:ascii="Calibri" w:hAnsi="Calibri"/>
        </w:rPr>
        <w:t xml:space="preserve"> exemplified in </w:t>
      </w:r>
      <w:r w:rsidRPr="002264F0">
        <w:rPr>
          <w:rFonts w:ascii="Calibri" w:hAnsi="Calibri" w:cs="Calibri"/>
          <w:i/>
          <w:iCs/>
        </w:rPr>
        <w:t>Learning Together</w:t>
      </w:r>
      <w:r w:rsidR="003C1D06">
        <w:rPr>
          <w:rFonts w:ascii="Calibri" w:hAnsi="Calibri" w:cs="Calibri"/>
          <w:i/>
          <w:iCs/>
        </w:rPr>
        <w:t xml:space="preserve"> </w:t>
      </w:r>
      <w:r>
        <w:rPr>
          <w:rFonts w:ascii="Calibri" w:eastAsia="Calibri" w:hAnsi="Calibri" w:cs="Calibri"/>
          <w:vertAlign w:val="superscript"/>
        </w:rPr>
        <w:endnoteReference w:id="9"/>
      </w:r>
      <w:r>
        <w:rPr>
          <w:rFonts w:ascii="Calibri" w:hAnsi="Calibri"/>
        </w:rPr>
        <w:t xml:space="preserve">, and the care home educational ward round projects. Using the </w:t>
      </w:r>
      <w:r w:rsidRPr="002264F0">
        <w:rPr>
          <w:rFonts w:ascii="Calibri" w:hAnsi="Calibri" w:cs="Calibri"/>
          <w:i/>
          <w:iCs/>
        </w:rPr>
        <w:t>Learning Together</w:t>
      </w:r>
      <w:r w:rsidRPr="002264F0">
        <w:rPr>
          <w:rFonts w:ascii="Calibri" w:hAnsi="Calibri" w:cs="Calibri"/>
        </w:rPr>
        <w:t xml:space="preserve"> </w:t>
      </w:r>
      <w:r>
        <w:rPr>
          <w:rFonts w:ascii="Calibri" w:hAnsi="Calibri"/>
        </w:rPr>
        <w:t>model, pairs of learners sourced from a mixed background of primary and secondary care see patients together, under the guidance of the GP trainer in practice. Clear educational gain and health improvement at minimal cost has been demonstrated</w:t>
      </w:r>
      <w:r>
        <w:rPr>
          <w:rFonts w:ascii="Calibri" w:eastAsia="Calibri" w:hAnsi="Calibri" w:cs="Calibri"/>
          <w:vertAlign w:val="superscript"/>
        </w:rPr>
        <w:endnoteReference w:id="10"/>
      </w:r>
      <w:r>
        <w:rPr>
          <w:rFonts w:ascii="Calibri" w:hAnsi="Calibri"/>
        </w:rPr>
        <w:t>. The care home project includes learners from general practice, care of the elderly, care of the elderly psychiatry, pharmacy, nursing and patient</w:t>
      </w:r>
      <w:r w:rsidR="002264F0">
        <w:rPr>
          <w:rFonts w:ascii="Calibri" w:hAnsi="Calibri"/>
        </w:rPr>
        <w:t>s’</w:t>
      </w:r>
      <w:r>
        <w:rPr>
          <w:rFonts w:ascii="Calibri" w:hAnsi="Calibri"/>
        </w:rPr>
        <w:t xml:space="preserve"> </w:t>
      </w:r>
      <w:proofErr w:type="spellStart"/>
      <w:r>
        <w:rPr>
          <w:rFonts w:ascii="Calibri" w:hAnsi="Calibri"/>
        </w:rPr>
        <w:t>carers</w:t>
      </w:r>
      <w:proofErr w:type="spellEnd"/>
      <w:r>
        <w:rPr>
          <w:rFonts w:ascii="Calibri" w:hAnsi="Calibri"/>
        </w:rPr>
        <w:t xml:space="preserve">. Again, the learning team are under the supervision of the GP who has clinical responsibility for patients in the care home. A holistic care plan for the coming year is created with full involvement of the patient and their family who are invited in advance. In both </w:t>
      </w:r>
      <w:r w:rsidR="00B8793D">
        <w:rPr>
          <w:rFonts w:ascii="Calibri" w:hAnsi="Calibri"/>
        </w:rPr>
        <w:t xml:space="preserve">these </w:t>
      </w:r>
      <w:r>
        <w:rPr>
          <w:rFonts w:ascii="Calibri" w:hAnsi="Calibri"/>
        </w:rPr>
        <w:t>project</w:t>
      </w:r>
      <w:r w:rsidR="00B8793D">
        <w:rPr>
          <w:rFonts w:ascii="Calibri" w:hAnsi="Calibri"/>
        </w:rPr>
        <w:t>s</w:t>
      </w:r>
      <w:r>
        <w:rPr>
          <w:rFonts w:ascii="Calibri" w:hAnsi="Calibri"/>
        </w:rPr>
        <w:t xml:space="preserve"> changes in agreed priorities, management plan and prescribing may occur. In addition, at the end of the session, a facilitated learning event occurs involving the wider practice or care home team, to spread learning and seek feedback from the wider team.</w:t>
      </w:r>
    </w:p>
    <w:p w14:paraId="51063FB6" w14:textId="17B24891" w:rsidR="002264F0" w:rsidRDefault="002264F0">
      <w:pPr>
        <w:pStyle w:val="BodyAA"/>
        <w:spacing w:line="360" w:lineRule="auto"/>
        <w:jc w:val="both"/>
        <w:rPr>
          <w:rFonts w:ascii="Calibri" w:hAnsi="Calibri"/>
        </w:rPr>
      </w:pPr>
    </w:p>
    <w:p w14:paraId="2D96A18B" w14:textId="497A123A" w:rsidR="00B8793D" w:rsidRPr="00B8793D" w:rsidRDefault="00B8793D">
      <w:pPr>
        <w:pStyle w:val="BodyAA"/>
        <w:spacing w:line="360" w:lineRule="auto"/>
        <w:jc w:val="both"/>
        <w:rPr>
          <w:rFonts w:ascii="Calibri" w:hAnsi="Calibri"/>
          <w:b/>
          <w:bCs/>
        </w:rPr>
      </w:pPr>
      <w:r w:rsidRPr="00B8793D">
        <w:rPr>
          <w:rFonts w:ascii="Calibri" w:hAnsi="Calibri"/>
          <w:b/>
          <w:bCs/>
        </w:rPr>
        <w:t>Innovative technologies:</w:t>
      </w:r>
    </w:p>
    <w:p w14:paraId="70A2A2C4" w14:textId="7EB5F58A" w:rsidR="005541C6" w:rsidRDefault="00FA51EF">
      <w:pPr>
        <w:pStyle w:val="BodyAA"/>
        <w:spacing w:line="360" w:lineRule="auto"/>
        <w:jc w:val="both"/>
        <w:rPr>
          <w:rFonts w:ascii="Calibri" w:hAnsi="Calibri"/>
        </w:rPr>
      </w:pPr>
      <w:r>
        <w:tab/>
      </w:r>
      <w:r>
        <w:rPr>
          <w:rFonts w:ascii="Calibri" w:hAnsi="Calibri"/>
        </w:rPr>
        <w:t xml:space="preserve">Using innovative technologies to combine and connect learning across interfaces can have the advantage of utility, in that no additional learning events need to be created and learners or existing staff remain in their usual workplaces. </w:t>
      </w:r>
      <w:r w:rsidR="00B8793D">
        <w:rPr>
          <w:rFonts w:ascii="Calibri" w:hAnsi="Calibri"/>
        </w:rPr>
        <w:t>L</w:t>
      </w:r>
      <w:r>
        <w:rPr>
          <w:rFonts w:ascii="Calibri" w:hAnsi="Calibri"/>
        </w:rPr>
        <w:t>ive streaming can allow combined meetings where for example medical conditions are explored by presenters and audiences from many venues, again spanning any traditional boundary in health and social care</w:t>
      </w:r>
      <w:r>
        <w:rPr>
          <w:rFonts w:ascii="Calibri" w:eastAsia="Calibri" w:hAnsi="Calibri" w:cs="Calibri"/>
          <w:vertAlign w:val="superscript"/>
        </w:rPr>
        <w:endnoteReference w:id="11"/>
      </w:r>
      <w:r>
        <w:rPr>
          <w:rFonts w:ascii="Calibri" w:hAnsi="Calibri"/>
        </w:rPr>
        <w:t xml:space="preserve"> . In </w:t>
      </w:r>
      <w:r w:rsidR="00E31D0A">
        <w:rPr>
          <w:rFonts w:ascii="Calibri" w:hAnsi="Calibri"/>
        </w:rPr>
        <w:t>addition,</w:t>
      </w:r>
      <w:r>
        <w:rPr>
          <w:rFonts w:ascii="Calibri" w:hAnsi="Calibri"/>
        </w:rPr>
        <w:t xml:space="preserve"> wider reach can be obtained by recording and uploading such events on a learning platform, facilitating access for those who would otherwise have missed the event. Such learning events could be co- designed with service innovations, such as virtual clinics </w:t>
      </w:r>
      <w:r>
        <w:rPr>
          <w:rFonts w:ascii="Calibri" w:eastAsia="Calibri" w:hAnsi="Calibri" w:cs="Calibri"/>
          <w:vertAlign w:val="superscript"/>
        </w:rPr>
        <w:endnoteReference w:id="12"/>
      </w:r>
      <w:r>
        <w:rPr>
          <w:rFonts w:ascii="Calibri" w:hAnsi="Calibri"/>
        </w:rPr>
        <w:t xml:space="preserve"> </w:t>
      </w:r>
    </w:p>
    <w:p w14:paraId="64C6079D" w14:textId="341AC3E2" w:rsidR="00B8793D" w:rsidRDefault="00B8793D">
      <w:pPr>
        <w:pStyle w:val="BodyAA"/>
        <w:spacing w:line="360" w:lineRule="auto"/>
        <w:jc w:val="both"/>
        <w:rPr>
          <w:rFonts w:ascii="Calibri" w:eastAsia="Calibri" w:hAnsi="Calibri" w:cs="Calibri"/>
        </w:rPr>
      </w:pPr>
    </w:p>
    <w:p w14:paraId="2A4B20C1" w14:textId="26A3A81E" w:rsidR="005541C6" w:rsidRDefault="00FA51EF">
      <w:pPr>
        <w:pStyle w:val="BodyAA"/>
        <w:spacing w:line="360" w:lineRule="auto"/>
        <w:jc w:val="both"/>
        <w:rPr>
          <w:rFonts w:ascii="Calibri" w:hAnsi="Calibri"/>
        </w:rPr>
      </w:pPr>
      <w:r>
        <w:rPr>
          <w:rFonts w:ascii="Calibri" w:eastAsia="Calibri" w:hAnsi="Calibri" w:cs="Calibri"/>
        </w:rPr>
        <w:tab/>
        <w:t xml:space="preserve">Some educational projects have not mixed disciplines of learners but have sought to </w:t>
      </w:r>
      <w:proofErr w:type="spellStart"/>
      <w:r>
        <w:rPr>
          <w:rFonts w:ascii="Calibri" w:eastAsia="Calibri" w:hAnsi="Calibri" w:cs="Calibri"/>
        </w:rPr>
        <w:t>utilise</w:t>
      </w:r>
      <w:proofErr w:type="spellEnd"/>
      <w:r>
        <w:rPr>
          <w:rFonts w:ascii="Calibri" w:eastAsia="Calibri" w:hAnsi="Calibri" w:cs="Calibri"/>
        </w:rPr>
        <w:t xml:space="preserve"> educational techniques more commonly used by the opposite discipline. Examples include expanding simulation in primary care learning to include manikin-based simulation, virtual reality consultations as well as the commonly used simulated patient scenarios </w:t>
      </w:r>
      <w:r>
        <w:rPr>
          <w:rFonts w:ascii="Calibri" w:eastAsia="Calibri" w:hAnsi="Calibri" w:cs="Calibri"/>
          <w:vertAlign w:val="superscript"/>
        </w:rPr>
        <w:endnoteReference w:id="13"/>
      </w:r>
      <w:r>
        <w:rPr>
          <w:rFonts w:ascii="Calibri" w:hAnsi="Calibri"/>
        </w:rPr>
        <w:t xml:space="preserve"> . Such events can benefit from the skills of simulation </w:t>
      </w:r>
      <w:proofErr w:type="spellStart"/>
      <w:r>
        <w:rPr>
          <w:rFonts w:ascii="Calibri" w:hAnsi="Calibri"/>
        </w:rPr>
        <w:t>centre</w:t>
      </w:r>
      <w:proofErr w:type="spellEnd"/>
      <w:r>
        <w:rPr>
          <w:rFonts w:ascii="Calibri" w:hAnsi="Calibri"/>
        </w:rPr>
        <w:t xml:space="preserve"> teams, and secondary care learners such as psychiatrists in </w:t>
      </w:r>
      <w:r w:rsidR="00B162CE">
        <w:rPr>
          <w:rFonts w:ascii="Calibri" w:hAnsi="Calibri"/>
        </w:rPr>
        <w:t xml:space="preserve">the </w:t>
      </w:r>
      <w:r>
        <w:rPr>
          <w:rFonts w:ascii="Calibri" w:hAnsi="Calibri"/>
        </w:rPr>
        <w:t>design and delivery of the event, alongside primary care physicians.</w:t>
      </w:r>
      <w:r w:rsidR="00E6020B">
        <w:rPr>
          <w:rStyle w:val="EndnoteReference"/>
          <w:rFonts w:ascii="Calibri" w:hAnsi="Calibri"/>
        </w:rPr>
        <w:endnoteReference w:id="14"/>
      </w:r>
    </w:p>
    <w:p w14:paraId="10C36C34" w14:textId="14B61060" w:rsidR="00B8793D" w:rsidRDefault="00B8793D">
      <w:pPr>
        <w:pStyle w:val="BodyAA"/>
        <w:spacing w:line="360" w:lineRule="auto"/>
        <w:jc w:val="both"/>
        <w:rPr>
          <w:rFonts w:ascii="Calibri" w:eastAsia="Calibri" w:hAnsi="Calibri" w:cs="Calibri"/>
        </w:rPr>
      </w:pPr>
    </w:p>
    <w:p w14:paraId="279EE11C" w14:textId="0C40FD45" w:rsidR="00B162CE" w:rsidRDefault="00B162CE">
      <w:pPr>
        <w:pStyle w:val="BodyAA"/>
        <w:spacing w:line="360" w:lineRule="auto"/>
        <w:jc w:val="both"/>
        <w:rPr>
          <w:rFonts w:ascii="Calibri" w:eastAsia="Calibri" w:hAnsi="Calibri" w:cs="Calibri"/>
          <w:b/>
          <w:bCs/>
        </w:rPr>
      </w:pPr>
      <w:r w:rsidRPr="00B162CE">
        <w:rPr>
          <w:rFonts w:ascii="Calibri" w:eastAsia="Calibri" w:hAnsi="Calibri" w:cs="Calibri"/>
          <w:b/>
          <w:bCs/>
        </w:rPr>
        <w:t>Cross sector employment:</w:t>
      </w:r>
    </w:p>
    <w:p w14:paraId="344105AD" w14:textId="77777777" w:rsidR="00B162CE" w:rsidRPr="00B162CE" w:rsidRDefault="00B162CE">
      <w:pPr>
        <w:pStyle w:val="BodyAA"/>
        <w:spacing w:line="360" w:lineRule="auto"/>
        <w:jc w:val="both"/>
        <w:rPr>
          <w:rFonts w:ascii="Calibri" w:eastAsia="Calibri" w:hAnsi="Calibri" w:cs="Calibri"/>
          <w:b/>
          <w:bCs/>
        </w:rPr>
      </w:pPr>
    </w:p>
    <w:p w14:paraId="1F346727" w14:textId="72F05117" w:rsidR="005541C6" w:rsidRDefault="00FA51EF">
      <w:pPr>
        <w:pStyle w:val="BodyAA"/>
        <w:spacing w:line="360" w:lineRule="auto"/>
        <w:jc w:val="both"/>
        <w:rPr>
          <w:rFonts w:ascii="Calibri" w:hAnsi="Calibri"/>
        </w:rPr>
      </w:pPr>
      <w:r>
        <w:rPr>
          <w:rFonts w:ascii="Calibri" w:eastAsia="Calibri" w:hAnsi="Calibri" w:cs="Calibri"/>
        </w:rPr>
        <w:tab/>
        <w:t xml:space="preserve"> Employment across sectors, exemplified by new NHS post qualification fellowships, </w:t>
      </w:r>
      <w:r w:rsidR="00B162CE">
        <w:rPr>
          <w:rFonts w:ascii="Calibri" w:eastAsia="Calibri" w:hAnsi="Calibri" w:cs="Calibri"/>
        </w:rPr>
        <w:t xml:space="preserve">has attracted much recent interest </w:t>
      </w:r>
      <w:r w:rsidR="00B162CE">
        <w:rPr>
          <w:rFonts w:ascii="Calibri" w:eastAsia="Calibri" w:hAnsi="Calibri" w:cs="Calibri"/>
          <w:vertAlign w:val="superscript"/>
        </w:rPr>
        <w:endnoteReference w:id="15"/>
      </w:r>
      <w:r w:rsidR="00B162CE">
        <w:rPr>
          <w:rFonts w:ascii="Calibri" w:hAnsi="Calibri"/>
        </w:rPr>
        <w:t xml:space="preserve">. </w:t>
      </w:r>
      <w:r w:rsidR="00B162CE">
        <w:rPr>
          <w:rFonts w:ascii="Calibri" w:eastAsia="Calibri" w:hAnsi="Calibri" w:cs="Calibri"/>
        </w:rPr>
        <w:t>This offers the</w:t>
      </w:r>
      <w:r>
        <w:rPr>
          <w:rFonts w:ascii="Calibri" w:eastAsia="Calibri" w:hAnsi="Calibri" w:cs="Calibri"/>
        </w:rPr>
        <w:t xml:space="preserve"> potential benefit of develop</w:t>
      </w:r>
      <w:r w:rsidR="00B162CE">
        <w:rPr>
          <w:rFonts w:ascii="Calibri" w:eastAsia="Calibri" w:hAnsi="Calibri" w:cs="Calibri"/>
        </w:rPr>
        <w:t>ing</w:t>
      </w:r>
      <w:r>
        <w:rPr>
          <w:rFonts w:ascii="Calibri" w:eastAsia="Calibri" w:hAnsi="Calibri" w:cs="Calibri"/>
        </w:rPr>
        <w:t xml:space="preserve"> a flexible workforce</w:t>
      </w:r>
      <w:r w:rsidR="00B162CE">
        <w:rPr>
          <w:rFonts w:ascii="Calibri" w:eastAsia="Calibri" w:hAnsi="Calibri" w:cs="Calibri"/>
        </w:rPr>
        <w:t>.</w:t>
      </w:r>
      <w:r>
        <w:rPr>
          <w:rFonts w:ascii="Calibri" w:eastAsia="Calibri" w:hAnsi="Calibri" w:cs="Calibri"/>
        </w:rPr>
        <w:t xml:space="preserve"> </w:t>
      </w:r>
      <w:r w:rsidR="00B162CE">
        <w:rPr>
          <w:rFonts w:ascii="Calibri" w:eastAsia="Calibri" w:hAnsi="Calibri" w:cs="Calibri"/>
        </w:rPr>
        <w:lastRenderedPageBreak/>
        <w:t xml:space="preserve">As these </w:t>
      </w:r>
      <w:r>
        <w:rPr>
          <w:rFonts w:ascii="Calibri" w:eastAsia="Calibri" w:hAnsi="Calibri" w:cs="Calibri"/>
        </w:rPr>
        <w:t xml:space="preserve">learners </w:t>
      </w:r>
      <w:r w:rsidR="00B162CE">
        <w:rPr>
          <w:rFonts w:ascii="Calibri" w:eastAsia="Calibri" w:hAnsi="Calibri" w:cs="Calibri"/>
        </w:rPr>
        <w:t>have been</w:t>
      </w:r>
      <w:r>
        <w:rPr>
          <w:rFonts w:ascii="Calibri" w:eastAsia="Calibri" w:hAnsi="Calibri" w:cs="Calibri"/>
        </w:rPr>
        <w:t xml:space="preserve"> tasked with systems redesign across interfaces, </w:t>
      </w:r>
      <w:r>
        <w:rPr>
          <w:rFonts w:ascii="Calibri" w:hAnsi="Calibri"/>
        </w:rPr>
        <w:t>NHS England have described the hope that such opportunities will become available to all newly qualified GPs and practice nurses from 2020 onwards</w:t>
      </w:r>
      <w:r>
        <w:rPr>
          <w:rFonts w:ascii="Calibri" w:eastAsia="Calibri" w:hAnsi="Calibri" w:cs="Calibri"/>
          <w:vertAlign w:val="superscript"/>
        </w:rPr>
        <w:endnoteReference w:id="16"/>
      </w:r>
      <w:r>
        <w:rPr>
          <w:rFonts w:ascii="Calibri" w:hAnsi="Calibri"/>
        </w:rPr>
        <w:t xml:space="preserve">. </w:t>
      </w:r>
    </w:p>
    <w:p w14:paraId="0863DCDD" w14:textId="77777777" w:rsidR="00B162CE" w:rsidRDefault="00B162CE">
      <w:pPr>
        <w:pStyle w:val="BodyAA"/>
        <w:spacing w:line="360" w:lineRule="auto"/>
        <w:jc w:val="both"/>
      </w:pPr>
    </w:p>
    <w:p w14:paraId="3866113E" w14:textId="2F62C26E" w:rsidR="005541C6" w:rsidRDefault="00FA51EF">
      <w:pPr>
        <w:pStyle w:val="BodyAA"/>
        <w:spacing w:line="360" w:lineRule="auto"/>
        <w:jc w:val="both"/>
        <w:rPr>
          <w:rFonts w:ascii="Calibri" w:hAnsi="Calibri"/>
        </w:rPr>
      </w:pPr>
      <w:r>
        <w:t xml:space="preserve">            </w:t>
      </w:r>
      <w:proofErr w:type="gramStart"/>
      <w:r>
        <w:rPr>
          <w:rFonts w:ascii="Calibri" w:hAnsi="Calibri"/>
        </w:rPr>
        <w:t>As yet</w:t>
      </w:r>
      <w:proofErr w:type="gramEnd"/>
      <w:r>
        <w:rPr>
          <w:rFonts w:ascii="Calibri" w:hAnsi="Calibri"/>
        </w:rPr>
        <w:t>, primary - secondary care joint education is rarely embedded fully [though reference is often made to integrated care] in Royal College curricula</w:t>
      </w:r>
      <w:r w:rsidR="00B162CE">
        <w:rPr>
          <w:rFonts w:ascii="Calibri" w:hAnsi="Calibri"/>
        </w:rPr>
        <w:t>.</w:t>
      </w:r>
      <w:r>
        <w:rPr>
          <w:rFonts w:ascii="Calibri" w:hAnsi="Calibri"/>
        </w:rPr>
        <w:t xml:space="preserve"> </w:t>
      </w:r>
      <w:r w:rsidR="00B162CE">
        <w:rPr>
          <w:rFonts w:ascii="Calibri" w:hAnsi="Calibri"/>
        </w:rPr>
        <w:t>T</w:t>
      </w:r>
      <w:r>
        <w:rPr>
          <w:rFonts w:ascii="Calibri" w:hAnsi="Calibri"/>
        </w:rPr>
        <w:t xml:space="preserve">his would be a very </w:t>
      </w:r>
      <w:r w:rsidR="00727B20">
        <w:rPr>
          <w:rFonts w:ascii="Calibri" w:hAnsi="Calibri"/>
        </w:rPr>
        <w:t>valuable</w:t>
      </w:r>
      <w:r>
        <w:rPr>
          <w:rFonts w:ascii="Calibri" w:hAnsi="Calibri"/>
        </w:rPr>
        <w:t xml:space="preserve"> next step if effectiveness and desired impact on educational outcomes and patient care can be demonstrated.  Next steps should include formal evaluations of existing projects and consideration of any evident limitations </w:t>
      </w:r>
      <w:r>
        <w:rPr>
          <w:rFonts w:ascii="Calibri" w:eastAsia="Calibri" w:hAnsi="Calibri" w:cs="Calibri"/>
          <w:vertAlign w:val="superscript"/>
        </w:rPr>
        <w:endnoteReference w:id="17"/>
      </w:r>
      <w:r>
        <w:rPr>
          <w:rFonts w:ascii="Calibri" w:hAnsi="Calibri"/>
        </w:rPr>
        <w:t xml:space="preserve">. </w:t>
      </w:r>
    </w:p>
    <w:p w14:paraId="7AC9C322" w14:textId="294FF301" w:rsidR="00727B20" w:rsidRDefault="00727B20">
      <w:pPr>
        <w:pStyle w:val="BodyAA"/>
        <w:spacing w:line="360" w:lineRule="auto"/>
        <w:jc w:val="both"/>
        <w:rPr>
          <w:rFonts w:ascii="Calibri" w:hAnsi="Calibri"/>
        </w:rPr>
      </w:pPr>
    </w:p>
    <w:p w14:paraId="7B2A2661" w14:textId="389BCDFA" w:rsidR="00727B20" w:rsidRDefault="00727B20">
      <w:pPr>
        <w:pStyle w:val="BodyAA"/>
        <w:spacing w:line="360" w:lineRule="auto"/>
        <w:jc w:val="both"/>
        <w:rPr>
          <w:rFonts w:ascii="Calibri" w:eastAsia="Calibri" w:hAnsi="Calibri" w:cs="Calibri"/>
          <w:b/>
          <w:bCs/>
        </w:rPr>
      </w:pPr>
      <w:r w:rsidRPr="00727B20">
        <w:rPr>
          <w:rFonts w:ascii="Calibri" w:eastAsia="Calibri" w:hAnsi="Calibri" w:cs="Calibri"/>
          <w:b/>
          <w:bCs/>
        </w:rPr>
        <w:t xml:space="preserve">Advancing interface education </w:t>
      </w:r>
    </w:p>
    <w:p w14:paraId="4C39B5CE" w14:textId="77777777" w:rsidR="00727B20" w:rsidRPr="00727B20" w:rsidRDefault="00727B20">
      <w:pPr>
        <w:pStyle w:val="BodyAA"/>
        <w:spacing w:line="360" w:lineRule="auto"/>
        <w:jc w:val="both"/>
        <w:rPr>
          <w:rFonts w:ascii="Calibri" w:eastAsia="Calibri" w:hAnsi="Calibri" w:cs="Calibri"/>
          <w:b/>
          <w:bCs/>
        </w:rPr>
      </w:pPr>
    </w:p>
    <w:p w14:paraId="74490A89" w14:textId="2255EF93" w:rsidR="00727B20" w:rsidRDefault="00FA51EF">
      <w:pPr>
        <w:pStyle w:val="BodyAA"/>
        <w:spacing w:line="360" w:lineRule="auto"/>
        <w:jc w:val="both"/>
        <w:rPr>
          <w:rFonts w:ascii="Calibri" w:hAnsi="Calibri"/>
        </w:rPr>
      </w:pPr>
      <w:r>
        <w:rPr>
          <w:rFonts w:ascii="Calibri" w:hAnsi="Calibri"/>
        </w:rPr>
        <w:t xml:space="preserve">How then to proceed in advancing this agenda of interface education into the modern NHS? </w:t>
      </w:r>
    </w:p>
    <w:p w14:paraId="20C5FFF7" w14:textId="77777777" w:rsidR="00727B20" w:rsidRDefault="00727B20">
      <w:pPr>
        <w:pStyle w:val="BodyAA"/>
        <w:spacing w:line="360" w:lineRule="auto"/>
        <w:jc w:val="both"/>
        <w:rPr>
          <w:rFonts w:ascii="Calibri" w:hAnsi="Calibri"/>
        </w:rPr>
      </w:pPr>
    </w:p>
    <w:p w14:paraId="3EB05BB4" w14:textId="69F4BD1E" w:rsidR="005541C6" w:rsidRDefault="00FA51EF">
      <w:pPr>
        <w:pStyle w:val="BodyAA"/>
        <w:spacing w:line="360" w:lineRule="auto"/>
        <w:jc w:val="both"/>
        <w:rPr>
          <w:rFonts w:ascii="Calibri" w:hAnsi="Calibri"/>
        </w:rPr>
      </w:pPr>
      <w:r>
        <w:rPr>
          <w:rFonts w:ascii="Calibri" w:hAnsi="Calibri"/>
        </w:rPr>
        <w:t xml:space="preserve">We suggest it can be considered at three levels: </w:t>
      </w:r>
    </w:p>
    <w:p w14:paraId="6D0809AE" w14:textId="77777777" w:rsidR="00727B20" w:rsidRDefault="00727B20">
      <w:pPr>
        <w:pStyle w:val="BodyAA"/>
        <w:spacing w:line="360" w:lineRule="auto"/>
        <w:jc w:val="both"/>
        <w:rPr>
          <w:rFonts w:ascii="Calibri" w:eastAsia="Calibri" w:hAnsi="Calibri" w:cs="Calibri"/>
        </w:rPr>
      </w:pPr>
    </w:p>
    <w:p w14:paraId="0EBADC9D" w14:textId="4F0CE36D" w:rsidR="005541C6" w:rsidRDefault="00FA51EF">
      <w:pPr>
        <w:pStyle w:val="BodyAA"/>
        <w:spacing w:line="360" w:lineRule="auto"/>
        <w:jc w:val="both"/>
        <w:rPr>
          <w:rFonts w:ascii="Calibri" w:eastAsia="Calibri" w:hAnsi="Calibri" w:cs="Calibri"/>
        </w:rPr>
      </w:pPr>
      <w:r>
        <w:rPr>
          <w:rFonts w:ascii="Calibri" w:hAnsi="Calibri"/>
        </w:rPr>
        <w:t xml:space="preserve">1 </w:t>
      </w:r>
      <w:r w:rsidRPr="00727B20">
        <w:rPr>
          <w:rFonts w:ascii="Calibri" w:hAnsi="Calibri"/>
          <w:b/>
          <w:bCs/>
        </w:rPr>
        <w:t>Micro</w:t>
      </w:r>
      <w:r>
        <w:rPr>
          <w:rFonts w:ascii="Calibri" w:hAnsi="Calibri"/>
        </w:rPr>
        <w:t xml:space="preserve"> – primary and secondary care practitioners should learn together in their practices and hospitals in the same room at the same time. Such planned [or even unplanned] events will enhance local relationships in the cause of learning. Local leadership may or may not be needed, but the support and encouragement of local management is probably a </w:t>
      </w:r>
      <w:r w:rsidRPr="00727B20">
        <w:rPr>
          <w:rFonts w:ascii="Calibri" w:hAnsi="Calibri" w:cs="Calibri"/>
          <w:i/>
          <w:iCs/>
        </w:rPr>
        <w:t>sine qua non</w:t>
      </w:r>
      <w:r>
        <w:rPr>
          <w:rFonts w:ascii="Calibri" w:hAnsi="Calibri"/>
        </w:rPr>
        <w:t xml:space="preserve">. Such learning may </w:t>
      </w:r>
      <w:r w:rsidR="00727B20">
        <w:rPr>
          <w:rFonts w:ascii="Calibri" w:hAnsi="Calibri"/>
        </w:rPr>
        <w:t xml:space="preserve">add </w:t>
      </w:r>
      <w:r>
        <w:rPr>
          <w:rFonts w:ascii="Calibri" w:hAnsi="Calibri"/>
        </w:rPr>
        <w:t xml:space="preserve">to that gained from consideration of Serious Untoward Incidents or other patient driven events for example. No doubt local neighbourhoods can establish interface learning needs </w:t>
      </w:r>
      <w:r w:rsidR="00612FFF">
        <w:rPr>
          <w:rFonts w:ascii="Calibri" w:hAnsi="Calibri"/>
        </w:rPr>
        <w:t>centered</w:t>
      </w:r>
      <w:r w:rsidR="00727B20">
        <w:rPr>
          <w:rFonts w:ascii="Calibri" w:hAnsi="Calibri"/>
        </w:rPr>
        <w:t xml:space="preserve"> on </w:t>
      </w:r>
      <w:r>
        <w:rPr>
          <w:rFonts w:ascii="Calibri" w:hAnsi="Calibri"/>
        </w:rPr>
        <w:t xml:space="preserve">local   priorities set by local health needs. </w:t>
      </w:r>
    </w:p>
    <w:p w14:paraId="31AE2CCE" w14:textId="77777777" w:rsidR="005541C6" w:rsidRDefault="005541C6">
      <w:pPr>
        <w:pStyle w:val="BodyAA"/>
        <w:spacing w:line="360" w:lineRule="auto"/>
        <w:jc w:val="both"/>
        <w:rPr>
          <w:rFonts w:ascii="Calibri" w:eastAsia="Calibri" w:hAnsi="Calibri" w:cs="Calibri"/>
        </w:rPr>
      </w:pPr>
    </w:p>
    <w:p w14:paraId="01F9B667" w14:textId="18D28B77" w:rsidR="005541C6" w:rsidRDefault="00FA51EF">
      <w:pPr>
        <w:pStyle w:val="BodyAA"/>
        <w:spacing w:line="360" w:lineRule="auto"/>
        <w:jc w:val="both"/>
        <w:rPr>
          <w:rFonts w:ascii="Calibri" w:eastAsia="Calibri" w:hAnsi="Calibri" w:cs="Calibri"/>
        </w:rPr>
      </w:pPr>
      <w:r>
        <w:rPr>
          <w:rFonts w:ascii="Calibri" w:hAnsi="Calibri"/>
        </w:rPr>
        <w:t xml:space="preserve">2 </w:t>
      </w:r>
      <w:r w:rsidRPr="00727B20">
        <w:rPr>
          <w:rFonts w:ascii="Calibri" w:hAnsi="Calibri"/>
          <w:b/>
          <w:bCs/>
        </w:rPr>
        <w:t>Meso</w:t>
      </w:r>
      <w:r>
        <w:rPr>
          <w:rFonts w:ascii="Calibri" w:hAnsi="Calibri"/>
        </w:rPr>
        <w:t xml:space="preserve"> – Hospital locations and groups of primary care clinicians are not </w:t>
      </w:r>
      <w:r w:rsidR="00776626">
        <w:rPr>
          <w:rFonts w:ascii="Calibri" w:hAnsi="Calibri"/>
        </w:rPr>
        <w:t>always</w:t>
      </w:r>
      <w:r>
        <w:rPr>
          <w:rFonts w:ascii="Calibri" w:hAnsi="Calibri"/>
        </w:rPr>
        <w:t xml:space="preserve"> contiguous. This is usually because hospital locations are accidents of history rather than systematically planned. Nonetheless the community education provider </w:t>
      </w:r>
      <w:r w:rsidR="00727B20">
        <w:rPr>
          <w:rFonts w:ascii="Calibri" w:hAnsi="Calibri"/>
        </w:rPr>
        <w:t xml:space="preserve">networks [CEPNs] </w:t>
      </w:r>
      <w:r>
        <w:rPr>
          <w:rFonts w:ascii="Calibri" w:hAnsi="Calibri"/>
        </w:rPr>
        <w:t>or training hub network</w:t>
      </w:r>
      <w:r w:rsidR="00727B20">
        <w:rPr>
          <w:rFonts w:ascii="Calibri" w:hAnsi="Calibri"/>
        </w:rPr>
        <w:t xml:space="preserve"> </w:t>
      </w:r>
      <w:r w:rsidR="003C1D06">
        <w:rPr>
          <w:rFonts w:ascii="Calibri" w:hAnsi="Calibri"/>
        </w:rPr>
        <w:t>[</w:t>
      </w:r>
      <w:r>
        <w:rPr>
          <w:rFonts w:ascii="Calibri" w:hAnsi="Calibri"/>
        </w:rPr>
        <w:t xml:space="preserve">THs] forming across England </w:t>
      </w:r>
      <w:r w:rsidR="00776626">
        <w:rPr>
          <w:rFonts w:ascii="Calibri" w:hAnsi="Calibri"/>
        </w:rPr>
        <w:t>offer</w:t>
      </w:r>
      <w:r>
        <w:rPr>
          <w:rFonts w:ascii="Calibri" w:hAnsi="Calibri"/>
        </w:rPr>
        <w:t xml:space="preserve"> an opportunity for primary and secondary care clinicians to come together across a defined placed based system. For example, London has 32 CEPN/THs covering each of the boroughs and </w:t>
      </w:r>
      <w:r w:rsidR="00776626">
        <w:rPr>
          <w:rFonts w:ascii="Calibri" w:hAnsi="Calibri"/>
        </w:rPr>
        <w:t>encompassing</w:t>
      </w:r>
      <w:r>
        <w:rPr>
          <w:rFonts w:ascii="Calibri" w:hAnsi="Calibri"/>
        </w:rPr>
        <w:t xml:space="preserve"> all primary care practitioners of that area</w:t>
      </w:r>
      <w:r w:rsidR="00E6020B">
        <w:rPr>
          <w:rFonts w:ascii="Calibri" w:hAnsi="Calibri"/>
        </w:rPr>
        <w:t xml:space="preserve"> </w:t>
      </w:r>
      <w:r w:rsidR="00E6020B">
        <w:rPr>
          <w:rStyle w:val="EndnoteReference"/>
          <w:rFonts w:ascii="Calibri" w:hAnsi="Calibri"/>
        </w:rPr>
        <w:endnoteReference w:id="18"/>
      </w:r>
      <w:r>
        <w:rPr>
          <w:rFonts w:ascii="Calibri" w:hAnsi="Calibri"/>
        </w:rPr>
        <w:t xml:space="preserve">. Some are linking up with their local hospitals to run interface events, and in the future should be able to formally foster such activity. </w:t>
      </w:r>
    </w:p>
    <w:p w14:paraId="63D73F8B" w14:textId="77777777" w:rsidR="005541C6" w:rsidRDefault="005541C6">
      <w:pPr>
        <w:pStyle w:val="BodyAA"/>
        <w:spacing w:line="360" w:lineRule="auto"/>
        <w:jc w:val="both"/>
        <w:rPr>
          <w:rFonts w:ascii="Calibri" w:eastAsia="Calibri" w:hAnsi="Calibri" w:cs="Calibri"/>
        </w:rPr>
      </w:pPr>
    </w:p>
    <w:p w14:paraId="53ADA531" w14:textId="328A09AC" w:rsidR="005541C6" w:rsidRDefault="00FA51EF">
      <w:pPr>
        <w:pStyle w:val="BodyAA"/>
        <w:spacing w:line="360" w:lineRule="auto"/>
        <w:jc w:val="both"/>
        <w:rPr>
          <w:rStyle w:val="None"/>
          <w:rFonts w:ascii="Calibri" w:eastAsia="Calibri" w:hAnsi="Calibri" w:cs="Calibri"/>
        </w:rPr>
      </w:pPr>
      <w:r>
        <w:rPr>
          <w:rFonts w:ascii="Calibri" w:hAnsi="Calibri"/>
        </w:rPr>
        <w:t xml:space="preserve">3- </w:t>
      </w:r>
      <w:r w:rsidRPr="00FD0886">
        <w:rPr>
          <w:rFonts w:ascii="Calibri" w:hAnsi="Calibri"/>
          <w:b/>
          <w:bCs/>
        </w:rPr>
        <w:t>Macro</w:t>
      </w:r>
      <w:r>
        <w:rPr>
          <w:rFonts w:ascii="Calibri" w:hAnsi="Calibri"/>
        </w:rPr>
        <w:t xml:space="preserve">- Integrated care </w:t>
      </w:r>
      <w:r w:rsidR="00FD0886">
        <w:rPr>
          <w:rFonts w:ascii="Calibri" w:hAnsi="Calibri"/>
        </w:rPr>
        <w:t>has been</w:t>
      </w:r>
      <w:r>
        <w:rPr>
          <w:rFonts w:ascii="Calibri" w:hAnsi="Calibri"/>
        </w:rPr>
        <w:t xml:space="preserve"> built into many recent NHS policy documents</w:t>
      </w:r>
      <w:r w:rsidR="00FD0886">
        <w:rPr>
          <w:rFonts w:ascii="Calibri" w:hAnsi="Calibri"/>
        </w:rPr>
        <w:t>.</w:t>
      </w:r>
      <w:r>
        <w:rPr>
          <w:rFonts w:ascii="Calibri" w:hAnsi="Calibri"/>
        </w:rPr>
        <w:t xml:space="preserve"> </w:t>
      </w:r>
      <w:r>
        <w:rPr>
          <w:rFonts w:ascii="Calibri" w:eastAsia="Calibri" w:hAnsi="Calibri" w:cs="Calibri"/>
          <w:vertAlign w:val="superscript"/>
        </w:rPr>
        <w:endnoteReference w:id="19"/>
      </w:r>
      <w:r>
        <w:rPr>
          <w:rStyle w:val="None"/>
          <w:rFonts w:ascii="Calibri" w:hAnsi="Calibri"/>
        </w:rPr>
        <w:t xml:space="preserve"> </w:t>
      </w:r>
      <w:r w:rsidR="00FD0886">
        <w:rPr>
          <w:rStyle w:val="None"/>
          <w:rFonts w:ascii="Calibri" w:hAnsi="Calibri"/>
        </w:rPr>
        <w:t>O</w:t>
      </w:r>
      <w:r>
        <w:rPr>
          <w:rStyle w:val="None"/>
          <w:rFonts w:ascii="Calibri" w:hAnsi="Calibri"/>
        </w:rPr>
        <w:t>ur strong position is that service and education can</w:t>
      </w:r>
      <w:r w:rsidR="00FD0886">
        <w:rPr>
          <w:rStyle w:val="None"/>
          <w:rFonts w:ascii="Calibri" w:hAnsi="Calibri"/>
        </w:rPr>
        <w:t>,</w:t>
      </w:r>
      <w:r>
        <w:rPr>
          <w:rStyle w:val="None"/>
          <w:rFonts w:ascii="Calibri" w:hAnsi="Calibri"/>
        </w:rPr>
        <w:t xml:space="preserve"> and should</w:t>
      </w:r>
      <w:r w:rsidR="00FD0886">
        <w:rPr>
          <w:rStyle w:val="None"/>
          <w:rFonts w:ascii="Calibri" w:hAnsi="Calibri"/>
        </w:rPr>
        <w:t>,</w:t>
      </w:r>
      <w:r>
        <w:rPr>
          <w:rStyle w:val="None"/>
          <w:rFonts w:ascii="Calibri" w:hAnsi="Calibri"/>
        </w:rPr>
        <w:t xml:space="preserve"> run hand in hand. In this way the </w:t>
      </w:r>
      <w:r>
        <w:rPr>
          <w:rStyle w:val="None"/>
          <w:rFonts w:ascii="Calibri" w:hAnsi="Calibri"/>
        </w:rPr>
        <w:lastRenderedPageBreak/>
        <w:t>implementation of integrated care</w:t>
      </w:r>
      <w:r w:rsidR="00FD0886">
        <w:rPr>
          <w:rStyle w:val="None"/>
          <w:rFonts w:ascii="Calibri" w:hAnsi="Calibri"/>
        </w:rPr>
        <w:t>,</w:t>
      </w:r>
      <w:r>
        <w:rPr>
          <w:rStyle w:val="None"/>
          <w:rFonts w:ascii="Calibri" w:hAnsi="Calibri"/>
        </w:rPr>
        <w:t xml:space="preserve"> and the collaboration that must underlie it</w:t>
      </w:r>
      <w:r w:rsidR="00FD0886">
        <w:rPr>
          <w:rStyle w:val="None"/>
          <w:rFonts w:ascii="Calibri" w:hAnsi="Calibri"/>
        </w:rPr>
        <w:t>,</w:t>
      </w:r>
      <w:r>
        <w:rPr>
          <w:rStyle w:val="None"/>
          <w:rFonts w:ascii="Calibri" w:hAnsi="Calibri"/>
        </w:rPr>
        <w:t xml:space="preserve"> will </w:t>
      </w:r>
      <w:r w:rsidR="00FD0886">
        <w:rPr>
          <w:rStyle w:val="None"/>
          <w:rFonts w:ascii="Calibri" w:hAnsi="Calibri"/>
        </w:rPr>
        <w:t xml:space="preserve">positively </w:t>
      </w:r>
      <w:r>
        <w:rPr>
          <w:rStyle w:val="None"/>
          <w:rFonts w:ascii="Calibri" w:hAnsi="Calibri"/>
        </w:rPr>
        <w:t xml:space="preserve">develop population health outcomes. </w:t>
      </w:r>
      <w:r w:rsidR="00FD0886">
        <w:rPr>
          <w:rStyle w:val="None"/>
          <w:rFonts w:ascii="Calibri" w:hAnsi="Calibri"/>
        </w:rPr>
        <w:t>C</w:t>
      </w:r>
      <w:r>
        <w:rPr>
          <w:rStyle w:val="None"/>
          <w:rFonts w:ascii="Calibri" w:hAnsi="Calibri"/>
        </w:rPr>
        <w:t xml:space="preserve">entral support for interface education must be in place for these gains to be </w:t>
      </w:r>
      <w:proofErr w:type="spellStart"/>
      <w:r>
        <w:rPr>
          <w:rStyle w:val="None"/>
          <w:rFonts w:ascii="Calibri" w:hAnsi="Calibri"/>
        </w:rPr>
        <w:t>realised</w:t>
      </w:r>
      <w:proofErr w:type="spellEnd"/>
      <w:r>
        <w:rPr>
          <w:rStyle w:val="None"/>
          <w:rFonts w:ascii="Calibri" w:hAnsi="Calibri"/>
        </w:rPr>
        <w:t xml:space="preserve">. </w:t>
      </w:r>
    </w:p>
    <w:p w14:paraId="47A736A5" w14:textId="77777777" w:rsidR="005541C6" w:rsidRDefault="005541C6">
      <w:pPr>
        <w:pStyle w:val="BodyAA"/>
        <w:spacing w:line="360" w:lineRule="auto"/>
        <w:jc w:val="both"/>
        <w:rPr>
          <w:rStyle w:val="None"/>
          <w:rFonts w:ascii="Calibri" w:eastAsia="Calibri" w:hAnsi="Calibri" w:cs="Calibri"/>
        </w:rPr>
      </w:pPr>
    </w:p>
    <w:p w14:paraId="7DD401C4" w14:textId="77777777" w:rsidR="00FD0886" w:rsidRDefault="00FA51EF" w:rsidP="00FD0886">
      <w:pPr>
        <w:pStyle w:val="BodyAA"/>
        <w:spacing w:line="360" w:lineRule="auto"/>
        <w:jc w:val="both"/>
        <w:rPr>
          <w:rStyle w:val="None"/>
          <w:rFonts w:ascii="Calibri" w:hAnsi="Calibri"/>
        </w:rPr>
      </w:pPr>
      <w:r w:rsidRPr="00FD0886">
        <w:rPr>
          <w:rStyle w:val="None"/>
          <w:rFonts w:ascii="Calibri" w:hAnsi="Calibri"/>
          <w:b/>
          <w:bCs/>
        </w:rPr>
        <w:t>In summary</w:t>
      </w:r>
      <w:r>
        <w:rPr>
          <w:rStyle w:val="None"/>
          <w:rFonts w:ascii="Calibri" w:hAnsi="Calibri"/>
        </w:rPr>
        <w:t>,</w:t>
      </w:r>
    </w:p>
    <w:p w14:paraId="0C6E4473" w14:textId="6FBB83E8" w:rsidR="005541C6" w:rsidRPr="00612FFF" w:rsidRDefault="00FD0886" w:rsidP="00612FFF">
      <w:pPr>
        <w:pStyle w:val="BodyAA"/>
        <w:spacing w:line="360" w:lineRule="auto"/>
        <w:jc w:val="both"/>
        <w:rPr>
          <w:rFonts w:ascii="Calibri" w:hAnsi="Calibri" w:cs="Calibri"/>
        </w:rPr>
      </w:pPr>
      <w:r>
        <w:rPr>
          <w:rStyle w:val="None"/>
          <w:rFonts w:ascii="Calibri" w:hAnsi="Calibri"/>
        </w:rPr>
        <w:t>W</w:t>
      </w:r>
      <w:r w:rsidR="00FA51EF">
        <w:rPr>
          <w:rStyle w:val="None"/>
          <w:rFonts w:ascii="Calibri" w:hAnsi="Calibri"/>
        </w:rPr>
        <w:t xml:space="preserve">e have argued that this point </w:t>
      </w:r>
      <w:r>
        <w:rPr>
          <w:rStyle w:val="None"/>
          <w:rFonts w:ascii="Calibri" w:hAnsi="Calibri"/>
        </w:rPr>
        <w:t>in</w:t>
      </w:r>
      <w:r w:rsidR="00FA51EF">
        <w:rPr>
          <w:rStyle w:val="None"/>
          <w:rFonts w:ascii="Calibri" w:hAnsi="Calibri"/>
        </w:rPr>
        <w:t xml:space="preserve"> NHS transformation</w:t>
      </w:r>
      <w:r>
        <w:rPr>
          <w:rStyle w:val="None"/>
          <w:rFonts w:ascii="Calibri" w:hAnsi="Calibri"/>
        </w:rPr>
        <w:t xml:space="preserve"> offers</w:t>
      </w:r>
      <w:r w:rsidR="00FA51EF">
        <w:rPr>
          <w:rStyle w:val="None"/>
          <w:rFonts w:ascii="Calibri" w:hAnsi="Calibri"/>
        </w:rPr>
        <w:t xml:space="preserve"> just the moment to correct a longstanding omission in the delivery of health care education in the UK. As integrated care advances so should health care education</w:t>
      </w:r>
      <w:r>
        <w:rPr>
          <w:rStyle w:val="None"/>
          <w:rFonts w:ascii="Calibri" w:hAnsi="Calibri"/>
        </w:rPr>
        <w:t>.</w:t>
      </w:r>
      <w:r w:rsidR="00FA51EF">
        <w:rPr>
          <w:rStyle w:val="None"/>
          <w:rFonts w:ascii="Calibri" w:hAnsi="Calibri"/>
        </w:rPr>
        <w:t xml:space="preserve"> </w:t>
      </w:r>
      <w:r>
        <w:rPr>
          <w:rStyle w:val="None"/>
          <w:rFonts w:ascii="Calibri" w:hAnsi="Calibri"/>
        </w:rPr>
        <w:t>Bridging</w:t>
      </w:r>
      <w:r w:rsidR="00FA51EF">
        <w:rPr>
          <w:rStyle w:val="None"/>
          <w:rFonts w:ascii="Calibri" w:hAnsi="Calibri"/>
        </w:rPr>
        <w:t xml:space="preserve"> </w:t>
      </w:r>
      <w:r w:rsidR="00612FFF">
        <w:rPr>
          <w:rStyle w:val="None"/>
          <w:rFonts w:ascii="Calibri" w:hAnsi="Calibri"/>
        </w:rPr>
        <w:t>the</w:t>
      </w:r>
      <w:r w:rsidR="00FA51EF">
        <w:rPr>
          <w:rStyle w:val="None"/>
          <w:rFonts w:ascii="Calibri" w:hAnsi="Calibri"/>
        </w:rPr>
        <w:t xml:space="preserve"> historical </w:t>
      </w:r>
      <w:r w:rsidR="00612FFF">
        <w:rPr>
          <w:rStyle w:val="None"/>
          <w:rFonts w:ascii="Calibri" w:hAnsi="Calibri"/>
        </w:rPr>
        <w:t xml:space="preserve">NHS </w:t>
      </w:r>
      <w:r w:rsidR="00FA51EF">
        <w:rPr>
          <w:rStyle w:val="None"/>
          <w:rFonts w:ascii="Calibri" w:hAnsi="Calibri"/>
        </w:rPr>
        <w:t>divide</w:t>
      </w:r>
      <w:r w:rsidR="00612FFF">
        <w:rPr>
          <w:rStyle w:val="None"/>
          <w:rFonts w:ascii="Calibri" w:hAnsi="Calibri"/>
        </w:rPr>
        <w:t xml:space="preserve"> between primary and secondary</w:t>
      </w:r>
      <w:r w:rsidR="00FA51EF">
        <w:rPr>
          <w:rStyle w:val="None"/>
          <w:rFonts w:ascii="Calibri" w:hAnsi="Calibri"/>
        </w:rPr>
        <w:t xml:space="preserve"> </w:t>
      </w:r>
      <w:r w:rsidR="00612FFF">
        <w:rPr>
          <w:rStyle w:val="None"/>
          <w:rFonts w:ascii="Calibri" w:hAnsi="Calibri"/>
        </w:rPr>
        <w:t>care and</w:t>
      </w:r>
      <w:r w:rsidR="00FA51EF">
        <w:rPr>
          <w:rStyle w:val="None"/>
          <w:rFonts w:ascii="Calibri" w:hAnsi="Calibri"/>
        </w:rPr>
        <w:t xml:space="preserve"> </w:t>
      </w:r>
      <w:r w:rsidR="00612FFF">
        <w:rPr>
          <w:rStyle w:val="None"/>
          <w:rFonts w:ascii="Calibri" w:hAnsi="Calibri"/>
        </w:rPr>
        <w:t xml:space="preserve">integrating </w:t>
      </w:r>
      <w:r w:rsidR="00612FFF" w:rsidRPr="00612FFF">
        <w:rPr>
          <w:rFonts w:ascii="Calibri" w:hAnsi="Calibri" w:cs="Calibri"/>
        </w:rPr>
        <w:t>teaching and learning across th</w:t>
      </w:r>
      <w:r w:rsidR="00612FFF">
        <w:rPr>
          <w:rFonts w:ascii="Calibri" w:hAnsi="Calibri" w:cs="Calibri"/>
        </w:rPr>
        <w:t>is</w:t>
      </w:r>
      <w:r w:rsidR="00612FFF" w:rsidRPr="00612FFF">
        <w:rPr>
          <w:rFonts w:ascii="Calibri" w:hAnsi="Calibri" w:cs="Calibri"/>
        </w:rPr>
        <w:t xml:space="preserve"> interface </w:t>
      </w:r>
      <w:r w:rsidR="00612FFF">
        <w:rPr>
          <w:rFonts w:ascii="Calibri" w:hAnsi="Calibri" w:cs="Calibri"/>
        </w:rPr>
        <w:t>is crucial, we claim, to achieving this.</w:t>
      </w:r>
    </w:p>
    <w:p w14:paraId="7D44AEF0" w14:textId="476EF179" w:rsidR="005541C6" w:rsidRDefault="005541C6">
      <w:pPr>
        <w:pStyle w:val="BodyA"/>
      </w:pPr>
    </w:p>
    <w:p w14:paraId="06327DF0" w14:textId="5A161589" w:rsidR="00E6020B" w:rsidRDefault="00E6020B">
      <w:pPr>
        <w:pStyle w:val="BodyA"/>
      </w:pPr>
      <w:bookmarkStart w:id="0" w:name="_GoBack"/>
      <w:bookmarkEnd w:id="0"/>
    </w:p>
    <w:p w14:paraId="1C450F33" w14:textId="77777777" w:rsidR="00E6020B" w:rsidRDefault="00E6020B">
      <w:pPr>
        <w:pStyle w:val="BodyA"/>
      </w:pPr>
    </w:p>
    <w:p w14:paraId="4EF8321C" w14:textId="77777777" w:rsidR="005541C6" w:rsidRDefault="00FA51EF">
      <w:pPr>
        <w:pStyle w:val="BodyA"/>
      </w:pPr>
      <w:r>
        <w:rPr>
          <w:rStyle w:val="None"/>
        </w:rPr>
        <w:t xml:space="preserve"> </w:t>
      </w:r>
    </w:p>
    <w:sectPr w:rsidR="005541C6">
      <w:headerReference w:type="default" r:id="rId10"/>
      <w:footerReference w:type="default" r:id="rId11"/>
      <w:endnotePr>
        <w:numFmt w:val="decimal"/>
      </w:endnotePr>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F5AC" w14:textId="77777777" w:rsidR="003645C8" w:rsidRDefault="003645C8">
      <w:r>
        <w:separator/>
      </w:r>
    </w:p>
  </w:endnote>
  <w:endnote w:type="continuationSeparator" w:id="0">
    <w:p w14:paraId="0508CB5B" w14:textId="77777777" w:rsidR="003645C8" w:rsidRDefault="003645C8">
      <w:r>
        <w:continuationSeparator/>
      </w:r>
    </w:p>
  </w:endnote>
  <w:endnote w:type="continuationNotice" w:id="1">
    <w:p w14:paraId="4495EAEC" w14:textId="77777777" w:rsidR="003645C8" w:rsidRDefault="003645C8"/>
  </w:endnote>
  <w:endnote w:id="2">
    <w:p w14:paraId="1FD8C019" w14:textId="2064D69F"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 xml:space="preserve">King N, </w:t>
      </w:r>
      <w:proofErr w:type="spellStart"/>
      <w:r w:rsidRPr="006A1B48">
        <w:rPr>
          <w:rFonts w:eastAsia="Arial Unicode MS"/>
          <w:color w:val="222222"/>
          <w:sz w:val="22"/>
          <w:szCs w:val="22"/>
          <w:u w:color="222222"/>
          <w:shd w:val="clear" w:color="auto" w:fill="FFFFFF"/>
        </w:rPr>
        <w:t>Bravington</w:t>
      </w:r>
      <w:proofErr w:type="spellEnd"/>
      <w:r w:rsidRPr="006A1B48">
        <w:rPr>
          <w:rFonts w:eastAsia="Arial Unicode MS"/>
          <w:color w:val="222222"/>
          <w:sz w:val="22"/>
          <w:szCs w:val="22"/>
          <w:u w:color="222222"/>
          <w:shd w:val="clear" w:color="auto" w:fill="FFFFFF"/>
        </w:rPr>
        <w:t xml:space="preserve"> A, Brooks J, Melvin J, Wilde D. “Go Make Your Face Known”: Collaborative working through the lens of personal relationships. International journal of integrated care. 2017 Jul;17(4).</w:t>
      </w:r>
    </w:p>
    <w:p w14:paraId="578A42FD" w14:textId="77777777" w:rsidR="00E6020B" w:rsidRPr="006A1B48" w:rsidRDefault="00E6020B">
      <w:pPr>
        <w:pStyle w:val="EndnoteText"/>
        <w:rPr>
          <w:sz w:val="22"/>
          <w:szCs w:val="22"/>
        </w:rPr>
      </w:pPr>
    </w:p>
  </w:endnote>
  <w:endnote w:id="3">
    <w:p w14:paraId="594E3554" w14:textId="0002DAD3"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proofErr w:type="spellStart"/>
      <w:r w:rsidRPr="006A1B48">
        <w:rPr>
          <w:rFonts w:eastAsia="Arial Unicode MS"/>
          <w:color w:val="222222"/>
          <w:sz w:val="22"/>
          <w:szCs w:val="22"/>
          <w:u w:color="222222"/>
          <w:shd w:val="clear" w:color="auto" w:fill="FFFFFF"/>
        </w:rPr>
        <w:t>Kvamme</w:t>
      </w:r>
      <w:proofErr w:type="spellEnd"/>
      <w:r w:rsidRPr="006A1B48">
        <w:rPr>
          <w:rFonts w:eastAsia="Arial Unicode MS"/>
          <w:color w:val="222222"/>
          <w:sz w:val="22"/>
          <w:szCs w:val="22"/>
          <w:u w:color="222222"/>
          <w:shd w:val="clear" w:color="auto" w:fill="FFFFFF"/>
        </w:rPr>
        <w:t xml:space="preserve"> OJ, Eliasson G, Jensen PB. Co-operation of care and learning across the interface between primary and secondary care: Experiences from two workshops at the 15th WONCA World Conference 1998. Scandinavian journal of primary health care. 1998 Jan 1;16(3):131.</w:t>
      </w:r>
    </w:p>
    <w:p w14:paraId="089179A4" w14:textId="77777777" w:rsidR="00E6020B" w:rsidRPr="006A1B48" w:rsidRDefault="00E6020B">
      <w:pPr>
        <w:pStyle w:val="EndnoteText"/>
        <w:rPr>
          <w:sz w:val="22"/>
          <w:szCs w:val="22"/>
        </w:rPr>
      </w:pPr>
    </w:p>
  </w:endnote>
  <w:endnote w:id="4">
    <w:p w14:paraId="2860C4D6" w14:textId="4FF449C4"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proofErr w:type="spellStart"/>
      <w:r w:rsidRPr="006A1B48">
        <w:rPr>
          <w:rFonts w:eastAsia="Arial Unicode MS"/>
          <w:color w:val="222222"/>
          <w:sz w:val="22"/>
          <w:szCs w:val="22"/>
          <w:u w:color="222222"/>
          <w:shd w:val="clear" w:color="auto" w:fill="FFFFFF"/>
        </w:rPr>
        <w:t>Swanwick</w:t>
      </w:r>
      <w:proofErr w:type="spellEnd"/>
      <w:r w:rsidRPr="006A1B48">
        <w:rPr>
          <w:rFonts w:eastAsia="Arial Unicode MS"/>
          <w:color w:val="222222"/>
          <w:sz w:val="22"/>
          <w:szCs w:val="22"/>
          <w:u w:color="222222"/>
          <w:shd w:val="clear" w:color="auto" w:fill="FFFFFF"/>
        </w:rPr>
        <w:t xml:space="preserve"> T. Delivering the Foundation Programme curriculum in general practice. Education for Primary Care. 2006 Jan 1;17(3):191-7.</w:t>
      </w:r>
    </w:p>
    <w:p w14:paraId="69BECCEC" w14:textId="77777777" w:rsidR="00E6020B" w:rsidRPr="006A1B48" w:rsidRDefault="00E6020B">
      <w:pPr>
        <w:pStyle w:val="EndnoteText"/>
        <w:rPr>
          <w:sz w:val="22"/>
          <w:szCs w:val="22"/>
        </w:rPr>
      </w:pPr>
    </w:p>
  </w:endnote>
  <w:endnote w:id="5">
    <w:p w14:paraId="236C201C" w14:textId="57C86FF8"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 xml:space="preserve">Mertens F, de Groot E, Meijer L, Wens J, Gemma Cherry M, </w:t>
      </w:r>
      <w:proofErr w:type="spellStart"/>
      <w:r w:rsidRPr="006A1B48">
        <w:rPr>
          <w:rFonts w:eastAsia="Arial Unicode MS"/>
          <w:color w:val="222222"/>
          <w:sz w:val="22"/>
          <w:szCs w:val="22"/>
          <w:u w:color="222222"/>
          <w:shd w:val="clear" w:color="auto" w:fill="FFFFFF"/>
        </w:rPr>
        <w:t>Deveugele</w:t>
      </w:r>
      <w:proofErr w:type="spellEnd"/>
      <w:r w:rsidRPr="006A1B48">
        <w:rPr>
          <w:rFonts w:eastAsia="Arial Unicode MS"/>
          <w:color w:val="222222"/>
          <w:sz w:val="22"/>
          <w:szCs w:val="22"/>
          <w:u w:color="222222"/>
          <w:shd w:val="clear" w:color="auto" w:fill="FFFFFF"/>
        </w:rPr>
        <w:t xml:space="preserve"> M, </w:t>
      </w:r>
      <w:proofErr w:type="spellStart"/>
      <w:r w:rsidRPr="006A1B48">
        <w:rPr>
          <w:rFonts w:eastAsia="Arial Unicode MS"/>
          <w:color w:val="222222"/>
          <w:sz w:val="22"/>
          <w:szCs w:val="22"/>
          <w:u w:color="222222"/>
          <w:shd w:val="clear" w:color="auto" w:fill="FFFFFF"/>
        </w:rPr>
        <w:t>Damoiseaux</w:t>
      </w:r>
      <w:proofErr w:type="spellEnd"/>
      <w:r w:rsidRPr="006A1B48">
        <w:rPr>
          <w:rFonts w:eastAsia="Arial Unicode MS"/>
          <w:color w:val="222222"/>
          <w:sz w:val="22"/>
          <w:szCs w:val="22"/>
          <w:u w:color="222222"/>
          <w:shd w:val="clear" w:color="auto" w:fill="FFFFFF"/>
        </w:rPr>
        <w:t xml:space="preserve"> R, </w:t>
      </w:r>
      <w:proofErr w:type="spellStart"/>
      <w:r w:rsidRPr="006A1B48">
        <w:rPr>
          <w:rFonts w:eastAsia="Arial Unicode MS"/>
          <w:color w:val="222222"/>
          <w:sz w:val="22"/>
          <w:szCs w:val="22"/>
          <w:u w:color="222222"/>
          <w:shd w:val="clear" w:color="auto" w:fill="FFFFFF"/>
        </w:rPr>
        <w:t>Stes</w:t>
      </w:r>
      <w:proofErr w:type="spellEnd"/>
      <w:r w:rsidRPr="006A1B48">
        <w:rPr>
          <w:rFonts w:eastAsia="Arial Unicode MS"/>
          <w:color w:val="222222"/>
          <w:sz w:val="22"/>
          <w:szCs w:val="22"/>
          <w:u w:color="222222"/>
          <w:shd w:val="clear" w:color="auto" w:fill="FFFFFF"/>
        </w:rPr>
        <w:t xml:space="preserve"> A, </w:t>
      </w:r>
      <w:proofErr w:type="spellStart"/>
      <w:r w:rsidRPr="006A1B48">
        <w:rPr>
          <w:rFonts w:eastAsia="Arial Unicode MS"/>
          <w:color w:val="222222"/>
          <w:sz w:val="22"/>
          <w:szCs w:val="22"/>
          <w:u w:color="222222"/>
          <w:shd w:val="clear" w:color="auto" w:fill="FFFFFF"/>
        </w:rPr>
        <w:t>Pype</w:t>
      </w:r>
      <w:proofErr w:type="spellEnd"/>
      <w:r w:rsidRPr="006A1B48">
        <w:rPr>
          <w:rFonts w:eastAsia="Arial Unicode MS"/>
          <w:color w:val="222222"/>
          <w:sz w:val="22"/>
          <w:szCs w:val="22"/>
          <w:u w:color="222222"/>
          <w:shd w:val="clear" w:color="auto" w:fill="FFFFFF"/>
        </w:rPr>
        <w:t xml:space="preserve"> P. Workplace learning through collaboration in primary healthcare: A BEME realist review of what works, for whom and in what circumstances: BEME Guide No. 46. Medical teacher. 2018 Feb 1;40(2):117-34.</w:t>
      </w:r>
    </w:p>
    <w:p w14:paraId="3F7C6F0F" w14:textId="77777777" w:rsidR="00E6020B" w:rsidRPr="006A1B48" w:rsidRDefault="00E6020B">
      <w:pPr>
        <w:pStyle w:val="EndnoteText"/>
        <w:rPr>
          <w:sz w:val="22"/>
          <w:szCs w:val="22"/>
        </w:rPr>
      </w:pPr>
    </w:p>
  </w:endnote>
  <w:endnote w:id="6">
    <w:p w14:paraId="13ED2E19" w14:textId="77777777" w:rsidR="002264F0" w:rsidRPr="006A1B48" w:rsidRDefault="002264F0" w:rsidP="002264F0">
      <w:pPr>
        <w:pStyle w:val="Default"/>
        <w:rPr>
          <w:rFonts w:ascii="Calibri" w:hAnsi="Calibri" w:cs="Calibri"/>
          <w:color w:val="222222"/>
          <w:u w:color="222222"/>
          <w:shd w:val="clear" w:color="auto" w:fill="FEFFFE"/>
        </w:rPr>
      </w:pPr>
      <w:r w:rsidRPr="000B1B9B">
        <w:rPr>
          <w:rFonts w:ascii="Calibri" w:eastAsia="Calibri" w:hAnsi="Calibri" w:cs="Calibri"/>
          <w:vertAlign w:val="superscript"/>
        </w:rPr>
        <w:endnoteRef/>
      </w:r>
      <w:r w:rsidRPr="006A1B48">
        <w:rPr>
          <w:rFonts w:ascii="Calibri" w:hAnsi="Calibri" w:cs="Calibri"/>
        </w:rPr>
        <w:t xml:space="preserve"> </w:t>
      </w:r>
      <w:r w:rsidRPr="006A1B48">
        <w:rPr>
          <w:rFonts w:ascii="Calibri" w:hAnsi="Calibri" w:cs="Calibri"/>
          <w:color w:val="222222"/>
          <w:u w:color="222222"/>
          <w:shd w:val="clear" w:color="auto" w:fill="FEFFFE"/>
        </w:rPr>
        <w:t xml:space="preserve">Sampson R, </w:t>
      </w:r>
      <w:proofErr w:type="spellStart"/>
      <w:r w:rsidRPr="006A1B48">
        <w:rPr>
          <w:rFonts w:ascii="Calibri" w:hAnsi="Calibri" w:cs="Calibri"/>
          <w:color w:val="222222"/>
          <w:u w:color="222222"/>
          <w:shd w:val="clear" w:color="auto" w:fill="FEFFFE"/>
        </w:rPr>
        <w:t>MacVicar</w:t>
      </w:r>
      <w:proofErr w:type="spellEnd"/>
      <w:r w:rsidRPr="006A1B48">
        <w:rPr>
          <w:rFonts w:ascii="Calibri" w:hAnsi="Calibri" w:cs="Calibri"/>
          <w:color w:val="222222"/>
          <w:u w:color="222222"/>
          <w:shd w:val="clear" w:color="auto" w:fill="FEFFFE"/>
        </w:rPr>
        <w:t xml:space="preserve"> R, Wilson P. Improving the primary-secondary care interface in Scotland: a qualitative exploration of impact on clinicians of an educational complex intervention. BMJ open. 2017 Jun 1;7(6): e016593.</w:t>
      </w:r>
    </w:p>
    <w:p w14:paraId="0D0E3719" w14:textId="77777777" w:rsidR="002264F0" w:rsidRPr="006A1B48" w:rsidRDefault="002264F0" w:rsidP="002264F0">
      <w:pPr>
        <w:pStyle w:val="Default"/>
        <w:rPr>
          <w:rFonts w:ascii="Calibri" w:hAnsi="Calibri" w:cs="Calibri"/>
        </w:rPr>
      </w:pPr>
    </w:p>
  </w:endnote>
  <w:endnote w:id="7">
    <w:p w14:paraId="75646E87" w14:textId="77777777" w:rsidR="002264F0" w:rsidRPr="006A1B48" w:rsidRDefault="002264F0" w:rsidP="002264F0">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proofErr w:type="spellStart"/>
      <w:r w:rsidRPr="006A1B48">
        <w:rPr>
          <w:rFonts w:eastAsia="Arial Unicode MS"/>
          <w:color w:val="222222"/>
          <w:sz w:val="22"/>
          <w:szCs w:val="22"/>
          <w:u w:color="222222"/>
          <w:shd w:val="clear" w:color="auto" w:fill="FFFFFF"/>
        </w:rPr>
        <w:t>Tzortziou</w:t>
      </w:r>
      <w:proofErr w:type="spellEnd"/>
      <w:r w:rsidRPr="006A1B48">
        <w:rPr>
          <w:rFonts w:eastAsia="Arial Unicode MS"/>
          <w:color w:val="222222"/>
          <w:sz w:val="22"/>
          <w:szCs w:val="22"/>
          <w:u w:color="222222"/>
          <w:shd w:val="clear" w:color="auto" w:fill="FFFFFF"/>
        </w:rPr>
        <w:t xml:space="preserve"> Brown V, Patel I, Thomas N, Tomlinson J, Roberts R, Rayner H, Ashman N, Hull S. New ways of working; delivering better care for people with long-term conditions. London journal of primary care. 2017 Sep 3;9(5):60-8.</w:t>
      </w:r>
    </w:p>
    <w:p w14:paraId="28F136F1" w14:textId="77777777" w:rsidR="002264F0" w:rsidRPr="006A1B48" w:rsidRDefault="002264F0" w:rsidP="002264F0">
      <w:pPr>
        <w:pStyle w:val="EndnoteText"/>
        <w:rPr>
          <w:sz w:val="22"/>
          <w:szCs w:val="22"/>
        </w:rPr>
      </w:pPr>
    </w:p>
  </w:endnote>
  <w:endnote w:id="8">
    <w:p w14:paraId="1ADB72EF" w14:textId="49621C24" w:rsidR="005541C6" w:rsidRPr="006A1B48" w:rsidRDefault="00FA51EF">
      <w:pPr>
        <w:pStyle w:val="EndnoteText"/>
        <w:rPr>
          <w:rFonts w:eastAsia="Arial Unicode MS"/>
          <w:sz w:val="22"/>
          <w:szCs w:val="22"/>
        </w:rPr>
      </w:pPr>
      <w:r w:rsidRPr="006A1B48">
        <w:rPr>
          <w:sz w:val="22"/>
          <w:szCs w:val="22"/>
          <w:vertAlign w:val="superscript"/>
        </w:rPr>
        <w:endnoteRef/>
      </w:r>
      <w:r w:rsidRPr="006A1B48">
        <w:rPr>
          <w:rFonts w:eastAsia="Arial Unicode MS"/>
          <w:sz w:val="22"/>
          <w:szCs w:val="22"/>
        </w:rPr>
        <w:t xml:space="preserve"> Kelly D, Young C. Evaluation of a collective of educational projects in primary - secondary joint learning to support new models of care. External evaluation commissioned by Health Education England, London.  May 2019. </w:t>
      </w:r>
    </w:p>
    <w:p w14:paraId="53DE6752" w14:textId="77777777" w:rsidR="00E6020B" w:rsidRPr="006A1B48" w:rsidRDefault="00E6020B">
      <w:pPr>
        <w:pStyle w:val="EndnoteText"/>
        <w:rPr>
          <w:sz w:val="22"/>
          <w:szCs w:val="22"/>
        </w:rPr>
      </w:pPr>
    </w:p>
  </w:endnote>
  <w:endnote w:id="9">
    <w:p w14:paraId="6FD4EDFF" w14:textId="162E9141"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 xml:space="preserve">Macaulay C, Spicer J, Riches W, </w:t>
      </w:r>
      <w:proofErr w:type="spellStart"/>
      <w:r w:rsidRPr="006A1B48">
        <w:rPr>
          <w:rFonts w:eastAsia="Arial Unicode MS"/>
          <w:color w:val="222222"/>
          <w:sz w:val="22"/>
          <w:szCs w:val="22"/>
          <w:u w:color="222222"/>
          <w:shd w:val="clear" w:color="auto" w:fill="FFFFFF"/>
        </w:rPr>
        <w:t>Lakhanpaul</w:t>
      </w:r>
      <w:proofErr w:type="spellEnd"/>
      <w:r w:rsidRPr="006A1B48">
        <w:rPr>
          <w:rFonts w:eastAsia="Arial Unicode MS"/>
          <w:color w:val="222222"/>
          <w:sz w:val="22"/>
          <w:szCs w:val="22"/>
          <w:u w:color="222222"/>
          <w:shd w:val="clear" w:color="auto" w:fill="FFFFFF"/>
        </w:rPr>
        <w:t xml:space="preserve"> M. Learning together 1: an educational model for training GPs, </w:t>
      </w:r>
      <w:proofErr w:type="spellStart"/>
      <w:r w:rsidRPr="006A1B48">
        <w:rPr>
          <w:rFonts w:eastAsia="Arial Unicode MS"/>
          <w:color w:val="222222"/>
          <w:sz w:val="22"/>
          <w:szCs w:val="22"/>
          <w:u w:color="222222"/>
          <w:shd w:val="clear" w:color="auto" w:fill="FFFFFF"/>
        </w:rPr>
        <w:t>paediatricians</w:t>
      </w:r>
      <w:proofErr w:type="spellEnd"/>
      <w:r w:rsidRPr="006A1B48">
        <w:rPr>
          <w:rFonts w:eastAsia="Arial Unicode MS"/>
          <w:color w:val="222222"/>
          <w:sz w:val="22"/>
          <w:szCs w:val="22"/>
          <w:u w:color="222222"/>
          <w:shd w:val="clear" w:color="auto" w:fill="FFFFFF"/>
        </w:rPr>
        <w:t>: initial findings. Education for Primary Care. 2017 Jan 2;28(1):29-35.</w:t>
      </w:r>
    </w:p>
    <w:p w14:paraId="138723A3" w14:textId="77777777" w:rsidR="00E6020B" w:rsidRPr="006A1B48" w:rsidRDefault="00E6020B">
      <w:pPr>
        <w:pStyle w:val="EndnoteText"/>
        <w:rPr>
          <w:sz w:val="22"/>
          <w:szCs w:val="22"/>
        </w:rPr>
      </w:pPr>
    </w:p>
  </w:endnote>
  <w:endnote w:id="10">
    <w:p w14:paraId="56BB5229" w14:textId="440D15AD" w:rsidR="005541C6"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Cullen K, Riches W, Macaulay C, Spicer J. Learning Together; part 2: training costs and health gain–a cost analysis. Education for Primary Care. 2017 Jan 2;28(1):36-44.</w:t>
      </w:r>
    </w:p>
    <w:p w14:paraId="45056B0F" w14:textId="77777777" w:rsidR="000B1B9B" w:rsidRPr="006A1B48" w:rsidRDefault="000B1B9B">
      <w:pPr>
        <w:pStyle w:val="EndnoteText"/>
        <w:rPr>
          <w:sz w:val="22"/>
          <w:szCs w:val="22"/>
        </w:rPr>
      </w:pPr>
    </w:p>
  </w:endnote>
  <w:endnote w:id="11">
    <w:p w14:paraId="6B4BD8EA" w14:textId="426EE075" w:rsidR="005541C6" w:rsidRPr="006A1B48" w:rsidRDefault="00FA51EF">
      <w:pPr>
        <w:pStyle w:val="EndnoteText"/>
        <w:rPr>
          <w:rFonts w:eastAsia="Arial Unicode MS"/>
          <w:sz w:val="22"/>
          <w:szCs w:val="22"/>
        </w:rPr>
      </w:pPr>
      <w:r w:rsidRPr="006A1B48">
        <w:rPr>
          <w:sz w:val="22"/>
          <w:szCs w:val="22"/>
          <w:vertAlign w:val="superscript"/>
        </w:rPr>
        <w:endnoteRef/>
      </w:r>
      <w:r w:rsidRPr="006A1B48">
        <w:rPr>
          <w:i/>
          <w:iCs/>
          <w:sz w:val="22"/>
          <w:szCs w:val="22"/>
        </w:rPr>
        <w:t xml:space="preserve"> </w:t>
      </w:r>
      <w:r w:rsidRPr="006A1B48">
        <w:rPr>
          <w:rFonts w:eastAsia="Arial Unicode MS"/>
          <w:sz w:val="22"/>
          <w:szCs w:val="22"/>
        </w:rPr>
        <w:t>Roberts R, Bhatti N, Devlin L, Hoque E, Bhatti O, Khan A</w:t>
      </w:r>
      <w:r w:rsidRPr="006A1B48">
        <w:rPr>
          <w:i/>
          <w:iCs/>
          <w:sz w:val="22"/>
          <w:szCs w:val="22"/>
        </w:rPr>
        <w:t xml:space="preserve">. </w:t>
      </w:r>
      <w:r w:rsidRPr="006A1B48">
        <w:rPr>
          <w:rFonts w:eastAsia="Arial Unicode MS"/>
          <w:sz w:val="22"/>
          <w:szCs w:val="22"/>
        </w:rPr>
        <w:t xml:space="preserve">IT Linked Learning. Primary and Secondary.  Poster presentation, presented at the Royal College of GPs Annual Conference, 2019 October 24-26, Liverpool.   </w:t>
      </w:r>
    </w:p>
    <w:p w14:paraId="32A5C3D8" w14:textId="77777777" w:rsidR="00E6020B" w:rsidRPr="006A1B48" w:rsidRDefault="00E6020B">
      <w:pPr>
        <w:pStyle w:val="EndnoteText"/>
        <w:rPr>
          <w:sz w:val="22"/>
          <w:szCs w:val="22"/>
        </w:rPr>
      </w:pPr>
    </w:p>
  </w:endnote>
  <w:endnote w:id="12">
    <w:p w14:paraId="57CD8A09" w14:textId="1C56F90E"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 xml:space="preserve">Hull SA, </w:t>
      </w:r>
      <w:proofErr w:type="spellStart"/>
      <w:r w:rsidRPr="006A1B48">
        <w:rPr>
          <w:rFonts w:eastAsia="Arial Unicode MS"/>
          <w:color w:val="222222"/>
          <w:sz w:val="22"/>
          <w:szCs w:val="22"/>
          <w:u w:color="222222"/>
          <w:shd w:val="clear" w:color="auto" w:fill="FFFFFF"/>
        </w:rPr>
        <w:t>Rajabzadeh</w:t>
      </w:r>
      <w:proofErr w:type="spellEnd"/>
      <w:r w:rsidRPr="006A1B48">
        <w:rPr>
          <w:rFonts w:eastAsia="Arial Unicode MS"/>
          <w:color w:val="222222"/>
          <w:sz w:val="22"/>
          <w:szCs w:val="22"/>
          <w:u w:color="222222"/>
          <w:shd w:val="clear" w:color="auto" w:fill="FFFFFF"/>
        </w:rPr>
        <w:t xml:space="preserve"> V, Thomas N, </w:t>
      </w:r>
      <w:proofErr w:type="spellStart"/>
      <w:r w:rsidRPr="006A1B48">
        <w:rPr>
          <w:rFonts w:eastAsia="Arial Unicode MS"/>
          <w:color w:val="222222"/>
          <w:sz w:val="22"/>
          <w:szCs w:val="22"/>
          <w:u w:color="222222"/>
          <w:shd w:val="clear" w:color="auto" w:fill="FFFFFF"/>
        </w:rPr>
        <w:t>Hoong</w:t>
      </w:r>
      <w:proofErr w:type="spellEnd"/>
      <w:r w:rsidRPr="006A1B48">
        <w:rPr>
          <w:rFonts w:eastAsia="Arial Unicode MS"/>
          <w:color w:val="222222"/>
          <w:sz w:val="22"/>
          <w:szCs w:val="22"/>
          <w:u w:color="222222"/>
          <w:shd w:val="clear" w:color="auto" w:fill="FFFFFF"/>
        </w:rPr>
        <w:t xml:space="preserve"> S, Dreyer G, Rainey H, Ashman N. Do virtual renal clinics improve access to kidney care? A preliminary impact evaluation of a virtual clinic in East London. BMC nephrology. 2020 Dec 1;21(1):10.</w:t>
      </w:r>
    </w:p>
    <w:p w14:paraId="4F9D61C8" w14:textId="77777777" w:rsidR="00E6020B" w:rsidRPr="006A1B48" w:rsidRDefault="00E6020B">
      <w:pPr>
        <w:pStyle w:val="EndnoteText"/>
        <w:rPr>
          <w:sz w:val="22"/>
          <w:szCs w:val="22"/>
        </w:rPr>
      </w:pPr>
    </w:p>
  </w:endnote>
  <w:endnote w:id="13">
    <w:p w14:paraId="03354D05" w14:textId="63BD0B5F" w:rsidR="005541C6" w:rsidRPr="006A1B48" w:rsidRDefault="00FA51EF">
      <w:pPr>
        <w:pStyle w:val="EndnoteText"/>
        <w:rPr>
          <w:rFonts w:eastAsia="Arial Unicode MS"/>
          <w:sz w:val="22"/>
          <w:szCs w:val="22"/>
        </w:rPr>
      </w:pPr>
      <w:r w:rsidRPr="006A1B48">
        <w:rPr>
          <w:sz w:val="22"/>
          <w:szCs w:val="22"/>
          <w:vertAlign w:val="superscript"/>
        </w:rPr>
        <w:endnoteRef/>
      </w:r>
      <w:r w:rsidRPr="006A1B48">
        <w:rPr>
          <w:rFonts w:eastAsia="Arial Unicode MS"/>
          <w:sz w:val="22"/>
          <w:szCs w:val="22"/>
        </w:rPr>
        <w:t xml:space="preserve"> Hearn R, Roberts R. Improved preparation for like as a future GP using simulation across the GP curriculum. Poster presentation, presented at the Royal College of GP</w:t>
      </w:r>
      <w:r w:rsidR="00E6020B" w:rsidRPr="006A1B48">
        <w:rPr>
          <w:rFonts w:eastAsia="Arial Unicode MS"/>
          <w:sz w:val="22"/>
          <w:szCs w:val="22"/>
        </w:rPr>
        <w:t>s</w:t>
      </w:r>
      <w:r w:rsidRPr="006A1B48">
        <w:rPr>
          <w:rFonts w:eastAsia="Arial Unicode MS"/>
          <w:sz w:val="22"/>
          <w:szCs w:val="22"/>
        </w:rPr>
        <w:t xml:space="preserve"> Annual Conference, 2018 October 4-6, Glasgow. </w:t>
      </w:r>
    </w:p>
    <w:p w14:paraId="666A33EB" w14:textId="77777777" w:rsidR="00E6020B" w:rsidRPr="006A1B48" w:rsidRDefault="00E6020B">
      <w:pPr>
        <w:pStyle w:val="EndnoteText"/>
        <w:rPr>
          <w:sz w:val="22"/>
          <w:szCs w:val="22"/>
        </w:rPr>
      </w:pPr>
    </w:p>
  </w:endnote>
  <w:endnote w:id="14">
    <w:p w14:paraId="13C58A0D" w14:textId="50A44477" w:rsidR="00E6020B" w:rsidRPr="006A1B48" w:rsidRDefault="00E6020B">
      <w:pPr>
        <w:pStyle w:val="EndnoteText"/>
        <w:rPr>
          <w:sz w:val="22"/>
          <w:szCs w:val="22"/>
          <w:lang w:val="en-GB"/>
        </w:rPr>
      </w:pPr>
      <w:r w:rsidRPr="006A1B48">
        <w:rPr>
          <w:rStyle w:val="EndnoteReference"/>
          <w:sz w:val="22"/>
          <w:szCs w:val="22"/>
        </w:rPr>
        <w:endnoteRef/>
      </w:r>
      <w:r w:rsidRPr="006A1B48">
        <w:rPr>
          <w:sz w:val="22"/>
          <w:szCs w:val="22"/>
        </w:rPr>
        <w:t xml:space="preserve"> </w:t>
      </w:r>
      <w:r w:rsidRPr="006A1B48">
        <w:rPr>
          <w:sz w:val="22"/>
          <w:szCs w:val="22"/>
          <w:lang w:val="en-GB"/>
        </w:rPr>
        <w:t xml:space="preserve">See </w:t>
      </w:r>
      <w:hyperlink r:id="rId1" w:history="1">
        <w:r w:rsidRPr="006A1B48">
          <w:rPr>
            <w:rStyle w:val="Hyperlink"/>
            <w:sz w:val="22"/>
            <w:szCs w:val="22"/>
            <w:lang w:val="en-GB"/>
          </w:rPr>
          <w:t>https://maudsleylearning.com/insights/research-and-development/publications/improving-interprofessional-approaches-to-physical-and-psychiatric-comorbidities-through-simulation/</w:t>
        </w:r>
      </w:hyperlink>
      <w:r w:rsidR="000B1B9B" w:rsidRPr="006A1B48">
        <w:rPr>
          <w:sz w:val="22"/>
          <w:szCs w:val="22"/>
          <w:lang w:val="en-GB"/>
        </w:rPr>
        <w:t xml:space="preserve"> </w:t>
      </w:r>
      <w:proofErr w:type="gramStart"/>
      <w:r w:rsidR="000B1B9B" w:rsidRPr="006A1B48">
        <w:rPr>
          <w:sz w:val="22"/>
          <w:szCs w:val="22"/>
          <w:lang w:val="en-GB"/>
        </w:rPr>
        <w:t xml:space="preserve">   [</w:t>
      </w:r>
      <w:proofErr w:type="gramEnd"/>
      <w:r w:rsidR="000B1B9B" w:rsidRPr="006A1B48">
        <w:rPr>
          <w:sz w:val="22"/>
          <w:szCs w:val="22"/>
          <w:lang w:val="en-GB"/>
        </w:rPr>
        <w:t xml:space="preserve">accessed 11.2.20] </w:t>
      </w:r>
    </w:p>
    <w:p w14:paraId="38B51C11" w14:textId="77777777" w:rsidR="00E6020B" w:rsidRPr="006A1B48" w:rsidRDefault="00E6020B">
      <w:pPr>
        <w:pStyle w:val="EndnoteText"/>
        <w:rPr>
          <w:sz w:val="22"/>
          <w:szCs w:val="22"/>
          <w:lang w:val="en-GB"/>
        </w:rPr>
      </w:pPr>
    </w:p>
  </w:endnote>
  <w:endnote w:id="15">
    <w:p w14:paraId="5010BBEA" w14:textId="77777777" w:rsidR="00B162CE" w:rsidRPr="006A1B48" w:rsidRDefault="00B162CE" w:rsidP="00B162CE">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 xml:space="preserve">Bryce C, Russell R, Dale J. Learning from the transfer of a fellowship </w:t>
      </w:r>
      <w:proofErr w:type="spellStart"/>
      <w:r w:rsidRPr="006A1B48">
        <w:rPr>
          <w:rFonts w:eastAsia="Arial Unicode MS"/>
          <w:color w:val="222222"/>
          <w:sz w:val="22"/>
          <w:szCs w:val="22"/>
          <w:u w:color="222222"/>
          <w:shd w:val="clear" w:color="auto" w:fill="FFFFFF"/>
        </w:rPr>
        <w:t>programme</w:t>
      </w:r>
      <w:proofErr w:type="spellEnd"/>
      <w:r w:rsidRPr="006A1B48">
        <w:rPr>
          <w:rFonts w:eastAsia="Arial Unicode MS"/>
          <w:color w:val="222222"/>
          <w:sz w:val="22"/>
          <w:szCs w:val="22"/>
          <w:u w:color="222222"/>
          <w:shd w:val="clear" w:color="auto" w:fill="FFFFFF"/>
        </w:rPr>
        <w:t xml:space="preserve"> to support primary care workforce needs in the UK: a qualitative study. BMJ open. 2019 Jan 1;9(1):</w:t>
      </w:r>
      <w:r>
        <w:rPr>
          <w:rFonts w:eastAsia="Arial Unicode MS"/>
          <w:color w:val="222222"/>
          <w:sz w:val="22"/>
          <w:szCs w:val="22"/>
          <w:u w:color="222222"/>
          <w:shd w:val="clear" w:color="auto" w:fill="FFFFFF"/>
        </w:rPr>
        <w:t xml:space="preserve"> </w:t>
      </w:r>
      <w:r w:rsidRPr="006A1B48">
        <w:rPr>
          <w:rFonts w:eastAsia="Arial Unicode MS"/>
          <w:color w:val="222222"/>
          <w:sz w:val="22"/>
          <w:szCs w:val="22"/>
          <w:u w:color="222222"/>
          <w:shd w:val="clear" w:color="auto" w:fill="FFFFFF"/>
        </w:rPr>
        <w:t>e023384.</w:t>
      </w:r>
    </w:p>
    <w:p w14:paraId="2D05EC0E" w14:textId="77777777" w:rsidR="00B162CE" w:rsidRPr="006A1B48" w:rsidRDefault="00B162CE" w:rsidP="00B162CE">
      <w:pPr>
        <w:pStyle w:val="EndnoteText"/>
        <w:rPr>
          <w:sz w:val="22"/>
          <w:szCs w:val="22"/>
        </w:rPr>
      </w:pPr>
    </w:p>
  </w:endnote>
  <w:endnote w:id="16">
    <w:p w14:paraId="40B95FAB" w14:textId="7992AF62" w:rsidR="005541C6" w:rsidRPr="006A1B48" w:rsidRDefault="00FA51EF">
      <w:pPr>
        <w:pStyle w:val="EndnoteText"/>
        <w:rPr>
          <w:sz w:val="22"/>
          <w:szCs w:val="22"/>
        </w:rPr>
      </w:pPr>
      <w:r w:rsidRPr="006A1B48">
        <w:rPr>
          <w:sz w:val="22"/>
          <w:szCs w:val="22"/>
          <w:vertAlign w:val="superscript"/>
        </w:rPr>
        <w:endnoteRef/>
      </w:r>
      <w:r w:rsidRPr="006A1B48">
        <w:rPr>
          <w:sz w:val="22"/>
          <w:szCs w:val="22"/>
        </w:rPr>
        <w:t xml:space="preserve"> NHS England. 2019.  Making General </w:t>
      </w:r>
      <w:r w:rsidR="00E31D0A" w:rsidRPr="006A1B48">
        <w:rPr>
          <w:sz w:val="22"/>
          <w:szCs w:val="22"/>
        </w:rPr>
        <w:t>Practice a</w:t>
      </w:r>
      <w:r w:rsidRPr="006A1B48">
        <w:rPr>
          <w:sz w:val="22"/>
          <w:szCs w:val="22"/>
        </w:rPr>
        <w:t xml:space="preserve"> Great Place to Work.   P14</w:t>
      </w:r>
    </w:p>
    <w:p w14:paraId="22980641" w14:textId="150E205E" w:rsidR="005541C6" w:rsidRPr="006A1B48" w:rsidRDefault="00FA51EF">
      <w:pPr>
        <w:pStyle w:val="EndnoteText"/>
        <w:rPr>
          <w:sz w:val="22"/>
          <w:szCs w:val="22"/>
        </w:rPr>
      </w:pPr>
      <w:r w:rsidRPr="006A1B48">
        <w:rPr>
          <w:sz w:val="22"/>
          <w:szCs w:val="22"/>
        </w:rPr>
        <w:t xml:space="preserve"> </w:t>
      </w:r>
      <w:hyperlink r:id="rId2" w:history="1">
        <w:r w:rsidRPr="006A1B48">
          <w:rPr>
            <w:rStyle w:val="Hyperlink0"/>
            <w:sz w:val="22"/>
            <w:szCs w:val="22"/>
          </w:rPr>
          <w:t>https://www.england.nhs.uk/wp-content/uploads/2019/07/making-general-practice-a-great-place-to-work-gp-toolkit.pdf</w:t>
        </w:r>
      </w:hyperlink>
      <w:r w:rsidR="00E31D0A" w:rsidRPr="006A1B48">
        <w:rPr>
          <w:sz w:val="22"/>
          <w:szCs w:val="22"/>
        </w:rPr>
        <w:t xml:space="preserve">  [</w:t>
      </w:r>
      <w:r w:rsidR="000B1B9B" w:rsidRPr="006A1B48">
        <w:rPr>
          <w:sz w:val="22"/>
          <w:szCs w:val="22"/>
        </w:rPr>
        <w:t>accessed 11.2.20]</w:t>
      </w:r>
    </w:p>
    <w:p w14:paraId="3D64D54E" w14:textId="77777777" w:rsidR="000B1B9B" w:rsidRPr="006A1B48" w:rsidRDefault="000B1B9B">
      <w:pPr>
        <w:pStyle w:val="EndnoteText"/>
        <w:rPr>
          <w:sz w:val="22"/>
          <w:szCs w:val="22"/>
        </w:rPr>
      </w:pPr>
    </w:p>
  </w:endnote>
  <w:endnote w:id="17">
    <w:p w14:paraId="3D34AB01" w14:textId="7DFA2DFF" w:rsidR="005541C6" w:rsidRPr="006A1B48" w:rsidRDefault="00FA51EF">
      <w:pPr>
        <w:pStyle w:val="EndnoteText"/>
        <w:rPr>
          <w:rFonts w:eastAsia="Arial Unicode MS"/>
          <w:color w:val="222222"/>
          <w:sz w:val="22"/>
          <w:szCs w:val="22"/>
          <w:u w:color="222222"/>
          <w:shd w:val="clear" w:color="auto" w:fill="FFFFFF"/>
        </w:rPr>
      </w:pPr>
      <w:r w:rsidRPr="006A1B48">
        <w:rPr>
          <w:sz w:val="22"/>
          <w:szCs w:val="22"/>
          <w:vertAlign w:val="superscript"/>
        </w:rPr>
        <w:endnoteRef/>
      </w:r>
      <w:r w:rsidRPr="006A1B48">
        <w:rPr>
          <w:rFonts w:eastAsia="Arial Unicode MS"/>
          <w:sz w:val="22"/>
          <w:szCs w:val="22"/>
        </w:rPr>
        <w:t xml:space="preserve"> </w:t>
      </w:r>
      <w:r w:rsidRPr="006A1B48">
        <w:rPr>
          <w:rFonts w:eastAsia="Arial Unicode MS"/>
          <w:color w:val="222222"/>
          <w:sz w:val="22"/>
          <w:szCs w:val="22"/>
          <w:u w:color="222222"/>
          <w:shd w:val="clear" w:color="auto" w:fill="FFFFFF"/>
        </w:rPr>
        <w:t>MacFarlane A, Harrison R, Murray E, Berlin A, Wallace P. A qualitative study of the educational potential of joint teleconsultations at the primary-secondary care interface. Journal of telemedicine and telecare. 2006 Jul;12(1_suppl):22-4.</w:t>
      </w:r>
    </w:p>
    <w:p w14:paraId="01C39670" w14:textId="77777777" w:rsidR="00E6020B" w:rsidRPr="006A1B48" w:rsidRDefault="00E6020B">
      <w:pPr>
        <w:pStyle w:val="EndnoteText"/>
        <w:rPr>
          <w:sz w:val="22"/>
          <w:szCs w:val="22"/>
        </w:rPr>
      </w:pPr>
    </w:p>
  </w:endnote>
  <w:endnote w:id="18">
    <w:p w14:paraId="58144944" w14:textId="6E0895EA" w:rsidR="00E6020B" w:rsidRPr="006A1B48" w:rsidRDefault="00E6020B">
      <w:pPr>
        <w:pStyle w:val="EndnoteText"/>
        <w:rPr>
          <w:sz w:val="22"/>
          <w:szCs w:val="22"/>
          <w:lang w:val="en-GB"/>
        </w:rPr>
      </w:pPr>
      <w:r w:rsidRPr="006A1B48">
        <w:rPr>
          <w:rStyle w:val="EndnoteReference"/>
          <w:sz w:val="22"/>
          <w:szCs w:val="22"/>
        </w:rPr>
        <w:endnoteRef/>
      </w:r>
      <w:r w:rsidRPr="006A1B48">
        <w:rPr>
          <w:sz w:val="22"/>
          <w:szCs w:val="22"/>
        </w:rPr>
        <w:t xml:space="preserve"> </w:t>
      </w:r>
      <w:r w:rsidRPr="006A1B48">
        <w:rPr>
          <w:sz w:val="22"/>
          <w:szCs w:val="22"/>
          <w:lang w:val="en-GB"/>
        </w:rPr>
        <w:t xml:space="preserve">See </w:t>
      </w:r>
      <w:hyperlink r:id="rId3" w:history="1">
        <w:r w:rsidRPr="006A1B48">
          <w:rPr>
            <w:rStyle w:val="Hyperlink"/>
            <w:sz w:val="22"/>
            <w:szCs w:val="22"/>
            <w:lang w:val="en-GB"/>
          </w:rPr>
          <w:t>https://www.hee.nhs.uk/our-work/training-hubs</w:t>
        </w:r>
      </w:hyperlink>
      <w:r w:rsidRPr="006A1B48">
        <w:rPr>
          <w:sz w:val="22"/>
          <w:szCs w:val="22"/>
          <w:lang w:val="en-GB"/>
        </w:rPr>
        <w:t xml:space="preserve"> </w:t>
      </w:r>
      <w:r w:rsidR="000B1B9B" w:rsidRPr="006A1B48">
        <w:rPr>
          <w:sz w:val="22"/>
          <w:szCs w:val="22"/>
          <w:lang w:val="en-GB"/>
        </w:rPr>
        <w:t>[accessed 11.2.20]</w:t>
      </w:r>
    </w:p>
    <w:p w14:paraId="01F302FB" w14:textId="77777777" w:rsidR="00E6020B" w:rsidRPr="006A1B48" w:rsidRDefault="00E6020B">
      <w:pPr>
        <w:pStyle w:val="EndnoteText"/>
        <w:rPr>
          <w:sz w:val="22"/>
          <w:szCs w:val="22"/>
          <w:lang w:val="en-GB"/>
        </w:rPr>
      </w:pPr>
    </w:p>
  </w:endnote>
  <w:endnote w:id="19">
    <w:p w14:paraId="28911277" w14:textId="1CEA56A4" w:rsidR="005541C6" w:rsidRDefault="00FA51EF">
      <w:pPr>
        <w:pStyle w:val="EndnoteText"/>
      </w:pPr>
      <w:r w:rsidRPr="006A1B48">
        <w:rPr>
          <w:sz w:val="22"/>
          <w:szCs w:val="22"/>
          <w:vertAlign w:val="superscript"/>
        </w:rPr>
        <w:endnoteRef/>
      </w:r>
      <w:r w:rsidRPr="006A1B48">
        <w:rPr>
          <w:rFonts w:eastAsia="Arial Unicode MS"/>
          <w:sz w:val="22"/>
          <w:szCs w:val="22"/>
        </w:rPr>
        <w:t xml:space="preserve"> The NHS Long Term Plan. 2019. Available from: </w:t>
      </w:r>
      <w:hyperlink r:id="rId4" w:history="1">
        <w:r w:rsidRPr="006A1B48">
          <w:rPr>
            <w:rStyle w:val="Hyperlink1"/>
            <w:rFonts w:eastAsia="Arial Unicode MS"/>
            <w:sz w:val="22"/>
            <w:szCs w:val="22"/>
          </w:rPr>
          <w:t>https://www.longtermplan.nhs.uk/publication/nhs-long-term-plan/</w:t>
        </w:r>
      </w:hyperlink>
      <w:r w:rsidR="000B1B9B" w:rsidRPr="006A1B48">
        <w:rPr>
          <w:sz w:val="22"/>
          <w:szCs w:val="22"/>
        </w:rPr>
        <w:t xml:space="preserve">  [accessed 11.2.20]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77E1" w14:textId="77777777" w:rsidR="005541C6" w:rsidRDefault="005541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059C" w14:textId="77777777" w:rsidR="003645C8" w:rsidRDefault="003645C8">
      <w:r>
        <w:separator/>
      </w:r>
    </w:p>
  </w:footnote>
  <w:footnote w:type="continuationSeparator" w:id="0">
    <w:p w14:paraId="440C2CD4" w14:textId="77777777" w:rsidR="003645C8" w:rsidRDefault="0036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A784" w14:textId="77777777" w:rsidR="005541C6" w:rsidRDefault="005541C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6"/>
    <w:rsid w:val="000B1B9B"/>
    <w:rsid w:val="000B7EB9"/>
    <w:rsid w:val="00122BB9"/>
    <w:rsid w:val="00214311"/>
    <w:rsid w:val="002264F0"/>
    <w:rsid w:val="00247C41"/>
    <w:rsid w:val="003131A3"/>
    <w:rsid w:val="0036312A"/>
    <w:rsid w:val="003645C8"/>
    <w:rsid w:val="003C1D06"/>
    <w:rsid w:val="004057CE"/>
    <w:rsid w:val="004C13F0"/>
    <w:rsid w:val="005267BD"/>
    <w:rsid w:val="005541C6"/>
    <w:rsid w:val="00612FFF"/>
    <w:rsid w:val="006602DC"/>
    <w:rsid w:val="006A1B48"/>
    <w:rsid w:val="00727B20"/>
    <w:rsid w:val="00776626"/>
    <w:rsid w:val="008251D0"/>
    <w:rsid w:val="009834D2"/>
    <w:rsid w:val="00B162CE"/>
    <w:rsid w:val="00B722AA"/>
    <w:rsid w:val="00B83DBC"/>
    <w:rsid w:val="00B8793D"/>
    <w:rsid w:val="00D04EC2"/>
    <w:rsid w:val="00D4703D"/>
    <w:rsid w:val="00D8697D"/>
    <w:rsid w:val="00E31D0A"/>
    <w:rsid w:val="00E6020B"/>
    <w:rsid w:val="00EB5253"/>
    <w:rsid w:val="00ED740A"/>
    <w:rsid w:val="00FA51EF"/>
    <w:rsid w:val="00FC51BA"/>
    <w:rsid w:val="00FD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3524"/>
  <w15:docId w15:val="{699D035A-E5CE-4F9D-A7E6-C7825FA9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EndnoteText">
    <w:name w:val="endnote text"/>
    <w:rPr>
      <w:rFonts w:ascii="Calibri" w:eastAsia="Calibri" w:hAnsi="Calibri" w:cs="Calibri"/>
      <w:color w:val="000000"/>
      <w:u w:color="000000"/>
      <w:lang w:val="en-US"/>
    </w:rPr>
  </w:style>
  <w:style w:type="paragraph" w:customStyle="1" w:styleId="BodyAA">
    <w:name w:val="Body A A"/>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lang w:val="en-US"/>
    </w:rPr>
  </w:style>
  <w:style w:type="character" w:customStyle="1" w:styleId="None">
    <w:name w:val="None"/>
  </w:style>
  <w:style w:type="character" w:customStyle="1" w:styleId="Hyperlink1">
    <w:name w:val="Hyperlink.1"/>
    <w:basedOn w:val="None"/>
    <w:rPr>
      <w:outline w:val="0"/>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0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20B"/>
    <w:rPr>
      <w:rFonts w:ascii="Segoe UI" w:hAnsi="Segoe UI" w:cs="Segoe UI"/>
      <w:sz w:val="18"/>
      <w:szCs w:val="18"/>
      <w:lang w:val="en-US" w:eastAsia="en-US"/>
    </w:rPr>
  </w:style>
  <w:style w:type="character" w:styleId="EndnoteReference">
    <w:name w:val="endnote reference"/>
    <w:basedOn w:val="DefaultParagraphFont"/>
    <w:uiPriority w:val="99"/>
    <w:semiHidden/>
    <w:unhideWhenUsed/>
    <w:rsid w:val="00E6020B"/>
    <w:rPr>
      <w:vertAlign w:val="superscript"/>
    </w:rPr>
  </w:style>
  <w:style w:type="character" w:styleId="UnresolvedMention">
    <w:name w:val="Unresolved Mention"/>
    <w:basedOn w:val="DefaultParagraphFont"/>
    <w:uiPriority w:val="99"/>
    <w:semiHidden/>
    <w:unhideWhenUsed/>
    <w:rsid w:val="00E6020B"/>
    <w:rPr>
      <w:color w:val="605E5C"/>
      <w:shd w:val="clear" w:color="auto" w:fill="E1DFDD"/>
    </w:rPr>
  </w:style>
  <w:style w:type="paragraph" w:customStyle="1" w:styleId="pagecontents">
    <w:name w:val="pagecontents"/>
    <w:basedOn w:val="Normal"/>
    <w:rsid w:val="00122B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CommentSubject">
    <w:name w:val="annotation subject"/>
    <w:basedOn w:val="CommentText"/>
    <w:next w:val="CommentText"/>
    <w:link w:val="CommentSubjectChar"/>
    <w:uiPriority w:val="99"/>
    <w:semiHidden/>
    <w:unhideWhenUsed/>
    <w:rsid w:val="00B8793D"/>
    <w:rPr>
      <w:b/>
      <w:bCs/>
    </w:rPr>
  </w:style>
  <w:style w:type="character" w:customStyle="1" w:styleId="CommentSubjectChar">
    <w:name w:val="Comment Subject Char"/>
    <w:basedOn w:val="CommentTextChar"/>
    <w:link w:val="CommentSubject"/>
    <w:uiPriority w:val="99"/>
    <w:semiHidden/>
    <w:rsid w:val="00B8793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379149">
      <w:bodyDiv w:val="1"/>
      <w:marLeft w:val="0"/>
      <w:marRight w:val="0"/>
      <w:marTop w:val="0"/>
      <w:marBottom w:val="0"/>
      <w:divBdr>
        <w:top w:val="none" w:sz="0" w:space="0" w:color="auto"/>
        <w:left w:val="none" w:sz="0" w:space="0" w:color="auto"/>
        <w:bottom w:val="none" w:sz="0" w:space="0" w:color="auto"/>
        <w:right w:val="none" w:sz="0" w:space="0" w:color="auto"/>
      </w:divBdr>
      <w:divsChild>
        <w:div w:id="1268932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2" ma:contentTypeDescription="Create a new document." ma:contentTypeScope="" ma:versionID="ca783519023449f733ae02ca3701062e">
  <xsd:schema xmlns:xsd="http://www.w3.org/2001/XMLSchema" xmlns:xs="http://www.w3.org/2001/XMLSchema" xmlns:p="http://schemas.microsoft.com/office/2006/metadata/properties" xmlns:ns3="ad41f865-597d-47d9-a455-f52ba3048263" xmlns:ns4="c5505666-3407-422a-ba5f-098775535e0f" targetNamespace="http://schemas.microsoft.com/office/2006/metadata/properties" ma:root="true" ma:fieldsID="439bc0af38f05fee376cbdcfc893a4cd" ns3:_="" ns4:_="">
    <xsd:import namespace="ad41f865-597d-47d9-a455-f52ba3048263"/>
    <xsd:import namespace="c5505666-3407-422a-ba5f-098775535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8831-9C36-4A4C-B315-BE67EFDF3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f865-597d-47d9-a455-f52ba3048263"/>
    <ds:schemaRef ds:uri="c5505666-3407-422a-ba5f-098775535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552F7-97A3-41A1-AC74-B91AD69E0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54A2B-A610-4B11-87A0-709E3CE9518D}">
  <ds:schemaRefs>
    <ds:schemaRef ds:uri="http://schemas.microsoft.com/sharepoint/v3/contenttype/forms"/>
  </ds:schemaRefs>
</ds:datastoreItem>
</file>

<file path=customXml/itemProps4.xml><?xml version="1.0" encoding="utf-8"?>
<ds:datastoreItem xmlns:ds="http://schemas.openxmlformats.org/officeDocument/2006/customXml" ds:itemID="{B8A96E1F-A649-4809-BD72-E909665B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Rachel</dc:creator>
  <cp:lastModifiedBy>john spicer</cp:lastModifiedBy>
  <cp:revision>4</cp:revision>
  <dcterms:created xsi:type="dcterms:W3CDTF">2020-03-18T14:58:00Z</dcterms:created>
  <dcterms:modified xsi:type="dcterms:W3CDTF">2020-03-19T09:47:00Z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