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E50D" w14:textId="5648A5DF" w:rsidR="00CE69C6" w:rsidRPr="00AA185B" w:rsidRDefault="00275BA0" w:rsidP="00CE69C6">
      <w:pPr>
        <w:spacing w:line="360" w:lineRule="auto"/>
        <w:jc w:val="center"/>
        <w:rPr>
          <w:b/>
        </w:rPr>
      </w:pPr>
      <w:bookmarkStart w:id="0" w:name="_GoBack"/>
      <w:bookmarkEnd w:id="0"/>
      <w:r w:rsidRPr="00AA185B">
        <w:rPr>
          <w:b/>
        </w:rPr>
        <w:t xml:space="preserve">High rates of admission in LMIC neonatal units </w:t>
      </w:r>
      <w:r w:rsidR="00367BD7" w:rsidRPr="00AA185B">
        <w:rPr>
          <w:b/>
        </w:rPr>
        <w:t xml:space="preserve">suggests an enhanced </w:t>
      </w:r>
      <w:r w:rsidRPr="00AA185B">
        <w:rPr>
          <w:b/>
        </w:rPr>
        <w:t>focus on infection prevention and control measures is required</w:t>
      </w:r>
    </w:p>
    <w:p w14:paraId="74D4E369" w14:textId="1D38401B" w:rsidR="00CE69C6" w:rsidRPr="005A7DB7" w:rsidRDefault="004B4390" w:rsidP="004B4390">
      <w:pPr>
        <w:spacing w:line="360" w:lineRule="auto"/>
        <w:rPr>
          <w:rFonts w:cs="Times New Roman"/>
          <w:vertAlign w:val="superscript"/>
        </w:rPr>
      </w:pPr>
      <w:r>
        <w:t xml:space="preserve">Authors: </w:t>
      </w:r>
      <w:r w:rsidR="00CE69C6" w:rsidRPr="00AA185B">
        <w:t>Aislinn Cook, MSc</w:t>
      </w:r>
      <w:r w:rsidR="00055C8D">
        <w:rPr>
          <w:vertAlign w:val="superscript"/>
        </w:rPr>
        <w:t>1</w:t>
      </w:r>
      <w:r w:rsidR="00CE69C6" w:rsidRPr="00AA185B">
        <w:t>; Rebecca Lundin, ScD</w:t>
      </w:r>
      <w:r w:rsidR="00055C8D">
        <w:rPr>
          <w:vertAlign w:val="superscript"/>
        </w:rPr>
        <w:t>2</w:t>
      </w:r>
      <w:r w:rsidR="00CE69C6" w:rsidRPr="00AA185B">
        <w:t>; Julia Bielicki, MD</w:t>
      </w:r>
      <w:r w:rsidR="00055C8D">
        <w:rPr>
          <w:vertAlign w:val="superscript"/>
        </w:rPr>
        <w:t>1</w:t>
      </w:r>
      <w:r w:rsidR="00CE69C6" w:rsidRPr="00AA185B">
        <w:t>; Mike Sharland, MD</w:t>
      </w:r>
      <w:r w:rsidR="00055C8D">
        <w:rPr>
          <w:vertAlign w:val="superscript"/>
        </w:rPr>
        <w:t>1</w:t>
      </w:r>
      <w:r w:rsidR="00CE69C6" w:rsidRPr="00AA185B">
        <w:t xml:space="preserve">; Yingfen </w:t>
      </w:r>
      <w:r w:rsidR="00CE69C6" w:rsidRPr="00AA185B">
        <w:rPr>
          <w:rFonts w:cs="Times New Roman"/>
        </w:rPr>
        <w:t>Hsia, PhD</w:t>
      </w:r>
      <w:r w:rsidR="00055C8D">
        <w:rPr>
          <w:rFonts w:cs="Times New Roman"/>
          <w:vertAlign w:val="superscript"/>
        </w:rPr>
        <w:t>1</w:t>
      </w:r>
    </w:p>
    <w:p w14:paraId="26251C1F" w14:textId="77777777" w:rsidR="00CE69C6" w:rsidRPr="00AA185B" w:rsidRDefault="00CE69C6" w:rsidP="00CE69C6">
      <w:pPr>
        <w:spacing w:after="0" w:line="240" w:lineRule="auto"/>
        <w:jc w:val="both"/>
        <w:rPr>
          <w:rFonts w:cs="Times New Roman"/>
          <w:bCs/>
        </w:rPr>
      </w:pPr>
      <w:r w:rsidRPr="00AA185B">
        <w:rPr>
          <w:rFonts w:cs="Times New Roman"/>
          <w:bCs/>
        </w:rPr>
        <w:t>Affiliations</w:t>
      </w:r>
    </w:p>
    <w:p w14:paraId="78B4972B" w14:textId="77777777" w:rsidR="00CE69C6" w:rsidRPr="00AA185B" w:rsidRDefault="00CE69C6" w:rsidP="00CE69C6">
      <w:pPr>
        <w:spacing w:after="0" w:line="240" w:lineRule="auto"/>
        <w:jc w:val="both"/>
        <w:rPr>
          <w:rFonts w:cs="Times New Roman"/>
          <w:b/>
          <w:bCs/>
        </w:rPr>
      </w:pPr>
    </w:p>
    <w:p w14:paraId="43183885" w14:textId="5EDE1792" w:rsidR="00CE69C6" w:rsidRPr="00AA185B" w:rsidRDefault="00CE69C6" w:rsidP="00CE69C6">
      <w:pPr>
        <w:pStyle w:val="ListParagraph"/>
        <w:numPr>
          <w:ilvl w:val="0"/>
          <w:numId w:val="1"/>
        </w:numPr>
        <w:spacing w:after="0" w:line="360" w:lineRule="auto"/>
        <w:jc w:val="both"/>
        <w:rPr>
          <w:rFonts w:cs="Times New Roman"/>
          <w:bCs/>
        </w:rPr>
      </w:pPr>
      <w:r w:rsidRPr="00AA185B">
        <w:rPr>
          <w:rFonts w:cs="Times New Roman"/>
          <w:bCs/>
        </w:rPr>
        <w:t xml:space="preserve">Paediatric Infectious Disease Research Group, St George’s University of London, </w:t>
      </w:r>
      <w:r w:rsidR="0089786A">
        <w:rPr>
          <w:rFonts w:cs="Times New Roman"/>
          <w:bCs/>
        </w:rPr>
        <w:t xml:space="preserve">London, </w:t>
      </w:r>
      <w:r w:rsidRPr="00AA185B">
        <w:rPr>
          <w:rFonts w:cs="Times New Roman"/>
          <w:bCs/>
        </w:rPr>
        <w:t>United Kingdom</w:t>
      </w:r>
    </w:p>
    <w:p w14:paraId="133D0F60" w14:textId="093B1C2D" w:rsidR="00CE69C6" w:rsidRPr="00AA185B" w:rsidRDefault="00CE69C6" w:rsidP="00CE69C6">
      <w:pPr>
        <w:pStyle w:val="ListParagraph"/>
        <w:numPr>
          <w:ilvl w:val="0"/>
          <w:numId w:val="1"/>
        </w:numPr>
        <w:spacing w:after="0" w:line="360" w:lineRule="auto"/>
        <w:jc w:val="both"/>
        <w:rPr>
          <w:rFonts w:cs="Times New Roman"/>
          <w:bCs/>
        </w:rPr>
      </w:pPr>
      <w:r w:rsidRPr="00AA185B">
        <w:rPr>
          <w:rFonts w:cs="Times New Roman"/>
          <w:bCs/>
        </w:rPr>
        <w:t xml:space="preserve">PENTA Foundation, </w:t>
      </w:r>
      <w:r w:rsidR="0089786A">
        <w:rPr>
          <w:rFonts w:cs="Times New Roman"/>
          <w:bCs/>
        </w:rPr>
        <w:t xml:space="preserve">Padua, </w:t>
      </w:r>
      <w:r w:rsidRPr="00AA185B">
        <w:rPr>
          <w:rFonts w:cs="Times New Roman"/>
          <w:bCs/>
        </w:rPr>
        <w:t xml:space="preserve">Italy </w:t>
      </w:r>
    </w:p>
    <w:p w14:paraId="28838D2D" w14:textId="77777777" w:rsidR="00CE69C6" w:rsidRPr="00AA185B" w:rsidRDefault="00CE69C6" w:rsidP="00CE69C6">
      <w:pPr>
        <w:spacing w:line="360" w:lineRule="auto"/>
      </w:pPr>
    </w:p>
    <w:p w14:paraId="244AC504" w14:textId="77777777" w:rsidR="0089786A" w:rsidRDefault="00CE69C6" w:rsidP="00D74766">
      <w:pPr>
        <w:spacing w:after="0" w:line="240" w:lineRule="auto"/>
      </w:pPr>
      <w:r w:rsidRPr="00AA185B">
        <w:t xml:space="preserve">Corresponding author: </w:t>
      </w:r>
    </w:p>
    <w:p w14:paraId="707CE233" w14:textId="77777777" w:rsidR="00A47C2C" w:rsidRDefault="00A47C2C" w:rsidP="00D74766">
      <w:pPr>
        <w:spacing w:after="0" w:line="240" w:lineRule="auto"/>
      </w:pPr>
    </w:p>
    <w:p w14:paraId="01FEB6A4" w14:textId="7719A6CF" w:rsidR="00A47C2C" w:rsidRDefault="00CE69C6" w:rsidP="00D74766">
      <w:pPr>
        <w:spacing w:after="0" w:line="240" w:lineRule="auto"/>
      </w:pPr>
      <w:r w:rsidRPr="00AA185B">
        <w:t>Aislinn Cook</w:t>
      </w:r>
      <w:r w:rsidR="0089786A">
        <w:t xml:space="preserve"> </w:t>
      </w:r>
      <w:r w:rsidR="00B30862">
        <w:t>(ORCHID ID: 0000-0002-9189-7815)</w:t>
      </w:r>
    </w:p>
    <w:p w14:paraId="121757A4" w14:textId="6DC26CFD" w:rsidR="0089786A" w:rsidRDefault="00A47C2C" w:rsidP="00D74766">
      <w:pPr>
        <w:spacing w:after="0" w:line="240" w:lineRule="auto"/>
      </w:pPr>
      <w:r>
        <w:t xml:space="preserve">Email: </w:t>
      </w:r>
      <w:r w:rsidRPr="00A47C2C">
        <w:t>aicook@sgul.ac.uk</w:t>
      </w:r>
    </w:p>
    <w:p w14:paraId="098759C9" w14:textId="77777777" w:rsidR="00A47C2C" w:rsidRPr="00D74766" w:rsidRDefault="00A47C2C" w:rsidP="00A47C2C">
      <w:pPr>
        <w:spacing w:after="0"/>
        <w:rPr>
          <w:lang w:val="en-US"/>
        </w:rPr>
      </w:pPr>
      <w:r>
        <w:rPr>
          <w:lang w:val="en-US"/>
        </w:rPr>
        <w:t>Phone: 02087255382</w:t>
      </w:r>
    </w:p>
    <w:p w14:paraId="528229F7" w14:textId="26B3E3B4" w:rsidR="0089786A" w:rsidRDefault="00A47C2C" w:rsidP="00A47C2C">
      <w:pPr>
        <w:spacing w:after="0" w:line="240" w:lineRule="auto"/>
        <w:rPr>
          <w:lang w:val="en-US"/>
        </w:rPr>
      </w:pPr>
      <w:r>
        <w:t xml:space="preserve">Address: </w:t>
      </w:r>
      <w:proofErr w:type="spellStart"/>
      <w:r w:rsidR="0089786A">
        <w:rPr>
          <w:lang w:val="en-US"/>
        </w:rPr>
        <w:t>Paediatric</w:t>
      </w:r>
      <w:proofErr w:type="spellEnd"/>
      <w:r w:rsidR="0089786A">
        <w:rPr>
          <w:lang w:val="en-US"/>
        </w:rPr>
        <w:t xml:space="preserve"> Infectious Diseases Research Group</w:t>
      </w:r>
    </w:p>
    <w:p w14:paraId="6690BC6C" w14:textId="77777777" w:rsidR="0089786A" w:rsidRDefault="0089786A" w:rsidP="00D74766">
      <w:pPr>
        <w:spacing w:after="0"/>
        <w:rPr>
          <w:lang w:val="en-US"/>
        </w:rPr>
      </w:pPr>
      <w:r>
        <w:rPr>
          <w:lang w:val="en-US"/>
        </w:rPr>
        <w:t>St. Georges University of London</w:t>
      </w:r>
    </w:p>
    <w:p w14:paraId="59997750" w14:textId="77777777" w:rsidR="0089786A" w:rsidRDefault="0089786A" w:rsidP="00D74766">
      <w:pPr>
        <w:spacing w:after="0"/>
        <w:rPr>
          <w:lang w:val="en-US"/>
        </w:rPr>
      </w:pPr>
      <w:r>
        <w:rPr>
          <w:lang w:val="en-US"/>
        </w:rPr>
        <w:t>Jenner Wing, Level 2, Room 2.216F, Mail Point J2C</w:t>
      </w:r>
    </w:p>
    <w:p w14:paraId="5ABD444B" w14:textId="526BC9F9" w:rsidR="00AB7043" w:rsidRDefault="0089786A" w:rsidP="00D74766">
      <w:pPr>
        <w:spacing w:after="0"/>
        <w:rPr>
          <w:lang w:val="en-US"/>
        </w:rPr>
      </w:pPr>
      <w:r>
        <w:rPr>
          <w:lang w:val="en-US"/>
        </w:rPr>
        <w:t>London SW17 0RE</w:t>
      </w:r>
    </w:p>
    <w:p w14:paraId="75AFEEF5" w14:textId="77777777" w:rsidR="00CE69C6" w:rsidRPr="00AA185B" w:rsidRDefault="00CE69C6" w:rsidP="00CE69C6">
      <w:pPr>
        <w:spacing w:line="360" w:lineRule="auto"/>
      </w:pPr>
    </w:p>
    <w:p w14:paraId="198E6980" w14:textId="77777777" w:rsidR="00CE69C6" w:rsidRPr="00AA185B" w:rsidRDefault="00CE69C6"/>
    <w:p w14:paraId="077223AD" w14:textId="27896752" w:rsidR="00CE69C6" w:rsidRPr="00551AFB" w:rsidRDefault="00551AFB">
      <w:pPr>
        <w:rPr>
          <w:b/>
        </w:rPr>
      </w:pPr>
      <w:r>
        <w:rPr>
          <w:b/>
        </w:rPr>
        <w:t xml:space="preserve">Word Count: </w:t>
      </w:r>
      <w:r w:rsidR="00D5296A">
        <w:rPr>
          <w:b/>
        </w:rPr>
        <w:t>505</w:t>
      </w:r>
      <w:r w:rsidR="008E3CFB">
        <w:rPr>
          <w:b/>
        </w:rPr>
        <w:t xml:space="preserve"> </w:t>
      </w:r>
      <w:r>
        <w:rPr>
          <w:b/>
        </w:rPr>
        <w:t>words</w:t>
      </w:r>
    </w:p>
    <w:p w14:paraId="40CF64F6" w14:textId="77777777" w:rsidR="00CE69C6" w:rsidRPr="00AA185B" w:rsidRDefault="00CE69C6"/>
    <w:p w14:paraId="6F610549" w14:textId="77777777" w:rsidR="00CE69C6" w:rsidRPr="00AA185B" w:rsidRDefault="00CE69C6"/>
    <w:p w14:paraId="7814AC24" w14:textId="77777777" w:rsidR="00CE69C6" w:rsidRPr="00AA185B" w:rsidRDefault="00CE69C6"/>
    <w:p w14:paraId="4C1CCD33" w14:textId="77777777" w:rsidR="00CE69C6" w:rsidRPr="00AA185B" w:rsidRDefault="00CE69C6"/>
    <w:p w14:paraId="07F8FB91" w14:textId="77777777" w:rsidR="00CE69C6" w:rsidRPr="00AA185B" w:rsidRDefault="00CE69C6"/>
    <w:p w14:paraId="75D79B93" w14:textId="77777777" w:rsidR="00CE69C6" w:rsidRPr="00AA185B" w:rsidRDefault="00CE69C6"/>
    <w:p w14:paraId="6B78558E" w14:textId="77777777" w:rsidR="00CE69C6" w:rsidRPr="00AA185B" w:rsidRDefault="00CE69C6"/>
    <w:p w14:paraId="02770BDF" w14:textId="77777777" w:rsidR="00CE69C6" w:rsidRPr="00AA185B" w:rsidRDefault="00CE69C6"/>
    <w:p w14:paraId="2C0F110D" w14:textId="77777777" w:rsidR="00CE69C6" w:rsidRPr="00AA185B" w:rsidRDefault="00CE69C6"/>
    <w:p w14:paraId="0B3F46B5" w14:textId="77777777" w:rsidR="00CE69C6" w:rsidRDefault="00CE69C6"/>
    <w:p w14:paraId="2687E333" w14:textId="77777777" w:rsidR="004E1596" w:rsidRDefault="004E1596"/>
    <w:p w14:paraId="4623D67F" w14:textId="77777777" w:rsidR="004E1596" w:rsidRDefault="004E1596"/>
    <w:p w14:paraId="67E89E1A" w14:textId="77777777" w:rsidR="004E1596" w:rsidRPr="00AA185B" w:rsidRDefault="004E1596"/>
    <w:p w14:paraId="15883505" w14:textId="1FE38A91" w:rsidR="00273225" w:rsidRPr="00AA185B" w:rsidRDefault="00585FBC" w:rsidP="00992903">
      <w:pPr>
        <w:spacing w:line="360" w:lineRule="auto"/>
      </w:pPr>
      <w:r w:rsidRPr="00AA185B">
        <w:lastRenderedPageBreak/>
        <w:t>The recent publication of key findings from a</w:t>
      </w:r>
      <w:r w:rsidR="00EF00DA" w:rsidRPr="00AA185B">
        <w:t xml:space="preserve"> WHO/UNICEF</w:t>
      </w:r>
      <w:r w:rsidRPr="00AA185B">
        <w:t xml:space="preserve"> report on care for sick and small </w:t>
      </w:r>
      <w:proofErr w:type="spellStart"/>
      <w:r w:rsidRPr="00AA185B">
        <w:t>newborns</w:t>
      </w:r>
      <w:proofErr w:type="spellEnd"/>
      <w:r w:rsidRPr="00AA185B">
        <w:t xml:space="preserve">, </w:t>
      </w:r>
      <w:r w:rsidRPr="00AA185B">
        <w:rPr>
          <w:i/>
        </w:rPr>
        <w:t xml:space="preserve">Survive and Thrive: Transforming care for every small and sick </w:t>
      </w:r>
      <w:proofErr w:type="spellStart"/>
      <w:r w:rsidRPr="00AA185B">
        <w:rPr>
          <w:i/>
        </w:rPr>
        <w:t>newborn</w:t>
      </w:r>
      <w:proofErr w:type="spellEnd"/>
      <w:r w:rsidR="00551AFB">
        <w:rPr>
          <w:i/>
        </w:rPr>
        <w:t>,</w:t>
      </w:r>
      <w:r w:rsidR="00FB0CF2" w:rsidRPr="00AA185B">
        <w:fldChar w:fldCharType="begin" w:fldLock="1"/>
      </w:r>
      <w:r w:rsidR="006B143B">
        <w:instrText>ADDIN CSL_CITATION { "citationItems" : [ { "id" : "ITEM-1", "itemData" : { "author" : [ { "dropping-particle" : "", "family" : "World Health Organisation", "given" : "", "non-dropping-particle" : "", "parse-names" : false, "suffix" : "" }, { "dropping-particle" : "", "family" : "UNICEF", "given" : "", "non-dropping-particle" : "", "parse-names" : false, "suffix" : "" } ], "id" : "ITEM-1", "issued" : { "date-parts" : [ [ "0" ] ] }, "title" : "SURVIVE and THRIVE Transforming care for every small and sick newborn", "type" : "report" }, "uris" : [ "http://www.mendeley.com/documents/?uuid=7b5a5835-2478-3414-9f66-9b0a5c90f0d7" ] } ], "mendeley" : { "formattedCitation" : "[1]", "manualFormatting" : "[1]", "plainTextFormattedCitation" : "[1]", "previouslyFormattedCitation" : "[1]" }, "properties" : { "noteIndex" : 1 }, "schema" : "https://github.com/citation-style-language/schema/raw/master/csl-citation.json" }</w:instrText>
      </w:r>
      <w:r w:rsidR="00FB0CF2" w:rsidRPr="00AA185B">
        <w:fldChar w:fldCharType="separate"/>
      </w:r>
      <w:r w:rsidR="001B39B2">
        <w:rPr>
          <w:noProof/>
        </w:rPr>
        <w:t>[</w:t>
      </w:r>
      <w:r w:rsidR="001B39B2" w:rsidRPr="001B39B2">
        <w:rPr>
          <w:noProof/>
        </w:rPr>
        <w:t>1</w:t>
      </w:r>
      <w:r w:rsidR="001B39B2">
        <w:rPr>
          <w:noProof/>
        </w:rPr>
        <w:t>]</w:t>
      </w:r>
      <w:r w:rsidR="00FB0CF2" w:rsidRPr="00AA185B">
        <w:fldChar w:fldCharType="end"/>
      </w:r>
      <w:r w:rsidR="00562198" w:rsidRPr="00AA185B">
        <w:t xml:space="preserve"> </w:t>
      </w:r>
      <w:r w:rsidR="009F3786" w:rsidRPr="00AA185B">
        <w:t xml:space="preserve"> recommends</w:t>
      </w:r>
      <w:r w:rsidR="00EF00DA" w:rsidRPr="00AA185B">
        <w:t xml:space="preserve"> the expansion of NICU services globally for small/sick babies</w:t>
      </w:r>
      <w:r w:rsidR="009F3786" w:rsidRPr="00AA185B">
        <w:t xml:space="preserve">, but does not </w:t>
      </w:r>
      <w:r w:rsidR="007E5F41" w:rsidRPr="00AA185B">
        <w:t xml:space="preserve">include </w:t>
      </w:r>
      <w:r w:rsidR="009F3786" w:rsidRPr="00AA185B">
        <w:t>the need to enhance</w:t>
      </w:r>
      <w:r w:rsidR="00D037D2" w:rsidRPr="00AA185B">
        <w:t xml:space="preserve"> infection </w:t>
      </w:r>
      <w:r w:rsidR="00E3517D" w:rsidRPr="00AA185B">
        <w:t xml:space="preserve">prevention and </w:t>
      </w:r>
      <w:r w:rsidR="00D037D2" w:rsidRPr="00AA185B">
        <w:t>control</w:t>
      </w:r>
      <w:r w:rsidR="00E3517D" w:rsidRPr="00AA185B">
        <w:t xml:space="preserve"> (IPC)</w:t>
      </w:r>
      <w:r w:rsidR="00D037D2" w:rsidRPr="00AA185B">
        <w:t xml:space="preserve"> </w:t>
      </w:r>
      <w:r w:rsidR="00275BA0" w:rsidRPr="00AA185B">
        <w:t xml:space="preserve">in parallel </w:t>
      </w:r>
      <w:r w:rsidR="009F3786" w:rsidRPr="00AA185B">
        <w:t xml:space="preserve">with </w:t>
      </w:r>
      <w:r w:rsidR="00B31A44" w:rsidRPr="00AA185B">
        <w:t>expansion of NICU services</w:t>
      </w:r>
      <w:r w:rsidR="00D037D2" w:rsidRPr="00AA185B">
        <w:t xml:space="preserve">. </w:t>
      </w:r>
      <w:r w:rsidR="0048430F" w:rsidRPr="00AA185B">
        <w:t>There is evidence that</w:t>
      </w:r>
      <w:r w:rsidR="0077089E">
        <w:t xml:space="preserve"> incidence of</w:t>
      </w:r>
      <w:r w:rsidR="0048430F" w:rsidRPr="00AA185B">
        <w:t xml:space="preserve"> </w:t>
      </w:r>
      <w:r w:rsidR="00766D10" w:rsidRPr="00AA185B">
        <w:t>healthcare-associated infections (HAI)</w:t>
      </w:r>
      <w:r w:rsidR="0048430F" w:rsidRPr="00AA185B">
        <w:t xml:space="preserve"> in NICUs in </w:t>
      </w:r>
      <w:r w:rsidR="00CE69C6" w:rsidRPr="00AA185B">
        <w:t>lower middle income countries (LMIC)</w:t>
      </w:r>
      <w:r w:rsidR="0048430F" w:rsidRPr="00AA185B">
        <w:t xml:space="preserve"> </w:t>
      </w:r>
      <w:r w:rsidR="0077089E">
        <w:t>is</w:t>
      </w:r>
      <w:r w:rsidR="00FB0CF2" w:rsidRPr="00AA185B">
        <w:t xml:space="preserve"> higher than in </w:t>
      </w:r>
      <w:r w:rsidR="00CE69C6" w:rsidRPr="00AA185B">
        <w:t>high income countries</w:t>
      </w:r>
      <w:r w:rsidR="00FB0CF2" w:rsidRPr="00AA185B">
        <w:t xml:space="preserve"> </w:t>
      </w:r>
      <w:r w:rsidR="00930F9B" w:rsidRPr="00AA185B">
        <w:t xml:space="preserve">(HIC) </w:t>
      </w:r>
      <w:r w:rsidR="00DB35FF" w:rsidRPr="00AA185B">
        <w:t xml:space="preserve">and </w:t>
      </w:r>
      <w:r w:rsidR="009F3786" w:rsidRPr="00AA185B">
        <w:t xml:space="preserve">a high proportion </w:t>
      </w:r>
      <w:r w:rsidR="00DB35FF" w:rsidRPr="00AA185B">
        <w:t>of these neonatal infections are resistant to WHO recomm</w:t>
      </w:r>
      <w:r w:rsidR="00FB0CF2" w:rsidRPr="00AA185B">
        <w:t>ended ampicillin and gentamicin</w:t>
      </w:r>
      <w:r w:rsidR="00551AFB">
        <w:t>.</w:t>
      </w:r>
      <w:r w:rsidR="00930F9B" w:rsidRPr="00AA185B">
        <w:fldChar w:fldCharType="begin" w:fldLock="1"/>
      </w:r>
      <w:r w:rsidR="006B143B">
        <w:instrText>ADDIN CSL_CITATION { "citationItems" : [ { "id" : "ITEM-1", "itemData" : { "DOI" : "10.1016/S1473-3099(13)70318-9", "ISSN" : "1474-4457", "PMID" : "24252483", "abstract" : "The causes of antibiotic resistance are complex and include human behaviour at many levels of society; the consequences affect everybody in the world. Similarities with climate change are evident. Many efforts have been made to describe the many different facets of antibiotic resistance and the interventions needed to meet the challenge. However, coordinated action is largely absent, especially at the political level, both nationally and internationally. Antibiotics paved the way for unprecedented medical and societal developments, and are today indispensible in all health systems. Achievements in modern medicine, such as major surgery, organ transplantation, treatment of preterm babies, and cancer chemotherapy, which we today take for granted, would not be possible without access to effective treatment for bacterial infections. Within just a few years, we might be faced with dire setbacks, medically, socially, and economically, unless real and unprecedented global coordinated actions are immediately taken. Here, we describe the global situation of antibiotic resistance, its major causes and consequences, and identify key areas in which action is urgently needed.", "author" : [ { "dropping-particle" : "", "family" : "Laxminarayan", "given" : "Ramanan", "non-dropping-particle" : "", "parse-names" : false, "suffix" : "" }, { "dropping-particle" : "", "family" : "Duse", "given" : "Adriano", "non-dropping-particle" : "", "parse-names" : false, "suffix" : "" }, { "dropping-particle" : "", "family" : "Wattal", "given" : "Chand", "non-dropping-particle" : "", "parse-names" : false, "suffix" : "" }, { "dropping-particle" : "", "family" : "Zaidi", "given" : "Anita K M", "non-dropping-particle" : "", "parse-names" : false, "suffix" : "" }, { "dropping-particle" : "", "family" : "Wertheim", "given" : "Heiman F L", "non-dropping-particle" : "", "parse-names" : false, "suffix" : "" }, { "dropping-particle" : "", "family" : "Sumpradit", "given" : "Nithima", "non-dropping-particle" : "", "parse-names" : false, "suffix" : "" }, { "dropping-particle" : "", "family" : "Vlieghe", "given" : "Erika", "non-dropping-particle" : "", "parse-names" : false, "suffix" : "" }, { "dropping-particle" : "", "family" : "Hara", "given" : "Gabriel Levy", "non-dropping-particle" : "", "parse-names" : false, "suffix" : "" }, { "dropping-particle" : "", "family" : "Gould", "given" : "Ian M", "non-dropping-particle" : "", "parse-names" : false, "suffix" : "" }, { "dropping-particle" : "", "family" : "Goossens", "given" : "Herman", "non-dropping-particle" : "", "parse-names" : false, "suffix" : "" }, { "dropping-particle" : "", "family" : "Greko", "given" : "Christina", "non-dropping-particle" : "", "parse-names" : false, "suffix" : "" }, { "dropping-particle" : "", "family" : "So", "given" : "Anthony D", "non-dropping-particle" : "", "parse-names" : false, "suffix" : "" }, { "dropping-particle" : "", "family" : "Bigdeli", "given" : "Maryam", "non-dropping-particle" : "", "parse-names" : false, "suffix" : "" }, { "dropping-particle" : "", "family" : "Tomson", "given" : "G\u00f6ran", "non-dropping-particle" : "", "parse-names" : false, "suffix" : "" }, { "dropping-particle" : "", "family" : "Woodhouse", "given" : "Will", "non-dropping-particle" : "", "parse-names" : false, "suffix" : "" }, { "dropping-particle" : "", "family" : "Ombaka", "given" : "Eva", "non-dropping-particle" : "", "parse-names" : false, "suffix" : "" }, { "dropping-particle" : "", "family" : "Peralta", "given" : "Arturo Quizhpe", "non-dropping-particle" : "", "parse-names" : false, "suffix" : "" }, { "dropping-particle" : "", "family" : "Qamar", "given" : "Farah Naz", "non-dropping-particle" : "", "parse-names" : false, "suffix" : "" }, { "dropping-particle" : "", "family" : "Mir", "given" : "Fatima", "non-dropping-particle" : "", "parse-names" : false, "suffix" : "" }, { "dropping-particle" : "", "family" : "Kariuki", "given" : "Sam", "non-dropping-particle" : "", "parse-names" : false, "suffix" : "" }, { "dropping-particle" : "", "family" : "Bhutta", "given" : "Zulfiqar A", "non-dropping-particle" : "", "parse-names" : false, "suffix" : "" }, { "dropping-particle" : "", "family" : "Coates", "given" : "Anthony", "non-dropping-particle" : "", "parse-names" : false, "suffix" : "" }, { "dropping-particle" : "", "family" : "Bergstrom", "given" : "Richard", "non-dropping-particle" : "", "parse-names" : false, "suffix" : "" }, { "dropping-particle" : "", "family" : "Wright", "given" : "Gerard D", "non-dropping-particle" : "", "parse-names" : false, "suffix" : "" }, { "dropping-particle" : "", "family" : "Brown", "given" : "Eric D", "non-dropping-particle" : "", "parse-names" : false, "suffix" : "" }, { "dropping-particle" : "", "family" : "Cars", "given" : "Otto", "non-dropping-particle" : "", "parse-names" : false, "suffix" : "" } ], "container-title" : "The Lancet. Infectious diseases", "id" : "ITEM-1", "issue" : "12", "issued" : { "date-parts" : [ [ "2013", "12", "1" ] ] }, "page" : "1057-98", "publisher" : "Elsevier", "title" : "Antibiotic resistance-the need for global solutions.", "type" : "article-journal", "volume" : "13" }, "uris" : [ "http://www.mendeley.com/documents/?uuid=0834d5cb-8565-3a9e-bedc-bcb3d902f7b1" ] } ], "mendeley" : { "formattedCitation" : "[2]", "manualFormatting" : "[2,", "plainTextFormattedCitation" : "[2]", "previouslyFormattedCitation" : "[2]" }, "properties" : { "noteIndex" : 1 }, "schema" : "https://github.com/citation-style-language/schema/raw/master/csl-citation.json" }</w:instrText>
      </w:r>
      <w:r w:rsidR="00930F9B" w:rsidRPr="00AA185B">
        <w:fldChar w:fldCharType="separate"/>
      </w:r>
      <w:r w:rsidR="001B39B2">
        <w:rPr>
          <w:noProof/>
        </w:rPr>
        <w:t>[</w:t>
      </w:r>
      <w:r w:rsidR="001B39B2" w:rsidRPr="001B39B2">
        <w:rPr>
          <w:noProof/>
        </w:rPr>
        <w:t>2</w:t>
      </w:r>
      <w:r w:rsidR="001B39B2">
        <w:rPr>
          <w:noProof/>
        </w:rPr>
        <w:t>,</w:t>
      </w:r>
      <w:r w:rsidR="00930F9B" w:rsidRPr="00AA185B">
        <w:fldChar w:fldCharType="end"/>
      </w:r>
      <w:r w:rsidR="00930F9B" w:rsidRPr="00AA185B">
        <w:fldChar w:fldCharType="begin" w:fldLock="1"/>
      </w:r>
      <w:r w:rsidR="006B143B">
        <w:instrText>ADDIN CSL_CITATION { "citationItems" : [ { "id" : "ITEM-1", "itemData" : { "DOI" : "10.1016/S0140-6736(05)71881-X", "ISSN" : "0140-6736", "abstract" : "Hospital-born babies in developing countries are at increased risk of neonatal infections because of poor intrapartum and postnatal infection-control practices. We reviewed data from developing countries on rates of neonatal infections among hospital-born babies, range of pathogens, antimicrobial resistance, and infection-control interventions. Reported rates of neonatal infections were 3\u201320 times higher than those reported for hospital-born babies in industrialised countries. Klebsiella pneumoniae, other gram-negative rods (Escherichia coli, Pseudomonas spp, Acinetobacter spp), and Staphylococcus aureus were the major pathogens among 11 471 bloodstream isolates reported. These infections can often present soon after birth. About 70% would not be covered by an empiric regimen of ampicillin and gentamicin, and many might be untreatable in resource-constrained environments. The associated morbidity, mortality, costs, and adverse effect on future health-seeking behaviour by communities pose barriers to improvement of neonatal outcomes in developing countries. Low-cost, \u201cbundled\u201d interventions using systems quality improvement approaches for improved infection control are possible, but should be supported by evidence in developing country settings.", "author" : [ { "dropping-particle" : "", "family" : "Zaidi", "given" : "Anita KM", "non-dropping-particle" : "", "parse-names" : false, "suffix" : "" }, { "dropping-particle" : "", "family" : "Huskins", "given" : "W Charles", "non-dropping-particle" : "", "parse-names" : false, "suffix" : "" }, { "dropping-particle" : "", "family" : "Thaver", "given" : "Durrane", "non-dropping-particle" : "", "parse-names" : false, "suffix" : "" }, { "dropping-particle" : "", "family" : "Bhutta", "given" : "Zulfiqar A", "non-dropping-particle" : "", "parse-names" : false, "suffix" : "" }, { "dropping-particle" : "", "family" : "Abbas", "given" : "Zohair", "non-dropping-particle" : "", "parse-names" : false, "suffix" : "" }, { "dropping-particle" : "", "family" : "Goldmann", "given" : "Donald A", "non-dropping-particle" : "", "parse-names" : false, "suffix" : "" } ], "container-title" : "The Lancet", "id" : "ITEM-1", "issue" : "9465", "issued" : { "date-parts" : [ [ "2005", "3", "26" ] ] }, "page" : "1175-1188", "publisher" : "Elsevier", "title" : "Hospital-acquired neonatal infections in developing countries", "type" : "article-journal", "volume" : "365" }, "uris" : [ "http://www.mendeley.com/documents/?uuid=d42dcf8c-83ee-352b-b388-dc928a523cb1" ] } ], "mendeley" : { "formattedCitation" : "[3]", "manualFormatting" : "3]", "plainTextFormattedCitation" : "[3]", "previouslyFormattedCitation" : "[3]" }, "properties" : { "noteIndex" : 1 }, "schema" : "https://github.com/citation-style-language/schema/raw/master/csl-citation.json" }</w:instrText>
      </w:r>
      <w:r w:rsidR="00930F9B" w:rsidRPr="00AA185B">
        <w:fldChar w:fldCharType="separate"/>
      </w:r>
      <w:r w:rsidR="001B39B2" w:rsidRPr="001B39B2">
        <w:rPr>
          <w:noProof/>
        </w:rPr>
        <w:t>3</w:t>
      </w:r>
      <w:r w:rsidR="001B39B2">
        <w:rPr>
          <w:noProof/>
        </w:rPr>
        <w:t>]</w:t>
      </w:r>
      <w:r w:rsidR="00930F9B" w:rsidRPr="00AA185B">
        <w:fldChar w:fldCharType="end"/>
      </w:r>
      <w:r w:rsidR="00C1263F" w:rsidRPr="00AA185B">
        <w:t xml:space="preserve"> </w:t>
      </w:r>
      <w:r w:rsidR="006A3560">
        <w:t xml:space="preserve">Culture-positive neonatal infections in LMIC settings are predominantly caused by gram negative pathogens and </w:t>
      </w:r>
      <w:r w:rsidR="006A3560" w:rsidRPr="006B1C78">
        <w:rPr>
          <w:i/>
        </w:rPr>
        <w:t>S. aureus</w:t>
      </w:r>
      <w:r w:rsidR="006A3560">
        <w:t xml:space="preserve"> </w:t>
      </w:r>
      <w:r w:rsidR="003622DA">
        <w:t>whereas</w:t>
      </w:r>
      <w:r w:rsidR="006A3560">
        <w:t xml:space="preserve"> Group B streptococci and </w:t>
      </w:r>
      <w:r w:rsidR="003622DA">
        <w:t>c</w:t>
      </w:r>
      <w:r w:rsidR="006A3560">
        <w:t xml:space="preserve">oagulase-negative </w:t>
      </w:r>
      <w:r w:rsidR="003622DA">
        <w:t>s</w:t>
      </w:r>
      <w:r w:rsidR="006A3560">
        <w:t xml:space="preserve">taphylococci </w:t>
      </w:r>
      <w:r w:rsidR="003622DA">
        <w:t xml:space="preserve">are predominant </w:t>
      </w:r>
      <w:r w:rsidR="006A3560">
        <w:t xml:space="preserve">in HIC settings. [3] </w:t>
      </w:r>
      <w:r w:rsidR="00886DEE" w:rsidRPr="005829CE">
        <w:t xml:space="preserve">A study in Tanzania found higher mortality among neonates with resistant infections such as ESBL gram-negative </w:t>
      </w:r>
      <w:r w:rsidR="00886DEE">
        <w:t>infections</w:t>
      </w:r>
      <w:r w:rsidR="00886DEE" w:rsidRPr="005829CE">
        <w:t xml:space="preserve"> (52% died) or MRSA (55% died) compared to </w:t>
      </w:r>
      <w:r w:rsidR="00886DEE">
        <w:t>those</w:t>
      </w:r>
      <w:r w:rsidR="00886DEE" w:rsidRPr="005829CE">
        <w:t xml:space="preserve"> with non-ESBL gram-negative </w:t>
      </w:r>
      <w:r w:rsidR="006830ED">
        <w:t>infections</w:t>
      </w:r>
      <w:r w:rsidR="00886DEE" w:rsidRPr="005829CE">
        <w:t xml:space="preserve"> (25% died) or methicillin susceptible </w:t>
      </w:r>
      <w:r w:rsidR="00886DEE" w:rsidRPr="005829CE">
        <w:rPr>
          <w:i/>
        </w:rPr>
        <w:t>S. aureus</w:t>
      </w:r>
      <w:r w:rsidR="00886DEE" w:rsidRPr="005829CE">
        <w:t xml:space="preserve"> infections</w:t>
      </w:r>
      <w:r w:rsidR="00886DEE" w:rsidRPr="005829CE">
        <w:rPr>
          <w:rFonts w:cs="Times New Roman"/>
          <w:lang w:val="en-US"/>
        </w:rPr>
        <w:t xml:space="preserve"> (21% died)</w:t>
      </w:r>
      <w:r w:rsidR="00886DEE">
        <w:rPr>
          <w:rFonts w:cs="Times New Roman"/>
          <w:lang w:val="en-US"/>
        </w:rPr>
        <w:t xml:space="preserve"> respectively</w:t>
      </w:r>
      <w:r w:rsidR="006B143B">
        <w:rPr>
          <w:rFonts w:cs="Times New Roman"/>
          <w:lang w:val="en-US"/>
        </w:rPr>
        <w:t>.</w:t>
      </w:r>
      <w:r w:rsidR="006B143B">
        <w:rPr>
          <w:rFonts w:cs="Times New Roman"/>
          <w:lang w:val="en-US"/>
        </w:rPr>
        <w:fldChar w:fldCharType="begin" w:fldLock="1"/>
      </w:r>
      <w:r w:rsidR="006B143B">
        <w:rPr>
          <w:rFonts w:cs="Times New Roman"/>
          <w:lang w:val="en-US"/>
        </w:rPr>
        <w:instrText>ADDIN CSL_CITATION { "citationItems" : [ { "id" : "ITEM-1", "itemData" : { "DOI" : "10.1186/1471-2431-10-39", "abstract" : "Background: Neonatal sepsis is a significant cause of morbidity and mortality in neonates. Appropriate clinical diagnosis and empirical treatment in a given setting is crucial as pathogens of bacterial sepsis and antibiotic sensitivity pattern can considerably vary in different settings. This study was conducted at Bugando Medical Centre (BMC), Tanzania to determine the prevalence of neonatal sepsis, predictors of positive blood culture, deaths and antimicrobial susceptibility, thus providing essential information to formulate a policy for management of neonatal sepsis. Methods: This was a prospective cross sectional study involving 300 neonates admitted at BMC neonatal unit between March and November 2009. Standard data collection form was used to collect all demographic data and clinical characteristics of neonates. Blood culture was done on Brain Heart Infusion broth followed by identification of isolates using conventional methods and testing for their susceptibility to antimicrobial agents using the disc diffusion method. Results: Among 770 neonates admitted during the study period; 300 (38.9%) neonates were diagnosed to have neonatal sepsis by WHO criteria. Of 300 neonates with clinical neonatal sepsis 121(40%) and 179(60%) had early and late onset sepsis respectively. Positive blood culture was found in 57 (47.1%) and 92 (51.4%) among neonates with early and late onset neonatal sepsis respectively (p = 0.466). Predictors of positive blood culture in both early and late onset neonatal sepsis were inability to feed, lethargy, cyanosis, meconium stained liquor, premature rupture of the membrane and convulsion. About 49% of gram negatives isolates were resistant to third generation cephalosporins and 28% of Staphylococcus aureus were found to be Methicillin resistant Staphylococcus aureus (MRSA). Deaths occurred in 57 (19%) of neonates. Factors that predicted deaths were positive blood culture (p = 0.0001), gram negative sepsis (p = 0.0001) and infection with ESBL (p = 0.008) or MRSA (p = 0.008) isolates. Conclusion: Our findings suggest that lethargy, convulsion, inability to feed, cyanosis, PROM and meconium stained liquor are significantly associated with positive blood culture in both early and late onset disease. Mortality and morbidity on neonatal sepsis is high at our setting and is significantly contributed by positive blood culture with multi-resistant gram negative bacteria.", "author" : [ { "dropping-particle" : "", "family" : "Kayange", "given" : "Neema", "non-dropping-particle" : "", "parse-names" : false, "suffix" : "" }, { "dropping-particle" : "", "family" : "Kamugisha", "given" : "Erasmus", "non-dropping-particle" : "", "parse-names" : false, "suffix" : "" }, { "dropping-particle" : "", "family" : "Mwizamholya", "given" : "Damas L", "non-dropping-particle" : "", "parse-names" : false, "suffix" : "" }, { "dropping-particle" : "", "family" : "Jeremiah", "given" : "Seni", "non-dropping-particle" : "", "parse-names" : false, "suffix" : "" }, { "dropping-particle" : "", "family" : "Mshana", "given" : "Stephen E", "non-dropping-particle" : "", "parse-names" : false, "suffix" : "" } ], "id" : "ITEM-1", "issued" : { "date-parts" : [ [ "2010" ] ] }, "title" : "Predictors of positive blood culture and deaths among neonates with suspected neonatal sepsis in a tertiary hospital, Mwanza- Tanzania", "type" : "report" }, "uris" : [ "http://www.mendeley.com/documents/?uuid=eaf9f2fa-05d1-3d57-9476-dae5279019fe" ] } ], "mendeley" : { "formattedCitation" : "[4]", "plainTextFormattedCitation" : "[4]", "previouslyFormattedCitation" : "[4]" }, "properties" : { "noteIndex" : 1 }, "schema" : "https://github.com/citation-style-language/schema/raw/master/csl-citation.json" }</w:instrText>
      </w:r>
      <w:r w:rsidR="006B143B">
        <w:rPr>
          <w:rFonts w:cs="Times New Roman"/>
          <w:lang w:val="en-US"/>
        </w:rPr>
        <w:fldChar w:fldCharType="separate"/>
      </w:r>
      <w:r w:rsidR="006B143B" w:rsidRPr="006B143B">
        <w:rPr>
          <w:rFonts w:cs="Times New Roman"/>
          <w:noProof/>
          <w:lang w:val="en-US"/>
        </w:rPr>
        <w:t>[4]</w:t>
      </w:r>
      <w:r w:rsidR="006B143B">
        <w:rPr>
          <w:rFonts w:cs="Times New Roman"/>
          <w:lang w:val="en-US"/>
        </w:rPr>
        <w:fldChar w:fldCharType="end"/>
      </w:r>
      <w:r w:rsidR="00992903" w:rsidRPr="00AA185B">
        <w:t xml:space="preserve"> </w:t>
      </w:r>
      <w:r w:rsidR="005A1FD0" w:rsidRPr="00AA185B">
        <w:t>There is limited information available on current structures of care in NICU services in the LMIC setting that are likely to influence transmission of MDR pathogens</w:t>
      </w:r>
      <w:r w:rsidR="00055C8D">
        <w:t xml:space="preserve"> although it is suspected that </w:t>
      </w:r>
      <w:r w:rsidR="003622DA">
        <w:t>inappropriate</w:t>
      </w:r>
      <w:r w:rsidR="00055C8D">
        <w:t xml:space="preserve"> use of antimicrobials during pregnancy</w:t>
      </w:r>
      <w:r w:rsidR="00EE6EE7">
        <w:t xml:space="preserve">, inappropriate </w:t>
      </w:r>
      <w:r w:rsidR="001435A4">
        <w:t>empiric</w:t>
      </w:r>
      <w:r w:rsidR="00EE6EE7">
        <w:t xml:space="preserve"> treatment</w:t>
      </w:r>
      <w:r w:rsidR="001435A4">
        <w:t xml:space="preserve"> for neonatal infections</w:t>
      </w:r>
      <w:r w:rsidR="00055C8D">
        <w:t>, overcrowding of NIC</w:t>
      </w:r>
      <w:r w:rsidR="00EE6EE7">
        <w:t xml:space="preserve">U, and </w:t>
      </w:r>
      <w:r w:rsidR="00E54B3F">
        <w:t>poor</w:t>
      </w:r>
      <w:r w:rsidR="00EE6EE7">
        <w:t xml:space="preserve"> infection prevention and control programmes </w:t>
      </w:r>
      <w:r w:rsidR="00E54B3F">
        <w:t>contribute to the rise and spread of resistant pathogens. [2]</w:t>
      </w:r>
      <w:r w:rsidR="005A1FD0" w:rsidRPr="00AA185B">
        <w:t xml:space="preserve"> </w:t>
      </w:r>
    </w:p>
    <w:p w14:paraId="2566BB30" w14:textId="15A44FF7" w:rsidR="00CE5957" w:rsidRPr="00AA185B" w:rsidRDefault="00CE5957" w:rsidP="00992903">
      <w:pPr>
        <w:spacing w:line="360" w:lineRule="auto"/>
      </w:pPr>
      <w:r w:rsidRPr="00AA185B">
        <w:t>In 201</w:t>
      </w:r>
      <w:r w:rsidR="00766D10" w:rsidRPr="00AA185B">
        <w:t>6</w:t>
      </w:r>
      <w:r w:rsidRPr="00AA185B">
        <w:t xml:space="preserve">, the Global Antimicrobial Resistance, Prescribing and Efficacy in Children and Neonates (GARPEC) project was </w:t>
      </w:r>
      <w:r w:rsidR="005A1FD0" w:rsidRPr="00AA185B">
        <w:t xml:space="preserve">launched </w:t>
      </w:r>
      <w:r w:rsidRPr="00AA185B">
        <w:t>to evaluate antibiotic prescribing in hospitalised neonates and children</w:t>
      </w:r>
      <w:r w:rsidR="00551AFB">
        <w:t>.</w:t>
      </w:r>
      <w:r w:rsidR="006B143B">
        <w:fldChar w:fldCharType="begin" w:fldLock="1"/>
      </w:r>
      <w:r w:rsidR="006B143B">
        <w:instrText>ADDIN CSL_CITATION { "citationItems" : [ { "id" : "ITEM-1", "itemData" : { "author" : [ { "dropping-particle" : "", "family" : "Hsia", "given" : "Y", "non-dropping-particle" : "", "parse-names" : false, "suffix" : "" }, { "dropping-particle" : "", "family" : "Lee", "given" : "RB", "non-dropping-particle" : "", "parse-names" : false, "suffix" : "" }, { "dropping-particle" : "", "family" : "Versporten", "given" : "Ann", "non-dropping-particle" : "", "parse-names" : false, "suffix" : "" }, { "dropping-particle" : "", "family" : "Yang", "given" : "Y", "non-dropping-particle" : "", "parse-names" : false, "suffix" : "" }, { "dropping-particle" : "", "family" : "Bielicki", "given" : "J", "non-dropping-particle" : "", "parse-names" : false, "suffix" : "" }, { "dropping-particle" : "", "family" : "Jackson", "given" : "C", "non-dropping-particle" : "", "parse-names" : false, "suffix" : "" }, { "dropping-particle" : "", "family" : "Newland", "given" : "J", "non-dropping-particle" : "", "parse-names" : false, "suffix" : "" }, { "dropping-particle" : "", "family" : "Goossens", "given" : "H", "non-dropping-particle" : "", "parse-names" : false, "suffix" : "" }, { "dropping-particle" : "", "family" : "Magrini", "given" : "N", "non-dropping-particle" : "", "parse-names" : false, "suffix" : "" }, { "dropping-particle" : "", "family" : "Sharland", "given" : "M", "non-dropping-particle" : "", "parse-names" : false, "suffix" : "" }, { "dropping-particle" : "", "family" : "Networks", "given" : "on behalf of the GARPEC adn Global-PPS", "non-dropping-particle" : "", "parse-names" : false, "suffix" : "" } ], "container-title" : "Lancet Global Health", "id" : "ITEM-1", "issued" : { "date-parts" : [ [ "2018" ] ] }, "title" : "Using the WHO Access/Watch/Reserve classification to define patterns of hospital antibiotic use: analyses of pediatric point prevalence survey data from 56 countries - the first AWaRe PPS", "type" : "article-journal" }, "uris" : [ "http://www.mendeley.com/documents/?uuid=bc24b53c-c8dc-4803-ac37-e8fbb8f9b4cc" ] } ], "mendeley" : { "formattedCitation" : "[5]", "plainTextFormattedCitation" : "[5]", "previouslyFormattedCitation" : "[5]" }, "properties" : { "noteIndex" : 2 }, "schema" : "https://github.com/citation-style-language/schema/raw/master/csl-citation.json" }</w:instrText>
      </w:r>
      <w:r w:rsidR="006B143B">
        <w:fldChar w:fldCharType="separate"/>
      </w:r>
      <w:r w:rsidR="006B143B" w:rsidRPr="006B143B">
        <w:rPr>
          <w:noProof/>
        </w:rPr>
        <w:t>[5]</w:t>
      </w:r>
      <w:r w:rsidR="006B143B">
        <w:fldChar w:fldCharType="end"/>
      </w:r>
      <w:r w:rsidRPr="00AA185B">
        <w:t xml:space="preserve"> The GARPEC project recruited a global convenience sample of 65 </w:t>
      </w:r>
      <w:r w:rsidR="00071C86" w:rsidRPr="00AA185B">
        <w:t>hospitals</w:t>
      </w:r>
      <w:r w:rsidRPr="00AA185B">
        <w:t xml:space="preserve"> treating paediatric</w:t>
      </w:r>
      <w:r w:rsidR="005633F4">
        <w:t xml:space="preserve"> patients</w:t>
      </w:r>
      <w:r w:rsidRPr="00AA185B">
        <w:t xml:space="preserve"> and neonat</w:t>
      </w:r>
      <w:r w:rsidR="005A1FD0" w:rsidRPr="00AA185B">
        <w:t xml:space="preserve">es with significant </w:t>
      </w:r>
      <w:r w:rsidR="00D1094F" w:rsidRPr="00AA185B">
        <w:t xml:space="preserve">infection </w:t>
      </w:r>
      <w:r w:rsidR="005A1FD0" w:rsidRPr="00AA185B">
        <w:t>from both HIC and LMIC settings</w:t>
      </w:r>
      <w:r w:rsidRPr="00AA185B">
        <w:t xml:space="preserve">. All hospitals participating in GARPEC were invited to voluntarily complete a standardised survey on hospital characteristics including hospital type, bed count, admissions, </w:t>
      </w:r>
      <w:r w:rsidR="00F06CD4" w:rsidRPr="00AA185B">
        <w:t>and presence</w:t>
      </w:r>
      <w:r w:rsidRPr="00AA185B">
        <w:t xml:space="preserve"> of NICU/PICU </w:t>
      </w:r>
      <w:r w:rsidR="00F06CD4">
        <w:t>to which 44 sites responded</w:t>
      </w:r>
      <w:r w:rsidRPr="00AA185B">
        <w:t xml:space="preserve">. </w:t>
      </w:r>
      <w:r w:rsidR="005633F4">
        <w:t>H</w:t>
      </w:r>
      <w:r w:rsidR="005E6772" w:rsidRPr="00AA185B">
        <w:t>ospitals were grouped</w:t>
      </w:r>
      <w:r w:rsidR="005633F4">
        <w:t xml:space="preserve"> by country</w:t>
      </w:r>
      <w:r w:rsidR="005E6772" w:rsidRPr="00AA185B">
        <w:t xml:space="preserve"> into income categories using World Bank definitions for fiscal year 2018 (Figure 1). Low income and lower-middle income were combined into one cat</w:t>
      </w:r>
      <w:r w:rsidR="00930F9B" w:rsidRPr="00AA185B">
        <w:t>egory (</w:t>
      </w:r>
      <w:r w:rsidR="005E6772" w:rsidRPr="00AA185B">
        <w:t xml:space="preserve">LLMIC) due to a small number of hospitals </w:t>
      </w:r>
      <w:r w:rsidR="005633F4">
        <w:t xml:space="preserve">from countries </w:t>
      </w:r>
      <w:r w:rsidR="005E6772" w:rsidRPr="00AA185B">
        <w:t xml:space="preserve">in these groups. </w:t>
      </w:r>
    </w:p>
    <w:p w14:paraId="22D688B4" w14:textId="730682A4" w:rsidR="00A53826" w:rsidRDefault="00837A36" w:rsidP="00992903">
      <w:pPr>
        <w:spacing w:line="360" w:lineRule="auto"/>
      </w:pPr>
      <w:r w:rsidRPr="00AA185B">
        <w:t>The median number of NICU beds in HIC hospitals was 20 (IQR: 16-39) comp</w:t>
      </w:r>
      <w:r w:rsidR="00930F9B" w:rsidRPr="00AA185B">
        <w:t>ared to 12.5 (IQR 10-18) in upper-middle income</w:t>
      </w:r>
      <w:r w:rsidR="00BE0C70" w:rsidRPr="00AA185B">
        <w:t xml:space="preserve"> country</w:t>
      </w:r>
      <w:r w:rsidRPr="00AA185B">
        <w:t xml:space="preserve"> </w:t>
      </w:r>
      <w:r w:rsidR="00930F9B" w:rsidRPr="00AA185B">
        <w:t>(UMIC)</w:t>
      </w:r>
      <w:r w:rsidR="00BE0C70" w:rsidRPr="00AA185B">
        <w:t xml:space="preserve"> hospitals</w:t>
      </w:r>
      <w:r w:rsidR="00930F9B" w:rsidRPr="00AA185B">
        <w:t xml:space="preserve"> </w:t>
      </w:r>
      <w:r w:rsidRPr="00AA185B">
        <w:t xml:space="preserve">and 20 (IQR: 14-25) in LLMIC </w:t>
      </w:r>
      <w:r w:rsidR="00BE0C70" w:rsidRPr="00AA185B">
        <w:t>hospitals</w:t>
      </w:r>
      <w:r w:rsidRPr="00AA185B">
        <w:t xml:space="preserve">. The median number of NICU admissions per year was 605 (IQR: 296-1136) for HIC hospitals, 275 (IQR: 170-342) for UMIC hospitals and 800 (IQR 720-1200) for LLMIC hospitals. All hospital characteristics are summarised in Table 1. </w:t>
      </w:r>
    </w:p>
    <w:p w14:paraId="62062EB9" w14:textId="77777777" w:rsidR="004E1596" w:rsidRDefault="004E1596" w:rsidP="00992903">
      <w:pPr>
        <w:spacing w:line="360" w:lineRule="auto"/>
      </w:pPr>
    </w:p>
    <w:p w14:paraId="13C64244" w14:textId="77777777" w:rsidR="004E1596" w:rsidRPr="00AA185B" w:rsidRDefault="004E1596" w:rsidP="004E1596">
      <w:pPr>
        <w:pStyle w:val="Caption"/>
        <w:keepNext/>
        <w:rPr>
          <w:sz w:val="22"/>
          <w:szCs w:val="22"/>
        </w:rPr>
      </w:pPr>
      <w:r w:rsidRPr="00AA185B">
        <w:rPr>
          <w:sz w:val="22"/>
          <w:szCs w:val="22"/>
        </w:rPr>
        <w:lastRenderedPageBreak/>
        <w:t xml:space="preserve">Table </w:t>
      </w:r>
      <w:r w:rsidRPr="00AA185B">
        <w:rPr>
          <w:noProof/>
          <w:sz w:val="22"/>
          <w:szCs w:val="22"/>
        </w:rPr>
        <w:fldChar w:fldCharType="begin"/>
      </w:r>
      <w:r w:rsidRPr="00AA185B">
        <w:rPr>
          <w:noProof/>
          <w:sz w:val="22"/>
          <w:szCs w:val="22"/>
        </w:rPr>
        <w:instrText xml:space="preserve"> SEQ Table \* ARABIC </w:instrText>
      </w:r>
      <w:r w:rsidRPr="00AA185B">
        <w:rPr>
          <w:noProof/>
          <w:sz w:val="22"/>
          <w:szCs w:val="22"/>
        </w:rPr>
        <w:fldChar w:fldCharType="separate"/>
      </w:r>
      <w:r w:rsidRPr="00AA185B">
        <w:rPr>
          <w:noProof/>
          <w:sz w:val="22"/>
          <w:szCs w:val="22"/>
        </w:rPr>
        <w:t>1</w:t>
      </w:r>
      <w:r w:rsidRPr="00AA185B">
        <w:rPr>
          <w:noProof/>
          <w:sz w:val="22"/>
          <w:szCs w:val="22"/>
        </w:rPr>
        <w:fldChar w:fldCharType="end"/>
      </w:r>
      <w:r w:rsidRPr="00AA185B">
        <w:rPr>
          <w:sz w:val="22"/>
          <w:szCs w:val="22"/>
        </w:rPr>
        <w:t>. Summary of reported hospital services from 44 hospitals between February 2016 and February 2017</w:t>
      </w:r>
    </w:p>
    <w:tbl>
      <w:tblPr>
        <w:tblStyle w:val="PlainTable2"/>
        <w:tblW w:w="9060" w:type="dxa"/>
        <w:tblLook w:val="04A0" w:firstRow="1" w:lastRow="0" w:firstColumn="1" w:lastColumn="0" w:noHBand="0" w:noVBand="1"/>
      </w:tblPr>
      <w:tblGrid>
        <w:gridCol w:w="2798"/>
        <w:gridCol w:w="2262"/>
        <w:gridCol w:w="1848"/>
        <w:gridCol w:w="2152"/>
      </w:tblGrid>
      <w:tr w:rsidR="004E1596" w:rsidRPr="00AA185B" w14:paraId="1DB8E2B3" w14:textId="77777777" w:rsidTr="00B75F6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37E8F1D0" w14:textId="77777777" w:rsidR="004E1596" w:rsidRPr="00AA185B" w:rsidRDefault="004E1596" w:rsidP="00B75F69">
            <w:pPr>
              <w:jc w:val="center"/>
            </w:pPr>
          </w:p>
        </w:tc>
        <w:tc>
          <w:tcPr>
            <w:tcW w:w="2262" w:type="dxa"/>
            <w:vAlign w:val="center"/>
          </w:tcPr>
          <w:p w14:paraId="7E917A7F"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High Income Country Hospitals</w:t>
            </w:r>
          </w:p>
          <w:p w14:paraId="2E155459"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(n=25)</w:t>
            </w:r>
          </w:p>
        </w:tc>
        <w:tc>
          <w:tcPr>
            <w:tcW w:w="1848" w:type="dxa"/>
            <w:vAlign w:val="center"/>
          </w:tcPr>
          <w:p w14:paraId="035197B4"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 xml:space="preserve">Upper </w:t>
            </w:r>
            <w:proofErr w:type="gramStart"/>
            <w:r w:rsidRPr="00AA185B">
              <w:t>Middle Income</w:t>
            </w:r>
            <w:proofErr w:type="gramEnd"/>
            <w:r w:rsidRPr="00AA185B">
              <w:t xml:space="preserve"> Country Hospitals</w:t>
            </w:r>
          </w:p>
          <w:p w14:paraId="6C357ECC"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(n=10)</w:t>
            </w:r>
          </w:p>
        </w:tc>
        <w:tc>
          <w:tcPr>
            <w:tcW w:w="2152" w:type="dxa"/>
            <w:vAlign w:val="center"/>
          </w:tcPr>
          <w:p w14:paraId="5B4E50F8"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 xml:space="preserve">Low/Lower </w:t>
            </w:r>
            <w:proofErr w:type="gramStart"/>
            <w:r w:rsidRPr="00AA185B">
              <w:t>Middle Income</w:t>
            </w:r>
            <w:proofErr w:type="gramEnd"/>
            <w:r w:rsidRPr="00AA185B">
              <w:t xml:space="preserve"> Country Hospitals</w:t>
            </w:r>
          </w:p>
          <w:p w14:paraId="66852A69" w14:textId="77777777" w:rsidR="004E1596" w:rsidRPr="00AA185B" w:rsidRDefault="004E1596" w:rsidP="00B75F69">
            <w:pPr>
              <w:jc w:val="center"/>
              <w:cnfStyle w:val="100000000000" w:firstRow="1" w:lastRow="0" w:firstColumn="0" w:lastColumn="0" w:oddVBand="0" w:evenVBand="0" w:oddHBand="0" w:evenHBand="0" w:firstRowFirstColumn="0" w:firstRowLastColumn="0" w:lastRowFirstColumn="0" w:lastRowLastColumn="0"/>
            </w:pPr>
            <w:r w:rsidRPr="00AA185B">
              <w:t>(n=9)</w:t>
            </w:r>
          </w:p>
        </w:tc>
      </w:tr>
      <w:tr w:rsidR="00B75F69" w:rsidRPr="00AA185B" w14:paraId="49F6C9CB" w14:textId="77777777" w:rsidTr="00B75F6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798" w:type="dxa"/>
            <w:tcBorders>
              <w:bottom w:val="nil"/>
            </w:tcBorders>
            <w:vAlign w:val="center"/>
          </w:tcPr>
          <w:p w14:paraId="339318E1" w14:textId="246A1556" w:rsidR="00B75F69" w:rsidRPr="00AA185B" w:rsidRDefault="00B75F69" w:rsidP="00B75F69">
            <w:pPr>
              <w:jc w:val="center"/>
            </w:pPr>
            <w:r>
              <w:t>Hospital Type</w:t>
            </w:r>
          </w:p>
        </w:tc>
        <w:tc>
          <w:tcPr>
            <w:tcW w:w="2262" w:type="dxa"/>
            <w:tcBorders>
              <w:bottom w:val="nil"/>
            </w:tcBorders>
            <w:vAlign w:val="center"/>
          </w:tcPr>
          <w:p w14:paraId="2D2E314D" w14:textId="77777777" w:rsidR="00B75F69" w:rsidRPr="00AA185B" w:rsidRDefault="00B75F69" w:rsidP="00B75F69">
            <w:pPr>
              <w:jc w:val="center"/>
              <w:cnfStyle w:val="000000100000" w:firstRow="0" w:lastRow="0" w:firstColumn="0" w:lastColumn="0" w:oddVBand="0" w:evenVBand="0" w:oddHBand="1" w:evenHBand="0" w:firstRowFirstColumn="0" w:firstRowLastColumn="0" w:lastRowFirstColumn="0" w:lastRowLastColumn="0"/>
            </w:pPr>
          </w:p>
        </w:tc>
        <w:tc>
          <w:tcPr>
            <w:tcW w:w="1848" w:type="dxa"/>
            <w:tcBorders>
              <w:bottom w:val="nil"/>
            </w:tcBorders>
            <w:vAlign w:val="center"/>
          </w:tcPr>
          <w:p w14:paraId="60262E56" w14:textId="77777777" w:rsidR="00B75F69" w:rsidRPr="00AA185B" w:rsidRDefault="00B75F69" w:rsidP="00B75F69">
            <w:pPr>
              <w:jc w:val="center"/>
              <w:cnfStyle w:val="000000100000" w:firstRow="0" w:lastRow="0" w:firstColumn="0" w:lastColumn="0" w:oddVBand="0" w:evenVBand="0" w:oddHBand="1" w:evenHBand="0" w:firstRowFirstColumn="0" w:firstRowLastColumn="0" w:lastRowFirstColumn="0" w:lastRowLastColumn="0"/>
            </w:pPr>
          </w:p>
        </w:tc>
        <w:tc>
          <w:tcPr>
            <w:tcW w:w="2152" w:type="dxa"/>
            <w:tcBorders>
              <w:bottom w:val="nil"/>
            </w:tcBorders>
            <w:vAlign w:val="center"/>
          </w:tcPr>
          <w:p w14:paraId="33CC9181" w14:textId="77777777" w:rsidR="00B75F69" w:rsidRPr="00AA185B" w:rsidRDefault="00B75F69" w:rsidP="00B75F69">
            <w:pPr>
              <w:jc w:val="center"/>
              <w:cnfStyle w:val="000000100000" w:firstRow="0" w:lastRow="0" w:firstColumn="0" w:lastColumn="0" w:oddVBand="0" w:evenVBand="0" w:oddHBand="1" w:evenHBand="0" w:firstRowFirstColumn="0" w:firstRowLastColumn="0" w:lastRowFirstColumn="0" w:lastRowLastColumn="0"/>
            </w:pPr>
          </w:p>
        </w:tc>
      </w:tr>
      <w:tr w:rsidR="004E1596" w:rsidRPr="00AA185B" w14:paraId="6B10D11F" w14:textId="77777777" w:rsidTr="00B75F69">
        <w:trPr>
          <w:trHeight w:val="724"/>
        </w:trPr>
        <w:tc>
          <w:tcPr>
            <w:cnfStyle w:val="001000000000" w:firstRow="0" w:lastRow="0" w:firstColumn="1" w:lastColumn="0" w:oddVBand="0" w:evenVBand="0" w:oddHBand="0" w:evenHBand="0" w:firstRowFirstColumn="0" w:firstRowLastColumn="0" w:lastRowFirstColumn="0" w:lastRowLastColumn="0"/>
            <w:tcW w:w="2798" w:type="dxa"/>
            <w:tcBorders>
              <w:bottom w:val="nil"/>
            </w:tcBorders>
            <w:vAlign w:val="center"/>
          </w:tcPr>
          <w:p w14:paraId="2F80F4E9" w14:textId="4A35D214" w:rsidR="004E1596" w:rsidRPr="00B75F69" w:rsidRDefault="004E1596" w:rsidP="00B75F69">
            <w:pPr>
              <w:jc w:val="center"/>
              <w:rPr>
                <w:b w:val="0"/>
              </w:rPr>
            </w:pPr>
            <w:r w:rsidRPr="00AA185B">
              <w:rPr>
                <w:b w:val="0"/>
              </w:rPr>
              <w:t>Stand-alone children’s hospital</w:t>
            </w:r>
          </w:p>
        </w:tc>
        <w:tc>
          <w:tcPr>
            <w:tcW w:w="2262" w:type="dxa"/>
            <w:tcBorders>
              <w:bottom w:val="nil"/>
            </w:tcBorders>
            <w:vAlign w:val="center"/>
          </w:tcPr>
          <w:p w14:paraId="17502A2E" w14:textId="30E020D5"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10 (40.0%)</w:t>
            </w:r>
          </w:p>
        </w:tc>
        <w:tc>
          <w:tcPr>
            <w:tcW w:w="1848" w:type="dxa"/>
            <w:tcBorders>
              <w:bottom w:val="nil"/>
            </w:tcBorders>
            <w:vAlign w:val="center"/>
          </w:tcPr>
          <w:p w14:paraId="3A5D93FC" w14:textId="215852DD"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2 (20.0%)</w:t>
            </w:r>
          </w:p>
        </w:tc>
        <w:tc>
          <w:tcPr>
            <w:tcW w:w="2152" w:type="dxa"/>
            <w:tcBorders>
              <w:bottom w:val="nil"/>
            </w:tcBorders>
            <w:vAlign w:val="center"/>
          </w:tcPr>
          <w:p w14:paraId="0DEA2818" w14:textId="546FA6B3"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2 (22.2%)</w:t>
            </w:r>
          </w:p>
        </w:tc>
      </w:tr>
      <w:tr w:rsidR="004E1596" w:rsidRPr="00AA185B" w14:paraId="5AB652D3" w14:textId="77777777" w:rsidTr="00B75F6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98" w:type="dxa"/>
            <w:tcBorders>
              <w:top w:val="nil"/>
              <w:bottom w:val="nil"/>
            </w:tcBorders>
            <w:vAlign w:val="center"/>
          </w:tcPr>
          <w:p w14:paraId="242F6EB8" w14:textId="337E6DB7" w:rsidR="004E1596" w:rsidRPr="004E1596" w:rsidRDefault="004E1596" w:rsidP="00B75F69">
            <w:pPr>
              <w:jc w:val="center"/>
              <w:rPr>
                <w:b w:val="0"/>
              </w:rPr>
            </w:pPr>
            <w:r w:rsidRPr="00AA185B">
              <w:rPr>
                <w:b w:val="0"/>
              </w:rPr>
              <w:t>Specialist children’s hospital</w:t>
            </w:r>
          </w:p>
        </w:tc>
        <w:tc>
          <w:tcPr>
            <w:tcW w:w="2262" w:type="dxa"/>
            <w:tcBorders>
              <w:top w:val="nil"/>
              <w:bottom w:val="nil"/>
            </w:tcBorders>
            <w:vAlign w:val="center"/>
          </w:tcPr>
          <w:p w14:paraId="4AB74C21" w14:textId="0565DAAE" w:rsidR="004E1596" w:rsidRPr="00B75F69"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0 (0%)</w:t>
            </w:r>
          </w:p>
        </w:tc>
        <w:tc>
          <w:tcPr>
            <w:tcW w:w="1848" w:type="dxa"/>
            <w:tcBorders>
              <w:top w:val="nil"/>
              <w:bottom w:val="nil"/>
            </w:tcBorders>
            <w:vAlign w:val="center"/>
          </w:tcPr>
          <w:p w14:paraId="74F06C2C" w14:textId="2F82FB3C" w:rsidR="004E1596" w:rsidRPr="00B75F69"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1 (5.3%)</w:t>
            </w:r>
          </w:p>
        </w:tc>
        <w:tc>
          <w:tcPr>
            <w:tcW w:w="2152" w:type="dxa"/>
            <w:tcBorders>
              <w:top w:val="nil"/>
              <w:bottom w:val="nil"/>
            </w:tcBorders>
            <w:vAlign w:val="center"/>
          </w:tcPr>
          <w:p w14:paraId="0CE2251C" w14:textId="4EED0536"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0 (0%)</w:t>
            </w:r>
          </w:p>
        </w:tc>
      </w:tr>
      <w:tr w:rsidR="004E1596" w:rsidRPr="00AA185B" w14:paraId="18CA0ACA" w14:textId="77777777" w:rsidTr="00B75F69">
        <w:trPr>
          <w:trHeight w:val="966"/>
        </w:trPr>
        <w:tc>
          <w:tcPr>
            <w:cnfStyle w:val="001000000000" w:firstRow="0" w:lastRow="0" w:firstColumn="1" w:lastColumn="0" w:oddVBand="0" w:evenVBand="0" w:oddHBand="0" w:evenHBand="0" w:firstRowFirstColumn="0" w:firstRowLastColumn="0" w:lastRowFirstColumn="0" w:lastRowLastColumn="0"/>
            <w:tcW w:w="2798" w:type="dxa"/>
            <w:tcBorders>
              <w:top w:val="nil"/>
              <w:bottom w:val="nil"/>
            </w:tcBorders>
            <w:vAlign w:val="center"/>
          </w:tcPr>
          <w:p w14:paraId="4CE6F590" w14:textId="5D781280" w:rsidR="004E1596" w:rsidRPr="00B75F69" w:rsidRDefault="004E1596" w:rsidP="00B75F69">
            <w:pPr>
              <w:jc w:val="center"/>
              <w:rPr>
                <w:b w:val="0"/>
              </w:rPr>
            </w:pPr>
            <w:r w:rsidRPr="00AA185B">
              <w:rPr>
                <w:b w:val="0"/>
              </w:rPr>
              <w:t>Paediatric and neonatal units within a larger adult hospital</w:t>
            </w:r>
          </w:p>
        </w:tc>
        <w:tc>
          <w:tcPr>
            <w:tcW w:w="2262" w:type="dxa"/>
            <w:tcBorders>
              <w:top w:val="nil"/>
              <w:bottom w:val="nil"/>
            </w:tcBorders>
            <w:vAlign w:val="center"/>
          </w:tcPr>
          <w:p w14:paraId="53676316" w14:textId="3F383DEF" w:rsidR="004E1596" w:rsidRPr="00B75F69"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15 (60.0%)</w:t>
            </w:r>
          </w:p>
        </w:tc>
        <w:tc>
          <w:tcPr>
            <w:tcW w:w="1848" w:type="dxa"/>
            <w:tcBorders>
              <w:top w:val="nil"/>
              <w:bottom w:val="nil"/>
            </w:tcBorders>
            <w:vAlign w:val="center"/>
          </w:tcPr>
          <w:p w14:paraId="405131A9" w14:textId="6BACC114" w:rsidR="004E1596" w:rsidRPr="00B75F69"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6 (60.0%)</w:t>
            </w:r>
          </w:p>
        </w:tc>
        <w:tc>
          <w:tcPr>
            <w:tcW w:w="2152" w:type="dxa"/>
            <w:tcBorders>
              <w:top w:val="nil"/>
              <w:bottom w:val="nil"/>
            </w:tcBorders>
            <w:vAlign w:val="center"/>
          </w:tcPr>
          <w:p w14:paraId="1F945693" w14:textId="75EDCF5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7 (77.8%)</w:t>
            </w:r>
          </w:p>
        </w:tc>
      </w:tr>
      <w:tr w:rsidR="004E1596" w:rsidRPr="00AA185B" w14:paraId="71C2EE66" w14:textId="77777777" w:rsidTr="00905BA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98" w:type="dxa"/>
            <w:tcBorders>
              <w:top w:val="nil"/>
            </w:tcBorders>
            <w:vAlign w:val="center"/>
          </w:tcPr>
          <w:p w14:paraId="562F56C2" w14:textId="7111ED41" w:rsidR="004E1596" w:rsidRPr="00AA185B" w:rsidRDefault="004E1596" w:rsidP="00B75F69">
            <w:pPr>
              <w:jc w:val="center"/>
              <w:rPr>
                <w:b w:val="0"/>
                <w:bCs w:val="0"/>
              </w:rPr>
            </w:pPr>
            <w:r w:rsidRPr="00AA185B">
              <w:rPr>
                <w:b w:val="0"/>
              </w:rPr>
              <w:t>Specialist adult hospital with a paediatric ward</w:t>
            </w:r>
          </w:p>
        </w:tc>
        <w:tc>
          <w:tcPr>
            <w:tcW w:w="2262" w:type="dxa"/>
            <w:tcBorders>
              <w:top w:val="nil"/>
            </w:tcBorders>
            <w:vAlign w:val="center"/>
          </w:tcPr>
          <w:p w14:paraId="71203B79" w14:textId="6F6E17CA"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rPr>
                <w:b/>
                <w:bCs/>
              </w:rPr>
            </w:pPr>
            <w:r w:rsidRPr="00AA185B">
              <w:t>0 (0%)</w:t>
            </w:r>
          </w:p>
        </w:tc>
        <w:tc>
          <w:tcPr>
            <w:tcW w:w="1848" w:type="dxa"/>
            <w:tcBorders>
              <w:top w:val="nil"/>
            </w:tcBorders>
            <w:vAlign w:val="center"/>
          </w:tcPr>
          <w:p w14:paraId="7C96797B" w14:textId="5D1396B0"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rPr>
                <w:b/>
                <w:bCs/>
              </w:rPr>
            </w:pPr>
            <w:r w:rsidRPr="00AA185B">
              <w:t>1 (10.0%)</w:t>
            </w:r>
          </w:p>
        </w:tc>
        <w:tc>
          <w:tcPr>
            <w:tcW w:w="2152" w:type="dxa"/>
            <w:tcBorders>
              <w:top w:val="nil"/>
            </w:tcBorders>
            <w:vAlign w:val="center"/>
          </w:tcPr>
          <w:p w14:paraId="1A0CA281" w14:textId="44690C64"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0 (0%)</w:t>
            </w:r>
          </w:p>
        </w:tc>
      </w:tr>
      <w:tr w:rsidR="004E1596" w:rsidRPr="00AA185B" w14:paraId="1CF60219" w14:textId="77777777" w:rsidTr="00905BAE">
        <w:trPr>
          <w:trHeight w:val="392"/>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7F7F7F" w:themeColor="text1" w:themeTint="80"/>
            </w:tcBorders>
            <w:vAlign w:val="center"/>
          </w:tcPr>
          <w:p w14:paraId="7F337922" w14:textId="77777777" w:rsidR="004E1596" w:rsidRPr="00AA185B" w:rsidRDefault="004E1596" w:rsidP="00B75F69">
            <w:pPr>
              <w:jc w:val="center"/>
            </w:pPr>
            <w:r w:rsidRPr="00AA185B">
              <w:t>Teaching Hospital</w:t>
            </w:r>
          </w:p>
        </w:tc>
        <w:tc>
          <w:tcPr>
            <w:tcW w:w="2262" w:type="dxa"/>
            <w:tcBorders>
              <w:top w:val="single" w:sz="4" w:space="0" w:color="7F7F7F" w:themeColor="text1" w:themeTint="80"/>
            </w:tcBorders>
            <w:vAlign w:val="center"/>
          </w:tcPr>
          <w:p w14:paraId="74BB1CB0"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22 (88.0%)</w:t>
            </w:r>
          </w:p>
        </w:tc>
        <w:tc>
          <w:tcPr>
            <w:tcW w:w="1848" w:type="dxa"/>
            <w:tcBorders>
              <w:top w:val="single" w:sz="4" w:space="0" w:color="7F7F7F" w:themeColor="text1" w:themeTint="80"/>
            </w:tcBorders>
            <w:vAlign w:val="center"/>
          </w:tcPr>
          <w:p w14:paraId="49487835"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10 (100.0%)</w:t>
            </w:r>
          </w:p>
        </w:tc>
        <w:tc>
          <w:tcPr>
            <w:tcW w:w="2152" w:type="dxa"/>
            <w:tcBorders>
              <w:top w:val="single" w:sz="4" w:space="0" w:color="7F7F7F" w:themeColor="text1" w:themeTint="80"/>
            </w:tcBorders>
            <w:vAlign w:val="center"/>
          </w:tcPr>
          <w:p w14:paraId="7C387539"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7 (77.8%)</w:t>
            </w:r>
          </w:p>
        </w:tc>
      </w:tr>
      <w:tr w:rsidR="004E1596" w:rsidRPr="00AA185B" w14:paraId="12EDDAF9" w14:textId="77777777" w:rsidTr="00B75F6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24BB2C43" w14:textId="77777777" w:rsidR="004E1596" w:rsidRPr="00AA185B" w:rsidRDefault="004E1596" w:rsidP="00B75F69">
            <w:pPr>
              <w:jc w:val="center"/>
              <w:rPr>
                <w:vertAlign w:val="superscript"/>
              </w:rPr>
            </w:pPr>
            <w:r w:rsidRPr="00AA185B">
              <w:t>Have NICU</w:t>
            </w:r>
            <w:r w:rsidRPr="00AA185B">
              <w:rPr>
                <w:vertAlign w:val="superscript"/>
              </w:rPr>
              <w:t>1</w:t>
            </w:r>
          </w:p>
        </w:tc>
        <w:tc>
          <w:tcPr>
            <w:tcW w:w="2262" w:type="dxa"/>
            <w:vAlign w:val="center"/>
          </w:tcPr>
          <w:p w14:paraId="3B9DBC24"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21 (84.0%)</w:t>
            </w:r>
          </w:p>
        </w:tc>
        <w:tc>
          <w:tcPr>
            <w:tcW w:w="1848" w:type="dxa"/>
            <w:vAlign w:val="center"/>
          </w:tcPr>
          <w:p w14:paraId="2D477497"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9 (90.0%)</w:t>
            </w:r>
          </w:p>
        </w:tc>
        <w:tc>
          <w:tcPr>
            <w:tcW w:w="2152" w:type="dxa"/>
            <w:vAlign w:val="center"/>
          </w:tcPr>
          <w:p w14:paraId="29509195"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9 (100.0%)</w:t>
            </w:r>
          </w:p>
        </w:tc>
      </w:tr>
      <w:tr w:rsidR="004E1596" w:rsidRPr="00AA185B" w14:paraId="2E9ABA65" w14:textId="77777777" w:rsidTr="00B75F69">
        <w:trPr>
          <w:trHeight w:val="400"/>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49F62DC4" w14:textId="77777777" w:rsidR="004E1596" w:rsidRPr="00AA185B" w:rsidRDefault="004E1596" w:rsidP="00B75F69">
            <w:pPr>
              <w:jc w:val="center"/>
              <w:rPr>
                <w:vertAlign w:val="superscript"/>
              </w:rPr>
            </w:pPr>
            <w:r w:rsidRPr="00AA185B">
              <w:t>Median (IQR) NICU beds</w:t>
            </w:r>
            <w:r w:rsidRPr="00AA185B">
              <w:rPr>
                <w:vertAlign w:val="superscript"/>
              </w:rPr>
              <w:t>2</w:t>
            </w:r>
          </w:p>
        </w:tc>
        <w:tc>
          <w:tcPr>
            <w:tcW w:w="2262" w:type="dxa"/>
            <w:vAlign w:val="center"/>
          </w:tcPr>
          <w:p w14:paraId="04469199"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20 (16-39)</w:t>
            </w:r>
          </w:p>
          <w:p w14:paraId="224C4272" w14:textId="652DFD0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(range: 5-98)</w:t>
            </w:r>
          </w:p>
        </w:tc>
        <w:tc>
          <w:tcPr>
            <w:tcW w:w="1848" w:type="dxa"/>
            <w:vAlign w:val="center"/>
          </w:tcPr>
          <w:p w14:paraId="629DDB2A" w14:textId="774796AB" w:rsidR="004E1596" w:rsidRPr="00AA185B" w:rsidRDefault="003A65C9" w:rsidP="00B75F69">
            <w:pPr>
              <w:jc w:val="center"/>
              <w:cnfStyle w:val="000000000000" w:firstRow="0" w:lastRow="0" w:firstColumn="0" w:lastColumn="0" w:oddVBand="0" w:evenVBand="0" w:oddHBand="0" w:evenHBand="0" w:firstRowFirstColumn="0" w:firstRowLastColumn="0" w:lastRowFirstColumn="0" w:lastRowLastColumn="0"/>
            </w:pPr>
            <w:r>
              <w:t>13</w:t>
            </w:r>
            <w:r w:rsidR="004E1596" w:rsidRPr="00AA185B">
              <w:t xml:space="preserve"> (10-18)</w:t>
            </w:r>
          </w:p>
          <w:p w14:paraId="5CEDCC99"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(range: 6-24)</w:t>
            </w:r>
          </w:p>
        </w:tc>
        <w:tc>
          <w:tcPr>
            <w:tcW w:w="2152" w:type="dxa"/>
            <w:vAlign w:val="center"/>
          </w:tcPr>
          <w:p w14:paraId="29CEEA77" w14:textId="2C3E3A14"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20 (14-25)</w:t>
            </w:r>
          </w:p>
          <w:p w14:paraId="0205ABC1" w14:textId="77777777" w:rsidR="004E1596" w:rsidRPr="00AA185B" w:rsidRDefault="004E1596" w:rsidP="00B75F69">
            <w:pPr>
              <w:jc w:val="center"/>
              <w:cnfStyle w:val="000000000000" w:firstRow="0" w:lastRow="0" w:firstColumn="0" w:lastColumn="0" w:oddVBand="0" w:evenVBand="0" w:oddHBand="0" w:evenHBand="0" w:firstRowFirstColumn="0" w:firstRowLastColumn="0" w:lastRowFirstColumn="0" w:lastRowLastColumn="0"/>
            </w:pPr>
            <w:r w:rsidRPr="00AA185B">
              <w:t>(range: 10-32)</w:t>
            </w:r>
          </w:p>
        </w:tc>
      </w:tr>
      <w:tr w:rsidR="004E1596" w:rsidRPr="00AA185B" w14:paraId="0968F402" w14:textId="77777777" w:rsidTr="00B75F6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00ED7FC7" w14:textId="6A46DD9E" w:rsidR="004E1596" w:rsidRPr="00AA185B" w:rsidRDefault="004E1596" w:rsidP="00B75F69">
            <w:pPr>
              <w:jc w:val="center"/>
            </w:pPr>
            <w:r w:rsidRPr="00AA185B">
              <w:t>Median (IQR) NICU admissions per year</w:t>
            </w:r>
            <w:r w:rsidRPr="00AA185B">
              <w:rPr>
                <w:vertAlign w:val="superscript"/>
              </w:rPr>
              <w:t>3</w:t>
            </w:r>
          </w:p>
        </w:tc>
        <w:tc>
          <w:tcPr>
            <w:tcW w:w="2262" w:type="dxa"/>
            <w:vAlign w:val="center"/>
          </w:tcPr>
          <w:p w14:paraId="324B998F"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605 (296-1136)</w:t>
            </w:r>
          </w:p>
          <w:p w14:paraId="194ED97F" w14:textId="3BB0D3C2"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(range: 200-4346)</w:t>
            </w:r>
          </w:p>
        </w:tc>
        <w:tc>
          <w:tcPr>
            <w:tcW w:w="1848" w:type="dxa"/>
            <w:vAlign w:val="center"/>
          </w:tcPr>
          <w:p w14:paraId="00FA9440"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275 (170-342) (range: 114-500)</w:t>
            </w:r>
          </w:p>
        </w:tc>
        <w:tc>
          <w:tcPr>
            <w:tcW w:w="2152" w:type="dxa"/>
            <w:vAlign w:val="center"/>
          </w:tcPr>
          <w:p w14:paraId="28161270" w14:textId="77777777"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800 (720 -1200)</w:t>
            </w:r>
          </w:p>
          <w:p w14:paraId="71CE10D7" w14:textId="09B89FC2" w:rsidR="004E1596" w:rsidRPr="00AA185B" w:rsidRDefault="004E1596" w:rsidP="00B75F69">
            <w:pPr>
              <w:jc w:val="center"/>
              <w:cnfStyle w:val="000000100000" w:firstRow="0" w:lastRow="0" w:firstColumn="0" w:lastColumn="0" w:oddVBand="0" w:evenVBand="0" w:oddHBand="1" w:evenHBand="0" w:firstRowFirstColumn="0" w:firstRowLastColumn="0" w:lastRowFirstColumn="0" w:lastRowLastColumn="0"/>
            </w:pPr>
            <w:r w:rsidRPr="00AA185B">
              <w:t>(range: 199-1342)</w:t>
            </w:r>
          </w:p>
        </w:tc>
      </w:tr>
    </w:tbl>
    <w:p w14:paraId="1A65936C" w14:textId="77777777" w:rsidR="004E1596" w:rsidRPr="00AA185B" w:rsidRDefault="004E1596" w:rsidP="004E1596">
      <w:pPr>
        <w:spacing w:after="0" w:line="240" w:lineRule="auto"/>
      </w:pPr>
      <w:r w:rsidRPr="00AA185B">
        <w:rPr>
          <w:vertAlign w:val="superscript"/>
        </w:rPr>
        <w:t xml:space="preserve">1 </w:t>
      </w:r>
      <w:r w:rsidRPr="00AA185B">
        <w:t>One UMIC centre missing data</w:t>
      </w:r>
    </w:p>
    <w:p w14:paraId="45D54D88" w14:textId="77777777" w:rsidR="004E1596" w:rsidRPr="00AA185B" w:rsidRDefault="004E1596" w:rsidP="004E1596">
      <w:pPr>
        <w:spacing w:after="0" w:line="240" w:lineRule="auto"/>
      </w:pPr>
      <w:r w:rsidRPr="00AA185B">
        <w:rPr>
          <w:vertAlign w:val="superscript"/>
        </w:rPr>
        <w:t>2</w:t>
      </w:r>
      <w:r w:rsidRPr="00AA185B">
        <w:t>NICU bed count: 7 HIC missing, 2 UMIC missing, 0 LLMIC missing</w:t>
      </w:r>
    </w:p>
    <w:p w14:paraId="230C3632" w14:textId="77777777" w:rsidR="004E1596" w:rsidRPr="00AA185B" w:rsidRDefault="004E1596" w:rsidP="004E1596">
      <w:pPr>
        <w:spacing w:after="0" w:line="240" w:lineRule="auto"/>
      </w:pPr>
      <w:r w:rsidRPr="00AA185B">
        <w:rPr>
          <w:vertAlign w:val="superscript"/>
        </w:rPr>
        <w:t xml:space="preserve">3 </w:t>
      </w:r>
      <w:r w:rsidRPr="00AA185B">
        <w:t>NICU admissions/year: 8 HIC missing, 2 UMIC missing, 0 LLMIC missing</w:t>
      </w:r>
    </w:p>
    <w:p w14:paraId="4EE497B6" w14:textId="77777777" w:rsidR="004E1596" w:rsidRPr="00AA185B" w:rsidRDefault="004E1596" w:rsidP="00992903">
      <w:pPr>
        <w:spacing w:line="360" w:lineRule="auto"/>
      </w:pPr>
    </w:p>
    <w:p w14:paraId="1B472BCC" w14:textId="170E8202" w:rsidR="00A53826" w:rsidRPr="00AA185B" w:rsidRDefault="00F82226" w:rsidP="00992903">
      <w:pPr>
        <w:spacing w:line="360" w:lineRule="auto"/>
      </w:pPr>
      <w:r w:rsidRPr="00AA185B">
        <w:t>Our</w:t>
      </w:r>
      <w:r w:rsidR="00A53826" w:rsidRPr="00AA185B">
        <w:t xml:space="preserve"> study </w:t>
      </w:r>
      <w:r w:rsidRPr="00AA185B">
        <w:t>indicates</w:t>
      </w:r>
      <w:r w:rsidR="00A53826" w:rsidRPr="00AA185B">
        <w:t xml:space="preserve"> that hospitals in LLMIC settings </w:t>
      </w:r>
      <w:r w:rsidR="006D1B82" w:rsidRPr="00AA185B">
        <w:t>have higher numbers of</w:t>
      </w:r>
      <w:r w:rsidR="00A53826" w:rsidRPr="00AA185B">
        <w:t xml:space="preserve"> admissions to N</w:t>
      </w:r>
      <w:r w:rsidR="00BE0C70" w:rsidRPr="00AA185B">
        <w:t>ICU than HIC and UMIC hospitals with</w:t>
      </w:r>
      <w:r w:rsidR="0008000B" w:rsidRPr="00AA185B">
        <w:t xml:space="preserve"> generally fewer </w:t>
      </w:r>
      <w:r w:rsidR="00A53826" w:rsidRPr="00AA185B">
        <w:t>NICU beds available in their facilities</w:t>
      </w:r>
      <w:r w:rsidR="006D1B82" w:rsidRPr="00AA185B">
        <w:t>. Overcrowding has been recognised as an important risk factor for neonatal nosocomial infection</w:t>
      </w:r>
      <w:r w:rsidR="00BA7FEA">
        <w:t>.</w:t>
      </w:r>
      <w:r w:rsidR="00A23DBC">
        <w:fldChar w:fldCharType="begin" w:fldLock="1"/>
      </w:r>
      <w:r w:rsidR="006B143B">
        <w:instrText>ADDIN CSL_CITATION { "citationItems" : [ { "id" : "ITEM-1", "itemData" : { "DOI" : "10.1016/S0140-6736(05)71881-X", "ISSN" : "0140-6736", "abstract" : "Hospital-born babies in developing countries are at increased risk of neonatal infections because of poor intrapartum and postnatal infection-control practices. We reviewed data from developing countries on rates of neonatal infections among hospital-born babies, range of pathogens, antimicrobial resistance, and infection-control interventions. Reported rates of neonatal infections were 3\u201320 times higher than those reported for hospital-born babies in industrialised countries. Klebsiella pneumoniae, other gram-negative rods (Escherichia coli, Pseudomonas spp, Acinetobacter spp), and Staphylococcus aureus were the major pathogens among 11 471 bloodstream isolates reported. These infections can often present soon after birth. About 70% would not be covered by an empiric regimen of ampicillin and gentamicin, and many might be untreatable in resource-constrained environments. The associated morbidity, mortality, costs, and adverse effect on future health-seeking behaviour by communities pose barriers to improvement of neonatal outcomes in developing countries. Low-cost, \u201cbundled\u201d interventions using systems quality improvement approaches for improved infection control are possible, but should be supported by evidence in developing country settings.", "author" : [ { "dropping-particle" : "", "family" : "Zaidi", "given" : "Anita KM", "non-dropping-particle" : "", "parse-names" : false, "suffix" : "" }, { "dropping-particle" : "", "family" : "Huskins", "given" : "W Charles", "non-dropping-particle" : "", "parse-names" : false, "suffix" : "" }, { "dropping-particle" : "", "family" : "Thaver", "given" : "Durrane", "non-dropping-particle" : "", "parse-names" : false, "suffix" : "" }, { "dropping-particle" : "", "family" : "Bhutta", "given" : "Zulfiqar A", "non-dropping-particle" : "", "parse-names" : false, "suffix" : "" }, { "dropping-particle" : "", "family" : "Abbas", "given" : "Zohair", "non-dropping-particle" : "", "parse-names" : false, "suffix" : "" }, { "dropping-particle" : "", "family" : "Goldmann", "given" : "Donald A", "non-dropping-particle" : "", "parse-names" : false, "suffix" : "" } ], "container-title" : "The Lancet", "id" : "ITEM-1", "issue" : "9465", "issued" : { "date-parts" : [ [ "2005", "3", "26" ] ] }, "page" : "1175-1188", "publisher" : "Elsevier", "title" : "Hospital-acquired neonatal infections in developing countries", "type" : "article-journal", "volume" : "365" }, "uris" : [ "http://www.mendeley.com/documents/?uuid=d42dcf8c-83ee-352b-b388-dc928a523cb1" ] } ], "mendeley" : { "formattedCitation" : "[3]", "manualFormatting" : "[3", "plainTextFormattedCitation" : "[3]", "previouslyFormattedCitation" : "[3]" }, "properties" : { "noteIndex" : 2 }, "schema" : "https://github.com/citation-style-language/schema/raw/master/csl-citation.json" }</w:instrText>
      </w:r>
      <w:r w:rsidR="00A23DBC">
        <w:fldChar w:fldCharType="separate"/>
      </w:r>
      <w:r w:rsidR="00834036">
        <w:rPr>
          <w:noProof/>
        </w:rPr>
        <w:t>[</w:t>
      </w:r>
      <w:r w:rsidR="001B39B2" w:rsidRPr="001B39B2">
        <w:rPr>
          <w:noProof/>
        </w:rPr>
        <w:t>3</w:t>
      </w:r>
      <w:r w:rsidR="00A23DBC">
        <w:fldChar w:fldCharType="end"/>
      </w:r>
      <w:r w:rsidR="00834036">
        <w:t>]</w:t>
      </w:r>
      <w:r w:rsidR="006D1B82" w:rsidRPr="00AA185B">
        <w:t xml:space="preserve"> As more births globally </w:t>
      </w:r>
      <w:r w:rsidR="00C1263F" w:rsidRPr="00AA185B">
        <w:t>take place in health facilities, e</w:t>
      </w:r>
      <w:r w:rsidR="00A53826" w:rsidRPr="00AA185B">
        <w:t xml:space="preserve">nsuring </w:t>
      </w:r>
      <w:r w:rsidR="00BE464C" w:rsidRPr="00AA185B">
        <w:t xml:space="preserve">that </w:t>
      </w:r>
      <w:r w:rsidR="006D1B82" w:rsidRPr="00AA185B">
        <w:t xml:space="preserve">there is a very </w:t>
      </w:r>
      <w:r w:rsidR="005633F4">
        <w:t>strong</w:t>
      </w:r>
      <w:r w:rsidR="006D1B82" w:rsidRPr="00AA185B">
        <w:t xml:space="preserve"> focus on enhancing </w:t>
      </w:r>
      <w:r w:rsidR="00BE464C" w:rsidRPr="00AA185B">
        <w:t xml:space="preserve">IPC measures </w:t>
      </w:r>
      <w:r w:rsidR="00275BA0" w:rsidRPr="00AA185B">
        <w:t xml:space="preserve">in parallel to </w:t>
      </w:r>
      <w:r w:rsidR="00BE464C" w:rsidRPr="00AA185B">
        <w:t xml:space="preserve">the expansion of neonatal care will be vital to tackle neonatal mortality due to infection and AMR. </w:t>
      </w:r>
    </w:p>
    <w:p w14:paraId="402296F9" w14:textId="77777777" w:rsidR="000B7F92" w:rsidRPr="00AA185B" w:rsidRDefault="000B7F92" w:rsidP="00A53826">
      <w:pPr>
        <w:spacing w:line="360" w:lineRule="auto"/>
        <w:rPr>
          <w:b/>
          <w:highlight w:val="yellow"/>
        </w:rPr>
      </w:pPr>
    </w:p>
    <w:p w14:paraId="606E824B" w14:textId="77777777" w:rsidR="00801BEB" w:rsidRDefault="00801BEB" w:rsidP="00A53826">
      <w:pPr>
        <w:spacing w:line="360" w:lineRule="auto"/>
        <w:rPr>
          <w:rFonts w:cs="Times New Roman"/>
          <w:b/>
          <w:noProof/>
        </w:rPr>
      </w:pPr>
    </w:p>
    <w:p w14:paraId="0A8964B8" w14:textId="77777777" w:rsidR="00801BEB" w:rsidRDefault="00801BEB" w:rsidP="00A53826">
      <w:pPr>
        <w:spacing w:line="360" w:lineRule="auto"/>
        <w:rPr>
          <w:rFonts w:cs="Times New Roman"/>
          <w:b/>
          <w:noProof/>
        </w:rPr>
      </w:pPr>
    </w:p>
    <w:p w14:paraId="4A8049A6" w14:textId="77777777" w:rsidR="006B143B" w:rsidRDefault="006B143B" w:rsidP="00A53826">
      <w:pPr>
        <w:spacing w:line="360" w:lineRule="auto"/>
        <w:rPr>
          <w:rFonts w:cs="Times New Roman"/>
          <w:b/>
          <w:noProof/>
        </w:rPr>
      </w:pPr>
    </w:p>
    <w:p w14:paraId="369643F1" w14:textId="77777777" w:rsidR="006B143B" w:rsidRDefault="006B143B" w:rsidP="00A53826">
      <w:pPr>
        <w:spacing w:line="360" w:lineRule="auto"/>
        <w:rPr>
          <w:rFonts w:cs="Times New Roman"/>
          <w:b/>
          <w:noProof/>
        </w:rPr>
      </w:pPr>
    </w:p>
    <w:p w14:paraId="72D867B8" w14:textId="7BF706A1" w:rsidR="00B13E9D" w:rsidRPr="00AA185B" w:rsidRDefault="00992903" w:rsidP="00A53826">
      <w:pPr>
        <w:spacing w:line="360" w:lineRule="auto"/>
        <w:rPr>
          <w:rFonts w:cs="Times New Roman"/>
          <w:noProof/>
        </w:rPr>
      </w:pPr>
      <w:r w:rsidRPr="00AA185B">
        <w:rPr>
          <w:rFonts w:cs="Times New Roman"/>
          <w:b/>
          <w:noProof/>
        </w:rPr>
        <w:lastRenderedPageBreak/>
        <w:t>References</w:t>
      </w:r>
      <w:r w:rsidRPr="00AA185B">
        <w:rPr>
          <w:rFonts w:cs="Times New Roman"/>
          <w:noProof/>
        </w:rPr>
        <w:t xml:space="preserve"> </w:t>
      </w:r>
    </w:p>
    <w:p w14:paraId="5771432B" w14:textId="18B7F164" w:rsidR="006B143B" w:rsidRPr="006B143B" w:rsidRDefault="00992903" w:rsidP="006B143B">
      <w:pPr>
        <w:widowControl w:val="0"/>
        <w:autoSpaceDE w:val="0"/>
        <w:autoSpaceDN w:val="0"/>
        <w:adjustRightInd w:val="0"/>
        <w:spacing w:line="240" w:lineRule="auto"/>
        <w:ind w:left="640" w:hanging="640"/>
        <w:rPr>
          <w:rFonts w:ascii="Calibri" w:hAnsi="Calibri" w:cs="Times New Roman"/>
          <w:noProof/>
          <w:szCs w:val="24"/>
        </w:rPr>
      </w:pPr>
      <w:r w:rsidRPr="00AA185B">
        <w:fldChar w:fldCharType="begin" w:fldLock="1"/>
      </w:r>
      <w:r w:rsidRPr="00AA185B">
        <w:instrText xml:space="preserve">ADDIN Mendeley Bibliography CSL_BIBLIOGRAPHY </w:instrText>
      </w:r>
      <w:r w:rsidRPr="00AA185B">
        <w:fldChar w:fldCharType="separate"/>
      </w:r>
      <w:r w:rsidR="006B143B" w:rsidRPr="006B143B">
        <w:rPr>
          <w:rFonts w:ascii="Calibri" w:hAnsi="Calibri" w:cs="Times New Roman"/>
          <w:noProof/>
          <w:szCs w:val="24"/>
        </w:rPr>
        <w:t xml:space="preserve">1 </w:t>
      </w:r>
      <w:r w:rsidR="006B143B" w:rsidRPr="006B143B">
        <w:rPr>
          <w:rFonts w:ascii="Calibri" w:hAnsi="Calibri" w:cs="Times New Roman"/>
          <w:noProof/>
          <w:szCs w:val="24"/>
        </w:rPr>
        <w:tab/>
        <w:t>World Health Organisation, UNICEF. SURVIVE and THRIVE Transforming care for every small and sick newborn. https://www.unicef.org/every-child-alive/Survive-and-Thrive_KEY_FINDINGS_FINAL.pdf (accessed 7 Jan 2019).</w:t>
      </w:r>
    </w:p>
    <w:p w14:paraId="2F2AA768" w14:textId="77777777" w:rsidR="006B143B" w:rsidRPr="006B143B" w:rsidRDefault="006B143B" w:rsidP="006B143B">
      <w:pPr>
        <w:widowControl w:val="0"/>
        <w:autoSpaceDE w:val="0"/>
        <w:autoSpaceDN w:val="0"/>
        <w:adjustRightInd w:val="0"/>
        <w:spacing w:line="240" w:lineRule="auto"/>
        <w:ind w:left="640" w:hanging="640"/>
        <w:rPr>
          <w:rFonts w:ascii="Calibri" w:hAnsi="Calibri" w:cs="Times New Roman"/>
          <w:noProof/>
          <w:szCs w:val="24"/>
        </w:rPr>
      </w:pPr>
      <w:r w:rsidRPr="006B143B">
        <w:rPr>
          <w:rFonts w:ascii="Calibri" w:hAnsi="Calibri" w:cs="Times New Roman"/>
          <w:noProof/>
          <w:szCs w:val="24"/>
        </w:rPr>
        <w:t xml:space="preserve">2 </w:t>
      </w:r>
      <w:r w:rsidRPr="006B143B">
        <w:rPr>
          <w:rFonts w:ascii="Calibri" w:hAnsi="Calibri" w:cs="Times New Roman"/>
          <w:noProof/>
          <w:szCs w:val="24"/>
        </w:rPr>
        <w:tab/>
        <w:t xml:space="preserve">Laxminarayan R, Duse A, Wattal C, </w:t>
      </w:r>
      <w:r w:rsidRPr="006B143B">
        <w:rPr>
          <w:rFonts w:ascii="Calibri" w:hAnsi="Calibri" w:cs="Times New Roman"/>
          <w:i/>
          <w:iCs/>
          <w:noProof/>
          <w:szCs w:val="24"/>
        </w:rPr>
        <w:t>et al.</w:t>
      </w:r>
      <w:r w:rsidRPr="006B143B">
        <w:rPr>
          <w:rFonts w:ascii="Calibri" w:hAnsi="Calibri" w:cs="Times New Roman"/>
          <w:noProof/>
          <w:szCs w:val="24"/>
        </w:rPr>
        <w:t xml:space="preserve"> Antibiotic resistance-the need for global solutions. </w:t>
      </w:r>
      <w:r w:rsidRPr="006B143B">
        <w:rPr>
          <w:rFonts w:ascii="Calibri" w:hAnsi="Calibri" w:cs="Times New Roman"/>
          <w:i/>
          <w:iCs/>
          <w:noProof/>
          <w:szCs w:val="24"/>
        </w:rPr>
        <w:t>Lancet Infect Dis</w:t>
      </w:r>
      <w:r w:rsidRPr="006B143B">
        <w:rPr>
          <w:rFonts w:ascii="Calibri" w:hAnsi="Calibri" w:cs="Times New Roman"/>
          <w:noProof/>
          <w:szCs w:val="24"/>
        </w:rPr>
        <w:t xml:space="preserve"> 2013;</w:t>
      </w:r>
      <w:r w:rsidRPr="006B143B">
        <w:rPr>
          <w:rFonts w:ascii="Calibri" w:hAnsi="Calibri" w:cs="Times New Roman"/>
          <w:b/>
          <w:bCs/>
          <w:noProof/>
          <w:szCs w:val="24"/>
        </w:rPr>
        <w:t>13</w:t>
      </w:r>
      <w:r w:rsidRPr="006B143B">
        <w:rPr>
          <w:rFonts w:ascii="Calibri" w:hAnsi="Calibri" w:cs="Times New Roman"/>
          <w:noProof/>
          <w:szCs w:val="24"/>
        </w:rPr>
        <w:t>:1057–98. doi:10.1016/S1473-3099(13)70318-9</w:t>
      </w:r>
    </w:p>
    <w:p w14:paraId="12651202" w14:textId="77777777" w:rsidR="006B143B" w:rsidRPr="006B143B" w:rsidRDefault="006B143B" w:rsidP="006B143B">
      <w:pPr>
        <w:widowControl w:val="0"/>
        <w:autoSpaceDE w:val="0"/>
        <w:autoSpaceDN w:val="0"/>
        <w:adjustRightInd w:val="0"/>
        <w:spacing w:line="240" w:lineRule="auto"/>
        <w:ind w:left="640" w:hanging="640"/>
        <w:rPr>
          <w:rFonts w:ascii="Calibri" w:hAnsi="Calibri" w:cs="Times New Roman"/>
          <w:noProof/>
          <w:szCs w:val="24"/>
        </w:rPr>
      </w:pPr>
      <w:r w:rsidRPr="006B143B">
        <w:rPr>
          <w:rFonts w:ascii="Calibri" w:hAnsi="Calibri" w:cs="Times New Roman"/>
          <w:noProof/>
          <w:szCs w:val="24"/>
        </w:rPr>
        <w:t xml:space="preserve">3 </w:t>
      </w:r>
      <w:r w:rsidRPr="006B143B">
        <w:rPr>
          <w:rFonts w:ascii="Calibri" w:hAnsi="Calibri" w:cs="Times New Roman"/>
          <w:noProof/>
          <w:szCs w:val="24"/>
        </w:rPr>
        <w:tab/>
        <w:t xml:space="preserve">Zaidi AK, Huskins WC, Thaver D, </w:t>
      </w:r>
      <w:r w:rsidRPr="006B143B">
        <w:rPr>
          <w:rFonts w:ascii="Calibri" w:hAnsi="Calibri" w:cs="Times New Roman"/>
          <w:i/>
          <w:iCs/>
          <w:noProof/>
          <w:szCs w:val="24"/>
        </w:rPr>
        <w:t>et al.</w:t>
      </w:r>
      <w:r w:rsidRPr="006B143B">
        <w:rPr>
          <w:rFonts w:ascii="Calibri" w:hAnsi="Calibri" w:cs="Times New Roman"/>
          <w:noProof/>
          <w:szCs w:val="24"/>
        </w:rPr>
        <w:t xml:space="preserve"> Hospital-acquired neonatal infections in developing countries. </w:t>
      </w:r>
      <w:r w:rsidRPr="006B143B">
        <w:rPr>
          <w:rFonts w:ascii="Calibri" w:hAnsi="Calibri" w:cs="Times New Roman"/>
          <w:i/>
          <w:iCs/>
          <w:noProof/>
          <w:szCs w:val="24"/>
        </w:rPr>
        <w:t>Lancet</w:t>
      </w:r>
      <w:r w:rsidRPr="006B143B">
        <w:rPr>
          <w:rFonts w:ascii="Calibri" w:hAnsi="Calibri" w:cs="Times New Roman"/>
          <w:noProof/>
          <w:szCs w:val="24"/>
        </w:rPr>
        <w:t xml:space="preserve"> 2005;</w:t>
      </w:r>
      <w:r w:rsidRPr="006B143B">
        <w:rPr>
          <w:rFonts w:ascii="Calibri" w:hAnsi="Calibri" w:cs="Times New Roman"/>
          <w:b/>
          <w:bCs/>
          <w:noProof/>
          <w:szCs w:val="24"/>
        </w:rPr>
        <w:t>365</w:t>
      </w:r>
      <w:r w:rsidRPr="006B143B">
        <w:rPr>
          <w:rFonts w:ascii="Calibri" w:hAnsi="Calibri" w:cs="Times New Roman"/>
          <w:noProof/>
          <w:szCs w:val="24"/>
        </w:rPr>
        <w:t>:1175–88. doi:10.1016/S0140-6736(05)71881-X</w:t>
      </w:r>
    </w:p>
    <w:p w14:paraId="4A70864E" w14:textId="77777777" w:rsidR="006B143B" w:rsidRPr="006B143B" w:rsidRDefault="006B143B" w:rsidP="006B143B">
      <w:pPr>
        <w:widowControl w:val="0"/>
        <w:autoSpaceDE w:val="0"/>
        <w:autoSpaceDN w:val="0"/>
        <w:adjustRightInd w:val="0"/>
        <w:spacing w:line="240" w:lineRule="auto"/>
        <w:ind w:left="640" w:hanging="640"/>
        <w:rPr>
          <w:rFonts w:ascii="Calibri" w:hAnsi="Calibri" w:cs="Times New Roman"/>
          <w:noProof/>
          <w:szCs w:val="24"/>
        </w:rPr>
      </w:pPr>
      <w:r w:rsidRPr="006B143B">
        <w:rPr>
          <w:rFonts w:ascii="Calibri" w:hAnsi="Calibri" w:cs="Times New Roman"/>
          <w:noProof/>
          <w:szCs w:val="24"/>
        </w:rPr>
        <w:t xml:space="preserve">4 </w:t>
      </w:r>
      <w:r w:rsidRPr="006B143B">
        <w:rPr>
          <w:rFonts w:ascii="Calibri" w:hAnsi="Calibri" w:cs="Times New Roman"/>
          <w:noProof/>
          <w:szCs w:val="24"/>
        </w:rPr>
        <w:tab/>
        <w:t xml:space="preserve">Kayange N, Kamugisha E, Mwizamholya DL, </w:t>
      </w:r>
      <w:r w:rsidRPr="006B143B">
        <w:rPr>
          <w:rFonts w:ascii="Calibri" w:hAnsi="Calibri" w:cs="Times New Roman"/>
          <w:i/>
          <w:iCs/>
          <w:noProof/>
          <w:szCs w:val="24"/>
        </w:rPr>
        <w:t>et al.</w:t>
      </w:r>
      <w:r w:rsidRPr="006B143B">
        <w:rPr>
          <w:rFonts w:ascii="Calibri" w:hAnsi="Calibri" w:cs="Times New Roman"/>
          <w:noProof/>
          <w:szCs w:val="24"/>
        </w:rPr>
        <w:t xml:space="preserve"> Predictors of positive blood culture and deaths among neonates with suspected neonatal sepsis in a tertiary hospital, Mwanza- Tanzania. 2010. doi:10.1186/1471-2431-10-39</w:t>
      </w:r>
    </w:p>
    <w:p w14:paraId="59DD4549" w14:textId="77777777" w:rsidR="006B143B" w:rsidRPr="006B143B" w:rsidRDefault="006B143B" w:rsidP="006B143B">
      <w:pPr>
        <w:widowControl w:val="0"/>
        <w:autoSpaceDE w:val="0"/>
        <w:autoSpaceDN w:val="0"/>
        <w:adjustRightInd w:val="0"/>
        <w:spacing w:line="240" w:lineRule="auto"/>
        <w:ind w:left="640" w:hanging="640"/>
        <w:rPr>
          <w:rFonts w:ascii="Calibri" w:hAnsi="Calibri"/>
          <w:noProof/>
        </w:rPr>
      </w:pPr>
      <w:r w:rsidRPr="006B143B">
        <w:rPr>
          <w:rFonts w:ascii="Calibri" w:hAnsi="Calibri" w:cs="Times New Roman"/>
          <w:noProof/>
          <w:szCs w:val="24"/>
        </w:rPr>
        <w:t xml:space="preserve">5 </w:t>
      </w:r>
      <w:r w:rsidRPr="006B143B">
        <w:rPr>
          <w:rFonts w:ascii="Calibri" w:hAnsi="Calibri" w:cs="Times New Roman"/>
          <w:noProof/>
          <w:szCs w:val="24"/>
        </w:rPr>
        <w:tab/>
        <w:t xml:space="preserve">Hsia Y, Lee R, Versporten A, </w:t>
      </w:r>
      <w:r w:rsidRPr="006B143B">
        <w:rPr>
          <w:rFonts w:ascii="Calibri" w:hAnsi="Calibri" w:cs="Times New Roman"/>
          <w:i/>
          <w:iCs/>
          <w:noProof/>
          <w:szCs w:val="24"/>
        </w:rPr>
        <w:t>et al.</w:t>
      </w:r>
      <w:r w:rsidRPr="006B143B">
        <w:rPr>
          <w:rFonts w:ascii="Calibri" w:hAnsi="Calibri" w:cs="Times New Roman"/>
          <w:noProof/>
          <w:szCs w:val="24"/>
        </w:rPr>
        <w:t xml:space="preserve"> Using the WHO Access/Watch/Reserve classification to define patterns of hospital antibiotic use: analyses of pediatric point prevalence survey data from 56 countries - the first AWaRe PPS. </w:t>
      </w:r>
      <w:r w:rsidRPr="006B143B">
        <w:rPr>
          <w:rFonts w:ascii="Calibri" w:hAnsi="Calibri" w:cs="Times New Roman"/>
          <w:i/>
          <w:iCs/>
          <w:noProof/>
          <w:szCs w:val="24"/>
        </w:rPr>
        <w:t>Lancet Glob Heal</w:t>
      </w:r>
      <w:r w:rsidRPr="006B143B">
        <w:rPr>
          <w:rFonts w:ascii="Calibri" w:hAnsi="Calibri" w:cs="Times New Roman"/>
          <w:noProof/>
          <w:szCs w:val="24"/>
        </w:rPr>
        <w:t xml:space="preserve"> 2018.</w:t>
      </w:r>
    </w:p>
    <w:p w14:paraId="4806C97E" w14:textId="7A19ECFB" w:rsidR="00C1718D" w:rsidRPr="00AA185B" w:rsidRDefault="00992903" w:rsidP="00837A36">
      <w:r w:rsidRPr="00AA185B">
        <w:fldChar w:fldCharType="end"/>
      </w:r>
    </w:p>
    <w:p w14:paraId="511E641C" w14:textId="6FF2A3BC" w:rsidR="00975FE4" w:rsidRPr="00AA185B" w:rsidRDefault="00975FE4" w:rsidP="00BE0C70">
      <w:pPr>
        <w:spacing w:after="0" w:line="240" w:lineRule="auto"/>
      </w:pPr>
    </w:p>
    <w:sectPr w:rsidR="00975FE4" w:rsidRPr="00AA185B" w:rsidSect="00975FE4">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BA1E" w14:textId="77777777" w:rsidR="00BE5E6F" w:rsidRDefault="00BE5E6F" w:rsidP="00975FE4">
      <w:pPr>
        <w:spacing w:after="0" w:line="240" w:lineRule="auto"/>
      </w:pPr>
      <w:r>
        <w:separator/>
      </w:r>
    </w:p>
  </w:endnote>
  <w:endnote w:type="continuationSeparator" w:id="0">
    <w:p w14:paraId="3DEE0626" w14:textId="77777777" w:rsidR="00BE5E6F" w:rsidRDefault="00BE5E6F" w:rsidP="0097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854F" w14:textId="77777777" w:rsidR="00BE5E6F" w:rsidRDefault="00BE5E6F" w:rsidP="00975FE4">
      <w:pPr>
        <w:spacing w:after="0" w:line="240" w:lineRule="auto"/>
      </w:pPr>
      <w:r>
        <w:separator/>
      </w:r>
    </w:p>
  </w:footnote>
  <w:footnote w:type="continuationSeparator" w:id="0">
    <w:p w14:paraId="29164147" w14:textId="77777777" w:rsidR="00BE5E6F" w:rsidRDefault="00BE5E6F" w:rsidP="0097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C21F0"/>
    <w:multiLevelType w:val="hybridMultilevel"/>
    <w:tmpl w:val="B89E3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DA"/>
    <w:rsid w:val="00055C8D"/>
    <w:rsid w:val="00071C86"/>
    <w:rsid w:val="0008000B"/>
    <w:rsid w:val="00097C1C"/>
    <w:rsid w:val="000B7F92"/>
    <w:rsid w:val="001435A4"/>
    <w:rsid w:val="001864E9"/>
    <w:rsid w:val="001B39B2"/>
    <w:rsid w:val="001D3DDD"/>
    <w:rsid w:val="001E3908"/>
    <w:rsid w:val="0024081F"/>
    <w:rsid w:val="002454C2"/>
    <w:rsid w:val="00273225"/>
    <w:rsid w:val="00275BA0"/>
    <w:rsid w:val="00286858"/>
    <w:rsid w:val="003622DA"/>
    <w:rsid w:val="00367BD7"/>
    <w:rsid w:val="00386A9B"/>
    <w:rsid w:val="003A65C9"/>
    <w:rsid w:val="004076CE"/>
    <w:rsid w:val="00411345"/>
    <w:rsid w:val="0043429C"/>
    <w:rsid w:val="0048430F"/>
    <w:rsid w:val="004B4390"/>
    <w:rsid w:val="004C1E3D"/>
    <w:rsid w:val="004E1596"/>
    <w:rsid w:val="004F44C6"/>
    <w:rsid w:val="00540E31"/>
    <w:rsid w:val="00551AFB"/>
    <w:rsid w:val="00562198"/>
    <w:rsid w:val="005633F4"/>
    <w:rsid w:val="00585FBC"/>
    <w:rsid w:val="005A1FD0"/>
    <w:rsid w:val="005A7DB7"/>
    <w:rsid w:val="005C616E"/>
    <w:rsid w:val="005E6772"/>
    <w:rsid w:val="00667558"/>
    <w:rsid w:val="006830ED"/>
    <w:rsid w:val="006A3560"/>
    <w:rsid w:val="006B143B"/>
    <w:rsid w:val="006B1C78"/>
    <w:rsid w:val="006D1B82"/>
    <w:rsid w:val="006D57D8"/>
    <w:rsid w:val="00766D10"/>
    <w:rsid w:val="0077089E"/>
    <w:rsid w:val="007A7736"/>
    <w:rsid w:val="007B21D9"/>
    <w:rsid w:val="007E5F41"/>
    <w:rsid w:val="00801BEB"/>
    <w:rsid w:val="00834036"/>
    <w:rsid w:val="00837A36"/>
    <w:rsid w:val="00854C5B"/>
    <w:rsid w:val="00886DEE"/>
    <w:rsid w:val="0089358D"/>
    <w:rsid w:val="0089786A"/>
    <w:rsid w:val="008E3CFB"/>
    <w:rsid w:val="008E45A4"/>
    <w:rsid w:val="00905BAE"/>
    <w:rsid w:val="00930F9B"/>
    <w:rsid w:val="00936773"/>
    <w:rsid w:val="00975FE4"/>
    <w:rsid w:val="00992903"/>
    <w:rsid w:val="009B529E"/>
    <w:rsid w:val="009F3786"/>
    <w:rsid w:val="00A23DBC"/>
    <w:rsid w:val="00A47C2C"/>
    <w:rsid w:val="00A53826"/>
    <w:rsid w:val="00AA185B"/>
    <w:rsid w:val="00AA53AB"/>
    <w:rsid w:val="00AB7043"/>
    <w:rsid w:val="00AE1761"/>
    <w:rsid w:val="00B13E9D"/>
    <w:rsid w:val="00B30862"/>
    <w:rsid w:val="00B31A44"/>
    <w:rsid w:val="00B71B61"/>
    <w:rsid w:val="00B75F69"/>
    <w:rsid w:val="00BA7FEA"/>
    <w:rsid w:val="00BE0C70"/>
    <w:rsid w:val="00BE464C"/>
    <w:rsid w:val="00BE5E6F"/>
    <w:rsid w:val="00C1263F"/>
    <w:rsid w:val="00C1718D"/>
    <w:rsid w:val="00C90F4F"/>
    <w:rsid w:val="00CA7457"/>
    <w:rsid w:val="00CE5957"/>
    <w:rsid w:val="00CE69C6"/>
    <w:rsid w:val="00D037D2"/>
    <w:rsid w:val="00D05AB7"/>
    <w:rsid w:val="00D1094F"/>
    <w:rsid w:val="00D3206A"/>
    <w:rsid w:val="00D5296A"/>
    <w:rsid w:val="00D7214D"/>
    <w:rsid w:val="00D74766"/>
    <w:rsid w:val="00DB35FF"/>
    <w:rsid w:val="00E05E04"/>
    <w:rsid w:val="00E26255"/>
    <w:rsid w:val="00E3517D"/>
    <w:rsid w:val="00E54B3F"/>
    <w:rsid w:val="00EC32D6"/>
    <w:rsid w:val="00EE6EE7"/>
    <w:rsid w:val="00EF00DA"/>
    <w:rsid w:val="00F06CD4"/>
    <w:rsid w:val="00F80A4B"/>
    <w:rsid w:val="00F82226"/>
    <w:rsid w:val="00FB0CF2"/>
    <w:rsid w:val="00FD08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F6ECD"/>
  <w15:chartTrackingRefBased/>
  <w15:docId w15:val="{2D40B074-D2E9-4BE0-9733-17A4B020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53826"/>
    <w:rPr>
      <w:vertAlign w:val="superscript"/>
    </w:rPr>
  </w:style>
  <w:style w:type="paragraph" w:styleId="NormalWeb">
    <w:name w:val="Normal (Web)"/>
    <w:basedOn w:val="Normal"/>
    <w:uiPriority w:val="99"/>
    <w:semiHidden/>
    <w:unhideWhenUsed/>
    <w:rsid w:val="00386A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718D"/>
    <w:rPr>
      <w:color w:val="0563C1" w:themeColor="hyperlink"/>
      <w:u w:val="single"/>
    </w:rPr>
  </w:style>
  <w:style w:type="table" w:styleId="PlainTable2">
    <w:name w:val="Plain Table 2"/>
    <w:basedOn w:val="TableNormal"/>
    <w:uiPriority w:val="42"/>
    <w:rsid w:val="00C171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1718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13E9D"/>
    <w:rPr>
      <w:color w:val="954F72" w:themeColor="followedHyperlink"/>
      <w:u w:val="single"/>
    </w:rPr>
  </w:style>
  <w:style w:type="character" w:styleId="CommentReference">
    <w:name w:val="annotation reference"/>
    <w:basedOn w:val="DefaultParagraphFont"/>
    <w:uiPriority w:val="99"/>
    <w:semiHidden/>
    <w:unhideWhenUsed/>
    <w:rsid w:val="004F44C6"/>
    <w:rPr>
      <w:sz w:val="16"/>
      <w:szCs w:val="16"/>
    </w:rPr>
  </w:style>
  <w:style w:type="paragraph" w:styleId="CommentText">
    <w:name w:val="annotation text"/>
    <w:basedOn w:val="Normal"/>
    <w:link w:val="CommentTextChar"/>
    <w:uiPriority w:val="99"/>
    <w:semiHidden/>
    <w:unhideWhenUsed/>
    <w:rsid w:val="004F44C6"/>
    <w:pPr>
      <w:spacing w:line="240" w:lineRule="auto"/>
    </w:pPr>
    <w:rPr>
      <w:sz w:val="20"/>
      <w:szCs w:val="20"/>
    </w:rPr>
  </w:style>
  <w:style w:type="character" w:customStyle="1" w:styleId="CommentTextChar">
    <w:name w:val="Comment Text Char"/>
    <w:basedOn w:val="DefaultParagraphFont"/>
    <w:link w:val="CommentText"/>
    <w:uiPriority w:val="99"/>
    <w:semiHidden/>
    <w:rsid w:val="004F44C6"/>
    <w:rPr>
      <w:sz w:val="20"/>
      <w:szCs w:val="20"/>
    </w:rPr>
  </w:style>
  <w:style w:type="paragraph" w:styleId="CommentSubject">
    <w:name w:val="annotation subject"/>
    <w:basedOn w:val="CommentText"/>
    <w:next w:val="CommentText"/>
    <w:link w:val="CommentSubjectChar"/>
    <w:uiPriority w:val="99"/>
    <w:semiHidden/>
    <w:unhideWhenUsed/>
    <w:rsid w:val="004F44C6"/>
    <w:rPr>
      <w:b/>
      <w:bCs/>
    </w:rPr>
  </w:style>
  <w:style w:type="character" w:customStyle="1" w:styleId="CommentSubjectChar">
    <w:name w:val="Comment Subject Char"/>
    <w:basedOn w:val="CommentTextChar"/>
    <w:link w:val="CommentSubject"/>
    <w:uiPriority w:val="99"/>
    <w:semiHidden/>
    <w:rsid w:val="004F44C6"/>
    <w:rPr>
      <w:b/>
      <w:bCs/>
      <w:sz w:val="20"/>
      <w:szCs w:val="20"/>
    </w:rPr>
  </w:style>
  <w:style w:type="paragraph" w:styleId="BalloonText">
    <w:name w:val="Balloon Text"/>
    <w:basedOn w:val="Normal"/>
    <w:link w:val="BalloonTextChar"/>
    <w:uiPriority w:val="99"/>
    <w:semiHidden/>
    <w:unhideWhenUsed/>
    <w:rsid w:val="004F4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4C6"/>
    <w:rPr>
      <w:rFonts w:ascii="Segoe UI" w:hAnsi="Segoe UI" w:cs="Segoe UI"/>
      <w:sz w:val="18"/>
      <w:szCs w:val="18"/>
    </w:rPr>
  </w:style>
  <w:style w:type="paragraph" w:styleId="ListParagraph">
    <w:name w:val="List Paragraph"/>
    <w:basedOn w:val="Normal"/>
    <w:uiPriority w:val="34"/>
    <w:qFormat/>
    <w:rsid w:val="00CE69C6"/>
    <w:pPr>
      <w:spacing w:after="200" w:line="276" w:lineRule="auto"/>
      <w:ind w:left="720"/>
      <w:contextualSpacing/>
    </w:pPr>
  </w:style>
  <w:style w:type="paragraph" w:styleId="Header">
    <w:name w:val="header"/>
    <w:basedOn w:val="Normal"/>
    <w:link w:val="HeaderChar"/>
    <w:uiPriority w:val="99"/>
    <w:unhideWhenUsed/>
    <w:rsid w:val="00975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FE4"/>
  </w:style>
  <w:style w:type="paragraph" w:styleId="Footer">
    <w:name w:val="footer"/>
    <w:basedOn w:val="Normal"/>
    <w:link w:val="FooterChar"/>
    <w:uiPriority w:val="99"/>
    <w:unhideWhenUsed/>
    <w:rsid w:val="00975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FE4"/>
  </w:style>
  <w:style w:type="paragraph" w:styleId="Revision">
    <w:name w:val="Revision"/>
    <w:hidden/>
    <w:uiPriority w:val="99"/>
    <w:semiHidden/>
    <w:rsid w:val="00766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89292">
      <w:bodyDiv w:val="1"/>
      <w:marLeft w:val="0"/>
      <w:marRight w:val="0"/>
      <w:marTop w:val="0"/>
      <w:marBottom w:val="0"/>
      <w:divBdr>
        <w:top w:val="none" w:sz="0" w:space="0" w:color="auto"/>
        <w:left w:val="none" w:sz="0" w:space="0" w:color="auto"/>
        <w:bottom w:val="none" w:sz="0" w:space="0" w:color="auto"/>
        <w:right w:val="none" w:sz="0" w:space="0" w:color="auto"/>
      </w:divBdr>
    </w:div>
    <w:div w:id="18302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EC9E-D78A-4FD6-B2C1-8975DBE8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Aislinn Cook</dc:creator>
  <cp:keywords/>
  <dc:description/>
  <cp:lastModifiedBy>yingfen hsia</cp:lastModifiedBy>
  <cp:revision>2</cp:revision>
  <dcterms:created xsi:type="dcterms:W3CDTF">2019-08-29T16:07:00Z</dcterms:created>
  <dcterms:modified xsi:type="dcterms:W3CDTF">2019-08-29T16:07:00Z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http://www.zotero.org/styles/bmj</vt:lpwstr>
  </property>
  <property fmtid="{D5CDD505-2E9C-101B-9397-08002B2CF9AE}" pid="7" name="Mendeley Recent Style Name 2_1">
    <vt:lpwstr>BMJ</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7ec45585-67aa-339f-906c-3e1ab46530af</vt:lpwstr>
  </property>
  <property fmtid="{D5CDD505-2E9C-101B-9397-08002B2CF9AE}" pid="24" name="Mendeley Citation Style_1">
    <vt:lpwstr>http://www.zotero.org/styles/bmj</vt:lpwstr>
  </property>
</Properties>
</file>