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8AE44" w14:textId="058C144A" w:rsidR="001667C6" w:rsidRPr="00CB374C" w:rsidRDefault="001667C6" w:rsidP="001667C6">
      <w:pPr>
        <w:pStyle w:val="ListParagraph"/>
        <w:ind w:left="0"/>
        <w:rPr>
          <w:vertAlign w:val="superscript"/>
        </w:rPr>
      </w:pPr>
      <w:r>
        <w:t xml:space="preserve">Nicola </w:t>
      </w:r>
      <w:r w:rsidR="00BA2287">
        <w:t xml:space="preserve">Firman </w:t>
      </w:r>
      <w:r w:rsidR="004C2481">
        <w:t>(presenting author)</w:t>
      </w:r>
      <w:r>
        <w:rPr>
          <w:vertAlign w:val="superscript"/>
        </w:rPr>
        <w:t>1</w:t>
      </w:r>
    </w:p>
    <w:p w14:paraId="519AD78C" w14:textId="6D136105" w:rsidR="001667C6" w:rsidRPr="00CB374C" w:rsidRDefault="004C2481" w:rsidP="001667C6">
      <w:pPr>
        <w:pStyle w:val="ListParagraph"/>
        <w:ind w:left="0"/>
        <w:rPr>
          <w:vertAlign w:val="superscript"/>
        </w:rPr>
      </w:pPr>
      <w:r>
        <w:t xml:space="preserve">Prof </w:t>
      </w:r>
      <w:r w:rsidR="001667C6">
        <w:t>C</w:t>
      </w:r>
      <w:r>
        <w:t>arol Dezateux</w:t>
      </w:r>
      <w:r w:rsidR="001667C6">
        <w:rPr>
          <w:vertAlign w:val="superscript"/>
        </w:rPr>
        <w:t>1</w:t>
      </w:r>
    </w:p>
    <w:p w14:paraId="4CB631E9" w14:textId="5C3EF9BF" w:rsidR="001667C6" w:rsidRDefault="004C2481" w:rsidP="001667C6">
      <w:pPr>
        <w:pStyle w:val="ListParagraph"/>
        <w:ind w:left="0"/>
        <w:rPr>
          <w:vertAlign w:val="superscript"/>
        </w:rPr>
      </w:pPr>
      <w:r>
        <w:t>Alexander Miller</w:t>
      </w:r>
      <w:r w:rsidR="001667C6">
        <w:rPr>
          <w:vertAlign w:val="superscript"/>
        </w:rPr>
        <w:t>2</w:t>
      </w:r>
    </w:p>
    <w:p w14:paraId="4F0A424A" w14:textId="49E01DE3" w:rsidR="001667C6" w:rsidRDefault="001667C6" w:rsidP="001667C6">
      <w:pPr>
        <w:pStyle w:val="ListParagraph"/>
        <w:ind w:left="0"/>
        <w:rPr>
          <w:vertAlign w:val="superscript"/>
        </w:rPr>
      </w:pPr>
      <w:r>
        <w:t>Simon Twite</w:t>
      </w:r>
      <w:r>
        <w:rPr>
          <w:vertAlign w:val="superscript"/>
        </w:rPr>
        <w:t>3</w:t>
      </w:r>
    </w:p>
    <w:p w14:paraId="35E75FAA" w14:textId="65D8B15C" w:rsidR="004C2481" w:rsidRDefault="004C2481" w:rsidP="001667C6">
      <w:pPr>
        <w:pStyle w:val="ListParagraph"/>
        <w:ind w:left="0"/>
        <w:rPr>
          <w:vertAlign w:val="superscript"/>
        </w:rPr>
      </w:pPr>
      <w:r>
        <w:t>Mark Tyrie</w:t>
      </w:r>
      <w:r>
        <w:rPr>
          <w:vertAlign w:val="superscript"/>
        </w:rPr>
        <w:t>4</w:t>
      </w:r>
    </w:p>
    <w:p w14:paraId="4518FA73" w14:textId="2CCB2D79" w:rsidR="004C2481" w:rsidRDefault="00E64598" w:rsidP="001667C6">
      <w:pPr>
        <w:pStyle w:val="ListParagraph"/>
        <w:ind w:left="0"/>
        <w:rPr>
          <w:vertAlign w:val="superscript"/>
        </w:rPr>
      </w:pPr>
      <w:r>
        <w:t>M</w:t>
      </w:r>
      <w:r w:rsidR="004C2481">
        <w:t>r Mohamm</w:t>
      </w:r>
      <w:r>
        <w:t>e</w:t>
      </w:r>
      <w:r w:rsidR="004C2481">
        <w:t xml:space="preserve">d </w:t>
      </w:r>
      <w:r>
        <w:t xml:space="preserve">T </w:t>
      </w:r>
      <w:r w:rsidR="004C2481">
        <w:t>Hudda</w:t>
      </w:r>
      <w:r w:rsidR="004C2481">
        <w:rPr>
          <w:vertAlign w:val="superscript"/>
        </w:rPr>
        <w:t>5</w:t>
      </w:r>
    </w:p>
    <w:p w14:paraId="5ACFCCBB" w14:textId="5C517E48" w:rsidR="004C2481" w:rsidRPr="004C2481" w:rsidRDefault="004C2481" w:rsidP="001667C6">
      <w:pPr>
        <w:pStyle w:val="ListParagraph"/>
        <w:ind w:left="0"/>
        <w:rPr>
          <w:vertAlign w:val="superscript"/>
        </w:rPr>
      </w:pPr>
      <w:r>
        <w:t>Prof Peter Whincup</w:t>
      </w:r>
      <w:r>
        <w:rPr>
          <w:vertAlign w:val="superscript"/>
        </w:rPr>
        <w:t>5</w:t>
      </w:r>
    </w:p>
    <w:p w14:paraId="76DD3393" w14:textId="3C0281BA" w:rsidR="004C2481" w:rsidRPr="00CB374C" w:rsidRDefault="004C2481" w:rsidP="004C2481">
      <w:pPr>
        <w:pStyle w:val="ListParagraph"/>
        <w:ind w:left="0"/>
        <w:rPr>
          <w:vertAlign w:val="superscript"/>
        </w:rPr>
      </w:pPr>
      <w:r>
        <w:t>Dr John Robson</w:t>
      </w:r>
      <w:r>
        <w:rPr>
          <w:vertAlign w:val="superscript"/>
        </w:rPr>
        <w:t>1</w:t>
      </w:r>
    </w:p>
    <w:p w14:paraId="6062B4B1" w14:textId="77777777" w:rsidR="00A60029" w:rsidRPr="00CB374C" w:rsidRDefault="00A60029" w:rsidP="00A60029">
      <w:pPr>
        <w:pStyle w:val="ListParagraph"/>
        <w:ind w:left="0"/>
        <w:rPr>
          <w:vertAlign w:val="superscript"/>
        </w:rPr>
      </w:pPr>
      <w:r>
        <w:t>Dr Kambiz Boomla</w:t>
      </w:r>
      <w:r>
        <w:rPr>
          <w:vertAlign w:val="superscript"/>
        </w:rPr>
        <w:t>1</w:t>
      </w:r>
    </w:p>
    <w:p w14:paraId="1E69C418" w14:textId="77777777" w:rsidR="001667C6" w:rsidRDefault="001667C6" w:rsidP="001667C6">
      <w:pPr>
        <w:pStyle w:val="ListParagraph"/>
        <w:ind w:left="0"/>
      </w:pPr>
    </w:p>
    <w:p w14:paraId="1073B3E8" w14:textId="4074575E" w:rsidR="001667C6" w:rsidRDefault="001667C6" w:rsidP="001667C6">
      <w:pPr>
        <w:pStyle w:val="ListParagraph"/>
        <w:ind w:left="0"/>
      </w:pPr>
      <w:r>
        <w:rPr>
          <w:vertAlign w:val="superscript"/>
        </w:rPr>
        <w:t xml:space="preserve">1 </w:t>
      </w:r>
      <w:r>
        <w:t>Centre for Primary Care &amp; Public Health</w:t>
      </w:r>
      <w:r w:rsidR="004C2481">
        <w:t xml:space="preserve">, </w:t>
      </w:r>
      <w:r w:rsidR="00AB45F8">
        <w:t xml:space="preserve">Barts and The London School of Medicine and Dentistry, </w:t>
      </w:r>
      <w:r w:rsidR="004C2481">
        <w:t>Q</w:t>
      </w:r>
      <w:r w:rsidR="00A60029">
        <w:t xml:space="preserve">ueen </w:t>
      </w:r>
      <w:r w:rsidR="004C2481">
        <w:t>M</w:t>
      </w:r>
      <w:r w:rsidR="00A60029">
        <w:t xml:space="preserve">ary, University </w:t>
      </w:r>
      <w:r w:rsidR="004C2481">
        <w:t>London</w:t>
      </w:r>
      <w:r w:rsidR="00A60029">
        <w:t>, London, UK</w:t>
      </w:r>
    </w:p>
    <w:p w14:paraId="313FCF16" w14:textId="77777777" w:rsidR="001667C6" w:rsidRDefault="001667C6" w:rsidP="001667C6">
      <w:pPr>
        <w:pStyle w:val="ListParagraph"/>
        <w:ind w:left="0"/>
      </w:pPr>
    </w:p>
    <w:p w14:paraId="77277A47" w14:textId="4A48948A" w:rsidR="001667C6" w:rsidRPr="00595FE1" w:rsidRDefault="001667C6" w:rsidP="001667C6">
      <w:pPr>
        <w:pStyle w:val="ListParagraph"/>
        <w:ind w:left="0"/>
      </w:pPr>
      <w:r>
        <w:rPr>
          <w:vertAlign w:val="superscript"/>
        </w:rPr>
        <w:t>2</w:t>
      </w:r>
      <w:r w:rsidRPr="00CB374C">
        <w:t xml:space="preserve"> Public Health Team</w:t>
      </w:r>
      <w:r w:rsidR="004C2481">
        <w:t xml:space="preserve">, London Borough of City &amp; Hackney, </w:t>
      </w:r>
      <w:r w:rsidRPr="00CB374C">
        <w:t>London</w:t>
      </w:r>
      <w:r w:rsidR="00A60029">
        <w:t>, UK</w:t>
      </w:r>
      <w:r w:rsidRPr="00CB374C">
        <w:t xml:space="preserve"> </w:t>
      </w:r>
    </w:p>
    <w:p w14:paraId="408AF313" w14:textId="03613BB3" w:rsidR="001667C6" w:rsidRDefault="001667C6" w:rsidP="001667C6">
      <w:pPr>
        <w:pStyle w:val="ListParagraph"/>
        <w:ind w:left="0"/>
      </w:pPr>
    </w:p>
    <w:p w14:paraId="443BED1C" w14:textId="473CA383" w:rsidR="001667C6" w:rsidRDefault="001667C6" w:rsidP="001667C6">
      <w:pPr>
        <w:pStyle w:val="ListParagraph"/>
        <w:ind w:left="0"/>
      </w:pPr>
      <w:r>
        <w:rPr>
          <w:vertAlign w:val="superscript"/>
        </w:rPr>
        <w:t>3</w:t>
      </w:r>
      <w:r w:rsidRPr="001667C6">
        <w:t xml:space="preserve"> Public Health Team</w:t>
      </w:r>
      <w:r w:rsidR="004C2481">
        <w:t xml:space="preserve">, London Borough of Tower Hamlets, </w:t>
      </w:r>
      <w:r w:rsidRPr="001667C6">
        <w:t>London</w:t>
      </w:r>
      <w:r w:rsidR="00A60029">
        <w:t>, UK</w:t>
      </w:r>
      <w:r w:rsidRPr="001667C6">
        <w:t xml:space="preserve"> </w:t>
      </w:r>
    </w:p>
    <w:p w14:paraId="1305F181" w14:textId="660E8EAB" w:rsidR="004C2481" w:rsidRDefault="004C2481" w:rsidP="001667C6">
      <w:pPr>
        <w:pStyle w:val="ListParagraph"/>
        <w:ind w:left="0"/>
      </w:pPr>
    </w:p>
    <w:p w14:paraId="578427C9" w14:textId="7C59C156" w:rsidR="004C2481" w:rsidRPr="004C2481" w:rsidRDefault="004C2481" w:rsidP="001667C6">
      <w:pPr>
        <w:pStyle w:val="ListParagraph"/>
        <w:ind w:left="0"/>
      </w:pPr>
      <w:r>
        <w:rPr>
          <w:vertAlign w:val="superscript"/>
        </w:rPr>
        <w:t xml:space="preserve">4 </w:t>
      </w:r>
      <w:r>
        <w:t>Public Health Team, London Borough of Newham, London</w:t>
      </w:r>
      <w:r w:rsidR="00A60029">
        <w:t>, UK</w:t>
      </w:r>
    </w:p>
    <w:p w14:paraId="2F08B2D3" w14:textId="7BC11C7E" w:rsidR="004C2481" w:rsidRDefault="004C2481" w:rsidP="001667C6">
      <w:pPr>
        <w:pStyle w:val="ListParagraph"/>
        <w:ind w:left="0"/>
      </w:pPr>
    </w:p>
    <w:p w14:paraId="3A6F17CB" w14:textId="12F7394A" w:rsidR="004C2481" w:rsidRPr="001667C6" w:rsidRDefault="004C2481" w:rsidP="001667C6">
      <w:pPr>
        <w:pStyle w:val="ListParagraph"/>
        <w:ind w:left="0"/>
      </w:pPr>
      <w:r>
        <w:rPr>
          <w:vertAlign w:val="superscript"/>
        </w:rPr>
        <w:t xml:space="preserve">5 </w:t>
      </w:r>
      <w:r>
        <w:t>Population Health Research Institute, St George's, University of London, London, UK</w:t>
      </w:r>
    </w:p>
    <w:p w14:paraId="6472FDBC" w14:textId="77777777" w:rsidR="0042074E" w:rsidRDefault="0042074E" w:rsidP="001667C6">
      <w:pPr>
        <w:pStyle w:val="ListParagraph"/>
        <w:ind w:left="0"/>
      </w:pPr>
    </w:p>
    <w:p w14:paraId="2A7D13A1" w14:textId="77777777" w:rsidR="0042074E" w:rsidRPr="00B67107" w:rsidRDefault="0042074E" w:rsidP="0042074E">
      <w:pPr>
        <w:rPr>
          <w:rFonts w:cs="Arial"/>
          <w:color w:val="000000"/>
        </w:rPr>
      </w:pPr>
      <w:r w:rsidRPr="00B67107">
        <w:rPr>
          <w:rFonts w:cs="Arial"/>
          <w:color w:val="000000"/>
        </w:rPr>
        <w:t>Key words:</w:t>
      </w:r>
    </w:p>
    <w:p w14:paraId="3E191D9A" w14:textId="77777777" w:rsidR="001667C6" w:rsidRPr="006F1001" w:rsidRDefault="001667C6" w:rsidP="001667C6">
      <w:r>
        <w:t>Childhood</w:t>
      </w:r>
    </w:p>
    <w:p w14:paraId="1B66C468" w14:textId="7780593E" w:rsidR="0042074E" w:rsidRDefault="006B2064" w:rsidP="0042074E">
      <w:r>
        <w:t>Obesity</w:t>
      </w:r>
    </w:p>
    <w:p w14:paraId="40B0E0E4" w14:textId="1A5AFDE6" w:rsidR="006B2064" w:rsidRDefault="006B2064" w:rsidP="0042074E">
      <w:r>
        <w:t>Ethnic</w:t>
      </w:r>
      <w:r w:rsidR="00A60029">
        <w:t xml:space="preserve"> Groups</w:t>
      </w:r>
    </w:p>
    <w:p w14:paraId="5089971B" w14:textId="77777777" w:rsidR="0042074E" w:rsidRDefault="0042074E"/>
    <w:p w14:paraId="6E6453F8" w14:textId="180D8680" w:rsidR="0042074E" w:rsidRDefault="0042074E">
      <w:pPr>
        <w:rPr>
          <w:b/>
        </w:rPr>
      </w:pPr>
      <w:r>
        <w:rPr>
          <w:b/>
        </w:rPr>
        <w:br w:type="page"/>
      </w:r>
    </w:p>
    <w:p w14:paraId="59ED9991" w14:textId="099C540D" w:rsidR="00F13AFA" w:rsidRDefault="002C78DD">
      <w:pPr>
        <w:rPr>
          <w:b/>
        </w:rPr>
      </w:pPr>
      <w:r>
        <w:rPr>
          <w:b/>
        </w:rPr>
        <w:lastRenderedPageBreak/>
        <w:t xml:space="preserve">How does </w:t>
      </w:r>
      <w:r w:rsidR="00F13AFA">
        <w:rPr>
          <w:b/>
        </w:rPr>
        <w:t xml:space="preserve">ethnic adjustment </w:t>
      </w:r>
      <w:r>
        <w:rPr>
          <w:b/>
        </w:rPr>
        <w:t xml:space="preserve">of </w:t>
      </w:r>
      <w:r w:rsidRPr="002024C9">
        <w:rPr>
          <w:b/>
        </w:rPr>
        <w:t xml:space="preserve">childhood </w:t>
      </w:r>
      <w:r w:rsidR="00F13AFA" w:rsidRPr="002024C9">
        <w:rPr>
          <w:b/>
        </w:rPr>
        <w:t>BMI</w:t>
      </w:r>
      <w:r w:rsidR="00F13AFA">
        <w:rPr>
          <w:b/>
        </w:rPr>
        <w:t xml:space="preserve"> </w:t>
      </w:r>
      <w:r w:rsidR="00D87572">
        <w:rPr>
          <w:b/>
        </w:rPr>
        <w:t xml:space="preserve">change obesity </w:t>
      </w:r>
      <w:r>
        <w:rPr>
          <w:b/>
        </w:rPr>
        <w:t xml:space="preserve">prevalence </w:t>
      </w:r>
      <w:r w:rsidR="00F13AFA">
        <w:rPr>
          <w:b/>
        </w:rPr>
        <w:t xml:space="preserve">in inner London </w:t>
      </w:r>
      <w:r w:rsidR="005B7E71">
        <w:rPr>
          <w:b/>
        </w:rPr>
        <w:t>boroughs</w:t>
      </w:r>
      <w:r>
        <w:rPr>
          <w:b/>
        </w:rPr>
        <w:t xml:space="preserve"> </w:t>
      </w:r>
      <w:r w:rsidR="00E64598">
        <w:rPr>
          <w:b/>
        </w:rPr>
        <w:t>with</w:t>
      </w:r>
      <w:r>
        <w:rPr>
          <w:b/>
        </w:rPr>
        <w:t xml:space="preserve"> high ethnic diversity: analysis using National Child Measurement Programme data for 2015-2017</w:t>
      </w:r>
    </w:p>
    <w:p w14:paraId="19F653D9" w14:textId="77777777" w:rsidR="0042074E" w:rsidRPr="0042074E" w:rsidRDefault="0042074E">
      <w:pPr>
        <w:rPr>
          <w:b/>
        </w:rPr>
      </w:pPr>
      <w:r>
        <w:rPr>
          <w:b/>
        </w:rPr>
        <w:t>Background</w:t>
      </w:r>
    </w:p>
    <w:p w14:paraId="6FA15BC6" w14:textId="07F13BCD" w:rsidR="00EC37D8" w:rsidRDefault="007E70CA" w:rsidP="00EC37D8">
      <w:r>
        <w:t>M</w:t>
      </w:r>
      <w:r w:rsidR="000C6491">
        <w:t xml:space="preserve">ethods for ethnic adjustment of BMI </w:t>
      </w:r>
      <w:r w:rsidR="0082745F">
        <w:t>are available</w:t>
      </w:r>
      <w:r w:rsidR="000C6491">
        <w:t xml:space="preserve"> but not currently used in t</w:t>
      </w:r>
      <w:r w:rsidR="002B206A">
        <w:t>he National Child Measurement Programme (NCMP)</w:t>
      </w:r>
      <w:r>
        <w:t xml:space="preserve">. </w:t>
      </w:r>
      <w:r w:rsidR="002C78DD">
        <w:t xml:space="preserve">We </w:t>
      </w:r>
      <w:r w:rsidR="00D40652">
        <w:t>evaluate</w:t>
      </w:r>
      <w:r>
        <w:t>d</w:t>
      </w:r>
      <w:r w:rsidR="00D40652">
        <w:t xml:space="preserve"> the effect of ethnic</w:t>
      </w:r>
      <w:r w:rsidR="00E64598">
        <w:t>-specific BMI</w:t>
      </w:r>
      <w:r w:rsidR="00D40652">
        <w:t xml:space="preserve"> adjustment</w:t>
      </w:r>
      <w:r w:rsidR="00E64598">
        <w:t>s</w:t>
      </w:r>
      <w:r>
        <w:t xml:space="preserve"> </w:t>
      </w:r>
      <w:r w:rsidR="00D40652">
        <w:t>on the prevalence of</w:t>
      </w:r>
      <w:r>
        <w:t xml:space="preserve"> </w:t>
      </w:r>
      <w:r w:rsidR="00D40652">
        <w:t>obesity and severe obesity</w:t>
      </w:r>
      <w:r w:rsidR="00DF4E34">
        <w:t>, using cut-offs to identify children</w:t>
      </w:r>
      <w:r w:rsidR="00D40652">
        <w:t xml:space="preserve"> </w:t>
      </w:r>
      <w:r w:rsidR="0082745F">
        <w:t>po</w:t>
      </w:r>
      <w:r w:rsidR="004B7484">
        <w:t>tentially</w:t>
      </w:r>
      <w:r w:rsidR="0082745F">
        <w:t xml:space="preserve"> </w:t>
      </w:r>
      <w:r w:rsidR="00D40652">
        <w:t>need</w:t>
      </w:r>
      <w:r w:rsidR="0082745F">
        <w:t>ing</w:t>
      </w:r>
      <w:r w:rsidR="00D40652">
        <w:t xml:space="preserve"> clinical intervention</w:t>
      </w:r>
      <w:r w:rsidR="00DF4E34">
        <w:t>,</w:t>
      </w:r>
      <w:r w:rsidR="00D40652">
        <w:t xml:space="preserve"> in </w:t>
      </w:r>
      <w:r>
        <w:t xml:space="preserve">three </w:t>
      </w:r>
      <w:r w:rsidR="00D40652">
        <w:t>inner London</w:t>
      </w:r>
      <w:r>
        <w:t xml:space="preserve"> Boroughs</w:t>
      </w:r>
      <w:r w:rsidR="00CB1438">
        <w:t xml:space="preserve"> with high obesity prevalence and ethnic diversity</w:t>
      </w:r>
      <w:r w:rsidR="00D40652">
        <w:t xml:space="preserve">. </w:t>
      </w:r>
    </w:p>
    <w:p w14:paraId="5B506DB3" w14:textId="07C0D3B9" w:rsidR="00290CE4" w:rsidRPr="002251C8" w:rsidRDefault="00290CE4">
      <w:pPr>
        <w:rPr>
          <w:b/>
        </w:rPr>
      </w:pPr>
      <w:r w:rsidRPr="002251C8">
        <w:rPr>
          <w:b/>
        </w:rPr>
        <w:t>Methods</w:t>
      </w:r>
    </w:p>
    <w:p w14:paraId="76D35F67" w14:textId="23CA7FE3" w:rsidR="00EC37D8" w:rsidRDefault="002C78DD" w:rsidP="00EC37D8">
      <w:r>
        <w:t xml:space="preserve">We analysed </w:t>
      </w:r>
      <w:r w:rsidR="00D53D2C">
        <w:t xml:space="preserve">de-personalised NCMP </w:t>
      </w:r>
      <w:r>
        <w:t xml:space="preserve">data for 21,126 </w:t>
      </w:r>
      <w:r w:rsidR="00A80D1D">
        <w:t xml:space="preserve">(10,348 girls) </w:t>
      </w:r>
      <w:r w:rsidR="00D40652">
        <w:t>five</w:t>
      </w:r>
      <w:r w:rsidR="00150C73">
        <w:t xml:space="preserve"> </w:t>
      </w:r>
      <w:r w:rsidR="00D40652">
        <w:t>year</w:t>
      </w:r>
      <w:r w:rsidR="00150C73">
        <w:t>-</w:t>
      </w:r>
      <w:r>
        <w:t>olds (</w:t>
      </w:r>
      <w:r w:rsidR="00EC37D8">
        <w:t>5,463</w:t>
      </w:r>
      <w:r w:rsidR="000372C5">
        <w:t>, 9,065</w:t>
      </w:r>
      <w:r w:rsidR="00EC37D8">
        <w:t xml:space="preserve"> an</w:t>
      </w:r>
      <w:r w:rsidR="000372C5">
        <w:t>d 6,598</w:t>
      </w:r>
      <w:r w:rsidR="008552E9">
        <w:t xml:space="preserve"> </w:t>
      </w:r>
      <w:r>
        <w:t>respectively in City &amp; Hackney</w:t>
      </w:r>
      <w:r w:rsidR="00CB1438">
        <w:t>,</w:t>
      </w:r>
      <w:r>
        <w:t xml:space="preserve"> Newham and Tower Hamlets</w:t>
      </w:r>
      <w:r w:rsidR="00CB1438">
        <w:t>)</w:t>
      </w:r>
      <w:r>
        <w:t xml:space="preserve"> </w:t>
      </w:r>
      <w:r w:rsidR="00EC37D8">
        <w:t xml:space="preserve">and </w:t>
      </w:r>
      <w:r w:rsidR="00D40652">
        <w:t xml:space="preserve">19,024 </w:t>
      </w:r>
      <w:r w:rsidR="00A80D1D">
        <w:t xml:space="preserve">(9,361 girls) </w:t>
      </w:r>
      <w:r w:rsidR="00150C73">
        <w:t>11 year-</w:t>
      </w:r>
      <w:r w:rsidR="00D53D2C">
        <w:t>olds (</w:t>
      </w:r>
      <w:r w:rsidR="00EC37D8">
        <w:t>4,865</w:t>
      </w:r>
      <w:r w:rsidR="000372C5">
        <w:t>, 8,274 and 5,885</w:t>
      </w:r>
      <w:r w:rsidR="00D53D2C">
        <w:t xml:space="preserve">) for </w:t>
      </w:r>
      <w:r w:rsidR="0082745F">
        <w:t xml:space="preserve">the </w:t>
      </w:r>
      <w:r w:rsidR="00112F42">
        <w:t xml:space="preserve">school years </w:t>
      </w:r>
      <w:r w:rsidR="00EC37D8">
        <w:t>2015</w:t>
      </w:r>
      <w:r w:rsidR="001E0EF9">
        <w:t>-1</w:t>
      </w:r>
      <w:r w:rsidR="00112F42">
        <w:t>6 and 2016-1</w:t>
      </w:r>
      <w:r w:rsidR="001E0EF9">
        <w:t>7</w:t>
      </w:r>
      <w:r w:rsidR="00C2463D">
        <w:t xml:space="preserve">. </w:t>
      </w:r>
      <w:r w:rsidR="008552E9">
        <w:t xml:space="preserve">We </w:t>
      </w:r>
      <w:r w:rsidR="00D53D2C">
        <w:t>estimated</w:t>
      </w:r>
      <w:r w:rsidR="00D40652">
        <w:t>,</w:t>
      </w:r>
      <w:r w:rsidR="00D53D2C">
        <w:t xml:space="preserve"> for each </w:t>
      </w:r>
      <w:r w:rsidR="00CB1438">
        <w:t>borough</w:t>
      </w:r>
      <w:r w:rsidR="00D40652">
        <w:t xml:space="preserve">, </w:t>
      </w:r>
      <w:bookmarkStart w:id="0" w:name="_Hlk507619280"/>
      <w:r w:rsidR="00D53D2C">
        <w:t xml:space="preserve">the </w:t>
      </w:r>
      <w:r w:rsidR="008552E9">
        <w:t xml:space="preserve">prevalence of obesity </w:t>
      </w:r>
      <w:r w:rsidR="00D40652">
        <w:t xml:space="preserve">(BMI centile </w:t>
      </w:r>
      <w:r w:rsidR="00D40652">
        <w:rPr>
          <w:rFonts w:cstheme="minorHAnsi"/>
        </w:rPr>
        <w:t>≥</w:t>
      </w:r>
      <w:r w:rsidR="00D40652">
        <w:t>98</w:t>
      </w:r>
      <w:r w:rsidR="00D40652" w:rsidRPr="008F627F">
        <w:rPr>
          <w:vertAlign w:val="superscript"/>
        </w:rPr>
        <w:t>th</w:t>
      </w:r>
      <w:r w:rsidR="00D40652">
        <w:t>)</w:t>
      </w:r>
      <w:r w:rsidR="00D40652" w:rsidDel="002C78DD">
        <w:t xml:space="preserve"> </w:t>
      </w:r>
      <w:r w:rsidR="00D40652">
        <w:t xml:space="preserve">and severe obesity (defined as </w:t>
      </w:r>
      <w:r w:rsidR="00D40652">
        <w:rPr>
          <w:rFonts w:cstheme="minorHAnsi"/>
        </w:rPr>
        <w:t>≥</w:t>
      </w:r>
      <w:r w:rsidR="00D40652">
        <w:t>120% of the 95</w:t>
      </w:r>
      <w:r w:rsidR="00D40652" w:rsidRPr="00047A4D">
        <w:rPr>
          <w:vertAlign w:val="superscript"/>
        </w:rPr>
        <w:t>th</w:t>
      </w:r>
      <w:r w:rsidR="00D40652">
        <w:t xml:space="preserve"> centile) </w:t>
      </w:r>
      <w:r w:rsidR="00E64598">
        <w:t>based on unadjusted and ethnic-adjusted BMI</w:t>
      </w:r>
      <w:r w:rsidR="008552E9">
        <w:t xml:space="preserve"> </w:t>
      </w:r>
      <w:r w:rsidR="00D53D2C">
        <w:t xml:space="preserve">using </w:t>
      </w:r>
      <w:r w:rsidR="00E64598">
        <w:t xml:space="preserve">ethnic-specific BMI adjustments </w:t>
      </w:r>
      <w:r w:rsidR="00D53D2C">
        <w:t xml:space="preserve">for South Asian and Black ethnicity </w:t>
      </w:r>
      <w:r w:rsidR="00E64598">
        <w:t>children</w:t>
      </w:r>
      <w:r w:rsidR="006E7F2A">
        <w:t>,</w:t>
      </w:r>
      <w:r w:rsidR="00E64598">
        <w:t xml:space="preserve"> </w:t>
      </w:r>
      <w:bookmarkEnd w:id="0"/>
      <w:r w:rsidR="00D40652">
        <w:t xml:space="preserve">developed </w:t>
      </w:r>
      <w:r w:rsidR="00D53D2C">
        <w:t>by Hudda</w:t>
      </w:r>
      <w:r w:rsidR="007165D7">
        <w:t xml:space="preserve"> </w:t>
      </w:r>
      <w:r w:rsidR="007165D7" w:rsidRPr="00A60029">
        <w:rPr>
          <w:i/>
        </w:rPr>
        <w:t>et al</w:t>
      </w:r>
      <w:r w:rsidR="003B1EE0">
        <w:t xml:space="preserve">. </w:t>
      </w:r>
      <w:bookmarkStart w:id="1" w:name="_Hlk507619524"/>
      <w:r w:rsidR="003B1EE0">
        <w:t xml:space="preserve">These add </w:t>
      </w:r>
      <w:r w:rsidR="00D53D2C">
        <w:t>~1.1kg/m</w:t>
      </w:r>
      <w:r w:rsidR="00D53D2C">
        <w:rPr>
          <w:vertAlign w:val="superscript"/>
        </w:rPr>
        <w:t>2</w:t>
      </w:r>
      <w:r w:rsidR="003B1EE0">
        <w:t xml:space="preserve"> to</w:t>
      </w:r>
      <w:r w:rsidR="0082745F">
        <w:t>,</w:t>
      </w:r>
      <w:r w:rsidR="00E64598">
        <w:t xml:space="preserve"> </w:t>
      </w:r>
      <w:r w:rsidR="003B1EE0">
        <w:t xml:space="preserve">and deduct </w:t>
      </w:r>
      <w:r w:rsidR="00E64598">
        <w:t xml:space="preserve">between </w:t>
      </w:r>
      <w:r w:rsidR="00D53D2C">
        <w:t xml:space="preserve">0.12 </w:t>
      </w:r>
      <w:r w:rsidR="00E64598">
        <w:t>and</w:t>
      </w:r>
      <w:r w:rsidR="00D53D2C">
        <w:t xml:space="preserve"> 5.52kg/m</w:t>
      </w:r>
      <w:r w:rsidR="00D53D2C">
        <w:rPr>
          <w:vertAlign w:val="superscript"/>
        </w:rPr>
        <w:t>2</w:t>
      </w:r>
      <w:r w:rsidR="003B1EE0">
        <w:t xml:space="preserve"> from</w:t>
      </w:r>
      <w:r w:rsidR="0082745F">
        <w:t xml:space="preserve">, the BMI of South Asian and </w:t>
      </w:r>
      <w:r w:rsidR="003B1EE0">
        <w:t>Black ethnic</w:t>
      </w:r>
      <w:r w:rsidR="00E64598">
        <w:t>ity children</w:t>
      </w:r>
      <w:r w:rsidR="0082745F">
        <w:t xml:space="preserve"> respectively</w:t>
      </w:r>
      <w:r w:rsidR="003B1EE0">
        <w:t>.</w:t>
      </w:r>
      <w:bookmarkEnd w:id="1"/>
      <w:r w:rsidR="003B1EE0">
        <w:t xml:space="preserve"> We report </w:t>
      </w:r>
      <w:r w:rsidR="00047A4D">
        <w:t xml:space="preserve">the net change in </w:t>
      </w:r>
      <w:r w:rsidR="00A60029">
        <w:t>number</w:t>
      </w:r>
      <w:r w:rsidR="00112F42">
        <w:t xml:space="preserve">s identified </w:t>
      </w:r>
      <w:r w:rsidR="004B7484">
        <w:t xml:space="preserve">for possible </w:t>
      </w:r>
      <w:r w:rsidR="007D4ADE">
        <w:t>clinical intervention</w:t>
      </w:r>
      <w:r w:rsidR="003B1EE0">
        <w:t xml:space="preserve"> over </w:t>
      </w:r>
      <w:r w:rsidR="00112F42">
        <w:t xml:space="preserve">both school </w:t>
      </w:r>
      <w:r w:rsidR="003B1EE0">
        <w:t>years</w:t>
      </w:r>
      <w:r w:rsidR="0082745F">
        <w:t xml:space="preserve"> and</w:t>
      </w:r>
      <w:r w:rsidR="003B1EE0">
        <w:t xml:space="preserve"> for both ages combined</w:t>
      </w:r>
      <w:r w:rsidR="00047A4D">
        <w:t>.</w:t>
      </w:r>
    </w:p>
    <w:p w14:paraId="414B2C7E" w14:textId="4CC39BB9" w:rsidR="00290CE4" w:rsidRDefault="00290CE4">
      <w:pPr>
        <w:rPr>
          <w:b/>
        </w:rPr>
      </w:pPr>
      <w:r w:rsidRPr="002559A1">
        <w:rPr>
          <w:b/>
        </w:rPr>
        <w:t>Results</w:t>
      </w:r>
    </w:p>
    <w:p w14:paraId="590A0888" w14:textId="03179BF1" w:rsidR="003750E4" w:rsidRPr="000F7EA3" w:rsidRDefault="00150C73">
      <w:r>
        <w:t>P</w:t>
      </w:r>
      <w:r w:rsidR="00D53D2C">
        <w:t>roportion</w:t>
      </w:r>
      <w:r w:rsidR="00D40652">
        <w:t>s</w:t>
      </w:r>
      <w:r w:rsidR="00D53D2C">
        <w:t xml:space="preserve"> of five </w:t>
      </w:r>
      <w:r w:rsidR="00D40652">
        <w:t xml:space="preserve">and </w:t>
      </w:r>
      <w:r w:rsidR="00705441">
        <w:t>eleven year-olds</w:t>
      </w:r>
      <w:r w:rsidR="00D53D2C">
        <w:t xml:space="preserve"> of S</w:t>
      </w:r>
      <w:r w:rsidR="00112F42">
        <w:t xml:space="preserve">outh </w:t>
      </w:r>
      <w:r w:rsidR="00D53D2C">
        <w:t>A</w:t>
      </w:r>
      <w:r w:rsidR="00112F42">
        <w:t>sian</w:t>
      </w:r>
      <w:r w:rsidR="00D53D2C">
        <w:t xml:space="preserve"> ethnicity </w:t>
      </w:r>
      <w:r w:rsidR="00D53D2C">
        <w:t xml:space="preserve">were </w:t>
      </w:r>
      <w:r w:rsidR="007E70CA">
        <w:t xml:space="preserve">highest </w:t>
      </w:r>
      <w:r w:rsidR="00D53D2C">
        <w:t xml:space="preserve">in </w:t>
      </w:r>
      <w:r w:rsidR="00CB1438">
        <w:t>Tower Hamlets</w:t>
      </w:r>
      <w:r w:rsidR="00D53D2C">
        <w:t xml:space="preserve"> (58.5%</w:t>
      </w:r>
      <w:r w:rsidR="00C97F46">
        <w:t>;</w:t>
      </w:r>
      <w:r w:rsidR="00D53D2C">
        <w:t xml:space="preserve"> 67.4% respectively) </w:t>
      </w:r>
      <w:r w:rsidR="00C97F46">
        <w:t>and N</w:t>
      </w:r>
      <w:r w:rsidR="002716A0">
        <w:t>ewham</w:t>
      </w:r>
      <w:r w:rsidR="00C97F46">
        <w:t xml:space="preserve"> </w:t>
      </w:r>
      <w:r w:rsidR="00D53D2C">
        <w:t>(39.1%</w:t>
      </w:r>
      <w:r w:rsidR="00C97F46">
        <w:t>;</w:t>
      </w:r>
      <w:r w:rsidR="00D53D2C">
        <w:t xml:space="preserve"> 30.</w:t>
      </w:r>
      <w:r w:rsidR="003D0A7E">
        <w:t>3</w:t>
      </w:r>
      <w:r w:rsidR="00D53D2C">
        <w:t>%)</w:t>
      </w:r>
      <w:r w:rsidR="00D40652">
        <w:t>,</w:t>
      </w:r>
      <w:r w:rsidR="00D53D2C">
        <w:t xml:space="preserve"> and </w:t>
      </w:r>
      <w:r w:rsidR="00C97F46">
        <w:t xml:space="preserve">lowest in </w:t>
      </w:r>
      <w:r w:rsidR="00CB1438">
        <w:t>City &amp; Hackney</w:t>
      </w:r>
      <w:r w:rsidR="00CB1438" w:rsidDel="00CB1438">
        <w:t xml:space="preserve"> </w:t>
      </w:r>
      <w:r w:rsidR="00C97F46">
        <w:t xml:space="preserve">(9.7%; 6.4%). </w:t>
      </w:r>
      <w:r>
        <w:t>E</w:t>
      </w:r>
      <w:r w:rsidR="007E70CA">
        <w:t xml:space="preserve">quivalent </w:t>
      </w:r>
      <w:r w:rsidR="00C97F46">
        <w:t>proportion</w:t>
      </w:r>
      <w:r w:rsidR="00D40652">
        <w:t>s</w:t>
      </w:r>
      <w:r w:rsidR="00C97F46">
        <w:t xml:space="preserve"> of </w:t>
      </w:r>
      <w:r w:rsidR="00D40652">
        <w:t xml:space="preserve">children of </w:t>
      </w:r>
      <w:r w:rsidR="00C97F46">
        <w:t xml:space="preserve">Black ethnicity were </w:t>
      </w:r>
      <w:r w:rsidR="007E70CA">
        <w:t xml:space="preserve">highest </w:t>
      </w:r>
      <w:r w:rsidR="00C97F46">
        <w:t xml:space="preserve">in </w:t>
      </w:r>
      <w:r w:rsidR="00CB1438">
        <w:t>City &amp; Hackney</w:t>
      </w:r>
      <w:r w:rsidR="00CB1438" w:rsidDel="00CB1438">
        <w:t xml:space="preserve"> </w:t>
      </w:r>
      <w:r w:rsidR="00C97F46">
        <w:t>(29.6%; 22.0%) and N</w:t>
      </w:r>
      <w:r w:rsidR="00A60029">
        <w:t>ewham</w:t>
      </w:r>
      <w:r w:rsidR="00C97F46">
        <w:t xml:space="preserve"> (16.5%; 13.6%)</w:t>
      </w:r>
      <w:r w:rsidR="00D40652">
        <w:t xml:space="preserve">, and lowest in </w:t>
      </w:r>
      <w:r w:rsidR="00CB1438">
        <w:t xml:space="preserve">Tower Hamlets </w:t>
      </w:r>
      <w:r w:rsidR="007E70CA">
        <w:t>(</w:t>
      </w:r>
      <w:r w:rsidR="00C97F46">
        <w:t>8.3%;</w:t>
      </w:r>
      <w:r w:rsidR="00D40652">
        <w:t xml:space="preserve"> </w:t>
      </w:r>
      <w:r w:rsidR="00C97F46">
        <w:t>9.4%)</w:t>
      </w:r>
      <w:r w:rsidR="00D53D2C" w:rsidRPr="000F7EA3">
        <w:t>.</w:t>
      </w:r>
      <w:r w:rsidR="001F1BFE">
        <w:t xml:space="preserve"> </w:t>
      </w:r>
      <w:r w:rsidR="00C97F46">
        <w:t>Ethnic</w:t>
      </w:r>
      <w:r w:rsidR="00E64598">
        <w:t>-specific BMI</w:t>
      </w:r>
      <w:r w:rsidR="00C97F46">
        <w:t xml:space="preserve"> adjustment</w:t>
      </w:r>
      <w:r w:rsidR="00E64598">
        <w:t>s</w:t>
      </w:r>
      <w:r w:rsidR="00C97F46">
        <w:t xml:space="preserve"> increased the </w:t>
      </w:r>
      <w:r w:rsidR="007E70CA">
        <w:t xml:space="preserve">respective </w:t>
      </w:r>
      <w:r w:rsidR="00C97F46">
        <w:t>prevalence</w:t>
      </w:r>
      <w:r w:rsidR="007E70CA">
        <w:t>s</w:t>
      </w:r>
      <w:r w:rsidR="00C97F46">
        <w:t xml:space="preserve"> of obesity and severe obesity in </w:t>
      </w:r>
      <w:r w:rsidR="00CB1438">
        <w:t xml:space="preserve">Tower Hamlets </w:t>
      </w:r>
      <w:r w:rsidR="00C97F46">
        <w:t>from 6.7% and 1.</w:t>
      </w:r>
      <w:r w:rsidR="00850C12">
        <w:t>7</w:t>
      </w:r>
      <w:r w:rsidR="004C2481">
        <w:t xml:space="preserve">% to 8.1% and 2.5% </w:t>
      </w:r>
      <w:r>
        <w:t>at age five</w:t>
      </w:r>
      <w:r w:rsidR="000F7EA3">
        <w:t xml:space="preserve">, </w:t>
      </w:r>
      <w:r w:rsidR="00C97F46">
        <w:t>and from 11.2% and 6.9% to 11.9% and 8.6% at age 11</w:t>
      </w:r>
      <w:r w:rsidR="00D87572">
        <w:t xml:space="preserve">, </w:t>
      </w:r>
      <w:r w:rsidR="00C97F46">
        <w:t xml:space="preserve">a net increase of </w:t>
      </w:r>
      <w:r w:rsidR="00D87572">
        <w:t>133</w:t>
      </w:r>
      <w:r w:rsidR="00850C12">
        <w:t xml:space="preserve"> </w:t>
      </w:r>
      <w:r w:rsidR="00C97F46">
        <w:t xml:space="preserve">obese and </w:t>
      </w:r>
      <w:r w:rsidR="00D87572">
        <w:t xml:space="preserve">154 </w:t>
      </w:r>
      <w:r w:rsidR="004C2481">
        <w:t xml:space="preserve">severely obese children. </w:t>
      </w:r>
      <w:r w:rsidR="0027041D">
        <w:t>Equivalent p</w:t>
      </w:r>
      <w:r w:rsidR="00850C12">
        <w:t xml:space="preserve">revalences in </w:t>
      </w:r>
      <w:r w:rsidR="00CB1438">
        <w:t>City &amp; Hackney</w:t>
      </w:r>
      <w:r w:rsidR="00CB1438" w:rsidDel="00CB1438">
        <w:t xml:space="preserve"> </w:t>
      </w:r>
      <w:r w:rsidR="00D40652">
        <w:t xml:space="preserve">fell </w:t>
      </w:r>
      <w:r w:rsidR="00E64598">
        <w:t xml:space="preserve">after </w:t>
      </w:r>
      <w:r w:rsidR="00850C12">
        <w:t xml:space="preserve">ethnic adjustment, from 6.7% and 1.8% to 5.2% and 1.4% at </w:t>
      </w:r>
      <w:r w:rsidR="003D0A7E">
        <w:t>age five, and from 10.7% and 8.8</w:t>
      </w:r>
      <w:r w:rsidR="00850C12">
        <w:t>% to 9.4% and 7.7% at age 11</w:t>
      </w:r>
      <w:r w:rsidR="00705441">
        <w:t>,</w:t>
      </w:r>
      <w:r w:rsidR="00850C12">
        <w:t xml:space="preserve"> a net decrease </w:t>
      </w:r>
      <w:r w:rsidR="00D87572">
        <w:t xml:space="preserve">of 145 </w:t>
      </w:r>
      <w:r w:rsidR="00850C12">
        <w:t xml:space="preserve">obese and </w:t>
      </w:r>
      <w:r w:rsidR="00D87572">
        <w:t xml:space="preserve">74 </w:t>
      </w:r>
      <w:r w:rsidR="004C2481">
        <w:t xml:space="preserve">severely obese children. </w:t>
      </w:r>
      <w:bookmarkStart w:id="2" w:name="_Hlk507619233"/>
      <w:r w:rsidR="00850C12">
        <w:t xml:space="preserve">Prevalence estimates </w:t>
      </w:r>
      <w:r w:rsidR="00E64598">
        <w:t xml:space="preserve">before </w:t>
      </w:r>
      <w:r w:rsidR="00850C12">
        <w:t xml:space="preserve">and </w:t>
      </w:r>
      <w:r w:rsidR="00E64598">
        <w:t xml:space="preserve">after </w:t>
      </w:r>
      <w:r w:rsidR="00850C12">
        <w:t xml:space="preserve">ethnic adjustment </w:t>
      </w:r>
      <w:r w:rsidR="00D40652">
        <w:t>in N</w:t>
      </w:r>
      <w:r w:rsidR="00A60029">
        <w:t>ewham</w:t>
      </w:r>
      <w:r w:rsidR="00D40652">
        <w:t xml:space="preserve"> </w:t>
      </w:r>
      <w:r w:rsidR="00850C12">
        <w:t>were broadly similar</w:t>
      </w:r>
      <w:r w:rsidR="007E70CA">
        <w:t xml:space="preserve">, resulting in </w:t>
      </w:r>
      <w:r w:rsidR="005A19A6">
        <w:t>three</w:t>
      </w:r>
      <w:r w:rsidR="00D87572">
        <w:t xml:space="preserve"> fewer </w:t>
      </w:r>
      <w:r w:rsidR="00850C12">
        <w:t xml:space="preserve">obese and </w:t>
      </w:r>
      <w:r w:rsidR="00D87572">
        <w:t xml:space="preserve">28 more </w:t>
      </w:r>
      <w:r w:rsidR="00850C12">
        <w:t xml:space="preserve">severely obese </w:t>
      </w:r>
      <w:r w:rsidR="00D87572">
        <w:t>children</w:t>
      </w:r>
      <w:r w:rsidR="00850C12">
        <w:t xml:space="preserve">. </w:t>
      </w:r>
      <w:bookmarkEnd w:id="2"/>
    </w:p>
    <w:p w14:paraId="6A474F0E" w14:textId="52964E76" w:rsidR="002B206A" w:rsidRDefault="002B206A">
      <w:pPr>
        <w:rPr>
          <w:b/>
        </w:rPr>
      </w:pPr>
      <w:r w:rsidRPr="008B1F5A">
        <w:rPr>
          <w:b/>
        </w:rPr>
        <w:t>Conclusion</w:t>
      </w:r>
    </w:p>
    <w:p w14:paraId="12EE628A" w14:textId="3CDCD51C" w:rsidR="00143806" w:rsidRDefault="00D87572" w:rsidP="00F93165">
      <w:bookmarkStart w:id="3" w:name="_GoBack"/>
      <w:r>
        <w:t>Adoption of ethnic-</w:t>
      </w:r>
      <w:r w:rsidR="007E70CA">
        <w:t xml:space="preserve">adjusted BMI in </w:t>
      </w:r>
      <w:r w:rsidR="0082745F">
        <w:t xml:space="preserve">ethnically diverse </w:t>
      </w:r>
      <w:r w:rsidR="007E70CA">
        <w:t xml:space="preserve">areas </w:t>
      </w:r>
      <w:r w:rsidR="001430E5">
        <w:t>alter</w:t>
      </w:r>
      <w:r w:rsidR="00112F42">
        <w:t>s</w:t>
      </w:r>
      <w:r w:rsidR="001430E5">
        <w:t xml:space="preserve"> </w:t>
      </w:r>
      <w:r w:rsidR="0082745F">
        <w:t xml:space="preserve">local </w:t>
      </w:r>
      <w:r w:rsidR="00112F42">
        <w:t xml:space="preserve">estimates of </w:t>
      </w:r>
      <w:r w:rsidR="001430E5">
        <w:t>childhood obesity</w:t>
      </w:r>
      <w:r w:rsidR="00112F42">
        <w:t xml:space="preserve">, avoids misclassification of children of South Asian and Black ethnicity, </w:t>
      </w:r>
      <w:r w:rsidR="00150C73">
        <w:t>and is essential</w:t>
      </w:r>
      <w:r w:rsidR="004B0B17">
        <w:t xml:space="preserve"> to</w:t>
      </w:r>
      <w:r w:rsidR="001430E5">
        <w:t xml:space="preserve"> </w:t>
      </w:r>
      <w:r>
        <w:t xml:space="preserve">support </w:t>
      </w:r>
      <w:r w:rsidR="0082745F">
        <w:t xml:space="preserve">clinical service </w:t>
      </w:r>
      <w:r>
        <w:t>planning and commissioning</w:t>
      </w:r>
      <w:r w:rsidR="007E70CA">
        <w:t xml:space="preserve">. </w:t>
      </w:r>
      <w:r w:rsidR="00E64598">
        <w:t>E</w:t>
      </w:r>
      <w:r w:rsidR="00221849">
        <w:t>thnic</w:t>
      </w:r>
      <w:r w:rsidR="00E64598">
        <w:t>-specific BMI</w:t>
      </w:r>
      <w:r w:rsidR="00221849">
        <w:t xml:space="preserve"> adjustment</w:t>
      </w:r>
      <w:r w:rsidR="00E64598">
        <w:t>s</w:t>
      </w:r>
      <w:r w:rsidR="00221849">
        <w:t xml:space="preserve"> </w:t>
      </w:r>
      <w:r w:rsidR="00705441">
        <w:t xml:space="preserve">for </w:t>
      </w:r>
      <w:r w:rsidR="00221849">
        <w:t xml:space="preserve">children </w:t>
      </w:r>
      <w:r w:rsidR="0082745F">
        <w:t xml:space="preserve">of </w:t>
      </w:r>
      <w:r w:rsidR="00221849">
        <w:t>mixed ethnic</w:t>
      </w:r>
      <w:r w:rsidR="0082745F">
        <w:t xml:space="preserve">ity </w:t>
      </w:r>
      <w:r w:rsidR="002024C9">
        <w:t>are</w:t>
      </w:r>
      <w:r w:rsidR="009766C1">
        <w:t xml:space="preserve"> needed.</w:t>
      </w:r>
      <w:bookmarkEnd w:id="3"/>
    </w:p>
    <w:sectPr w:rsidR="00143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4E"/>
    <w:rsid w:val="000372C5"/>
    <w:rsid w:val="00047A4D"/>
    <w:rsid w:val="00055092"/>
    <w:rsid w:val="00057087"/>
    <w:rsid w:val="00091090"/>
    <w:rsid w:val="000C6491"/>
    <w:rsid w:val="000F7EA3"/>
    <w:rsid w:val="00110015"/>
    <w:rsid w:val="00112F42"/>
    <w:rsid w:val="001430E5"/>
    <w:rsid w:val="00143806"/>
    <w:rsid w:val="001439F1"/>
    <w:rsid w:val="00146070"/>
    <w:rsid w:val="00150C73"/>
    <w:rsid w:val="001667C6"/>
    <w:rsid w:val="001877DB"/>
    <w:rsid w:val="001C1DA7"/>
    <w:rsid w:val="001E0EF9"/>
    <w:rsid w:val="001F1BFE"/>
    <w:rsid w:val="002024C9"/>
    <w:rsid w:val="00221849"/>
    <w:rsid w:val="002251C8"/>
    <w:rsid w:val="00225B8D"/>
    <w:rsid w:val="002559A1"/>
    <w:rsid w:val="002559F0"/>
    <w:rsid w:val="00261F84"/>
    <w:rsid w:val="0027041D"/>
    <w:rsid w:val="002716A0"/>
    <w:rsid w:val="00281827"/>
    <w:rsid w:val="00290CE4"/>
    <w:rsid w:val="002A2B5C"/>
    <w:rsid w:val="002B206A"/>
    <w:rsid w:val="002C78DD"/>
    <w:rsid w:val="002E1649"/>
    <w:rsid w:val="00302DEC"/>
    <w:rsid w:val="003750E4"/>
    <w:rsid w:val="00382201"/>
    <w:rsid w:val="00397324"/>
    <w:rsid w:val="003B1EE0"/>
    <w:rsid w:val="003C313B"/>
    <w:rsid w:val="003D0A7E"/>
    <w:rsid w:val="003E19FF"/>
    <w:rsid w:val="0040300E"/>
    <w:rsid w:val="0042074E"/>
    <w:rsid w:val="004449D5"/>
    <w:rsid w:val="004551EA"/>
    <w:rsid w:val="004850FC"/>
    <w:rsid w:val="004B0B17"/>
    <w:rsid w:val="004B7484"/>
    <w:rsid w:val="004B7522"/>
    <w:rsid w:val="004C2481"/>
    <w:rsid w:val="004C346D"/>
    <w:rsid w:val="004E0229"/>
    <w:rsid w:val="004E2905"/>
    <w:rsid w:val="004F1BC8"/>
    <w:rsid w:val="00512B7F"/>
    <w:rsid w:val="00536D8A"/>
    <w:rsid w:val="00571510"/>
    <w:rsid w:val="005A19A6"/>
    <w:rsid w:val="005B7E71"/>
    <w:rsid w:val="00655AAE"/>
    <w:rsid w:val="006646F3"/>
    <w:rsid w:val="006B2064"/>
    <w:rsid w:val="006C2B70"/>
    <w:rsid w:val="006E7F2A"/>
    <w:rsid w:val="006F618A"/>
    <w:rsid w:val="00705441"/>
    <w:rsid w:val="007165D7"/>
    <w:rsid w:val="00721A7D"/>
    <w:rsid w:val="00741C8C"/>
    <w:rsid w:val="00762DF1"/>
    <w:rsid w:val="0078092A"/>
    <w:rsid w:val="0079358D"/>
    <w:rsid w:val="007C51C9"/>
    <w:rsid w:val="007D4ADE"/>
    <w:rsid w:val="007E70CA"/>
    <w:rsid w:val="00811CA5"/>
    <w:rsid w:val="00820981"/>
    <w:rsid w:val="0082745F"/>
    <w:rsid w:val="0084423C"/>
    <w:rsid w:val="00850C12"/>
    <w:rsid w:val="008552E9"/>
    <w:rsid w:val="00885159"/>
    <w:rsid w:val="008B15A6"/>
    <w:rsid w:val="008B1F5A"/>
    <w:rsid w:val="008C72C8"/>
    <w:rsid w:val="008F627F"/>
    <w:rsid w:val="00902942"/>
    <w:rsid w:val="009518BE"/>
    <w:rsid w:val="009669F2"/>
    <w:rsid w:val="009766C1"/>
    <w:rsid w:val="00987C84"/>
    <w:rsid w:val="00A36FF3"/>
    <w:rsid w:val="00A60029"/>
    <w:rsid w:val="00A80D1D"/>
    <w:rsid w:val="00A83073"/>
    <w:rsid w:val="00A87B74"/>
    <w:rsid w:val="00AB45F8"/>
    <w:rsid w:val="00AB46E5"/>
    <w:rsid w:val="00AC62C5"/>
    <w:rsid w:val="00AE49A9"/>
    <w:rsid w:val="00AE7597"/>
    <w:rsid w:val="00AF65BD"/>
    <w:rsid w:val="00B45E87"/>
    <w:rsid w:val="00B676EB"/>
    <w:rsid w:val="00B87B6C"/>
    <w:rsid w:val="00B964A3"/>
    <w:rsid w:val="00BA2287"/>
    <w:rsid w:val="00BB434D"/>
    <w:rsid w:val="00C2463D"/>
    <w:rsid w:val="00C425FC"/>
    <w:rsid w:val="00C52BF3"/>
    <w:rsid w:val="00C9235C"/>
    <w:rsid w:val="00C97F46"/>
    <w:rsid w:val="00CB1438"/>
    <w:rsid w:val="00CF5DD7"/>
    <w:rsid w:val="00D016E7"/>
    <w:rsid w:val="00D11923"/>
    <w:rsid w:val="00D40652"/>
    <w:rsid w:val="00D466BB"/>
    <w:rsid w:val="00D53D2C"/>
    <w:rsid w:val="00D87572"/>
    <w:rsid w:val="00DC74E8"/>
    <w:rsid w:val="00DF4E34"/>
    <w:rsid w:val="00E40F74"/>
    <w:rsid w:val="00E64598"/>
    <w:rsid w:val="00EA0AA4"/>
    <w:rsid w:val="00EA0CAD"/>
    <w:rsid w:val="00EB1813"/>
    <w:rsid w:val="00EB7B41"/>
    <w:rsid w:val="00EC37D8"/>
    <w:rsid w:val="00EC4753"/>
    <w:rsid w:val="00F13AFA"/>
    <w:rsid w:val="00F26A8E"/>
    <w:rsid w:val="00F4072A"/>
    <w:rsid w:val="00F445A2"/>
    <w:rsid w:val="00F506D2"/>
    <w:rsid w:val="00F75615"/>
    <w:rsid w:val="00F92D6D"/>
    <w:rsid w:val="00F93165"/>
    <w:rsid w:val="00FA1563"/>
    <w:rsid w:val="00FA52C4"/>
    <w:rsid w:val="00FA6A19"/>
    <w:rsid w:val="00FC3676"/>
    <w:rsid w:val="00FD0577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4ADF"/>
  <w15:chartTrackingRefBased/>
  <w15:docId w15:val="{6BF4BCD0-C548-4A1B-BD1E-2582527F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7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5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67C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BD9C-73B8-4B41-9D48-1AB934BA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Firman</dc:creator>
  <cp:keywords/>
  <dc:description/>
  <cp:lastModifiedBy>Nicola Firman</cp:lastModifiedBy>
  <cp:revision>8</cp:revision>
  <cp:lastPrinted>2018-02-15T12:17:00Z</cp:lastPrinted>
  <dcterms:created xsi:type="dcterms:W3CDTF">2018-02-28T21:58:00Z</dcterms:created>
  <dcterms:modified xsi:type="dcterms:W3CDTF">2018-03-01T09:41:00Z</dcterms:modified>
</cp:coreProperties>
</file>